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jc w:val="center"/>
        <w:outlineLvl w:val="0"/>
        <w:rPr>
          <w:rFonts w:hint="default" w:ascii="Times New Roman" w:hAnsi="Times New Roman" w:eastAsia="黑体" w:cs="Times New Roman"/>
          <w:snapToGrid w:val="0"/>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4895850" cy="6962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895850" cy="6962775"/>
                    </a:xfrm>
                    <a:prstGeom prst="rect">
                      <a:avLst/>
                    </a:prstGeom>
                    <a:noFill/>
                    <a:ln>
                      <a:noFill/>
                    </a:ln>
                  </pic:spPr>
                </pic:pic>
              </a:graphicData>
            </a:graphic>
          </wp:inline>
        </w:drawing>
      </w:r>
      <w:r>
        <w:drawing>
          <wp:inline distT="0" distB="0" distL="114300" distR="114300">
            <wp:extent cx="5614670" cy="7781290"/>
            <wp:effectExtent l="0" t="0" r="508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614670" cy="7781290"/>
                    </a:xfrm>
                    <a:prstGeom prst="rect">
                      <a:avLst/>
                    </a:prstGeom>
                    <a:noFill/>
                    <a:ln>
                      <a:noFill/>
                    </a:ln>
                  </pic:spPr>
                </pic:pic>
              </a:graphicData>
            </a:graphic>
          </wp:inline>
        </w:drawing>
      </w:r>
    </w:p>
    <w:p>
      <w:pPr>
        <w:pStyle w:val="26"/>
        <w:jc w:val="center"/>
        <w:outlineLvl w:val="0"/>
        <w:rPr>
          <w:rFonts w:hint="default" w:ascii="Times New Roman" w:hAnsi="Times New Roman" w:eastAsia="黑体" w:cs="Times New Roman"/>
          <w:snapToGrid w:val="0"/>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605145" cy="7927975"/>
            <wp:effectExtent l="0" t="0" r="14605" b="15875"/>
            <wp:docPr id="5" name="图片 5" descr="SKM_C554e221120020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KM_C554e22112002030_01"/>
                    <pic:cNvPicPr>
                      <a:picLocks noChangeAspect="1"/>
                    </pic:cNvPicPr>
                  </pic:nvPicPr>
                  <pic:blipFill>
                    <a:blip r:embed="rId11"/>
                    <a:stretch>
                      <a:fillRect/>
                    </a:stretch>
                  </pic:blipFill>
                  <pic:spPr>
                    <a:xfrm>
                      <a:off x="0" y="0"/>
                      <a:ext cx="5605145" cy="7927975"/>
                    </a:xfrm>
                    <a:prstGeom prst="rect">
                      <a:avLst/>
                    </a:prstGeom>
                  </pic:spPr>
                </pic:pic>
              </a:graphicData>
            </a:graphic>
          </wp:inline>
        </w:drawing>
      </w:r>
      <w:r>
        <w:drawing>
          <wp:inline distT="0" distB="0" distL="114300" distR="114300">
            <wp:extent cx="5581650" cy="7934325"/>
            <wp:effectExtent l="0" t="0" r="0"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581650" cy="7934325"/>
                    </a:xfrm>
                    <a:prstGeom prst="rect">
                      <a:avLst/>
                    </a:prstGeom>
                    <a:noFill/>
                    <a:ln>
                      <a:noFill/>
                    </a:ln>
                  </pic:spPr>
                </pic:pic>
              </a:graphicData>
            </a:graphic>
          </wp:inline>
        </w:drawing>
      </w:r>
      <w:r>
        <w:drawing>
          <wp:inline distT="0" distB="0" distL="114300" distR="114300">
            <wp:extent cx="5612765" cy="7896860"/>
            <wp:effectExtent l="0" t="0" r="6985"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612765" cy="7896860"/>
                    </a:xfrm>
                    <a:prstGeom prst="rect">
                      <a:avLst/>
                    </a:prstGeom>
                    <a:noFill/>
                    <a:ln>
                      <a:noFill/>
                    </a:ln>
                  </pic:spPr>
                </pic:pic>
              </a:graphicData>
            </a:graphic>
          </wp:inline>
        </w:drawing>
      </w:r>
    </w:p>
    <w:p>
      <w:pPr>
        <w:pStyle w:val="26"/>
        <w:jc w:val="center"/>
        <w:outlineLvl w:val="0"/>
        <w:rPr>
          <w:rFonts w:hint="default" w:ascii="Times New Roman" w:hAnsi="Times New Roman" w:eastAsia="黑体" w:cs="Times New Roman"/>
          <w:snapToGrid w:val="0"/>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611495" cy="7798435"/>
            <wp:effectExtent l="0" t="0" r="8255"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611495" cy="7798435"/>
                    </a:xfrm>
                    <a:prstGeom prst="rect">
                      <a:avLst/>
                    </a:prstGeom>
                    <a:noFill/>
                    <a:ln>
                      <a:noFill/>
                    </a:ln>
                  </pic:spPr>
                </pic:pic>
              </a:graphicData>
            </a:graphic>
          </wp:inline>
        </w:drawing>
      </w:r>
    </w:p>
    <w:p>
      <w:pPr>
        <w:pStyle w:val="26"/>
        <w:jc w:val="center"/>
        <w:outlineLvl w:val="0"/>
        <w:rPr>
          <w:rFonts w:hint="default" w:ascii="Times New Roman" w:hAnsi="Times New Roman" w:eastAsia="黑体" w:cs="Times New Roman"/>
          <w:snapToGrid w:val="0"/>
          <w:sz w:val="30"/>
          <w:szCs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612765" cy="7637145"/>
            <wp:effectExtent l="0" t="0" r="6985"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612765" cy="7637145"/>
                    </a:xfrm>
                    <a:prstGeom prst="rect">
                      <a:avLst/>
                    </a:prstGeom>
                    <a:noFill/>
                    <a:ln>
                      <a:noFill/>
                    </a:ln>
                  </pic:spPr>
                </pic:pic>
              </a:graphicData>
            </a:graphic>
          </wp:inline>
        </w:drawing>
      </w:r>
      <w:r>
        <w:drawing>
          <wp:inline distT="0" distB="0" distL="114300" distR="114300">
            <wp:extent cx="5615305" cy="7366635"/>
            <wp:effectExtent l="0" t="0" r="444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6"/>
                    <a:stretch>
                      <a:fillRect/>
                    </a:stretch>
                  </pic:blipFill>
                  <pic:spPr>
                    <a:xfrm>
                      <a:off x="0" y="0"/>
                      <a:ext cx="5615305" cy="7366635"/>
                    </a:xfrm>
                    <a:prstGeom prst="rect">
                      <a:avLst/>
                    </a:prstGeom>
                    <a:noFill/>
                    <a:ln>
                      <a:noFill/>
                    </a:ln>
                  </pic:spPr>
                </pic:pic>
              </a:graphicData>
            </a:graphic>
          </wp:inline>
        </w:drawing>
      </w:r>
    </w:p>
    <w:p>
      <w:pPr>
        <w:pStyle w:val="26"/>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3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03"/>
        <w:gridCol w:w="2910"/>
        <w:gridCol w:w="1635"/>
        <w:gridCol w:w="2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36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cs="Times New Roman"/>
                <w:sz w:val="24"/>
                <w:szCs w:val="24"/>
                <w:lang w:eastAsia="zh-CN"/>
              </w:rPr>
              <w:t>新乡县公共检验检测中心能力提升项目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项目代码</w:t>
            </w:r>
          </w:p>
        </w:tc>
        <w:tc>
          <w:tcPr>
            <w:tcW w:w="736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2211-410721-04-01-620583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法人代表</w:t>
            </w:r>
          </w:p>
        </w:tc>
        <w:tc>
          <w:tcPr>
            <w:tcW w:w="7367" w:type="dxa"/>
            <w:gridSpan w:val="3"/>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z w:val="24"/>
                <w:szCs w:val="24"/>
              </w:rPr>
            </w:pPr>
            <w:r>
              <w:rPr>
                <w:rFonts w:hint="eastAsia" w:cs="Times New Roman"/>
                <w:color w:val="auto"/>
                <w:sz w:val="24"/>
                <w:szCs w:val="24"/>
                <w:lang w:val="en-US" w:eastAsia="zh-CN"/>
              </w:rPr>
              <w:t>秦安飞</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410702197108240532</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建设单位联系人</w:t>
            </w:r>
          </w:p>
        </w:tc>
        <w:tc>
          <w:tcPr>
            <w:tcW w:w="29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冯钰</w:t>
            </w:r>
          </w:p>
        </w:tc>
        <w:tc>
          <w:tcPr>
            <w:tcW w:w="16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联系方式</w:t>
            </w:r>
          </w:p>
        </w:tc>
        <w:tc>
          <w:tcPr>
            <w:tcW w:w="28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eastAsia" w:cs="Times New Roman"/>
                <w:sz w:val="24"/>
                <w:szCs w:val="24"/>
                <w:lang w:val="en-US" w:eastAsia="zh-CN"/>
              </w:rPr>
              <w:t>16638370669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367"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新乡县中央大道与民乐路交叉口东北角民乐路一号（新乡县市场监督管理局院内）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地理坐标</w:t>
            </w:r>
          </w:p>
        </w:tc>
        <w:tc>
          <w:tcPr>
            <w:tcW w:w="7367"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single"/>
                <w:lang w:val="en-US" w:eastAsia="zh-CN"/>
              </w:rPr>
              <w:t>113</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lang w:val="en-US" w:eastAsia="zh-CN"/>
              </w:rPr>
              <w:t>48</w:t>
            </w:r>
            <w:r>
              <w:rPr>
                <w:rFonts w:hint="default" w:ascii="Times New Roman" w:hAnsi="Times New Roman" w:eastAsia="宋体" w:cs="Times New Roman"/>
                <w:color w:val="auto"/>
                <w:sz w:val="24"/>
                <w:szCs w:val="24"/>
              </w:rPr>
              <w:t>分</w:t>
            </w:r>
            <w:r>
              <w:rPr>
                <w:rFonts w:hint="eastAsia" w:cs="Times New Roman"/>
                <w:color w:val="auto"/>
                <w:sz w:val="24"/>
                <w:szCs w:val="24"/>
                <w:u w:val="single"/>
                <w:lang w:val="en-US" w:eastAsia="zh-CN"/>
              </w:rPr>
              <w:t>16.538</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u w:val="single"/>
                <w:lang w:val="en-US" w:eastAsia="zh-CN"/>
              </w:rPr>
              <w:t>35</w:t>
            </w:r>
            <w:r>
              <w:rPr>
                <w:rFonts w:hint="default" w:ascii="Times New Roman" w:hAnsi="Times New Roman" w:eastAsia="宋体" w:cs="Times New Roman"/>
                <w:color w:val="auto"/>
                <w:sz w:val="24"/>
                <w:szCs w:val="24"/>
              </w:rPr>
              <w:t>度</w:t>
            </w:r>
            <w:r>
              <w:rPr>
                <w:rFonts w:hint="eastAsia" w:cs="Times New Roman"/>
                <w:color w:val="auto"/>
                <w:sz w:val="24"/>
                <w:szCs w:val="24"/>
                <w:u w:val="single"/>
                <w:lang w:val="en-US" w:eastAsia="zh-CN"/>
              </w:rPr>
              <w:t>11</w:t>
            </w:r>
            <w:r>
              <w:rPr>
                <w:rFonts w:hint="default" w:ascii="Times New Roman" w:hAnsi="Times New Roman" w:eastAsia="宋体" w:cs="Times New Roman"/>
                <w:color w:val="auto"/>
                <w:sz w:val="24"/>
                <w:szCs w:val="24"/>
              </w:rPr>
              <w:t>分</w:t>
            </w:r>
            <w:r>
              <w:rPr>
                <w:rFonts w:hint="eastAsia" w:cs="Times New Roman"/>
                <w:color w:val="auto"/>
                <w:sz w:val="24"/>
                <w:szCs w:val="24"/>
                <w:u w:val="single"/>
                <w:lang w:val="en-US" w:eastAsia="zh-CN"/>
              </w:rPr>
              <w:t>18.128</w:t>
            </w:r>
            <w:r>
              <w:rPr>
                <w:rFonts w:hint="default" w:ascii="Times New Roman" w:hAnsi="Times New Roman" w:eastAsia="宋体"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p>
        </w:tc>
        <w:tc>
          <w:tcPr>
            <w:tcW w:w="29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sz w:val="24"/>
              </w:rPr>
              <w:t>M7</w:t>
            </w:r>
            <w:r>
              <w:rPr>
                <w:rFonts w:hint="eastAsia"/>
                <w:sz w:val="24"/>
                <w:lang w:val="en-US" w:eastAsia="zh-CN"/>
              </w:rPr>
              <w:t>451</w:t>
            </w:r>
            <w:r>
              <w:rPr>
                <w:rFonts w:hint="eastAsia"/>
                <w:sz w:val="24"/>
              </w:rPr>
              <w:t>检验检疫服务</w:t>
            </w:r>
          </w:p>
        </w:tc>
        <w:tc>
          <w:tcPr>
            <w:tcW w:w="16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bookmarkStart w:id="0" w:name="_Hlk49843745"/>
            <w:r>
              <w:rPr>
                <w:rFonts w:hint="default" w:ascii="Times New Roman" w:hAnsi="Times New Roman" w:eastAsia="宋体" w:cs="Times New Roman"/>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bookmarkEnd w:id="0"/>
          </w:p>
        </w:tc>
        <w:tc>
          <w:tcPr>
            <w:tcW w:w="2822" w:type="dxa"/>
            <w:noWrap w:val="0"/>
            <w:vAlign w:val="center"/>
          </w:tcPr>
          <w:p>
            <w:pPr>
              <w:keepNext w:val="0"/>
              <w:keepLines w:val="0"/>
              <w:suppressLineNumbers w:val="0"/>
              <w:adjustRightInd w:val="0"/>
              <w:snapToGrid w:val="0"/>
              <w:spacing w:before="0" w:beforeAutospacing="0" w:after="0" w:afterAutospacing="0"/>
              <w:ind w:left="0" w:right="0"/>
              <w:rPr>
                <w:sz w:val="24"/>
              </w:rPr>
            </w:pPr>
            <w:r>
              <w:rPr>
                <w:sz w:val="24"/>
              </w:rPr>
              <w:t>四十五、研究和实验发展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lang w:val="en-US" w:eastAsia="zh-CN"/>
              </w:rPr>
            </w:pPr>
            <w:r>
              <w:rPr>
                <w:sz w:val="24"/>
              </w:rPr>
              <w:t xml:space="preserve">98、专业实验室，研发（试验）基地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建设性质</w:t>
            </w:r>
          </w:p>
        </w:tc>
        <w:tc>
          <w:tcPr>
            <w:tcW w:w="2910"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技术改造</w:t>
            </w:r>
          </w:p>
        </w:tc>
        <w:tc>
          <w:tcPr>
            <w:tcW w:w="16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申报情形</w:t>
            </w:r>
          </w:p>
        </w:tc>
        <w:tc>
          <w:tcPr>
            <w:tcW w:w="282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首次申报项目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超五年重新审核项目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项目审批（核准/备案）部门（选填）</w:t>
            </w:r>
          </w:p>
        </w:tc>
        <w:tc>
          <w:tcPr>
            <w:tcW w:w="29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ascii="Times New Roman" w:hAnsi="Times New Roman" w:eastAsia="宋体" w:cs="Times New Roman"/>
                <w:sz w:val="24"/>
                <w:lang w:eastAsia="zh-CN"/>
              </w:rPr>
              <w:t>新乡县发展和改革委员会</w:t>
            </w:r>
          </w:p>
        </w:tc>
        <w:tc>
          <w:tcPr>
            <w:tcW w:w="16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项目审批（核准/备案）文号（选填）</w:t>
            </w:r>
          </w:p>
        </w:tc>
        <w:tc>
          <w:tcPr>
            <w:tcW w:w="28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cs="Times New Roman"/>
                <w:sz w:val="24"/>
                <w:szCs w:val="24"/>
                <w:lang w:val="en-US" w:eastAsia="zh-CN"/>
              </w:rPr>
              <w:t>2211-410721-04-01-620583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总投资（万元）</w:t>
            </w:r>
          </w:p>
        </w:tc>
        <w:tc>
          <w:tcPr>
            <w:tcW w:w="29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5630.12</w:t>
            </w:r>
          </w:p>
        </w:tc>
        <w:tc>
          <w:tcPr>
            <w:tcW w:w="16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28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9"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环保投资占比（%）</w:t>
            </w:r>
          </w:p>
        </w:tc>
        <w:tc>
          <w:tcPr>
            <w:tcW w:w="29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0.89</w:t>
            </w:r>
          </w:p>
        </w:tc>
        <w:tc>
          <w:tcPr>
            <w:tcW w:w="16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28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3" w:hRule="atLeast"/>
          <w:jc w:val="center"/>
        </w:trPr>
        <w:tc>
          <w:tcPr>
            <w:tcW w:w="1503"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是否开工建设</w:t>
            </w:r>
          </w:p>
        </w:tc>
        <w:tc>
          <w:tcPr>
            <w:tcW w:w="2910"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none"/>
              </w:rPr>
              <w:t xml:space="preserve"> </w:t>
            </w:r>
          </w:p>
        </w:tc>
        <w:tc>
          <w:tcPr>
            <w:tcW w:w="16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8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695.62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50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专项评价设置情况</w:t>
            </w:r>
          </w:p>
        </w:tc>
        <w:tc>
          <w:tcPr>
            <w:tcW w:w="736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50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规划情况</w:t>
            </w:r>
          </w:p>
        </w:tc>
        <w:tc>
          <w:tcPr>
            <w:tcW w:w="736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5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规划环境影响评价情况</w:t>
            </w:r>
          </w:p>
        </w:tc>
        <w:tc>
          <w:tcPr>
            <w:tcW w:w="7367"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50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规划及规划环境影响评价符合性分析</w:t>
            </w:r>
          </w:p>
        </w:tc>
        <w:tc>
          <w:tcPr>
            <w:tcW w:w="736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无</w:t>
            </w:r>
          </w:p>
        </w:tc>
      </w:tr>
    </w:tbl>
    <w:p>
      <w:pPr>
        <w:autoSpaceDE w:val="0"/>
        <w:autoSpaceDN w:val="0"/>
        <w:adjustRightInd w:val="0"/>
        <w:snapToGrid w:val="0"/>
        <w:jc w:val="center"/>
        <w:rPr>
          <w:rFonts w:hint="default" w:ascii="Times New Roman" w:hAnsi="Times New Roman" w:cs="Times New Roman"/>
          <w:kern w:val="0"/>
          <w:sz w:val="24"/>
          <w:szCs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86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9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65" w:hRule="atLeast"/>
          <w:jc w:val="center"/>
        </w:trPr>
        <w:tc>
          <w:tcPr>
            <w:tcW w:w="733"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其他符合性分析</w:t>
            </w:r>
          </w:p>
        </w:tc>
        <w:tc>
          <w:tcPr>
            <w:tcW w:w="7947"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baseline"/>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1、本项目与分类管理名录对照分析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left"/>
              <w:rPr>
                <w:bCs/>
                <w:kern w:val="0"/>
                <w:sz w:val="24"/>
              </w:rPr>
            </w:pPr>
            <w:r>
              <w:rPr>
                <w:bCs/>
                <w:kern w:val="0"/>
                <w:sz w:val="24"/>
              </w:rPr>
              <w:t>经查阅《建设项目环境影响评价分类管理名录》（2021年版），本项目属于</w:t>
            </w:r>
            <w:r>
              <w:rPr>
                <w:rFonts w:hint="eastAsia"/>
                <w:bCs/>
                <w:kern w:val="0"/>
                <w:sz w:val="24"/>
              </w:rPr>
              <w:t>“四十五、研究和试验发展“中第98条“专业实验室、研发（试验）基地”中的“其他（不产生实验废气、废水、危险废物的除外）”，</w:t>
            </w:r>
            <w:r>
              <w:rPr>
                <w:rFonts w:hint="default" w:ascii="Times New Roman" w:hAnsi="Times New Roman" w:eastAsia="宋体" w:cs="Times New Roman"/>
                <w:sz w:val="24"/>
                <w:szCs w:val="24"/>
              </w:rPr>
              <w:t>本项目</w:t>
            </w:r>
            <w:r>
              <w:rPr>
                <w:rFonts w:hint="eastAsia" w:cs="Times New Roman"/>
                <w:sz w:val="24"/>
                <w:szCs w:val="24"/>
                <w:lang w:val="en-US" w:eastAsia="zh-CN"/>
              </w:rPr>
              <w:t>建设的</w:t>
            </w:r>
            <w:r>
              <w:rPr>
                <w:rFonts w:hint="eastAsia" w:ascii="Times New Roman" w:hAnsi="Times New Roman" w:eastAsia="宋体" w:cs="Times New Roman"/>
                <w:sz w:val="24"/>
                <w:szCs w:val="24"/>
                <w:lang w:eastAsia="zh-CN"/>
              </w:rPr>
              <w:t>微生物实验室为一般生物安全防护实验室，生物实验室等级为P2，</w:t>
            </w:r>
            <w:r>
              <w:rPr>
                <w:rFonts w:hint="eastAsia"/>
                <w:bCs/>
                <w:kern w:val="0"/>
                <w:sz w:val="24"/>
              </w:rPr>
              <w:t>不涉及“P3、P4生物安全实验室；转基因实验室”，应</w:t>
            </w:r>
            <w:r>
              <w:rPr>
                <w:bCs/>
                <w:kern w:val="0"/>
                <w:sz w:val="24"/>
              </w:rPr>
              <w:t>编制环境影响评价报告表。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left"/>
              <w:rPr>
                <w:rFonts w:hint="default" w:ascii="Times New Roman" w:hAnsi="Times New Roman" w:eastAsia="宋体" w:cs="Times New Roman"/>
                <w:b w:val="0"/>
                <w:bCs w:val="0"/>
                <w:sz w:val="24"/>
                <w:szCs w:val="24"/>
                <w:lang w:val="en-US" w:eastAsia="zh-CN"/>
              </w:rPr>
            </w:pPr>
            <w:r>
              <w:rPr>
                <w:bCs/>
                <w:kern w:val="0"/>
                <w:sz w:val="24"/>
              </w:rPr>
              <w:t>根据《河南省生态环境厅办公室关于进一步优化环评审批推进重大投资项目建设的通知》（豫环办[2022]44号），本项目属于四十五、</w:t>
            </w:r>
            <w:r>
              <w:rPr>
                <w:rFonts w:hint="eastAsia"/>
                <w:bCs/>
                <w:kern w:val="0"/>
                <w:sz w:val="24"/>
              </w:rPr>
              <w:t>研究和试验发展</w:t>
            </w:r>
            <w:r>
              <w:rPr>
                <w:bCs/>
                <w:kern w:val="0"/>
                <w:sz w:val="24"/>
              </w:rPr>
              <w:t>：</w:t>
            </w:r>
            <w:r>
              <w:rPr>
                <w:rFonts w:hint="eastAsia"/>
                <w:bCs/>
                <w:kern w:val="0"/>
                <w:sz w:val="24"/>
              </w:rPr>
              <w:t>专业实验室</w:t>
            </w:r>
            <w:r>
              <w:rPr>
                <w:bCs/>
                <w:kern w:val="0"/>
                <w:sz w:val="24"/>
              </w:rPr>
              <w:t>”，在告知承诺制审批正面清单内，属于告知承诺类项目。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2" w:firstLineChars="200"/>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lang w:val="en-US" w:eastAsia="zh-CN"/>
              </w:rPr>
              <w:t>2、产业政策相符性分析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color w:val="FF0000"/>
                <w:sz w:val="24"/>
              </w:rPr>
            </w:pPr>
            <w:r>
              <w:rPr>
                <w:kern w:val="0"/>
                <w:sz w:val="24"/>
              </w:rPr>
              <w:t>对照《产业结构调整指导目录（2019年本）》，本项目属于“鼓励类”中“三十一、科技服务业”中第1项“工业设计、气象、生物、新材料、新能源、节能、环保、测绘、海洋等专业科技服务，标准化服务、计量测试、质量认证和检验检测服务、科技普及”。</w:t>
            </w:r>
            <w:r>
              <w:rPr>
                <w:rFonts w:hint="eastAsia" w:ascii="Times New Roman" w:hAnsi="Times New Roman" w:eastAsia="宋体" w:cs="Times New Roman"/>
                <w:sz w:val="24"/>
                <w:lang w:eastAsia="zh-CN"/>
              </w:rPr>
              <w:t>新乡县发展和改革委员会</w:t>
            </w:r>
            <w:r>
              <w:rPr>
                <w:rFonts w:hint="eastAsia"/>
                <w:kern w:val="0"/>
                <w:sz w:val="24"/>
                <w:lang w:val="en-US" w:eastAsia="zh-CN"/>
              </w:rPr>
              <w:t>已对项目可行性研究报告进行了批复</w:t>
            </w:r>
            <w:r>
              <w:rPr>
                <w:kern w:val="0"/>
                <w:sz w:val="24"/>
              </w:rPr>
              <w:t>，</w:t>
            </w:r>
            <w:r>
              <w:rPr>
                <w:rFonts w:hint="eastAsia"/>
                <w:kern w:val="0"/>
                <w:sz w:val="24"/>
                <w:lang w:val="en-US" w:eastAsia="zh-CN"/>
              </w:rPr>
              <w:t>批复文号为：新发改[2022]141号</w:t>
            </w:r>
            <w:r>
              <w:rPr>
                <w:rFonts w:hint="eastAsia"/>
                <w:kern w:val="0"/>
                <w:sz w:val="24"/>
                <w:lang w:eastAsia="zh-CN"/>
              </w:rPr>
              <w:t>，</w:t>
            </w:r>
            <w:r>
              <w:rPr>
                <w:kern w:val="0"/>
                <w:sz w:val="24"/>
              </w:rPr>
              <w:t>项目代码为</w:t>
            </w:r>
            <w:r>
              <w:rPr>
                <w:rFonts w:hint="eastAsia" w:cs="Times New Roman"/>
                <w:sz w:val="24"/>
                <w:szCs w:val="24"/>
                <w:lang w:val="en-US" w:eastAsia="zh-CN"/>
              </w:rPr>
              <w:t>2211-410721-04-01-620583</w:t>
            </w:r>
            <w:r>
              <w:rPr>
                <w:kern w:val="0"/>
                <w:sz w:val="24"/>
              </w:rPr>
              <w:t>，项目符合国家产业政策。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val="pt-BR"/>
              </w:rPr>
              <w:t>、项目建设与</w:t>
            </w:r>
            <w:r>
              <w:rPr>
                <w:rFonts w:hint="eastAsia" w:cs="Times New Roman"/>
                <w:b/>
                <w:bCs/>
                <w:sz w:val="24"/>
                <w:szCs w:val="24"/>
                <w:lang w:val="en-US" w:eastAsia="zh-CN"/>
              </w:rPr>
              <w:t>可行性研究报告批复</w:t>
            </w:r>
            <w:r>
              <w:rPr>
                <w:rFonts w:hint="default" w:ascii="Times New Roman" w:hAnsi="Times New Roman" w:eastAsia="宋体" w:cs="Times New Roman"/>
                <w:b/>
                <w:bCs/>
                <w:sz w:val="24"/>
                <w:szCs w:val="24"/>
                <w:lang w:val="pt-BR"/>
              </w:rPr>
              <w:t>相符性分析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本项目与</w:t>
            </w:r>
            <w:r>
              <w:rPr>
                <w:rFonts w:hint="default" w:ascii="Times New Roman" w:hAnsi="Times New Roman" w:eastAsia="宋体" w:cs="Times New Roman"/>
                <w:sz w:val="24"/>
                <w:szCs w:val="24"/>
                <w:lang w:val="en-US" w:eastAsia="zh-CN"/>
              </w:rPr>
              <w:t>可行性研究报告批复</w:t>
            </w:r>
            <w:r>
              <w:rPr>
                <w:rFonts w:hint="default" w:ascii="Times New Roman" w:hAnsi="Times New Roman" w:eastAsia="宋体" w:cs="Times New Roman"/>
                <w:sz w:val="24"/>
                <w:szCs w:val="24"/>
              </w:rPr>
              <w:t>一致性分析见下表。</w:t>
            </w:r>
          </w:p>
          <w:p>
            <w:pPr>
              <w:keepNext w:val="0"/>
              <w:keepLines w:val="0"/>
              <w:pageBreakBefore w:val="0"/>
              <w:widowControl w:val="0"/>
              <w:suppressLineNumbers w:val="0"/>
              <w:kinsoku/>
              <w:wordWrap/>
              <w:overflowPunct/>
              <w:topLinePunct w:val="0"/>
              <w:bidi w:val="0"/>
              <w:snapToGrid w:val="0"/>
              <w:spacing w:before="0" w:beforeAutospacing="0" w:after="0" w:afterAutospacing="0" w:line="520" w:lineRule="exact"/>
              <w:ind w:left="0" w:right="0" w:firstLine="480" w:firstLineChars="200"/>
              <w:jc w:val="left"/>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表1-1     本项目与可行性研究报告批复一致性分析一览表</w:t>
            </w:r>
          </w:p>
          <w:tbl>
            <w:tblPr>
              <w:tblStyle w:val="30"/>
              <w:tblW w:w="7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112"/>
              <w:gridCol w:w="2954"/>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名称</w:t>
                  </w:r>
                </w:p>
              </w:tc>
              <w:tc>
                <w:tcPr>
                  <w:tcW w:w="31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项目备案</w:t>
                  </w:r>
                </w:p>
              </w:tc>
              <w:tc>
                <w:tcPr>
                  <w:tcW w:w="29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项目情况</w:t>
                  </w:r>
                </w:p>
              </w:tc>
              <w:tc>
                <w:tcPr>
                  <w:tcW w:w="9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项目名称</w:t>
                  </w:r>
                </w:p>
              </w:tc>
              <w:tc>
                <w:tcPr>
                  <w:tcW w:w="31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新乡县公共检验检测中心能力提升项目</w:t>
                  </w:r>
                </w:p>
              </w:tc>
              <w:tc>
                <w:tcPr>
                  <w:tcW w:w="29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eastAsia="zh-CN"/>
                    </w:rPr>
                    <w:t>新乡县公共检验检测中心能力提升项目</w:t>
                  </w:r>
                </w:p>
              </w:tc>
              <w:tc>
                <w:tcPr>
                  <w:tcW w:w="9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投资</w:t>
                  </w:r>
                </w:p>
              </w:tc>
              <w:tc>
                <w:tcPr>
                  <w:tcW w:w="31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5630.12万</w:t>
                  </w:r>
                  <w:r>
                    <w:rPr>
                      <w:rFonts w:hint="default" w:ascii="Times New Roman" w:hAnsi="Times New Roman" w:eastAsia="宋体" w:cs="Times New Roman"/>
                      <w:b w:val="0"/>
                      <w:bCs w:val="0"/>
                      <w:color w:val="auto"/>
                      <w:sz w:val="21"/>
                      <w:szCs w:val="21"/>
                      <w:highlight w:val="none"/>
                    </w:rPr>
                    <w:t>元</w:t>
                  </w:r>
                </w:p>
              </w:tc>
              <w:tc>
                <w:tcPr>
                  <w:tcW w:w="29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5630.12万</w:t>
                  </w:r>
                  <w:r>
                    <w:rPr>
                      <w:rFonts w:hint="default" w:ascii="Times New Roman" w:hAnsi="Times New Roman" w:eastAsia="宋体" w:cs="Times New Roman"/>
                      <w:b w:val="0"/>
                      <w:bCs w:val="0"/>
                      <w:color w:val="auto"/>
                      <w:sz w:val="21"/>
                      <w:szCs w:val="21"/>
                      <w:highlight w:val="none"/>
                    </w:rPr>
                    <w:t>元</w:t>
                  </w:r>
                </w:p>
              </w:tc>
              <w:tc>
                <w:tcPr>
                  <w:tcW w:w="9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建设规模及内容</w:t>
                  </w:r>
                </w:p>
              </w:tc>
              <w:tc>
                <w:tcPr>
                  <w:tcW w:w="31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新建一座五层实验室，建筑面积3478.1m</w:t>
                  </w:r>
                  <w:r>
                    <w:rPr>
                      <w:rFonts w:hint="eastAsia" w:cs="Times New Roman"/>
                      <w:b w:val="0"/>
                      <w:bCs w:val="0"/>
                      <w:color w:val="000000"/>
                      <w:sz w:val="21"/>
                      <w:szCs w:val="21"/>
                      <w:vertAlign w:val="superscript"/>
                      <w:lang w:val="en-US" w:eastAsia="zh-CN"/>
                    </w:rPr>
                    <w:t>2</w:t>
                  </w:r>
                  <w:r>
                    <w:rPr>
                      <w:rFonts w:hint="eastAsia" w:cs="Times New Roman"/>
                      <w:b w:val="0"/>
                      <w:bCs w:val="0"/>
                      <w:color w:val="000000"/>
                      <w:sz w:val="21"/>
                      <w:szCs w:val="21"/>
                      <w:lang w:val="en-US" w:eastAsia="zh-CN"/>
                    </w:rPr>
                    <w:t>。</w:t>
                  </w:r>
                </w:p>
              </w:tc>
              <w:tc>
                <w:tcPr>
                  <w:tcW w:w="29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新建一座五层实验室，建筑面积3478.1m</w:t>
                  </w:r>
                  <w:r>
                    <w:rPr>
                      <w:rFonts w:hint="eastAsia" w:cs="Times New Roman"/>
                      <w:b w:val="0"/>
                      <w:bCs w:val="0"/>
                      <w:color w:val="000000"/>
                      <w:sz w:val="21"/>
                      <w:szCs w:val="21"/>
                      <w:vertAlign w:val="superscript"/>
                      <w:lang w:val="en-US" w:eastAsia="zh-CN"/>
                    </w:rPr>
                    <w:t>2</w:t>
                  </w:r>
                  <w:r>
                    <w:rPr>
                      <w:rFonts w:hint="eastAsia" w:cs="Times New Roman"/>
                      <w:b w:val="0"/>
                      <w:bCs w:val="0"/>
                      <w:color w:val="000000"/>
                      <w:sz w:val="21"/>
                      <w:szCs w:val="21"/>
                      <w:lang w:val="en-US" w:eastAsia="zh-CN"/>
                    </w:rPr>
                    <w:t>。</w:t>
                  </w:r>
                </w:p>
              </w:tc>
              <w:tc>
                <w:tcPr>
                  <w:tcW w:w="9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地点</w:t>
                  </w:r>
                </w:p>
              </w:tc>
              <w:tc>
                <w:tcPr>
                  <w:tcW w:w="31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新乡县中央大道与民乐路交叉口东北角民乐路一号（新乡县市场监督管理局院内）</w:t>
                  </w:r>
                </w:p>
              </w:tc>
              <w:tc>
                <w:tcPr>
                  <w:tcW w:w="29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新乡县中央大道与民乐路交叉口东北角民乐路一号（新乡县市场监督管理局院内）</w:t>
                  </w:r>
                </w:p>
              </w:tc>
              <w:tc>
                <w:tcPr>
                  <w:tcW w:w="9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相符</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lef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val="0"/>
                <w:bCs w:val="0"/>
                <w:sz w:val="24"/>
                <w:szCs w:val="24"/>
                <w:lang w:val="en-US" w:eastAsia="zh-CN"/>
              </w:rPr>
              <w:t>由上表可知，</w:t>
            </w:r>
            <w:r>
              <w:rPr>
                <w:rFonts w:hint="default" w:ascii="Times New Roman" w:hAnsi="Times New Roman" w:eastAsia="宋体" w:cs="Times New Roman"/>
                <w:kern w:val="0"/>
                <w:sz w:val="24"/>
                <w:szCs w:val="24"/>
              </w:rPr>
              <w:t>项目建设地点、生产工艺等内容均与备案证明一致。</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val="0"/>
                <w:i w:val="0"/>
                <w:iCs w:val="0"/>
                <w:sz w:val="24"/>
                <w:u w:val="none"/>
                <w:lang w:val="en-US" w:eastAsia="zh-CN"/>
              </w:rPr>
            </w:pPr>
            <w:r>
              <w:rPr>
                <w:rFonts w:hint="default" w:ascii="Times New Roman" w:hAnsi="Times New Roman" w:eastAsia="宋体" w:cs="Times New Roman"/>
                <w:b/>
                <w:bCs w:val="0"/>
                <w:i w:val="0"/>
                <w:iCs w:val="0"/>
                <w:sz w:val="24"/>
                <w:u w:val="none"/>
                <w:lang w:val="en-US" w:eastAsia="zh-CN"/>
              </w:rPr>
              <w:t>4、选址可行性分析</w:t>
            </w:r>
          </w:p>
          <w:p>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outlineLvl w:val="9"/>
              <w:rPr>
                <w:rFonts w:hint="default" w:ascii="Times New Roman" w:hAnsi="Times New Roman" w:eastAsia="宋体" w:cs="Times New Roman"/>
                <w:b w:val="0"/>
                <w:bCs/>
                <w:i w:val="0"/>
                <w:iCs w:val="0"/>
                <w:color w:val="auto"/>
                <w:sz w:val="24"/>
                <w:szCs w:val="24"/>
                <w:highlight w:val="none"/>
                <w:u w:val="none"/>
              </w:rPr>
            </w:pPr>
            <w:r>
              <w:rPr>
                <w:rFonts w:hint="eastAsia" w:cs="Times New Roman"/>
                <w:sz w:val="24"/>
                <w:szCs w:val="24"/>
                <w:lang w:eastAsia="zh-CN"/>
              </w:rPr>
              <w:t>新乡县公共检验检测中心能力提升项目</w:t>
            </w:r>
            <w:r>
              <w:rPr>
                <w:rFonts w:hint="default" w:ascii="Times New Roman" w:hAnsi="Times New Roman" w:eastAsia="宋体" w:cs="Times New Roman"/>
                <w:b w:val="0"/>
                <w:bCs/>
                <w:i w:val="0"/>
                <w:iCs w:val="0"/>
                <w:color w:val="auto"/>
                <w:sz w:val="24"/>
                <w:u w:val="none"/>
              </w:rPr>
              <w:t>位于</w:t>
            </w:r>
            <w:r>
              <w:rPr>
                <w:rFonts w:hint="eastAsia" w:cs="Times New Roman"/>
                <w:b w:val="0"/>
                <w:bCs/>
                <w:i w:val="0"/>
                <w:iCs w:val="0"/>
                <w:color w:val="auto"/>
                <w:sz w:val="24"/>
                <w:u w:val="none"/>
                <w:lang w:eastAsia="zh-CN"/>
              </w:rPr>
              <w:t>新乡县中央大道与民乐路交叉口东北角民乐路一号（新乡县市场监督管理局院内）</w:t>
            </w:r>
            <w:r>
              <w:rPr>
                <w:rFonts w:hint="default" w:ascii="Times New Roman" w:hAnsi="Times New Roman" w:eastAsia="宋体" w:cs="Times New Roman"/>
                <w:b w:val="0"/>
                <w:bCs/>
                <w:i w:val="0"/>
                <w:iCs w:val="0"/>
                <w:color w:val="auto"/>
                <w:sz w:val="24"/>
                <w:u w:val="none"/>
                <w:lang w:eastAsia="zh-CN"/>
              </w:rPr>
              <w:t>（项目地理位置图见附图</w:t>
            </w:r>
            <w:r>
              <w:rPr>
                <w:rFonts w:hint="default" w:ascii="Times New Roman" w:hAnsi="Times New Roman" w:eastAsia="宋体" w:cs="Times New Roman"/>
                <w:b w:val="0"/>
                <w:bCs/>
                <w:i w:val="0"/>
                <w:iCs w:val="0"/>
                <w:color w:val="auto"/>
                <w:sz w:val="24"/>
                <w:u w:val="none"/>
                <w:lang w:val="en-US" w:eastAsia="zh-CN"/>
              </w:rPr>
              <w:t>1</w:t>
            </w:r>
            <w:r>
              <w:rPr>
                <w:rFonts w:hint="default" w:ascii="Times New Roman" w:hAnsi="Times New Roman" w:eastAsia="宋体" w:cs="Times New Roman"/>
                <w:b w:val="0"/>
                <w:bCs/>
                <w:i w:val="0"/>
                <w:iCs w:val="0"/>
                <w:color w:val="auto"/>
                <w:sz w:val="24"/>
                <w:u w:val="none"/>
                <w:lang w:eastAsia="zh-CN"/>
              </w:rPr>
              <w:t>）</w:t>
            </w:r>
            <w:r>
              <w:rPr>
                <w:rFonts w:hint="default" w:ascii="Times New Roman" w:hAnsi="Times New Roman" w:eastAsia="宋体" w:cs="Times New Roman"/>
                <w:b w:val="0"/>
                <w:bCs/>
                <w:i w:val="0"/>
                <w:iCs w:val="0"/>
                <w:color w:val="auto"/>
                <w:sz w:val="24"/>
                <w:u w:val="none"/>
              </w:rPr>
              <w:t>，根据现场踏勘，项目</w:t>
            </w:r>
            <w:r>
              <w:rPr>
                <w:rFonts w:hint="default" w:ascii="Times New Roman" w:hAnsi="Times New Roman" w:eastAsia="宋体" w:cs="Times New Roman"/>
                <w:b w:val="0"/>
                <w:bCs/>
                <w:i w:val="0"/>
                <w:iCs w:val="0"/>
                <w:color w:val="auto"/>
                <w:sz w:val="24"/>
                <w:u w:val="none"/>
                <w:lang w:eastAsia="zh-CN"/>
              </w:rPr>
              <w:t>东侧为</w:t>
            </w:r>
            <w:r>
              <w:rPr>
                <w:rFonts w:hint="eastAsia" w:cs="Times New Roman"/>
                <w:b w:val="0"/>
                <w:bCs/>
                <w:i w:val="0"/>
                <w:iCs w:val="0"/>
                <w:color w:val="auto"/>
                <w:sz w:val="24"/>
                <w:u w:val="none"/>
                <w:lang w:val="en-US" w:eastAsia="zh-CN"/>
              </w:rPr>
              <w:t>新乡县税务局</w:t>
            </w:r>
            <w:r>
              <w:rPr>
                <w:rFonts w:hint="default" w:ascii="Times New Roman" w:hAnsi="Times New Roman" w:eastAsia="宋体" w:cs="Times New Roman"/>
                <w:b w:val="0"/>
                <w:bCs/>
                <w:i w:val="0"/>
                <w:iCs w:val="0"/>
                <w:color w:val="auto"/>
                <w:sz w:val="24"/>
                <w:u w:val="none"/>
                <w:lang w:eastAsia="zh-CN"/>
              </w:rPr>
              <w:t>，</w:t>
            </w:r>
            <w:r>
              <w:rPr>
                <w:rFonts w:hint="default" w:ascii="Times New Roman" w:hAnsi="Times New Roman" w:eastAsia="宋体" w:cs="Times New Roman"/>
                <w:b w:val="0"/>
                <w:bCs/>
                <w:i w:val="0"/>
                <w:iCs w:val="0"/>
                <w:color w:val="auto"/>
                <w:sz w:val="24"/>
                <w:u w:val="none"/>
              </w:rPr>
              <w:t>南</w:t>
            </w:r>
            <w:r>
              <w:rPr>
                <w:rFonts w:hint="eastAsia" w:cs="Times New Roman"/>
                <w:b w:val="0"/>
                <w:bCs/>
                <w:i w:val="0"/>
                <w:iCs w:val="0"/>
                <w:color w:val="auto"/>
                <w:sz w:val="24"/>
                <w:u w:val="none"/>
                <w:lang w:val="en-US" w:eastAsia="zh-CN"/>
              </w:rPr>
              <w:t>隔民乐路</w:t>
            </w:r>
            <w:r>
              <w:rPr>
                <w:rFonts w:hint="default" w:ascii="Times New Roman" w:hAnsi="Times New Roman" w:eastAsia="宋体" w:cs="Times New Roman"/>
                <w:b w:val="0"/>
                <w:bCs/>
                <w:i w:val="0"/>
                <w:iCs w:val="0"/>
                <w:color w:val="auto"/>
                <w:sz w:val="24"/>
                <w:u w:val="none"/>
                <w:lang w:eastAsia="zh-CN"/>
              </w:rPr>
              <w:t>为</w:t>
            </w:r>
            <w:r>
              <w:rPr>
                <w:rFonts w:hint="eastAsia" w:cs="Times New Roman"/>
                <w:b w:val="0"/>
                <w:bCs/>
                <w:i w:val="0"/>
                <w:iCs w:val="0"/>
                <w:color w:val="auto"/>
                <w:sz w:val="24"/>
                <w:u w:val="none"/>
                <w:lang w:val="en-US" w:eastAsia="zh-CN"/>
              </w:rPr>
              <w:t>新乡县电业局</w:t>
            </w:r>
            <w:r>
              <w:rPr>
                <w:rFonts w:hint="default" w:ascii="Times New Roman" w:hAnsi="Times New Roman" w:eastAsia="宋体" w:cs="Times New Roman"/>
                <w:b w:val="0"/>
                <w:bCs/>
                <w:i w:val="0"/>
                <w:iCs w:val="0"/>
                <w:color w:val="auto"/>
                <w:sz w:val="24"/>
                <w:u w:val="none"/>
                <w:lang w:eastAsia="zh-CN"/>
              </w:rPr>
              <w:t>，西侧为</w:t>
            </w:r>
            <w:r>
              <w:rPr>
                <w:rFonts w:hint="eastAsia" w:cs="Times New Roman"/>
                <w:b w:val="0"/>
                <w:bCs/>
                <w:i w:val="0"/>
                <w:iCs w:val="0"/>
                <w:color w:val="auto"/>
                <w:sz w:val="24"/>
                <w:u w:val="none"/>
                <w:lang w:val="en-US" w:eastAsia="zh-CN"/>
              </w:rPr>
              <w:t>中央大道</w:t>
            </w:r>
            <w:r>
              <w:rPr>
                <w:rFonts w:hint="default" w:ascii="Times New Roman" w:hAnsi="Times New Roman" w:eastAsia="宋体" w:cs="Times New Roman"/>
                <w:b w:val="0"/>
                <w:bCs/>
                <w:i w:val="0"/>
                <w:iCs w:val="0"/>
                <w:color w:val="auto"/>
                <w:sz w:val="24"/>
                <w:u w:val="none"/>
                <w:lang w:val="en-US" w:eastAsia="zh-CN"/>
              </w:rPr>
              <w:t>，</w:t>
            </w:r>
            <w:r>
              <w:rPr>
                <w:rFonts w:hint="default" w:ascii="Times New Roman" w:hAnsi="Times New Roman" w:eastAsia="宋体" w:cs="Times New Roman"/>
                <w:b w:val="0"/>
                <w:bCs/>
                <w:i w:val="0"/>
                <w:iCs w:val="0"/>
                <w:color w:val="auto"/>
                <w:sz w:val="24"/>
                <w:u w:val="none"/>
                <w:lang w:eastAsia="zh-CN"/>
              </w:rPr>
              <w:t>北侧</w:t>
            </w:r>
            <w:r>
              <w:rPr>
                <w:rFonts w:hint="default" w:ascii="Times New Roman" w:hAnsi="Times New Roman" w:eastAsia="宋体" w:cs="Times New Roman"/>
                <w:b w:val="0"/>
                <w:bCs/>
                <w:i w:val="0"/>
                <w:iCs w:val="0"/>
                <w:color w:val="auto"/>
                <w:sz w:val="24"/>
                <w:szCs w:val="24"/>
                <w:u w:val="none"/>
                <w:lang w:eastAsia="zh-CN"/>
              </w:rPr>
              <w:t>为</w:t>
            </w:r>
            <w:r>
              <w:rPr>
                <w:rFonts w:hint="eastAsia" w:cs="Times New Roman"/>
                <w:sz w:val="24"/>
                <w:szCs w:val="24"/>
                <w:vertAlign w:val="baseline"/>
                <w:lang w:val="en-US" w:eastAsia="zh-CN"/>
              </w:rPr>
              <w:t>新乡新中农商银行</w:t>
            </w:r>
            <w:r>
              <w:rPr>
                <w:rFonts w:hint="default" w:ascii="Times New Roman" w:hAnsi="Times New Roman" w:eastAsia="宋体" w:cs="Times New Roman"/>
                <w:b w:val="0"/>
                <w:bCs/>
                <w:i w:val="0"/>
                <w:iCs w:val="0"/>
                <w:color w:val="auto"/>
                <w:sz w:val="24"/>
                <w:szCs w:val="24"/>
                <w:u w:val="none"/>
                <w:lang w:eastAsia="zh-CN"/>
              </w:rPr>
              <w:t>。</w:t>
            </w:r>
            <w:r>
              <w:rPr>
                <w:rFonts w:hint="default" w:ascii="Times New Roman" w:hAnsi="Times New Roman" w:eastAsia="宋体" w:cs="Times New Roman"/>
                <w:b w:val="0"/>
                <w:bCs/>
                <w:i w:val="0"/>
                <w:iCs w:val="0"/>
                <w:color w:val="auto"/>
                <w:sz w:val="24"/>
                <w:szCs w:val="24"/>
                <w:u w:val="none"/>
              </w:rPr>
              <w:t>项目</w:t>
            </w:r>
            <w:r>
              <w:rPr>
                <w:rFonts w:hint="default" w:ascii="Times New Roman" w:hAnsi="Times New Roman" w:eastAsia="宋体" w:cs="Times New Roman"/>
                <w:b w:val="0"/>
                <w:bCs/>
                <w:i w:val="0"/>
                <w:iCs w:val="0"/>
                <w:color w:val="auto"/>
                <w:sz w:val="24"/>
                <w:szCs w:val="24"/>
                <w:u w:val="none"/>
                <w:lang w:eastAsia="zh-CN"/>
              </w:rPr>
              <w:t>周围敏感点为：</w:t>
            </w:r>
            <w:r>
              <w:rPr>
                <w:rFonts w:hint="eastAsia" w:cs="Times New Roman"/>
                <w:b w:val="0"/>
                <w:bCs/>
                <w:i w:val="0"/>
                <w:iCs w:val="0"/>
                <w:color w:val="auto"/>
                <w:sz w:val="24"/>
                <w:szCs w:val="24"/>
                <w:u w:val="none"/>
                <w:lang w:val="en-US" w:eastAsia="zh-CN"/>
              </w:rPr>
              <w:t>东侧10m处的新乡县税务局、南侧115m处的新乡县电业局、东侧164m处的新乡县交通局、东侧174m处的新乡县药监局、东北286m处的新乡县税务局、北侧301m处的新乡县政府，西北190m处的新城世纪花园、东南453m处的杨屯村</w:t>
            </w:r>
            <w:r>
              <w:rPr>
                <w:rFonts w:hint="default" w:ascii="Times New Roman" w:hAnsi="Times New Roman" w:eastAsia="宋体" w:cs="Times New Roman"/>
                <w:b w:val="0"/>
                <w:bCs/>
                <w:i w:val="0"/>
                <w:iCs w:val="0"/>
                <w:color w:val="auto"/>
                <w:sz w:val="24"/>
                <w:szCs w:val="24"/>
                <w:u w:val="none"/>
                <w:lang w:val="en-US" w:eastAsia="zh-CN"/>
              </w:rPr>
              <w:t>（项目周边敏感点见附图</w:t>
            </w:r>
            <w:r>
              <w:rPr>
                <w:rFonts w:hint="default" w:ascii="Times New Roman" w:hAnsi="Times New Roman" w:eastAsia="宋体" w:cs="Times New Roman"/>
                <w:b w:val="0"/>
                <w:bCs/>
                <w:i w:val="0"/>
                <w:iCs w:val="0"/>
                <w:color w:val="auto"/>
                <w:sz w:val="24"/>
                <w:u w:val="none"/>
                <w:lang w:val="en-US" w:eastAsia="zh-CN"/>
              </w:rPr>
              <w:t>4）。</w:t>
            </w:r>
            <w:r>
              <w:rPr>
                <w:rFonts w:hint="default" w:ascii="Times New Roman" w:hAnsi="Times New Roman" w:eastAsia="宋体" w:cs="Times New Roman"/>
                <w:b w:val="0"/>
                <w:bCs/>
                <w:i w:val="0"/>
                <w:iCs w:val="0"/>
                <w:color w:val="auto"/>
                <w:sz w:val="24"/>
                <w:u w:val="none"/>
              </w:rPr>
              <w:t>距离本项目最近的地表水体为</w:t>
            </w:r>
            <w:r>
              <w:rPr>
                <w:rFonts w:hint="default" w:ascii="Times New Roman" w:hAnsi="Times New Roman" w:eastAsia="宋体" w:cs="Times New Roman"/>
                <w:b w:val="0"/>
                <w:bCs/>
                <w:i w:val="0"/>
                <w:iCs w:val="0"/>
                <w:color w:val="auto"/>
                <w:sz w:val="24"/>
                <w:u w:val="none"/>
                <w:lang w:eastAsia="zh-CN"/>
              </w:rPr>
              <w:t>南</w:t>
            </w:r>
            <w:r>
              <w:rPr>
                <w:rFonts w:hint="default" w:ascii="Times New Roman" w:hAnsi="Times New Roman" w:eastAsia="宋体" w:cs="Times New Roman"/>
                <w:b w:val="0"/>
                <w:bCs/>
                <w:i w:val="0"/>
                <w:iCs w:val="0"/>
                <w:color w:val="auto"/>
                <w:sz w:val="24"/>
                <w:u w:val="none"/>
              </w:rPr>
              <w:t>侧</w:t>
            </w:r>
            <w:r>
              <w:rPr>
                <w:rFonts w:hint="eastAsia" w:cs="Times New Roman"/>
                <w:b w:val="0"/>
                <w:bCs/>
                <w:i w:val="0"/>
                <w:iCs w:val="0"/>
                <w:color w:val="auto"/>
                <w:sz w:val="24"/>
                <w:u w:val="none"/>
                <w:lang w:val="en-US" w:eastAsia="zh-CN"/>
              </w:rPr>
              <w:t>337</w:t>
            </w:r>
            <w:r>
              <w:rPr>
                <w:rFonts w:hint="default" w:ascii="Times New Roman" w:hAnsi="Times New Roman" w:eastAsia="宋体" w:cs="Times New Roman"/>
                <w:b w:val="0"/>
                <w:bCs/>
                <w:i w:val="0"/>
                <w:iCs w:val="0"/>
                <w:color w:val="auto"/>
                <w:sz w:val="24"/>
                <w:u w:val="none"/>
              </w:rPr>
              <w:t>m处的</w:t>
            </w:r>
            <w:r>
              <w:rPr>
                <w:rFonts w:hint="eastAsia" w:cs="Times New Roman"/>
                <w:b w:val="0"/>
                <w:bCs/>
                <w:i w:val="0"/>
                <w:iCs w:val="0"/>
                <w:color w:val="auto"/>
                <w:sz w:val="24"/>
                <w:u w:val="none"/>
                <w:lang w:val="en-US" w:eastAsia="zh-CN"/>
              </w:rPr>
              <w:t>人民胜利渠，最近的纳污水体为东3.5km处的东孟姜女河</w:t>
            </w:r>
            <w:r>
              <w:rPr>
                <w:rFonts w:hint="default" w:ascii="Times New Roman" w:hAnsi="Times New Roman" w:eastAsia="宋体" w:cs="Times New Roman"/>
                <w:b w:val="0"/>
                <w:bCs/>
                <w:i w:val="0"/>
                <w:iCs w:val="0"/>
                <w:color w:val="auto"/>
                <w:sz w:val="24"/>
                <w:szCs w:val="24"/>
                <w:u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both"/>
              <w:textAlignment w:val="auto"/>
              <w:outlineLvl w:val="9"/>
              <w:rPr>
                <w:rFonts w:hint="default" w:ascii="Times New Roman" w:hAnsi="Times New Roman" w:eastAsia="宋体" w:cs="Times New Roman"/>
                <w:b w:val="0"/>
                <w:bCs/>
                <w:i w:val="0"/>
                <w:iCs w:val="0"/>
                <w:color w:val="auto"/>
                <w:sz w:val="24"/>
                <w:szCs w:val="24"/>
                <w:u w:val="none"/>
                <w:lang w:eastAsia="zh-CN"/>
              </w:rPr>
            </w:pPr>
            <w:r>
              <w:rPr>
                <w:rFonts w:hint="default" w:ascii="Times New Roman" w:hAnsi="Times New Roman" w:eastAsia="宋体" w:cs="Times New Roman"/>
                <w:b w:val="0"/>
                <w:bCs/>
                <w:i w:val="0"/>
                <w:iCs w:val="0"/>
                <w:color w:val="auto"/>
                <w:sz w:val="24"/>
                <w:szCs w:val="24"/>
                <w:u w:val="none"/>
                <w:lang w:eastAsia="zh-CN"/>
              </w:rPr>
              <w:t>本项目</w:t>
            </w:r>
            <w:r>
              <w:rPr>
                <w:rFonts w:hint="default" w:ascii="Times New Roman" w:hAnsi="Times New Roman" w:eastAsia="宋体" w:cs="Times New Roman"/>
                <w:b w:val="0"/>
                <w:bCs/>
                <w:i w:val="0"/>
                <w:iCs w:val="0"/>
                <w:color w:val="auto"/>
                <w:sz w:val="24"/>
                <w:u w:val="none"/>
              </w:rPr>
              <w:t>位于</w:t>
            </w:r>
            <w:r>
              <w:rPr>
                <w:rFonts w:hint="eastAsia" w:cs="Times New Roman"/>
                <w:b w:val="0"/>
                <w:bCs/>
                <w:i w:val="0"/>
                <w:iCs w:val="0"/>
                <w:color w:val="auto"/>
                <w:sz w:val="24"/>
                <w:u w:val="none"/>
                <w:lang w:eastAsia="zh-CN"/>
              </w:rPr>
              <w:t>新乡县中央大道与民乐路交叉口东北角民乐路一号（新乡县市场监督管理局院内）</w:t>
            </w:r>
            <w:r>
              <w:rPr>
                <w:rFonts w:hint="default" w:ascii="Times New Roman" w:hAnsi="Times New Roman" w:eastAsia="宋体" w:cs="Times New Roman"/>
                <w:b w:val="0"/>
                <w:bCs/>
                <w:i w:val="0"/>
                <w:iCs w:val="0"/>
                <w:color w:val="auto"/>
                <w:sz w:val="24"/>
                <w:u w:val="none"/>
                <w:lang w:eastAsia="zh-CN"/>
              </w:rPr>
              <w:t>，</w:t>
            </w:r>
            <w:r>
              <w:rPr>
                <w:rFonts w:hint="default" w:ascii="Times New Roman" w:hAnsi="Times New Roman" w:eastAsia="宋体" w:cs="Times New Roman"/>
                <w:b w:val="0"/>
                <w:bCs/>
                <w:i w:val="0"/>
                <w:iCs w:val="0"/>
                <w:color w:val="auto"/>
                <w:sz w:val="24"/>
                <w:szCs w:val="24"/>
                <w:u w:val="none"/>
                <w:lang w:eastAsia="zh-CN"/>
              </w:rPr>
              <w:t>根据《</w:t>
            </w:r>
            <w:r>
              <w:rPr>
                <w:rFonts w:hint="default" w:ascii="Times New Roman" w:hAnsi="Times New Roman" w:eastAsia="宋体" w:cs="Times New Roman"/>
                <w:b w:val="0"/>
                <w:bCs/>
                <w:i w:val="0"/>
                <w:iCs w:val="0"/>
                <w:color w:val="auto"/>
                <w:sz w:val="24"/>
                <w:szCs w:val="24"/>
                <w:u w:val="none"/>
                <w:lang w:val="en-US" w:eastAsia="zh-CN"/>
              </w:rPr>
              <w:t>河南省新乡县城乡总体规划中心城区土地利用规划图（2012-2030）</w:t>
            </w:r>
            <w:r>
              <w:rPr>
                <w:rFonts w:hint="default" w:ascii="Times New Roman" w:hAnsi="Times New Roman" w:eastAsia="宋体" w:cs="Times New Roman"/>
                <w:b w:val="0"/>
                <w:bCs/>
                <w:i w:val="0"/>
                <w:iCs w:val="0"/>
                <w:color w:val="auto"/>
                <w:sz w:val="24"/>
                <w:szCs w:val="24"/>
                <w:u w:val="none"/>
                <w:lang w:eastAsia="zh-CN"/>
              </w:rPr>
              <w:t>》</w:t>
            </w:r>
            <w:r>
              <w:rPr>
                <w:rFonts w:hint="eastAsia" w:cs="Times New Roman"/>
                <w:b w:val="0"/>
                <w:bCs/>
                <w:i w:val="0"/>
                <w:iCs w:val="0"/>
                <w:color w:val="auto"/>
                <w:sz w:val="24"/>
                <w:szCs w:val="24"/>
                <w:u w:val="none"/>
                <w:lang w:eastAsia="zh-CN"/>
              </w:rPr>
              <w:t>（见附图</w:t>
            </w:r>
            <w:r>
              <w:rPr>
                <w:rFonts w:hint="eastAsia" w:cs="Times New Roman"/>
                <w:b w:val="0"/>
                <w:bCs/>
                <w:i w:val="0"/>
                <w:iCs w:val="0"/>
                <w:color w:val="auto"/>
                <w:sz w:val="24"/>
                <w:szCs w:val="24"/>
                <w:u w:val="none"/>
                <w:lang w:val="en-US" w:eastAsia="zh-CN"/>
              </w:rPr>
              <w:t>2</w:t>
            </w:r>
            <w:r>
              <w:rPr>
                <w:rFonts w:hint="eastAsia" w:cs="Times New Roman"/>
                <w:b w:val="0"/>
                <w:bCs/>
                <w:i w:val="0"/>
                <w:iCs w:val="0"/>
                <w:color w:val="auto"/>
                <w:sz w:val="24"/>
                <w:szCs w:val="24"/>
                <w:u w:val="none"/>
                <w:lang w:eastAsia="zh-CN"/>
              </w:rPr>
              <w:t>）</w:t>
            </w:r>
            <w:r>
              <w:rPr>
                <w:rFonts w:hint="eastAsia" w:cs="Times New Roman"/>
                <w:b w:val="0"/>
                <w:bCs/>
                <w:i w:val="0"/>
                <w:iCs w:val="0"/>
                <w:color w:val="auto"/>
                <w:sz w:val="24"/>
                <w:szCs w:val="24"/>
                <w:u w:val="none"/>
                <w:lang w:val="en-US" w:eastAsia="zh-CN"/>
              </w:rPr>
              <w:t>及</w:t>
            </w:r>
            <w:r>
              <w:rPr>
                <w:rFonts w:hint="default" w:ascii="Times New Roman" w:hAnsi="Times New Roman" w:eastAsia="宋体" w:cs="Times New Roman"/>
                <w:b w:val="0"/>
                <w:bCs/>
                <w:i w:val="0"/>
                <w:iCs w:val="0"/>
                <w:color w:val="auto"/>
                <w:sz w:val="24"/>
                <w:szCs w:val="24"/>
                <w:u w:val="none"/>
                <w:lang w:val="en-US" w:eastAsia="zh-CN"/>
              </w:rPr>
              <w:t>新乡县</w:t>
            </w:r>
            <w:r>
              <w:rPr>
                <w:rFonts w:hint="eastAsia" w:cs="Times New Roman"/>
                <w:b w:val="0"/>
                <w:bCs/>
                <w:i w:val="0"/>
                <w:iCs w:val="0"/>
                <w:color w:val="auto"/>
                <w:sz w:val="24"/>
                <w:szCs w:val="24"/>
                <w:u w:val="none"/>
                <w:lang w:val="en-US" w:eastAsia="zh-CN"/>
              </w:rPr>
              <w:t>自然资源局</w:t>
            </w:r>
            <w:r>
              <w:rPr>
                <w:rFonts w:hint="default" w:ascii="Times New Roman" w:hAnsi="Times New Roman" w:eastAsia="宋体" w:cs="Times New Roman"/>
                <w:b w:val="0"/>
                <w:bCs/>
                <w:i w:val="0"/>
                <w:iCs w:val="0"/>
                <w:color w:val="auto"/>
                <w:sz w:val="24"/>
                <w:szCs w:val="24"/>
                <w:u w:val="none"/>
                <w:lang w:val="en-US" w:eastAsia="zh-CN"/>
              </w:rPr>
              <w:t>出具的</w:t>
            </w:r>
            <w:r>
              <w:rPr>
                <w:rFonts w:hint="eastAsia" w:cs="Times New Roman"/>
                <w:b w:val="0"/>
                <w:bCs/>
                <w:i w:val="0"/>
                <w:iCs w:val="0"/>
                <w:color w:val="auto"/>
                <w:sz w:val="24"/>
                <w:szCs w:val="24"/>
                <w:u w:val="none"/>
                <w:lang w:val="en-US" w:eastAsia="zh-CN"/>
              </w:rPr>
              <w:t>说明</w:t>
            </w:r>
            <w:r>
              <w:rPr>
                <w:rFonts w:hint="default" w:ascii="Times New Roman" w:hAnsi="Times New Roman" w:eastAsia="宋体" w:cs="Times New Roman"/>
                <w:b w:val="0"/>
                <w:bCs/>
                <w:i w:val="0"/>
                <w:iCs w:val="0"/>
                <w:color w:val="000000"/>
                <w:sz w:val="24"/>
                <w:szCs w:val="24"/>
                <w:u w:val="none"/>
                <w:lang w:val="en-US" w:eastAsia="zh-CN"/>
              </w:rPr>
              <w:t>（见附件</w:t>
            </w:r>
            <w:r>
              <w:rPr>
                <w:rFonts w:hint="eastAsia" w:cs="Times New Roman"/>
                <w:b w:val="0"/>
                <w:bCs/>
                <w:i w:val="0"/>
                <w:iCs w:val="0"/>
                <w:color w:val="000000"/>
                <w:sz w:val="24"/>
                <w:szCs w:val="24"/>
                <w:u w:val="none"/>
                <w:lang w:val="en-US" w:eastAsia="zh-CN"/>
              </w:rPr>
              <w:t>3</w:t>
            </w:r>
            <w:r>
              <w:rPr>
                <w:rFonts w:hint="default" w:ascii="Times New Roman" w:hAnsi="Times New Roman" w:eastAsia="宋体" w:cs="Times New Roman"/>
                <w:b w:val="0"/>
                <w:bCs/>
                <w:i w:val="0"/>
                <w:iCs w:val="0"/>
                <w:color w:val="000000"/>
                <w:sz w:val="24"/>
                <w:szCs w:val="24"/>
                <w:u w:val="none"/>
                <w:lang w:val="en-US" w:eastAsia="zh-CN"/>
              </w:rPr>
              <w:t>）</w:t>
            </w:r>
            <w:r>
              <w:rPr>
                <w:rFonts w:hint="default" w:ascii="Times New Roman" w:hAnsi="Times New Roman" w:eastAsia="宋体" w:cs="Times New Roman"/>
                <w:b w:val="0"/>
                <w:bCs/>
                <w:i w:val="0"/>
                <w:iCs w:val="0"/>
                <w:color w:val="auto"/>
                <w:sz w:val="24"/>
                <w:szCs w:val="24"/>
                <w:u w:val="none"/>
                <w:lang w:val="en-US" w:eastAsia="zh-CN"/>
              </w:rPr>
              <w:t>可知，项目用地性质为</w:t>
            </w:r>
            <w:r>
              <w:rPr>
                <w:rFonts w:hint="eastAsia" w:cs="Times New Roman"/>
                <w:b w:val="0"/>
                <w:bCs/>
                <w:i w:val="0"/>
                <w:iCs w:val="0"/>
                <w:color w:val="auto"/>
                <w:sz w:val="24"/>
                <w:szCs w:val="24"/>
                <w:u w:val="none"/>
                <w:lang w:val="en-US" w:eastAsia="zh-CN"/>
              </w:rPr>
              <w:t>行政办公用地，实验室位于新乡县市场监督管理局院内，</w:t>
            </w:r>
            <w:r>
              <w:rPr>
                <w:rFonts w:hint="default" w:ascii="Times New Roman" w:hAnsi="Times New Roman" w:eastAsia="宋体" w:cs="Times New Roman"/>
                <w:b w:val="0"/>
                <w:bCs/>
                <w:i w:val="0"/>
                <w:iCs w:val="0"/>
                <w:color w:val="auto"/>
                <w:sz w:val="24"/>
                <w:szCs w:val="24"/>
                <w:u w:val="none"/>
                <w:lang w:val="en-US" w:eastAsia="zh-CN"/>
              </w:rPr>
              <w:t>不新征占地。符合</w:t>
            </w:r>
            <w:r>
              <w:rPr>
                <w:rFonts w:hint="eastAsia" w:cs="Times New Roman"/>
                <w:b w:val="0"/>
                <w:bCs/>
                <w:i w:val="0"/>
                <w:iCs w:val="0"/>
                <w:color w:val="auto"/>
                <w:sz w:val="24"/>
                <w:szCs w:val="24"/>
                <w:u w:val="none"/>
                <w:lang w:val="en-US" w:eastAsia="zh-CN"/>
              </w:rPr>
              <w:t>新乡县</w:t>
            </w:r>
            <w:r>
              <w:rPr>
                <w:rFonts w:hint="default" w:ascii="Times New Roman" w:hAnsi="Times New Roman" w:eastAsia="宋体" w:cs="Times New Roman"/>
                <w:b w:val="0"/>
                <w:bCs/>
                <w:i w:val="0"/>
                <w:iCs w:val="0"/>
                <w:color w:val="auto"/>
                <w:sz w:val="24"/>
                <w:szCs w:val="24"/>
                <w:u w:val="none"/>
                <w:lang w:val="en-US" w:eastAsia="zh-CN"/>
              </w:rPr>
              <w:t>总体发展规划的要求。</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firstLine="480" w:firstLineChars="200"/>
              <w:jc w:val="left"/>
              <w:textAlignment w:val="auto"/>
              <w:rPr>
                <w:rFonts w:hint="default" w:ascii="Times New Roman" w:hAnsi="Times New Roman" w:eastAsia="宋体" w:cs="Times New Roman"/>
                <w:b w:val="0"/>
                <w:bCs/>
                <w:color w:val="auto"/>
                <w:kern w:val="0"/>
                <w:sz w:val="24"/>
                <w:szCs w:val="24"/>
                <w:u w:val="none"/>
                <w:lang w:val="en-US" w:eastAsia="zh-CN" w:bidi="ar-SA"/>
              </w:rPr>
            </w:pPr>
            <w:r>
              <w:rPr>
                <w:rFonts w:hint="default" w:ascii="Times New Roman" w:hAnsi="Times New Roman" w:eastAsia="宋体" w:cs="Times New Roman"/>
                <w:b w:val="0"/>
                <w:bCs/>
                <w:color w:val="auto"/>
                <w:kern w:val="0"/>
                <w:sz w:val="24"/>
                <w:szCs w:val="24"/>
                <w:u w:val="none"/>
                <w:lang w:val="en-US" w:eastAsia="zh-CN" w:bidi="ar-SA"/>
              </w:rPr>
              <w:t>综上，评价认为本项目选址可行。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5、“三线一单”相符性分析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（1）生态红线相符性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河南省生态保护红线划定方案》，新乡市涉及土壤保持、生物多样性和水源涵养三大类生态红线，分别是太行山丘陵土壤保持生态保护红线、太行山山地生物多样性维护生态保护红线、太行山卫河水源涵养生态保护红线、南水北调中线水源涵养生态保护红线和黄河湿地生物多样性维护生态保护红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本项目位于</w:t>
            </w:r>
            <w:r>
              <w:rPr>
                <w:rFonts w:hint="eastAsia" w:cs="Times New Roman"/>
                <w:sz w:val="24"/>
                <w:szCs w:val="24"/>
                <w:lang w:val="en-US" w:eastAsia="zh-CN"/>
              </w:rPr>
              <w:t>新乡县中央大道与民乐路交叉口东北角民乐路一号（新乡县市场监督管理局院内）</w:t>
            </w:r>
            <w:r>
              <w:rPr>
                <w:rFonts w:hint="default" w:ascii="Times New Roman" w:hAnsi="Times New Roman" w:eastAsia="宋体" w:cs="Times New Roman"/>
                <w:sz w:val="24"/>
                <w:szCs w:val="24"/>
                <w:lang w:val="en-US" w:eastAsia="zh-CN"/>
              </w:rPr>
              <w:t>，不在上述生态保护红线范围内（新乡市生态保护红线图见附图3）。</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（2）环境质量底线相符性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本项目所在地大气环境为环境空气质量功能二类区，根据《新乡市202</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年环境质量年报》中监测数据，评价区域内大气环境中</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均不能够满足《环境空气质量标准》（GB3095-2012）二级标准要求</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kern w:val="0"/>
                <w:sz w:val="24"/>
                <w:szCs w:val="24"/>
                <w:lang w:val="en-US" w:eastAsia="zh-CN"/>
              </w:rPr>
              <w:t>新</w:t>
            </w:r>
            <w:r>
              <w:rPr>
                <w:rFonts w:hint="default" w:ascii="Times New Roman" w:hAnsi="Times New Roman" w:eastAsia="宋体" w:cs="Times New Roman"/>
                <w:sz w:val="24"/>
                <w:szCs w:val="24"/>
                <w:lang w:val="en-US" w:eastAsia="zh-CN"/>
              </w:rPr>
              <w:t>乡市正在实施《新乡市2022年大气、水、土壤污染防治攻坚战及农业农村污染治理攻坚战实施方案的通知》（新环攻坚办〔2022〕60号）</w:t>
            </w:r>
            <w:r>
              <w:rPr>
                <w:rFonts w:hint="default" w:ascii="Times New Roman" w:hAnsi="Times New Roman" w:eastAsia="宋体" w:cs="Times New Roman"/>
                <w:kern w:val="0"/>
                <w:sz w:val="24"/>
                <w:szCs w:val="24"/>
                <w:lang w:val="en-US" w:eastAsia="zh-CN"/>
              </w:rPr>
              <w:t>等一系列措施，</w:t>
            </w:r>
            <w:r>
              <w:rPr>
                <w:rFonts w:hint="default" w:ascii="Times New Roman" w:hAnsi="Times New Roman" w:eastAsia="宋体" w:cs="Times New Roman"/>
                <w:sz w:val="24"/>
                <w:szCs w:val="24"/>
                <w:lang w:val="en-US" w:eastAsia="zh-CN"/>
              </w:rPr>
              <w:t>确保全面实现空气质量约束性目标。采取以上措施后，新乡市大气质量状况可以得到进一步改善。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b w:val="0"/>
                <w:bCs/>
                <w:sz w:val="24"/>
                <w:lang w:val="en-US" w:eastAsia="zh-CN"/>
              </w:rPr>
            </w:pPr>
            <w:r>
              <w:rPr>
                <w:rFonts w:hint="default" w:ascii="Times New Roman" w:hAnsi="Times New Roman" w:eastAsia="宋体" w:cs="Times New Roman"/>
                <w:b w:val="0"/>
                <w:bCs w:val="0"/>
                <w:sz w:val="24"/>
                <w:szCs w:val="24"/>
                <w:u w:val="none"/>
                <w:lang w:val="en-US" w:eastAsia="zh-CN"/>
              </w:rPr>
              <w:t>项目附近</w:t>
            </w:r>
            <w:r>
              <w:rPr>
                <w:rFonts w:hint="eastAsia" w:cs="Times New Roman"/>
                <w:b w:val="0"/>
                <w:bCs w:val="0"/>
                <w:sz w:val="24"/>
                <w:szCs w:val="24"/>
                <w:u w:val="none"/>
                <w:lang w:val="en-US" w:eastAsia="zh-CN"/>
              </w:rPr>
              <w:t>纳污</w:t>
            </w:r>
            <w:r>
              <w:rPr>
                <w:rFonts w:hint="default" w:ascii="Times New Roman" w:hAnsi="Times New Roman" w:eastAsia="宋体" w:cs="Times New Roman"/>
                <w:b w:val="0"/>
                <w:bCs w:val="0"/>
                <w:sz w:val="24"/>
                <w:szCs w:val="24"/>
                <w:u w:val="none"/>
                <w:lang w:val="en-US" w:eastAsia="zh-CN"/>
              </w:rPr>
              <w:t>地表水体</w:t>
            </w:r>
            <w:r>
              <w:rPr>
                <w:rFonts w:hint="default" w:ascii="Times New Roman" w:hAnsi="Times New Roman" w:eastAsia="宋体" w:cs="Times New Roman"/>
                <w:b w:val="0"/>
                <w:bCs w:val="0"/>
                <w:sz w:val="24"/>
                <w:u w:val="none"/>
              </w:rPr>
              <w:t>为</w:t>
            </w:r>
            <w:r>
              <w:rPr>
                <w:rFonts w:hint="default" w:ascii="Times New Roman" w:hAnsi="Times New Roman" w:eastAsia="宋体" w:cs="Times New Roman"/>
                <w:b w:val="0"/>
                <w:bCs w:val="0"/>
                <w:color w:val="auto"/>
                <w:sz w:val="24"/>
                <w:szCs w:val="24"/>
                <w:u w:val="none"/>
                <w:lang w:eastAsia="zh-CN"/>
              </w:rPr>
              <w:t>东孟姜女河，</w:t>
            </w:r>
            <w:r>
              <w:rPr>
                <w:rFonts w:hint="default" w:ascii="Times New Roman" w:hAnsi="Times New Roman" w:eastAsia="宋体" w:cs="Times New Roman"/>
                <w:b w:val="0"/>
                <w:bCs w:val="0"/>
                <w:color w:val="auto"/>
                <w:sz w:val="24"/>
                <w:szCs w:val="24"/>
                <w:u w:val="none"/>
              </w:rPr>
              <w:t>最终汇入</w:t>
            </w:r>
            <w:r>
              <w:rPr>
                <w:rFonts w:hint="default" w:ascii="Times New Roman" w:hAnsi="Times New Roman" w:eastAsia="宋体" w:cs="Times New Roman"/>
                <w:b w:val="0"/>
                <w:bCs w:val="0"/>
                <w:color w:val="auto"/>
                <w:sz w:val="24"/>
                <w:szCs w:val="24"/>
                <w:u w:val="none"/>
                <w:lang w:eastAsia="zh-CN"/>
              </w:rPr>
              <w:t>卫河</w:t>
            </w:r>
            <w:r>
              <w:rPr>
                <w:rFonts w:hint="default" w:ascii="Times New Roman" w:hAnsi="Times New Roman" w:eastAsia="宋体" w:cs="Times New Roman"/>
                <w:b w:val="0"/>
                <w:bCs w:val="0"/>
                <w:sz w:val="24"/>
                <w:szCs w:val="20"/>
                <w:u w:val="none"/>
                <w:lang w:eastAsia="zh-CN"/>
              </w:rPr>
              <w:t>。</w:t>
            </w:r>
            <w:r>
              <w:rPr>
                <w:rFonts w:hint="default" w:ascii="Times New Roman" w:hAnsi="Times New Roman" w:eastAsia="宋体" w:cs="Times New Roman"/>
                <w:b w:val="0"/>
                <w:bCs w:val="0"/>
                <w:sz w:val="24"/>
                <w:szCs w:val="24"/>
                <w:u w:val="none"/>
                <w:lang w:eastAsia="zh-CN"/>
              </w:rPr>
              <w:t>根据</w:t>
            </w:r>
            <w:r>
              <w:rPr>
                <w:rFonts w:hint="default" w:ascii="Times New Roman" w:hAnsi="Times New Roman" w:eastAsia="宋体" w:cs="Times New Roman"/>
                <w:color w:val="000000"/>
                <w:sz w:val="24"/>
                <w:lang w:val="en-US" w:eastAsia="zh-CN"/>
              </w:rPr>
              <w:t>《新乡市生态环境局关于下达2022年地表水环境质量暂定目标的函》</w:t>
            </w:r>
            <w:r>
              <w:rPr>
                <w:rFonts w:hint="default" w:ascii="Times New Roman" w:hAnsi="Times New Roman" w:eastAsia="宋体" w:cs="Times New Roman"/>
                <w:b w:val="0"/>
                <w:bCs w:val="0"/>
                <w:sz w:val="24"/>
                <w:szCs w:val="24"/>
                <w:u w:val="none"/>
              </w:rPr>
              <w:t>，东孟姜女河为Ⅳ类水功能区。</w:t>
            </w:r>
            <w:r>
              <w:rPr>
                <w:rFonts w:hint="default" w:ascii="Times New Roman" w:hAnsi="Times New Roman" w:eastAsia="宋体" w:cs="Times New Roman"/>
                <w:color w:val="auto"/>
                <w:sz w:val="24"/>
                <w:szCs w:val="24"/>
                <w:lang w:eastAsia="zh-CN"/>
              </w:rPr>
              <w:t>根据</w:t>
            </w:r>
            <w:r>
              <w:rPr>
                <w:rFonts w:hint="default" w:ascii="Times New Roman" w:hAnsi="Times New Roman" w:eastAsia="宋体" w:cs="Times New Roman"/>
                <w:b w:val="0"/>
                <w:bCs/>
                <w:sz w:val="24"/>
                <w:lang w:val="en-US" w:eastAsia="zh-CN"/>
              </w:rPr>
              <w:t>新乡市环境监测站对东孟姜女河青龙路化肥厂东断面2022年3月的监测数据，2022年3月东孟姜女河青龙路化肥厂东断面COD、NH</w:t>
            </w:r>
            <w:r>
              <w:rPr>
                <w:rFonts w:hint="default" w:ascii="Times New Roman" w:hAnsi="Times New Roman" w:eastAsia="宋体" w:cs="Times New Roman"/>
                <w:b w:val="0"/>
                <w:bCs/>
                <w:sz w:val="24"/>
                <w:vertAlign w:val="subscript"/>
                <w:lang w:val="en-US" w:eastAsia="zh-CN"/>
              </w:rPr>
              <w:t>3</w:t>
            </w:r>
            <w:r>
              <w:rPr>
                <w:rFonts w:hint="default" w:ascii="Times New Roman" w:hAnsi="Times New Roman" w:eastAsia="宋体" w:cs="Times New Roman"/>
                <w:b w:val="0"/>
                <w:bCs/>
                <w:sz w:val="24"/>
                <w:lang w:val="en-US" w:eastAsia="zh-CN"/>
              </w:rPr>
              <w:t>-N、TP均达标。目前新乡市正在推进实施</w:t>
            </w:r>
            <w:r>
              <w:rPr>
                <w:rFonts w:hint="default" w:ascii="Times New Roman" w:hAnsi="Times New Roman" w:eastAsia="宋体" w:cs="Times New Roman"/>
                <w:sz w:val="24"/>
              </w:rPr>
              <w:t>《河南省生态环境保护委员会办公室关于印发河南省2022年大气、水、土壤污染防治攻坚战及农业农村污染治理攻坚战实施方案的通知》（豫环委办〔2022〕9号）、</w:t>
            </w:r>
            <w:r>
              <w:rPr>
                <w:rFonts w:hint="default" w:ascii="Times New Roman" w:hAnsi="Times New Roman" w:eastAsia="宋体" w:cs="Times New Roman"/>
                <w:sz w:val="24"/>
                <w:szCs w:val="24"/>
                <w:lang w:val="en-US" w:eastAsia="zh-CN"/>
              </w:rPr>
              <w:t>《新乡市2022年大气、水、土壤污染防治攻坚战及农业农村污染治理攻坚战实施方案的通知》（新环攻坚办〔2022〕60号）</w:t>
            </w:r>
            <w:r>
              <w:rPr>
                <w:rFonts w:hint="default" w:ascii="Times New Roman" w:hAnsi="Times New Roman" w:eastAsia="宋体" w:cs="Times New Roman"/>
                <w:b w:val="0"/>
                <w:bCs/>
                <w:sz w:val="24"/>
                <w:lang w:val="en-US" w:eastAsia="zh-CN"/>
              </w:rPr>
              <w:t>等一系列措施，将继续改善新乡市水环境质量。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项目位于</w:t>
            </w:r>
            <w:r>
              <w:rPr>
                <w:rFonts w:hint="eastAsia" w:cs="Times New Roman"/>
                <w:color w:val="auto"/>
                <w:sz w:val="24"/>
                <w:szCs w:val="24"/>
                <w:lang w:val="en-US" w:eastAsia="zh-CN"/>
              </w:rPr>
              <w:t>新乡县中央大道与民乐路交叉口东北角民乐路一号（新乡县市场监督管理局院内）</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b w:val="0"/>
                <w:bCs/>
                <w:sz w:val="24"/>
                <w:u w:val="none"/>
                <w:lang w:eastAsia="zh-CN"/>
              </w:rPr>
              <w:t>项目所在地</w:t>
            </w:r>
            <w:r>
              <w:rPr>
                <w:rFonts w:hint="default" w:ascii="Times New Roman" w:hAnsi="Times New Roman" w:eastAsia="宋体" w:cs="Times New Roman"/>
                <w:sz w:val="24"/>
                <w:szCs w:val="24"/>
                <w:lang w:val="en-US" w:eastAsia="zh-CN"/>
              </w:rPr>
              <w:t>应执行《声环境质量标准》（GB3096-2008）2类标准，经现状调查，项目所在地声环境质量符合《声环境质量标准》（GB3096-2008）中2类标准要求。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本项目废气</w:t>
            </w:r>
            <w:r>
              <w:rPr>
                <w:rFonts w:hint="eastAsia" w:cs="Times New Roman"/>
                <w:sz w:val="24"/>
                <w:szCs w:val="24"/>
                <w:lang w:val="en-US" w:eastAsia="zh-CN"/>
              </w:rPr>
              <w:t>、废水</w:t>
            </w:r>
            <w:r>
              <w:rPr>
                <w:rFonts w:hint="default" w:ascii="Times New Roman" w:hAnsi="Times New Roman" w:eastAsia="宋体" w:cs="Times New Roman"/>
                <w:sz w:val="24"/>
                <w:szCs w:val="24"/>
                <w:lang w:val="en-US" w:eastAsia="zh-CN"/>
              </w:rPr>
              <w:t>在采取报告中提出的治理措施后，能够达到相应的排放标准，因此对周边环境质量影响</w:t>
            </w:r>
            <w:r>
              <w:rPr>
                <w:rFonts w:hint="eastAsia" w:cs="Times New Roman"/>
                <w:sz w:val="24"/>
                <w:szCs w:val="24"/>
                <w:lang w:val="en-US" w:eastAsia="zh-CN"/>
              </w:rPr>
              <w:t>可以接受</w:t>
            </w:r>
            <w:r>
              <w:rPr>
                <w:rFonts w:hint="default" w:ascii="Times New Roman" w:hAnsi="Times New Roman" w:eastAsia="宋体" w:cs="Times New Roman"/>
                <w:sz w:val="24"/>
                <w:szCs w:val="24"/>
                <w:lang w:val="en-US" w:eastAsia="zh-CN"/>
              </w:rPr>
              <w:t>，本项目噪声和固废均得到合理处置，对周边影响</w:t>
            </w:r>
            <w:r>
              <w:rPr>
                <w:rFonts w:hint="eastAsia" w:cs="Times New Roman"/>
                <w:sz w:val="24"/>
                <w:szCs w:val="24"/>
                <w:lang w:val="en-US" w:eastAsia="zh-CN"/>
              </w:rPr>
              <w:t>可以接受</w:t>
            </w:r>
            <w:r>
              <w:rPr>
                <w:rFonts w:hint="default" w:ascii="Times New Roman" w:hAnsi="Times New Roman" w:eastAsia="宋体" w:cs="Times New Roman"/>
                <w:sz w:val="24"/>
                <w:szCs w:val="24"/>
                <w:lang w:val="en-US" w:eastAsia="zh-CN"/>
              </w:rPr>
              <w:t>。综上，本项目的建设运行不会突破项目所在地的环境质量底线，因此项目符合环境质量底线标准。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（3）资源利用上限相符性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主要能源为电能，类比同行业，电源消耗量不大，不属于高耗能资源消耗型企业。同时，项目建成运行后通过内部管理、设备选择、原辅材料的选用和管理、污染治理等多方面采取合理、可行、有效的防治措施，以“节能、降耗、减污”为目标，有效的控制污染及资源利用水平。项目的水、气等资源利用不会突破区域的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（4）环境准入负面清单相符性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宋体" w:cs="Times New Roman"/>
                <w:b w:val="0"/>
                <w:bCs/>
                <w:color w:val="000000"/>
                <w:sz w:val="24"/>
                <w:szCs w:val="24"/>
                <w:lang w:eastAsia="zh-CN"/>
              </w:rPr>
              <w:t>根据</w:t>
            </w:r>
            <w:r>
              <w:rPr>
                <w:rFonts w:hint="default" w:ascii="Times New Roman" w:hAnsi="Times New Roman" w:cs="Times New Roman"/>
                <w:b w:val="0"/>
                <w:bCs/>
                <w:color w:val="000000"/>
                <w:sz w:val="24"/>
                <w:szCs w:val="24"/>
                <w:lang w:val="en-US" w:eastAsia="zh-CN"/>
              </w:rPr>
              <w:t>河南省生态环境厅关于发布《河南省生态环境分区管控总体要求（试行）的函</w:t>
            </w:r>
            <w:r>
              <w:rPr>
                <w:rFonts w:hint="default" w:ascii="Times New Roman" w:hAnsi="Times New Roman" w:cs="Times New Roman"/>
                <w:b w:val="0"/>
                <w:bCs/>
                <w:color w:val="000000"/>
                <w:sz w:val="24"/>
                <w:szCs w:val="24"/>
              </w:rPr>
              <w:t>》</w:t>
            </w:r>
            <w:r>
              <w:rPr>
                <w:rFonts w:hint="eastAsia" w:ascii="Times New Roman" w:hAnsi="Times New Roman" w:cs="Times New Roman"/>
                <w:b w:val="0"/>
                <w:bCs/>
                <w:color w:val="000000"/>
                <w:sz w:val="24"/>
                <w:szCs w:val="24"/>
                <w:lang w:eastAsia="zh-CN"/>
              </w:rPr>
              <w:t>（</w:t>
            </w:r>
            <w:r>
              <w:rPr>
                <w:rFonts w:hint="eastAsia" w:ascii="Times New Roman" w:hAnsi="Times New Roman" w:cs="Times New Roman"/>
                <w:b w:val="0"/>
                <w:bCs/>
                <w:color w:val="000000"/>
                <w:sz w:val="24"/>
                <w:szCs w:val="24"/>
                <w:lang w:val="en-US" w:eastAsia="zh-CN"/>
              </w:rPr>
              <w:t>豫环函〔2021〕171号</w:t>
            </w:r>
            <w:r>
              <w:rPr>
                <w:rFonts w:hint="eastAsia" w:ascii="Times New Roman" w:hAnsi="Times New Roman"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eastAsia="zh-CN"/>
              </w:rPr>
              <w:t>及《</w:t>
            </w:r>
            <w:r>
              <w:rPr>
                <w:rFonts w:hint="default" w:ascii="Times New Roman" w:hAnsi="Times New Roman" w:eastAsia="宋体" w:cs="Times New Roman"/>
                <w:b w:val="0"/>
                <w:bCs/>
                <w:color w:val="000000"/>
                <w:sz w:val="24"/>
                <w:szCs w:val="24"/>
                <w:lang w:val="en-US" w:eastAsia="zh-CN"/>
              </w:rPr>
              <w:t>新乡市“三线一单”生态环境准入清单</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val="en-US" w:eastAsia="zh-CN"/>
              </w:rPr>
              <w:t>2021年10月</w:t>
            </w:r>
            <w:r>
              <w:rPr>
                <w:rFonts w:hint="default" w:ascii="Times New Roman" w:hAnsi="Times New Roman" w:eastAsia="宋体" w:cs="Times New Roman"/>
                <w:b w:val="0"/>
                <w:bCs/>
                <w:color w:val="000000"/>
                <w:sz w:val="24"/>
                <w:szCs w:val="24"/>
                <w:lang w:eastAsia="zh-CN"/>
              </w:rPr>
              <w:t>）中</w:t>
            </w:r>
            <w:bookmarkStart w:id="1" w:name="_Toc39654294"/>
            <w:bookmarkStart w:id="2" w:name="_Toc38962908"/>
            <w:r>
              <w:rPr>
                <w:rFonts w:hint="default" w:ascii="Times New Roman" w:hAnsi="Times New Roman" w:eastAsia="宋体" w:cs="Times New Roman"/>
                <w:b w:val="0"/>
                <w:bCs/>
                <w:color w:val="000000"/>
                <w:sz w:val="24"/>
                <w:szCs w:val="24"/>
              </w:rPr>
              <w:t>新乡市</w:t>
            </w:r>
            <w:r>
              <w:rPr>
                <w:rFonts w:hint="default" w:ascii="Times New Roman" w:hAnsi="Times New Roman" w:eastAsia="宋体" w:cs="Times New Roman"/>
                <w:b w:val="0"/>
                <w:bCs/>
                <w:color w:val="000000"/>
                <w:sz w:val="24"/>
                <w:szCs w:val="24"/>
                <w:lang w:eastAsia="zh-CN"/>
              </w:rPr>
              <w:t>新乡县</w:t>
            </w:r>
            <w:r>
              <w:rPr>
                <w:rFonts w:hint="default" w:ascii="Times New Roman" w:hAnsi="Times New Roman" w:eastAsia="宋体" w:cs="Times New Roman"/>
                <w:b w:val="0"/>
                <w:bCs/>
                <w:color w:val="000000"/>
                <w:sz w:val="24"/>
                <w:szCs w:val="24"/>
              </w:rPr>
              <w:t>环境管控单元生态环境准入清单</w:t>
            </w:r>
            <w:bookmarkEnd w:id="1"/>
            <w:bookmarkEnd w:id="2"/>
            <w:r>
              <w:rPr>
                <w:rFonts w:hint="default" w:ascii="Times New Roman" w:hAnsi="Times New Roman" w:eastAsia="宋体" w:cs="Times New Roman"/>
                <w:b w:val="0"/>
                <w:bCs/>
                <w:color w:val="000000"/>
                <w:sz w:val="24"/>
                <w:szCs w:val="24"/>
                <w:lang w:eastAsia="zh-CN"/>
              </w:rPr>
              <w:t>，对比分析如下：</w:t>
            </w:r>
          </w:p>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480" w:firstLineChars="200"/>
              <w:jc w:val="left"/>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表1-2      与生态环境准入清单相符性分析一览表</w:t>
            </w:r>
          </w:p>
          <w:tbl>
            <w:tblPr>
              <w:tblStyle w:val="30"/>
              <w:tblW w:w="7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1095"/>
              <w:gridCol w:w="454"/>
              <w:gridCol w:w="324"/>
              <w:gridCol w:w="3309"/>
              <w:gridCol w:w="1662"/>
              <w:gridCol w:w="542"/>
              <w:gridCol w:w="288"/>
              <w:gridCol w:w="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gridAfter w:val="1"/>
                <w:wAfter w:w="41" w:type="dxa"/>
                <w:trHeight w:val="0" w:hRule="atLeast"/>
                <w:jc w:val="center"/>
              </w:trPr>
              <w:tc>
                <w:tcPr>
                  <w:tcW w:w="1095" w:type="dxa"/>
                  <w:tcBorders>
                    <w:tl2br w:val="nil"/>
                    <w:tr2bl w:val="nil"/>
                  </w:tcBorders>
                  <w:noWrap w:val="0"/>
                  <w:tcMar>
                    <w:top w:w="28" w:type="dxa"/>
                    <w:bottom w:w="57" w:type="dxa"/>
                  </w:tcMar>
                  <w:vAlign w:val="center"/>
                </w:tcPr>
                <w:p>
                  <w:pPr>
                    <w:pStyle w:val="26"/>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b w:val="0"/>
                      <w:bCs/>
                      <w:snapToGrid w:val="0"/>
                      <w:kern w:val="0"/>
                      <w:sz w:val="21"/>
                      <w:szCs w:val="21"/>
                    </w:rPr>
                  </w:pPr>
                  <w:r>
                    <w:rPr>
                      <w:rFonts w:hint="default" w:ascii="Times New Roman" w:hAnsi="Times New Roman" w:eastAsia="宋体" w:cs="Times New Roman"/>
                      <w:b w:val="0"/>
                      <w:bCs/>
                      <w:snapToGrid w:val="0"/>
                      <w:kern w:val="0"/>
                      <w:sz w:val="21"/>
                      <w:szCs w:val="21"/>
                    </w:rPr>
                    <w:t>环境管控单元名称</w:t>
                  </w:r>
                </w:p>
              </w:tc>
              <w:tc>
                <w:tcPr>
                  <w:tcW w:w="4087" w:type="dxa"/>
                  <w:gridSpan w:val="3"/>
                  <w:tcBorders>
                    <w:tl2br w:val="nil"/>
                    <w:tr2bl w:val="nil"/>
                  </w:tcBorders>
                  <w:noWrap w:val="0"/>
                  <w:tcMar>
                    <w:top w:w="28" w:type="dxa"/>
                    <w:bottom w:w="57" w:type="dxa"/>
                  </w:tcMar>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管控要求</w:t>
                  </w:r>
                </w:p>
              </w:tc>
              <w:tc>
                <w:tcPr>
                  <w:tcW w:w="1662"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本项目情况</w:t>
                  </w:r>
                </w:p>
              </w:tc>
              <w:tc>
                <w:tcPr>
                  <w:tcW w:w="830" w:type="dxa"/>
                  <w:gridSpan w:val="2"/>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rPr>
                    <w:t>河南省</w:t>
                  </w:r>
                  <w:r>
                    <w:rPr>
                      <w:rFonts w:hint="default" w:ascii="Times New Roman" w:hAnsi="Times New Roman" w:eastAsia="宋体" w:cs="Times New Roman"/>
                      <w:b w:val="0"/>
                      <w:bCs w:val="0"/>
                      <w:kern w:val="0"/>
                      <w:sz w:val="21"/>
                      <w:szCs w:val="21"/>
                      <w:u w:val="none"/>
                      <w:lang w:val="en-US" w:eastAsia="zh-CN"/>
                    </w:rPr>
                    <w:t>产业发展总体要求</w:t>
                  </w:r>
                </w:p>
              </w:tc>
              <w:tc>
                <w:tcPr>
                  <w:tcW w:w="4087" w:type="dxa"/>
                  <w:gridSpan w:val="3"/>
                  <w:tcBorders>
                    <w:tl2br w:val="nil"/>
                    <w:tr2bl w:val="nil"/>
                  </w:tcBorders>
                  <w:noWrap w:val="0"/>
                  <w:vAlign w:val="center"/>
                </w:tcPr>
                <w:p>
                  <w:pPr>
                    <w:pStyle w:val="74"/>
                    <w:keepNext w:val="0"/>
                    <w:keepLines w:val="0"/>
                    <w:suppressLineNumbers w:val="0"/>
                    <w:spacing w:before="0" w:beforeAutospacing="0" w:after="0" w:afterAutospacing="0"/>
                    <w:ind w:left="0" w:right="0"/>
                    <w:rPr>
                      <w:color w:val="auto"/>
                      <w:kern w:val="0"/>
                      <w:sz w:val="21"/>
                      <w:szCs w:val="21"/>
                    </w:rPr>
                  </w:pPr>
                  <w:r>
                    <w:rPr>
                      <w:rFonts w:hint="default"/>
                      <w:color w:val="auto"/>
                      <w:kern w:val="0"/>
                      <w:sz w:val="21"/>
                      <w:szCs w:val="21"/>
                      <w:lang w:val="en-US" w:eastAsia="zh-CN"/>
                    </w:rPr>
                    <w:t>1.</w:t>
                  </w:r>
                  <w:r>
                    <w:rPr>
                      <w:rFonts w:hint="eastAsia"/>
                      <w:color w:val="auto"/>
                      <w:kern w:val="0"/>
                      <w:sz w:val="21"/>
                      <w:szCs w:val="21"/>
                      <w:lang w:val="en-US" w:eastAsia="zh-CN"/>
                    </w:rPr>
                    <w:t>不断促进全省产业高质量发展。培育壮大人工智能及新能源等新兴产业；持续巩固提升装备、食品、新型材料、汽车、电子信息等五大制造业主导产业优势地位；做好产业链、创新链、供应链、价值链、制度链</w:t>
                  </w:r>
                  <w:r>
                    <w:rPr>
                      <w:rFonts w:hint="default"/>
                      <w:color w:val="auto"/>
                      <w:kern w:val="0"/>
                      <w:sz w:val="21"/>
                      <w:szCs w:val="21"/>
                      <w:lang w:val="en-US" w:eastAsia="zh-CN"/>
                    </w:rPr>
                    <w:t>“</w:t>
                  </w:r>
                  <w:r>
                    <w:rPr>
                      <w:rFonts w:hint="eastAsia"/>
                      <w:color w:val="auto"/>
                      <w:kern w:val="0"/>
                      <w:sz w:val="21"/>
                      <w:szCs w:val="21"/>
                      <w:lang w:val="en-US" w:eastAsia="zh-CN"/>
                    </w:rPr>
                    <w:t>五链</w:t>
                  </w:r>
                  <w:r>
                    <w:rPr>
                      <w:rFonts w:hint="default"/>
                      <w:color w:val="auto"/>
                      <w:kern w:val="0"/>
                      <w:sz w:val="21"/>
                      <w:szCs w:val="21"/>
                      <w:lang w:val="en-US" w:eastAsia="zh-CN"/>
                    </w:rPr>
                    <w:t>”</w:t>
                  </w:r>
                  <w:r>
                    <w:rPr>
                      <w:rFonts w:hint="eastAsia"/>
                      <w:color w:val="auto"/>
                      <w:kern w:val="0"/>
                      <w:sz w:val="21"/>
                      <w:szCs w:val="21"/>
                      <w:lang w:val="en-US" w:eastAsia="zh-CN"/>
                    </w:rPr>
                    <w:t>耦合，把新基建、新技术、新材料、新装备、新产品、新业态作为高质量发展的主攻方向。</w:t>
                  </w:r>
                </w:p>
                <w:p>
                  <w:pPr>
                    <w:pStyle w:val="74"/>
                    <w:keepNext w:val="0"/>
                    <w:keepLines w:val="0"/>
                    <w:suppressLineNumbers w:val="0"/>
                    <w:spacing w:before="0" w:beforeAutospacing="0" w:after="0" w:afterAutospacing="0"/>
                    <w:ind w:left="0" w:right="0"/>
                    <w:rPr>
                      <w:color w:val="auto"/>
                      <w:kern w:val="0"/>
                      <w:sz w:val="21"/>
                      <w:szCs w:val="21"/>
                    </w:rPr>
                  </w:pPr>
                  <w:r>
                    <w:rPr>
                      <w:rFonts w:hint="default"/>
                      <w:color w:val="auto"/>
                      <w:kern w:val="0"/>
                      <w:sz w:val="21"/>
                      <w:szCs w:val="21"/>
                      <w:lang w:val="en-US" w:eastAsia="zh-CN"/>
                    </w:rPr>
                    <w:t>2.</w:t>
                  </w:r>
                  <w:r>
                    <w:rPr>
                      <w:rFonts w:hint="eastAsia"/>
                      <w:color w:val="auto"/>
                      <w:kern w:val="0"/>
                      <w:sz w:val="21"/>
                      <w:szCs w:val="21"/>
                      <w:lang w:val="en-US" w:eastAsia="zh-CN"/>
                    </w:rPr>
                    <w:t>禁止新改扩建《产业结构调整指导目录（</w:t>
                  </w:r>
                  <w:r>
                    <w:rPr>
                      <w:rFonts w:hint="default"/>
                      <w:color w:val="auto"/>
                      <w:kern w:val="0"/>
                      <w:sz w:val="21"/>
                      <w:szCs w:val="21"/>
                      <w:lang w:val="en-US" w:eastAsia="zh-CN"/>
                    </w:rPr>
                    <w:t xml:space="preserve">2019 </w:t>
                  </w:r>
                  <w:r>
                    <w:rPr>
                      <w:rFonts w:hint="eastAsia"/>
                      <w:color w:val="auto"/>
                      <w:kern w:val="0"/>
                      <w:sz w:val="21"/>
                      <w:szCs w:val="21"/>
                      <w:lang w:val="en-US" w:eastAsia="zh-CN"/>
                    </w:rPr>
                    <w:t>年本）》明确的淘汰类项目；禁止引入《市场准入负面清单（</w:t>
                  </w:r>
                  <w:r>
                    <w:rPr>
                      <w:rFonts w:hint="default"/>
                      <w:color w:val="auto"/>
                      <w:kern w:val="0"/>
                      <w:sz w:val="21"/>
                      <w:szCs w:val="21"/>
                      <w:lang w:val="en-US" w:eastAsia="zh-CN"/>
                    </w:rPr>
                    <w:t xml:space="preserve">2020 </w:t>
                  </w:r>
                  <w:r>
                    <w:rPr>
                      <w:rFonts w:hint="eastAsia"/>
                      <w:color w:val="auto"/>
                      <w:kern w:val="0"/>
                      <w:sz w:val="21"/>
                      <w:szCs w:val="21"/>
                      <w:lang w:val="en-US" w:eastAsia="zh-CN"/>
                    </w:rPr>
                    <w:t>年版）》禁止准入类事项。</w:t>
                  </w:r>
                </w:p>
                <w:p>
                  <w:pPr>
                    <w:pStyle w:val="74"/>
                    <w:keepNext w:val="0"/>
                    <w:keepLines w:val="0"/>
                    <w:suppressLineNumbers w:val="0"/>
                    <w:spacing w:before="0" w:beforeAutospacing="0" w:after="0" w:afterAutospacing="0"/>
                    <w:ind w:left="0" w:right="0"/>
                    <w:rPr>
                      <w:color w:val="auto"/>
                      <w:kern w:val="0"/>
                      <w:sz w:val="21"/>
                      <w:szCs w:val="21"/>
                    </w:rPr>
                  </w:pPr>
                  <w:r>
                    <w:rPr>
                      <w:rFonts w:hint="default"/>
                      <w:color w:val="auto"/>
                      <w:kern w:val="0"/>
                      <w:sz w:val="21"/>
                      <w:szCs w:val="21"/>
                      <w:lang w:val="en-US" w:eastAsia="zh-CN"/>
                    </w:rPr>
                    <w:t>3.</w:t>
                  </w:r>
                  <w:r>
                    <w:rPr>
                      <w:rFonts w:hint="eastAsia"/>
                      <w:color w:val="auto"/>
                      <w:kern w:val="0"/>
                      <w:sz w:val="21"/>
                      <w:szCs w:val="21"/>
                      <w:lang w:val="en-US" w:eastAsia="zh-CN"/>
                    </w:rPr>
                    <w:t>重点区域严禁新增钢铁、焦化、水泥熟料、平板玻璃、电解铝、氧化铝、煤化工产能，严控新增炼油产能；禁止建设生产和使用高</w:t>
                  </w:r>
                  <w:r>
                    <w:rPr>
                      <w:rFonts w:hint="default"/>
                      <w:color w:val="auto"/>
                      <w:kern w:val="0"/>
                      <w:sz w:val="21"/>
                      <w:szCs w:val="21"/>
                      <w:lang w:val="en-US" w:eastAsia="zh-CN"/>
                    </w:rPr>
                    <w:t>VOCs</w:t>
                  </w:r>
                  <w:r>
                    <w:rPr>
                      <w:rFonts w:hint="eastAsia"/>
                      <w:color w:val="auto"/>
                      <w:kern w:val="0"/>
                      <w:sz w:val="21"/>
                      <w:szCs w:val="21"/>
                      <w:lang w:val="en-US" w:eastAsia="zh-CN"/>
                    </w:rPr>
                    <w:t>含量的溶剂型涂料、油墨、胶粘剂等项目；全面取缔露天和敞开式喷涂作业；重点区域原则上禁止新建露天矿山建设项目。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kern w:val="0"/>
                      <w:sz w:val="21"/>
                      <w:szCs w:val="21"/>
                      <w:u w:val="none"/>
                      <w:lang w:val="en-US" w:eastAsia="zh-CN"/>
                    </w:rPr>
                  </w:pPr>
                  <w:r>
                    <w:rPr>
                      <w:rFonts w:hint="default"/>
                      <w:color w:val="auto"/>
                      <w:kern w:val="0"/>
                      <w:sz w:val="21"/>
                      <w:szCs w:val="21"/>
                      <w:lang w:val="en-US" w:eastAsia="zh-CN"/>
                    </w:rPr>
                    <w:t>4.</w:t>
                  </w:r>
                  <w:r>
                    <w:rPr>
                      <w:rFonts w:hint="eastAsia"/>
                      <w:color w:val="auto"/>
                      <w:kern w:val="0"/>
                      <w:sz w:val="21"/>
                      <w:szCs w:val="21"/>
                      <w:lang w:val="en-US" w:eastAsia="zh-CN"/>
                    </w:rPr>
                    <w:t>严把</w:t>
                  </w:r>
                  <w:r>
                    <w:rPr>
                      <w:rFonts w:hint="default"/>
                      <w:color w:val="auto"/>
                      <w:kern w:val="0"/>
                      <w:sz w:val="21"/>
                      <w:szCs w:val="21"/>
                      <w:lang w:val="en-US" w:eastAsia="zh-CN"/>
                    </w:rPr>
                    <w:t>“</w:t>
                  </w:r>
                  <w:r>
                    <w:rPr>
                      <w:rFonts w:hint="eastAsia"/>
                      <w:color w:val="auto"/>
                      <w:kern w:val="0"/>
                      <w:sz w:val="21"/>
                      <w:szCs w:val="21"/>
                      <w:lang w:val="en-US" w:eastAsia="zh-CN"/>
                    </w:rPr>
                    <w:t>两高</w:t>
                  </w:r>
                  <w:r>
                    <w:rPr>
                      <w:rFonts w:hint="default"/>
                      <w:color w:val="auto"/>
                      <w:kern w:val="0"/>
                      <w:sz w:val="21"/>
                      <w:szCs w:val="21"/>
                      <w:lang w:val="en-US" w:eastAsia="zh-CN"/>
                    </w:rPr>
                    <w:t>”</w:t>
                  </w:r>
                  <w:r>
                    <w:rPr>
                      <w:rFonts w:hint="eastAsia"/>
                      <w:color w:val="auto"/>
                      <w:kern w:val="0"/>
                      <w:sz w:val="21"/>
                      <w:szCs w:val="21"/>
                      <w:lang w:val="en-US" w:eastAsia="zh-CN"/>
                    </w:rPr>
                    <w:t>项目生态环境准入关，严格限制</w:t>
                  </w:r>
                  <w:r>
                    <w:rPr>
                      <w:rFonts w:hint="default"/>
                      <w:color w:val="auto"/>
                      <w:kern w:val="0"/>
                      <w:sz w:val="21"/>
                      <w:szCs w:val="21"/>
                      <w:lang w:val="en-US" w:eastAsia="zh-CN"/>
                    </w:rPr>
                    <w:t>“</w:t>
                  </w:r>
                  <w:r>
                    <w:rPr>
                      <w:rFonts w:hint="eastAsia"/>
                      <w:color w:val="auto"/>
                      <w:kern w:val="0"/>
                      <w:sz w:val="21"/>
                      <w:szCs w:val="21"/>
                      <w:lang w:val="en-US" w:eastAsia="zh-CN"/>
                    </w:rPr>
                    <w:t>两高</w:t>
                  </w:r>
                  <w:r>
                    <w:rPr>
                      <w:rFonts w:hint="default"/>
                      <w:color w:val="auto"/>
                      <w:kern w:val="0"/>
                      <w:sz w:val="21"/>
                      <w:szCs w:val="21"/>
                      <w:lang w:val="en-US" w:eastAsia="zh-CN"/>
                    </w:rPr>
                    <w:t>”</w:t>
                  </w:r>
                  <w:r>
                    <w:rPr>
                      <w:rFonts w:hint="eastAsia"/>
                      <w:color w:val="auto"/>
                      <w:kern w:val="0"/>
                      <w:sz w:val="21"/>
                      <w:szCs w:val="21"/>
                      <w:lang w:val="en-US" w:eastAsia="zh-CN"/>
                    </w:rPr>
                    <w:t>项目盲目发展。新改扩建</w:t>
                  </w:r>
                  <w:r>
                    <w:rPr>
                      <w:rFonts w:hint="default"/>
                      <w:color w:val="auto"/>
                      <w:kern w:val="0"/>
                      <w:sz w:val="21"/>
                      <w:szCs w:val="21"/>
                      <w:lang w:val="en-US" w:eastAsia="zh-CN"/>
                    </w:rPr>
                    <w:t>“</w:t>
                  </w:r>
                  <w:r>
                    <w:rPr>
                      <w:rFonts w:hint="eastAsia"/>
                      <w:color w:val="auto"/>
                      <w:kern w:val="0"/>
                      <w:sz w:val="21"/>
                      <w:szCs w:val="21"/>
                      <w:lang w:val="en-US" w:eastAsia="zh-CN"/>
                    </w:rPr>
                    <w:t>两高</w:t>
                  </w:r>
                  <w:r>
                    <w:rPr>
                      <w:rFonts w:hint="default"/>
                      <w:color w:val="auto"/>
                      <w:kern w:val="0"/>
                      <w:sz w:val="21"/>
                      <w:szCs w:val="21"/>
                      <w:lang w:val="en-US" w:eastAsia="zh-CN"/>
                    </w:rPr>
                    <w:t>”</w:t>
                  </w:r>
                  <w:r>
                    <w:rPr>
                      <w:rFonts w:hint="eastAsia"/>
                      <w:color w:val="auto"/>
                      <w:kern w:val="0"/>
                      <w:sz w:val="21"/>
                      <w:szCs w:val="21"/>
                      <w:lang w:val="en-US" w:eastAsia="zh-CN"/>
                    </w:rPr>
                    <w:t>项目须符合生态环境保护法律法规和相关法定规划，符合产业政策、国土空间规划、</w:t>
                  </w:r>
                  <w:r>
                    <w:rPr>
                      <w:rFonts w:hint="default"/>
                      <w:color w:val="auto"/>
                      <w:kern w:val="0"/>
                      <w:sz w:val="21"/>
                      <w:szCs w:val="21"/>
                      <w:lang w:val="en-US" w:eastAsia="zh-CN"/>
                    </w:rPr>
                    <w:t>“</w:t>
                  </w:r>
                  <w:r>
                    <w:rPr>
                      <w:rFonts w:hint="eastAsia"/>
                      <w:color w:val="auto"/>
                      <w:kern w:val="0"/>
                      <w:sz w:val="21"/>
                      <w:szCs w:val="21"/>
                      <w:lang w:val="en-US" w:eastAsia="zh-CN"/>
                    </w:rPr>
                    <w:t>三线一单</w:t>
                  </w:r>
                  <w:r>
                    <w:rPr>
                      <w:rFonts w:hint="default"/>
                      <w:color w:val="auto"/>
                      <w:kern w:val="0"/>
                      <w:sz w:val="21"/>
                      <w:szCs w:val="21"/>
                      <w:lang w:val="en-US" w:eastAsia="zh-CN"/>
                    </w:rPr>
                    <w:t>”</w:t>
                  </w:r>
                  <w:r>
                    <w:rPr>
                      <w:rFonts w:hint="eastAsia"/>
                      <w:color w:val="auto"/>
                      <w:kern w:val="0"/>
                      <w:sz w:val="21"/>
                      <w:szCs w:val="21"/>
                      <w:lang w:val="en-US" w:eastAsia="zh-CN"/>
                    </w:rPr>
                    <w:t>、能耗</w:t>
                  </w:r>
                  <w:r>
                    <w:rPr>
                      <w:rFonts w:hint="default"/>
                      <w:color w:val="auto"/>
                      <w:kern w:val="0"/>
                      <w:sz w:val="21"/>
                      <w:szCs w:val="21"/>
                      <w:lang w:val="en-US" w:eastAsia="zh-CN"/>
                    </w:rPr>
                    <w:t>“</w:t>
                  </w:r>
                  <w:r>
                    <w:rPr>
                      <w:rFonts w:hint="eastAsia"/>
                      <w:color w:val="auto"/>
                      <w:kern w:val="0"/>
                      <w:sz w:val="21"/>
                      <w:szCs w:val="21"/>
                      <w:lang w:val="en-US" w:eastAsia="zh-CN"/>
                    </w:rPr>
                    <w:t>双控</w:t>
                  </w:r>
                  <w:r>
                    <w:rPr>
                      <w:rFonts w:hint="default"/>
                      <w:color w:val="auto"/>
                      <w:kern w:val="0"/>
                      <w:sz w:val="21"/>
                      <w:szCs w:val="21"/>
                      <w:lang w:val="en-US" w:eastAsia="zh-CN"/>
                    </w:rPr>
                    <w:t>”</w:t>
                  </w:r>
                  <w:r>
                    <w:rPr>
                      <w:rFonts w:hint="eastAsia"/>
                      <w:color w:val="auto"/>
                      <w:kern w:val="0"/>
                      <w:sz w:val="21"/>
                      <w:szCs w:val="21"/>
                      <w:lang w:val="en-US" w:eastAsia="zh-CN"/>
                    </w:rPr>
                    <w:t>、煤炭消费减量替代、碳排放强度、污染物区域削减替代等约束性要求，按照《河南省淘汰落后产能综合标准 体系（</w:t>
                  </w:r>
                  <w:r>
                    <w:rPr>
                      <w:rFonts w:hint="default"/>
                      <w:color w:val="auto"/>
                      <w:kern w:val="0"/>
                      <w:sz w:val="21"/>
                      <w:szCs w:val="21"/>
                      <w:lang w:val="en-US" w:eastAsia="zh-CN"/>
                    </w:rPr>
                    <w:t xml:space="preserve">2020 </w:t>
                  </w:r>
                  <w:r>
                    <w:rPr>
                      <w:rFonts w:hint="eastAsia"/>
                      <w:color w:val="auto"/>
                      <w:kern w:val="0"/>
                      <w:sz w:val="21"/>
                      <w:szCs w:val="21"/>
                      <w:lang w:val="en-US" w:eastAsia="zh-CN"/>
                    </w:rPr>
                    <w:t>年本）》，严格执行能耗、环保、质量、安全、技术等法规标准。</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项目属于</w:t>
                  </w:r>
                  <w:r>
                    <w:rPr>
                      <w:rFonts w:hint="eastAsia" w:cs="Times New Roman"/>
                      <w:b w:val="0"/>
                      <w:bCs w:val="0"/>
                      <w:kern w:val="0"/>
                      <w:sz w:val="21"/>
                      <w:szCs w:val="21"/>
                      <w:u w:val="none"/>
                      <w:lang w:val="en-US" w:eastAsia="zh-CN"/>
                    </w:rPr>
                    <w:t>实验室</w:t>
                  </w:r>
                  <w:r>
                    <w:rPr>
                      <w:rFonts w:hint="default" w:ascii="Times New Roman" w:hAnsi="Times New Roman" w:eastAsia="宋体" w:cs="Times New Roman"/>
                      <w:b w:val="0"/>
                      <w:bCs w:val="0"/>
                      <w:kern w:val="0"/>
                      <w:sz w:val="21"/>
                      <w:szCs w:val="21"/>
                      <w:u w:val="none"/>
                      <w:lang w:val="en-US" w:eastAsia="zh-CN"/>
                    </w:rPr>
                    <w:t>项目。经逐条对比，本项目不属于上述禁止建设的项目，项目符合河南省产业发展总体准入要求。</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u w:val="none"/>
                      <w:lang w:eastAsia="zh-CN"/>
                    </w:rPr>
                  </w:pPr>
                  <w:r>
                    <w:rPr>
                      <w:rFonts w:hint="default" w:ascii="Times New Roman" w:hAnsi="Times New Roman" w:eastAsia="宋体" w:cs="Times New Roman"/>
                      <w:b w:val="0"/>
                      <w:bCs w:val="0"/>
                      <w:kern w:val="0"/>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rPr>
                    <w:t>河南省生态空间总体管控要求</w:t>
                  </w: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生态红线包括：“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发。）”。</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一般生态空间包括：“水源涵养重要区、水土保持重要区、生物多样性维护重要区、饮用水水源保护区、生态公益林、湿地”。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本项目建设区域不涉及自然保护区、风景名胜区、森林公园、饮用水水源保护区、水产种质资源保护区、湿地公园、地质公园、生态公益林及其他生态保护红线内容，同时不涉及一般生态空间区域。</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u w:val="none"/>
                      <w:lang w:eastAsia="zh-CN"/>
                    </w:rPr>
                  </w:pPr>
                  <w:r>
                    <w:rPr>
                      <w:rFonts w:hint="default" w:ascii="Times New Roman" w:hAnsi="Times New Roman" w:eastAsia="宋体" w:cs="Times New Roman"/>
                      <w:b w:val="0"/>
                      <w:bCs w:val="0"/>
                      <w:kern w:val="0"/>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6844" w:type="dxa"/>
                  <w:gridSpan w:val="5"/>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河南省大气环境总体管控要求、河南省水环境总体管控要求、河南省土壤环境总体管控要求、河南省资源利用效率要求：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kern w:val="0"/>
                      <w:sz w:val="21"/>
                      <w:szCs w:val="21"/>
                    </w:rPr>
                    <w:t>本项目符合上述要求，并按照上述要求制定企业内部管理条例，将《河南省生态环境准入清单》中的各项要求落实到位。</w:t>
                  </w:r>
                </w:p>
              </w:tc>
              <w:tc>
                <w:tcPr>
                  <w:tcW w:w="830"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kern w:val="0"/>
                      <w:sz w:val="21"/>
                      <w:szCs w:val="21"/>
                      <w:u w:val="none"/>
                    </w:rPr>
                  </w:pPr>
                  <w:r>
                    <w:rPr>
                      <w:rFonts w:hint="default" w:ascii="Times New Roman" w:hAnsi="Times New Roman" w:eastAsia="宋体" w:cs="Times New Roman"/>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7674" w:type="dxa"/>
                  <w:gridSpan w:val="7"/>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新乡市</w:t>
                  </w:r>
                  <w:r>
                    <w:rPr>
                      <w:rFonts w:hint="default" w:ascii="Times New Roman" w:hAnsi="Times New Roman" w:eastAsia="宋体" w:cs="Times New Roman"/>
                      <w:kern w:val="0"/>
                      <w:sz w:val="21"/>
                      <w:szCs w:val="21"/>
                    </w:rPr>
                    <w:t>生态环境总体准入要求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空间布局约束</w:t>
                  </w: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1.禁止在自然保护区内进行砍伐、放牧、狩猎、捕捞、采药、开垦、烧荒、开矿、采石、挖沙等活动；但是，法律、行政法规另有规定的除外。</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本项目不在自然保护区范围内。</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2.在风景名胜区内禁止进行下列活动：</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w:t>
                  </w:r>
                  <w:r>
                    <w:rPr>
                      <w:rFonts w:hint="default" w:ascii="Times New Roman" w:hAnsi="Times New Roman" w:cs="Times New Roman"/>
                      <w:b w:val="0"/>
                      <w:bCs w:val="0"/>
                      <w:color w:val="000000"/>
                      <w:kern w:val="0"/>
                      <w:sz w:val="21"/>
                      <w:szCs w:val="21"/>
                    </w:rPr>
                    <w:t>风景名胜区</w:t>
                  </w:r>
                  <w:r>
                    <w:rPr>
                      <w:rFonts w:hint="eastAsia" w:ascii="Times New Roman" w:hAnsi="Times New Roman" w:cs="Times New Roman"/>
                      <w:b w:val="0"/>
                      <w:bCs w:val="0"/>
                      <w:color w:val="000000"/>
                      <w:kern w:val="0"/>
                      <w:sz w:val="21"/>
                      <w:szCs w:val="21"/>
                      <w:lang w:val="en-US" w:eastAsia="zh-CN"/>
                    </w:rPr>
                    <w:t>范围内。</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3.饮用水地表水源各级保护区必须遵守下列规定：</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w:t>
                  </w:r>
                  <w:r>
                    <w:rPr>
                      <w:rFonts w:hint="default" w:ascii="Times New Roman" w:hAnsi="Times New Roman" w:cs="Times New Roman"/>
                      <w:b w:val="0"/>
                      <w:bCs w:val="0"/>
                      <w:color w:val="000000"/>
                      <w:kern w:val="0"/>
                      <w:sz w:val="21"/>
                      <w:szCs w:val="21"/>
                    </w:rPr>
                    <w:t>饮用水地表水源各级保护区</w:t>
                  </w:r>
                  <w:r>
                    <w:rPr>
                      <w:rFonts w:hint="eastAsia" w:ascii="Times New Roman" w:hAnsi="Times New Roman" w:cs="Times New Roman"/>
                      <w:b w:val="0"/>
                      <w:bCs w:val="0"/>
                      <w:color w:val="000000"/>
                      <w:kern w:val="0"/>
                      <w:sz w:val="21"/>
                      <w:szCs w:val="21"/>
                      <w:lang w:val="en-US" w:eastAsia="zh-CN"/>
                    </w:rPr>
                    <w:t>范围内。</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4.按照《关于印发南水北调中线一期工程总干渠（河南段）两侧饮用水水源保护区划的通知》（豫调办〔2018〕56号）要求，在饮用水水源保护区内，禁止</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w:t>
                  </w:r>
                  <w:r>
                    <w:rPr>
                      <w:rFonts w:hint="default" w:ascii="Times New Roman" w:hAnsi="Times New Roman" w:cs="Times New Roman"/>
                      <w:b w:val="0"/>
                      <w:bCs w:val="0"/>
                      <w:color w:val="000000"/>
                      <w:kern w:val="0"/>
                      <w:sz w:val="21"/>
                      <w:szCs w:val="21"/>
                    </w:rPr>
                    <w:t>南水北调中线一期工程总干渠（河南段）</w:t>
                  </w:r>
                  <w:r>
                    <w:rPr>
                      <w:rFonts w:hint="eastAsia" w:ascii="Times New Roman" w:hAnsi="Times New Roman" w:cs="Times New Roman"/>
                      <w:b w:val="0"/>
                      <w:bCs w:val="0"/>
                      <w:color w:val="000000"/>
                      <w:kern w:val="0"/>
                      <w:sz w:val="21"/>
                      <w:szCs w:val="21"/>
                      <w:lang w:val="en-US" w:eastAsia="zh-CN"/>
                    </w:rPr>
                    <w:t>范围内。</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5.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25%的陡坡地、行洪通道、防洪工程设施保护范围、高压输电线路走廊、天然气输送管线及其防护区、成品油输送管线及其防护区、区域性调水工程管线及其防护区和生态保护红线属于规划的禁止建设区。</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本项目位于</w:t>
                  </w:r>
                  <w:r>
                    <w:rPr>
                      <w:rFonts w:hint="eastAsia" w:cs="Times New Roman"/>
                      <w:b w:val="0"/>
                      <w:bCs w:val="0"/>
                      <w:color w:val="000000"/>
                      <w:kern w:val="0"/>
                      <w:sz w:val="21"/>
                      <w:szCs w:val="21"/>
                      <w:lang w:val="en-US" w:eastAsia="zh-CN"/>
                    </w:rPr>
                    <w:t>新乡县中央大道与民乐路交叉口东北角民乐路一号（新乡县市场监督管理局院内）</w:t>
                  </w:r>
                  <w:r>
                    <w:rPr>
                      <w:rFonts w:hint="eastAsia" w:ascii="Times New Roman" w:hAnsi="Times New Roman" w:cs="Times New Roman"/>
                      <w:b w:val="0"/>
                      <w:bCs w:val="0"/>
                      <w:color w:val="000000"/>
                      <w:kern w:val="0"/>
                      <w:sz w:val="21"/>
                      <w:szCs w:val="21"/>
                      <w:lang w:val="en-US" w:eastAsia="zh-CN"/>
                    </w:rPr>
                    <w:t>，不属于</w:t>
                  </w:r>
                  <w:r>
                    <w:rPr>
                      <w:rFonts w:hint="default" w:ascii="Times New Roman" w:hAnsi="Times New Roman" w:cs="Times New Roman"/>
                      <w:b w:val="0"/>
                      <w:bCs w:val="0"/>
                      <w:color w:val="000000"/>
                      <w:kern w:val="0"/>
                      <w:sz w:val="21"/>
                      <w:szCs w:val="21"/>
                    </w:rPr>
                    <w:t>禁止建设区。</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6.禁止在水产种质资源保护区内从事围湖造田、围海造地或围填海工程</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本项目不在水产种质资源保护区内及附近。</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7.共产主义渠城区段按三年一遇标准开挖疏浚河道，按百年一遇标准设置堤防。对不符合城市防洪标准要求的建设项目应拆除或限期改造。</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本项目不在共产主义渠城区段，不会影响城市防洪。</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8.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w:t>
                  </w:r>
                  <w:r>
                    <w:rPr>
                      <w:rFonts w:hint="eastAsia" w:ascii="Times New Roman" w:hAnsi="Times New Roman" w:cs="Times New Roman"/>
                      <w:b w:val="0"/>
                      <w:bCs w:val="0"/>
                      <w:color w:val="000000"/>
                      <w:kern w:val="0"/>
                      <w:sz w:val="21"/>
                      <w:szCs w:val="21"/>
                      <w:lang w:eastAsia="zh-CN"/>
                    </w:rPr>
                    <w:t>。禁止建设生产和使用高挥发性有机物含量的溶剂型涂料、油墨、胶粘剂等项目。新、改、扩建排放VOCs的项目，应从源头加强控制，使用低(无)VOCs含量的原辅材料，配套安装高效收集、治理设施，其中新建涉VOCs排放的工业企业要入园区，实行区域内VOCs排放总量倍量消减替代。禁止生产、销售不符合标准的机动车船、非道路移动机械用燃料:禁止向汽车和摩托车销售普通柴油以及其他非机动车用燃料:禁止向非道路移动机械销售渣油、重油和不符合规定的燃用</w:t>
                  </w:r>
                  <w:r>
                    <w:rPr>
                      <w:rFonts w:hint="default" w:ascii="Times New Roman" w:hAnsi="Times New Roman" w:cs="Times New Roman"/>
                      <w:b w:val="0"/>
                      <w:bCs w:val="0"/>
                      <w:color w:val="000000"/>
                      <w:kern w:val="0"/>
                      <w:sz w:val="21"/>
                      <w:szCs w:val="21"/>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本项目不在特定生态保护红线范围内</w:t>
                  </w:r>
                  <w:r>
                    <w:rPr>
                      <w:rFonts w:hint="eastAsia" w:cs="Times New Roman"/>
                      <w:b w:val="0"/>
                      <w:bCs w:val="0"/>
                      <w:color w:val="000000"/>
                      <w:kern w:val="0"/>
                      <w:sz w:val="21"/>
                      <w:szCs w:val="21"/>
                      <w:lang w:val="en-US" w:eastAsia="zh-CN"/>
                    </w:rPr>
                    <w:t>，位于新乡县中央大道与民乐路交叉口东北角民乐路一号（新乡县市场监督管理局院内），</w:t>
                  </w:r>
                  <w:r>
                    <w:rPr>
                      <w:rFonts w:hint="eastAsia" w:cs="Times New Roman"/>
                      <w:b w:val="0"/>
                      <w:bCs w:val="0"/>
                      <w:color w:val="auto"/>
                      <w:kern w:val="0"/>
                      <w:sz w:val="21"/>
                      <w:szCs w:val="21"/>
                      <w:lang w:val="en-US" w:eastAsia="zh-CN"/>
                    </w:rPr>
                    <w:t>本项目为实验室项目，不属于工业企业，产生的VOCs废气经治理后能够达标排放，对周围环境产生的影响可以接受。</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9.严格控制新建、扩建钢铁冶炼、水泥、有色金属冶炼、平板玻璃、化工、建筑陶瓷、耐火材料、砖瓦、矿山开采等行业的高排放、高污染项目</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本项目不属于高污染项目，不属于两高项目。</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10.按照各产业集聚区建设发展规划，培育和建设关联企业高度集中的产业基地，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rPr>
                    <w:t>本项目位于</w:t>
                  </w:r>
                  <w:r>
                    <w:rPr>
                      <w:rFonts w:hint="eastAsia" w:cs="Times New Roman"/>
                      <w:b w:val="0"/>
                      <w:bCs w:val="0"/>
                      <w:color w:val="auto"/>
                      <w:kern w:val="0"/>
                      <w:sz w:val="21"/>
                      <w:szCs w:val="21"/>
                      <w:lang w:val="en-US" w:eastAsia="zh-CN"/>
                    </w:rPr>
                    <w:t>新乡县中央大道与民乐路交叉口东北角民乐路一号（新乡县市场监督管理局院内），不在产业集聚区，</w:t>
                  </w:r>
                  <w:r>
                    <w:rPr>
                      <w:rFonts w:hint="eastAsia" w:ascii="Times New Roman" w:hAnsi="Times New Roman" w:cs="Times New Roman"/>
                      <w:b w:val="0"/>
                      <w:bCs w:val="0"/>
                      <w:color w:val="auto"/>
                      <w:kern w:val="0"/>
                      <w:sz w:val="21"/>
                      <w:szCs w:val="21"/>
                      <w:lang w:val="en-US" w:eastAsia="zh-CN"/>
                    </w:rPr>
                    <w:t>不属于</w:t>
                  </w:r>
                  <w:r>
                    <w:rPr>
                      <w:rFonts w:hint="default" w:ascii="Times New Roman" w:hAnsi="Times New Roman" w:cs="Times New Roman"/>
                      <w:b w:val="0"/>
                      <w:bCs w:val="0"/>
                      <w:color w:val="auto"/>
                      <w:kern w:val="0"/>
                      <w:sz w:val="21"/>
                      <w:szCs w:val="21"/>
                    </w:rPr>
                    <w:t>石化、化工、建材、有色等项目</w:t>
                  </w:r>
                  <w:r>
                    <w:rPr>
                      <w:rFonts w:hint="eastAsia" w:ascii="Times New Roman" w:hAnsi="Times New Roman" w:cs="Times New Roman"/>
                      <w:b w:val="0"/>
                      <w:bCs w:val="0"/>
                      <w:color w:val="auto"/>
                      <w:kern w:val="0"/>
                      <w:sz w:val="21"/>
                      <w:szCs w:val="21"/>
                      <w:lang w:eastAsia="zh-CN"/>
                    </w:rPr>
                    <w:t>，不属于</w:t>
                  </w:r>
                  <w:r>
                    <w:rPr>
                      <w:rFonts w:hint="eastAsia" w:ascii="Times New Roman" w:hAnsi="Times New Roman" w:cs="Times New Roman"/>
                      <w:b w:val="0"/>
                      <w:bCs w:val="0"/>
                      <w:color w:val="auto"/>
                      <w:kern w:val="0"/>
                      <w:sz w:val="21"/>
                      <w:szCs w:val="21"/>
                      <w:lang w:val="en-US" w:eastAsia="zh-CN"/>
                    </w:rPr>
                    <w:t>水泥行业。</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污染物排放管控</w:t>
                  </w: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1.新、改、扩建项目主要污染物排放要求满足当地总量减排要求。</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eastAsia="zh-CN"/>
                    </w:rPr>
                    <w:t>本项目</w:t>
                  </w:r>
                  <w:r>
                    <w:rPr>
                      <w:rFonts w:hint="eastAsia" w:cs="Times New Roman"/>
                      <w:b w:val="0"/>
                      <w:bCs w:val="0"/>
                      <w:color w:val="000000"/>
                      <w:kern w:val="0"/>
                      <w:sz w:val="21"/>
                      <w:szCs w:val="21"/>
                      <w:lang w:val="en-US" w:eastAsia="zh-CN"/>
                    </w:rPr>
                    <w:t>废水经污水处理站治理后排污新乡县综合污水处理厂进一步处理</w:t>
                  </w:r>
                  <w:r>
                    <w:rPr>
                      <w:rFonts w:hint="eastAsia" w:ascii="Times New Roman" w:hAnsi="Times New Roman" w:cs="Times New Roman"/>
                      <w:b w:val="0"/>
                      <w:bCs w:val="0"/>
                      <w:color w:val="000000"/>
                      <w:kern w:val="0"/>
                      <w:sz w:val="21"/>
                      <w:szCs w:val="21"/>
                      <w:lang w:eastAsia="zh-CN"/>
                    </w:rPr>
                    <w:t>，</w:t>
                  </w:r>
                  <w:r>
                    <w:rPr>
                      <w:rFonts w:hint="eastAsia" w:cs="Times New Roman"/>
                      <w:b w:val="0"/>
                      <w:bCs w:val="0"/>
                      <w:color w:val="000000"/>
                      <w:kern w:val="0"/>
                      <w:sz w:val="21"/>
                      <w:szCs w:val="21"/>
                      <w:lang w:eastAsia="zh-CN"/>
                    </w:rPr>
                    <w:t>不新增总量控制指标。</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2.卫河、共产主义渠、文岩渠保持Ⅴ类指标，黄庄河、西柳青河达到Ⅳ类指标，天然渠、人民胜利渠达到Ⅲ类指标；城市集中式饮用水水源地取水水质达标率达到100%；地下水质量考核点位水质级别保持稳定；确保完成国家水质考核目标</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w:t>
                  </w:r>
                  <w:r>
                    <w:rPr>
                      <w:rFonts w:hint="eastAsia" w:cs="Times New Roman"/>
                      <w:b w:val="0"/>
                      <w:bCs w:val="0"/>
                      <w:color w:val="000000"/>
                      <w:kern w:val="0"/>
                      <w:sz w:val="21"/>
                      <w:szCs w:val="21"/>
                      <w:lang w:val="en-US" w:eastAsia="zh-CN"/>
                    </w:rPr>
                    <w:t>实验废水经处理后经过市政污水管网排入新乡县综合污水处理厂</w:t>
                  </w:r>
                  <w:r>
                    <w:rPr>
                      <w:rFonts w:hint="eastAsia" w:ascii="Times New Roman" w:hAnsi="Times New Roman" w:cs="Times New Roman"/>
                      <w:b w:val="0"/>
                      <w:bCs w:val="0"/>
                      <w:color w:val="000000"/>
                      <w:kern w:val="0"/>
                      <w:sz w:val="21"/>
                      <w:szCs w:val="21"/>
                      <w:lang w:val="en-US" w:eastAsia="zh-CN"/>
                    </w:rPr>
                    <w:t>。</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3.全面推进城镇（产业集聚区）污水处理厂Ⅴ类水提标改造工程建设，市、县（市、区）污水处理率、城市污泥无害化处置率达到政府目标任务。</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本项目不涉及。</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4.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eastAsia="zh-CN"/>
                    </w:rPr>
                    <w:t>本项目</w:t>
                  </w:r>
                  <w:r>
                    <w:rPr>
                      <w:rFonts w:hint="eastAsia" w:ascii="Times New Roman" w:hAnsi="Times New Roman" w:cs="Times New Roman"/>
                      <w:b w:val="0"/>
                      <w:bCs w:val="0"/>
                      <w:color w:val="000000"/>
                      <w:kern w:val="0"/>
                      <w:sz w:val="21"/>
                      <w:szCs w:val="21"/>
                      <w:lang w:val="en-US" w:eastAsia="zh-CN"/>
                    </w:rPr>
                    <w:t>属于</w:t>
                  </w:r>
                  <w:r>
                    <w:rPr>
                      <w:rFonts w:hint="eastAsia" w:cs="Times New Roman"/>
                      <w:b w:val="0"/>
                      <w:bCs w:val="0"/>
                      <w:color w:val="000000"/>
                      <w:kern w:val="0"/>
                      <w:sz w:val="21"/>
                      <w:szCs w:val="21"/>
                      <w:lang w:val="en-US" w:eastAsia="zh-CN"/>
                    </w:rPr>
                    <w:t>新建</w:t>
                  </w:r>
                  <w:r>
                    <w:rPr>
                      <w:rFonts w:hint="eastAsia" w:ascii="Times New Roman" w:hAnsi="Times New Roman" w:cs="Times New Roman"/>
                      <w:b w:val="0"/>
                      <w:bCs w:val="0"/>
                      <w:color w:val="000000"/>
                      <w:kern w:val="0"/>
                      <w:sz w:val="21"/>
                      <w:szCs w:val="21"/>
                      <w:lang w:val="en-US" w:eastAsia="zh-CN"/>
                    </w:rPr>
                    <w:t>项目，</w:t>
                  </w:r>
                  <w:r>
                    <w:rPr>
                      <w:rFonts w:hint="eastAsia" w:cs="Times New Roman"/>
                      <w:b w:val="0"/>
                      <w:bCs w:val="0"/>
                      <w:color w:val="000000"/>
                      <w:kern w:val="0"/>
                      <w:sz w:val="21"/>
                      <w:szCs w:val="21"/>
                      <w:lang w:val="en-US" w:eastAsia="zh-CN"/>
                    </w:rPr>
                    <w:t>不属于重点行业</w:t>
                  </w:r>
                  <w:r>
                    <w:rPr>
                      <w:rFonts w:hint="default" w:ascii="Times New Roman" w:hAnsi="Times New Roman" w:cs="Times New Roman"/>
                      <w:b w:val="0"/>
                      <w:bCs w:val="0"/>
                      <w:color w:val="000000"/>
                      <w:kern w:val="0"/>
                      <w:sz w:val="21"/>
                      <w:szCs w:val="21"/>
                      <w:lang w:eastAsia="zh-CN"/>
                    </w:rPr>
                    <w:t>。</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5.全面推进企业清洁生产，完善省级产业集聚区污水处理设施水平</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eastAsia="zh-CN"/>
                    </w:rPr>
                    <w:t>项目建成后严格按照清洁生产要求进行管理和生产</w:t>
                  </w:r>
                  <w:r>
                    <w:rPr>
                      <w:rFonts w:hint="default" w:ascii="Times New Roman" w:hAnsi="Times New Roman" w:cs="Times New Roman"/>
                      <w:b w:val="0"/>
                      <w:bCs w:val="0"/>
                      <w:color w:val="000000"/>
                      <w:kern w:val="0"/>
                      <w:sz w:val="21"/>
                      <w:szCs w:val="21"/>
                      <w:lang w:eastAsia="zh-CN"/>
                    </w:rPr>
                    <w:t>。</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6.新建“两高”项目应按照《关于加强重点行业建设项目区域削减措施监督管理的通知》（环办环评〔2020〕36号）要求</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本项目属于</w:t>
                  </w:r>
                  <w:r>
                    <w:rPr>
                      <w:rFonts w:hint="eastAsia" w:cs="Times New Roman"/>
                      <w:b w:val="0"/>
                      <w:bCs w:val="0"/>
                      <w:color w:val="000000"/>
                      <w:kern w:val="0"/>
                      <w:sz w:val="21"/>
                      <w:szCs w:val="21"/>
                      <w:lang w:val="en-US" w:eastAsia="zh-CN"/>
                    </w:rPr>
                    <w:t>实验室项目</w:t>
                  </w:r>
                  <w:r>
                    <w:rPr>
                      <w:rFonts w:hint="eastAsia" w:ascii="Times New Roman" w:hAnsi="Times New Roman" w:cs="Times New Roman"/>
                      <w:b w:val="0"/>
                      <w:bCs w:val="0"/>
                      <w:color w:val="000000"/>
                      <w:kern w:val="0"/>
                      <w:sz w:val="21"/>
                      <w:szCs w:val="21"/>
                      <w:lang w:val="en-US" w:eastAsia="zh-CN"/>
                    </w:rPr>
                    <w:t>，不属于两高项目。</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7.原阳县、封丘县和长垣市等沿黄重点地区涉及“三高”项目应按照《关于“十四五”推进沿黄重点地区工业项目入园及严控高污染、高耗水、高耗能项目的通知》（豫发改工业〔2021〕812号）要求，梳理规范相关工业园区，清理拟建工业和高污染、高耗水、高耗能项目，稳妥推进园区外工业项目入园。</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本项目不属于</w:t>
                  </w:r>
                  <w:r>
                    <w:rPr>
                      <w:rFonts w:hint="default" w:ascii="Times New Roman" w:hAnsi="Times New Roman" w:cs="Times New Roman"/>
                      <w:b w:val="0"/>
                      <w:bCs w:val="0"/>
                      <w:color w:val="000000"/>
                      <w:kern w:val="0"/>
                      <w:sz w:val="21"/>
                      <w:szCs w:val="21"/>
                    </w:rPr>
                    <w:t>高污染、高耗水、高耗能项目</w:t>
                  </w:r>
                  <w:r>
                    <w:rPr>
                      <w:rFonts w:hint="eastAsia" w:ascii="Times New Roman" w:hAnsi="Times New Roman" w:cs="Times New Roman"/>
                      <w:b w:val="0"/>
                      <w:bCs w:val="0"/>
                      <w:color w:val="000000"/>
                      <w:kern w:val="0"/>
                      <w:sz w:val="21"/>
                      <w:szCs w:val="21"/>
                      <w:lang w:eastAsia="zh-CN"/>
                    </w:rPr>
                    <w:t>。</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8.测土配方施肥技术推广覆盖率、绿色防控覆盖率达到政府目标任务，实现化肥农药施用量零增长。</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本项目不涉及。</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环境风险防控</w:t>
                  </w: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1、地下水漏斗区、重金属污染区、生态严重退化区等区域：探索开展耕地轮作休耕试点；实行休耕补贴，引导农民自愿将重度污染耕地退出农业生产。</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本项目不涉及。</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2、具备饮用水水源保护区及影响范围内风险源名录和风险防控方案</w:t>
                  </w:r>
                  <w:r>
                    <w:rPr>
                      <w:rFonts w:hint="eastAsia" w:ascii="Times New Roman" w:hAnsi="Times New Roman" w:cs="Times New Roman"/>
                      <w:b w:val="0"/>
                      <w:bCs w:val="0"/>
                      <w:color w:val="000000"/>
                      <w:kern w:val="0"/>
                      <w:sz w:val="21"/>
                      <w:szCs w:val="21"/>
                      <w:lang w:eastAsia="zh-CN"/>
                    </w:rPr>
                    <w:t>……（</w:t>
                  </w:r>
                  <w:r>
                    <w:rPr>
                      <w:rFonts w:hint="eastAsia" w:ascii="Times New Roman" w:hAnsi="Times New Roman" w:cs="Times New Roman"/>
                      <w:b w:val="0"/>
                      <w:bCs w:val="0"/>
                      <w:color w:val="000000"/>
                      <w:kern w:val="0"/>
                      <w:sz w:val="21"/>
                      <w:szCs w:val="21"/>
                      <w:lang w:val="en-US" w:eastAsia="zh-CN"/>
                    </w:rPr>
                    <w:t>略</w:t>
                  </w:r>
                  <w:r>
                    <w:rPr>
                      <w:rFonts w:hint="eastAsia"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本项目不在水源地保护区及影响范围内。</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资源开发效率要求</w:t>
                  </w: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1.“十四五”期间按照政府目标控制能耗增量指标。鼓励使用清洁燃料，重点区域建设项目原则上不新建燃煤自备锅炉。</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本项目能源使用电。</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2.重点推进南水北调受水区地下水压采工作，加快公共供水管网建设，促进供水管网覆盖范围以外的自备井封闭工作。</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项目不在</w:t>
                  </w:r>
                  <w:r>
                    <w:rPr>
                      <w:rFonts w:hint="default" w:ascii="Times New Roman" w:hAnsi="Times New Roman" w:cs="Times New Roman"/>
                      <w:b w:val="0"/>
                      <w:bCs w:val="0"/>
                      <w:color w:val="000000"/>
                      <w:kern w:val="0"/>
                      <w:sz w:val="21"/>
                      <w:szCs w:val="21"/>
                    </w:rPr>
                    <w:t>南水北调受水区</w:t>
                  </w:r>
                  <w:r>
                    <w:rPr>
                      <w:rFonts w:hint="eastAsia" w:ascii="Times New Roman" w:hAnsi="Times New Roman" w:cs="Times New Roman"/>
                      <w:b w:val="0"/>
                      <w:bCs w:val="0"/>
                      <w:color w:val="000000"/>
                      <w:kern w:val="0"/>
                      <w:sz w:val="21"/>
                      <w:szCs w:val="21"/>
                      <w:lang w:eastAsia="zh-CN"/>
                    </w:rPr>
                    <w:t>，</w:t>
                  </w:r>
                  <w:r>
                    <w:rPr>
                      <w:rFonts w:hint="eastAsia" w:ascii="Times New Roman" w:hAnsi="Times New Roman" w:cs="Times New Roman"/>
                      <w:b w:val="0"/>
                      <w:bCs w:val="0"/>
                      <w:color w:val="000000"/>
                      <w:kern w:val="0"/>
                      <w:sz w:val="21"/>
                      <w:szCs w:val="21"/>
                      <w:lang w:val="en-US" w:eastAsia="zh-CN"/>
                    </w:rPr>
                    <w:t>用水量较小。</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3.开展高耗水工业行业节水技术改造，大力推广工业水循环利用，推进节水型企业、节水型工业园区建设。</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cs="Times New Roman"/>
                      <w:b w:val="0"/>
                      <w:bCs w:val="0"/>
                      <w:color w:val="000000"/>
                      <w:kern w:val="0"/>
                      <w:sz w:val="21"/>
                      <w:szCs w:val="21"/>
                      <w:lang w:val="en-US" w:eastAsia="zh-CN"/>
                    </w:rPr>
                    <w:t>本项目不属于高耗水行业，废水主要为清洗废水，经处理后排入污水管网。</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项目</w:t>
                  </w:r>
                  <w:r>
                    <w:rPr>
                      <w:rFonts w:hint="eastAsia" w:cs="Times New Roman"/>
                      <w:b w:val="0"/>
                      <w:bCs w:val="0"/>
                      <w:color w:val="000000"/>
                      <w:kern w:val="0"/>
                      <w:sz w:val="21"/>
                      <w:szCs w:val="21"/>
                      <w:lang w:val="en-US" w:eastAsia="zh-CN"/>
                    </w:rPr>
                    <w:t>使用少量清洗水，清洗水经处理后排入污水管网</w:t>
                  </w:r>
                  <w:r>
                    <w:rPr>
                      <w:rFonts w:hint="eastAsia" w:ascii="Times New Roman" w:hAnsi="Times New Roman" w:cs="Times New Roman"/>
                      <w:b w:val="0"/>
                      <w:bCs w:val="0"/>
                      <w:color w:val="000000"/>
                      <w:kern w:val="0"/>
                      <w:sz w:val="21"/>
                      <w:szCs w:val="21"/>
                      <w:lang w:val="en-US" w:eastAsia="zh-CN"/>
                    </w:rPr>
                    <w:t>，不会对地下水产生影响。</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5.到2025年，全国地级及以上缺水城市再生水利用率达到25%以上。</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项目</w:t>
                  </w:r>
                  <w:r>
                    <w:rPr>
                      <w:rFonts w:hint="eastAsia" w:cs="Times New Roman"/>
                      <w:b w:val="0"/>
                      <w:bCs w:val="0"/>
                      <w:color w:val="000000"/>
                      <w:kern w:val="0"/>
                      <w:sz w:val="21"/>
                      <w:szCs w:val="21"/>
                      <w:lang w:val="en-US" w:eastAsia="zh-CN"/>
                    </w:rPr>
                    <w:t>使用少量清洗水，清洗水经处理后排入污水管网</w:t>
                  </w:r>
                  <w:r>
                    <w:rPr>
                      <w:rFonts w:hint="eastAsia" w:ascii="Times New Roman" w:hAnsi="Times New Roman" w:cs="Times New Roman"/>
                      <w:b w:val="0"/>
                      <w:bCs w:val="0"/>
                      <w:color w:val="000000"/>
                      <w:kern w:val="0"/>
                      <w:sz w:val="21"/>
                      <w:szCs w:val="21"/>
                      <w:lang w:val="en-US" w:eastAsia="zh-CN"/>
                    </w:rPr>
                    <w:t>。</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109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 w:val="21"/>
                      <w:szCs w:val="21"/>
                    </w:rPr>
                  </w:pPr>
                </w:p>
              </w:tc>
              <w:tc>
                <w:tcPr>
                  <w:tcW w:w="4087"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rPr>
                    <w:t>6.二级国家级公益林在不影响整体森林生态系统功能发挥的前提下，可以按照相关技术规程的规定开展抚育和更新性质的采伐</w:t>
                  </w:r>
                  <w:r>
                    <w:rPr>
                      <w:rFonts w:hint="default" w:ascii="Times New Roman" w:hAnsi="Times New Roman" w:cs="Times New Roman"/>
                      <w:b w:val="0"/>
                      <w:bCs w:val="0"/>
                      <w:color w:val="000000"/>
                      <w:kern w:val="0"/>
                      <w:sz w:val="21"/>
                      <w:szCs w:val="21"/>
                      <w:lang w:eastAsia="zh-CN"/>
                    </w:rPr>
                    <w:t>……（</w:t>
                  </w:r>
                  <w:r>
                    <w:rPr>
                      <w:rFonts w:hint="default" w:ascii="Times New Roman" w:hAnsi="Times New Roman" w:cs="Times New Roman"/>
                      <w:b w:val="0"/>
                      <w:bCs w:val="0"/>
                      <w:color w:val="000000"/>
                      <w:kern w:val="0"/>
                      <w:sz w:val="21"/>
                      <w:szCs w:val="21"/>
                      <w:lang w:val="en-US" w:eastAsia="zh-CN"/>
                    </w:rPr>
                    <w:t>略</w:t>
                  </w:r>
                  <w:r>
                    <w:rPr>
                      <w:rFonts w:hint="default" w:ascii="Times New Roman" w:hAnsi="Times New Roman" w:cs="Times New Roman"/>
                      <w:b w:val="0"/>
                      <w:bCs w:val="0"/>
                      <w:color w:val="000000"/>
                      <w:kern w:val="0"/>
                      <w:sz w:val="21"/>
                      <w:szCs w:val="21"/>
                      <w:lang w:eastAsia="zh-CN"/>
                    </w:rPr>
                    <w:t>）</w:t>
                  </w:r>
                </w:p>
              </w:tc>
              <w:tc>
                <w:tcPr>
                  <w:tcW w:w="16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本项目不涉及。</w:t>
                  </w:r>
                </w:p>
              </w:tc>
              <w:tc>
                <w:tcPr>
                  <w:tcW w:w="83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1" w:type="dxa"/>
                <w:trHeight w:val="0" w:hRule="atLeast"/>
                <w:jc w:val="center"/>
              </w:trPr>
              <w:tc>
                <w:tcPr>
                  <w:tcW w:w="7674" w:type="dxa"/>
                  <w:gridSpan w:val="7"/>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color w:val="auto"/>
                      <w:kern w:val="0"/>
                      <w:sz w:val="21"/>
                      <w:szCs w:val="21"/>
                      <w:u w:val="none"/>
                      <w:lang w:val="en-US" w:eastAsia="zh-CN"/>
                    </w:rPr>
                    <w:t>新乡县大气布局敏感区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0" w:hRule="atLeast"/>
                <w:jc w:val="center"/>
              </w:trPr>
              <w:tc>
                <w:tcPr>
                  <w:tcW w:w="1549" w:type="dxa"/>
                  <w:gridSpan w:val="2"/>
                  <w:vMerge w:val="restart"/>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eastAsia="宋体" w:cs="Times New Roman"/>
                      <w:b w:val="0"/>
                      <w:bCs w:val="0"/>
                      <w:color w:val="auto"/>
                      <w:kern w:val="0"/>
                      <w:sz w:val="21"/>
                      <w:szCs w:val="21"/>
                      <w:u w:val="none"/>
                      <w:lang w:val="en-US" w:eastAsia="zh-CN"/>
                    </w:rPr>
                    <w:t>ZH41072120005</w:t>
                  </w:r>
                </w:p>
              </w:tc>
              <w:tc>
                <w:tcPr>
                  <w:tcW w:w="324" w:type="dxa"/>
                  <w:vMerge w:val="restart"/>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eastAsia="宋体" w:cs="Times New Roman"/>
                      <w:b w:val="0"/>
                      <w:bCs w:val="0"/>
                      <w:color w:val="auto"/>
                      <w:kern w:val="0"/>
                      <w:sz w:val="21"/>
                      <w:szCs w:val="21"/>
                      <w:u w:val="none"/>
                      <w:lang w:val="en-US" w:eastAsia="zh-CN"/>
                    </w:rPr>
                    <w:t>重点管控单元5</w:t>
                  </w:r>
                </w:p>
              </w:tc>
              <w:tc>
                <w:tcPr>
                  <w:tcW w:w="3309" w:type="dxa"/>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空间布局约束：</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1、禁止新建、改建及扩建高排放、高污染项目，包括钢铁、有色、水泥、平板玻璃、建筑陶瓷等行业及其他排放重金属、持久性有机污染物的工业项目等。</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2、禁止新、改、扩建“两高”项目。</w:t>
                  </w:r>
                </w:p>
              </w:tc>
              <w:tc>
                <w:tcPr>
                  <w:tcW w:w="2204" w:type="dxa"/>
                  <w:gridSpan w:val="2"/>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本项目不属于高污染、高排放项目，亦不属于“两高”项目</w:t>
                  </w:r>
                </w:p>
              </w:tc>
              <w:tc>
                <w:tcPr>
                  <w:tcW w:w="329" w:type="dxa"/>
                  <w:gridSpan w:val="2"/>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0" w:hRule="atLeast"/>
                <w:jc w:val="center"/>
              </w:trPr>
              <w:tc>
                <w:tcPr>
                  <w:tcW w:w="1549" w:type="dxa"/>
                  <w:gridSpan w:val="2"/>
                  <w:vMerge w:val="continue"/>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p>
              </w:tc>
              <w:tc>
                <w:tcPr>
                  <w:tcW w:w="324" w:type="dxa"/>
                  <w:vMerge w:val="continue"/>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p>
              </w:tc>
              <w:tc>
                <w:tcPr>
                  <w:tcW w:w="3309" w:type="dxa"/>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污染物排放管控：</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1、二氧化硫、氮氧化物、颗粒物、VOCs全面执行大气污染物特别排放限值。</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2、推进城中村、老旧城区和城乡结合部污水处理配套管网建设和雨污分流系统改造，实现污水全收集、全处理。</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3、加快城市建成区排水管网清污分流、污水处理厂提质增效，城镇污水处理厂逐步达到《地表水环境质量标准》V类排放标准。</w:t>
                  </w:r>
                </w:p>
              </w:tc>
              <w:tc>
                <w:tcPr>
                  <w:tcW w:w="2204" w:type="dxa"/>
                  <w:gridSpan w:val="2"/>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rPr>
                  </w:pPr>
                  <w:r>
                    <w:rPr>
                      <w:rFonts w:hint="eastAsia" w:cs="Times New Roman"/>
                      <w:b w:val="0"/>
                      <w:bCs w:val="0"/>
                      <w:kern w:val="0"/>
                      <w:sz w:val="21"/>
                      <w:szCs w:val="21"/>
                      <w:u w:val="none"/>
                      <w:lang w:val="en-US" w:eastAsia="zh-CN"/>
                    </w:rPr>
                    <w:t>本项目实验过程产生的</w:t>
                  </w:r>
                  <w:r>
                    <w:rPr>
                      <w:rFonts w:hint="default" w:ascii="Times New Roman" w:hAnsi="Times New Roman" w:eastAsia="宋体" w:cs="Times New Roman"/>
                      <w:b w:val="0"/>
                      <w:bCs w:val="0"/>
                      <w:color w:val="auto"/>
                      <w:kern w:val="0"/>
                      <w:sz w:val="21"/>
                      <w:szCs w:val="21"/>
                      <w:u w:val="none"/>
                      <w:lang w:val="en-US" w:eastAsia="zh-CN" w:bidi="ar-SA"/>
                    </w:rPr>
                    <w:t>VOCs</w:t>
                  </w:r>
                  <w:r>
                    <w:rPr>
                      <w:rFonts w:hint="eastAsia" w:ascii="Times New Roman" w:hAnsi="Times New Roman" w:eastAsia="宋体" w:cs="Times New Roman"/>
                      <w:b w:val="0"/>
                      <w:bCs w:val="0"/>
                      <w:color w:val="auto"/>
                      <w:kern w:val="0"/>
                      <w:sz w:val="21"/>
                      <w:szCs w:val="21"/>
                      <w:u w:val="none"/>
                      <w:lang w:val="en-US" w:eastAsia="zh-CN" w:bidi="ar-SA"/>
                    </w:rPr>
                    <w:t>执行大气污染物特别排放限值。生产废水经污水处理站治理后排入污水管网。</w:t>
                  </w:r>
                </w:p>
              </w:tc>
              <w:tc>
                <w:tcPr>
                  <w:tcW w:w="329" w:type="dxa"/>
                  <w:gridSpan w:val="2"/>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0" w:hRule="atLeast"/>
                <w:jc w:val="center"/>
              </w:trPr>
              <w:tc>
                <w:tcPr>
                  <w:tcW w:w="1549" w:type="dxa"/>
                  <w:gridSpan w:val="2"/>
                  <w:vMerge w:val="continue"/>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p>
              </w:tc>
              <w:tc>
                <w:tcPr>
                  <w:tcW w:w="324" w:type="dxa"/>
                  <w:vMerge w:val="continue"/>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p>
              </w:tc>
              <w:tc>
                <w:tcPr>
                  <w:tcW w:w="3309" w:type="dxa"/>
                  <w:tcBorders>
                    <w:tl2br w:val="nil"/>
                    <w:tr2bl w:val="nil"/>
                  </w:tcBorders>
                  <w:noWrap w:val="0"/>
                  <w:tcMar>
                    <w:top w:w="28" w:type="dxa"/>
                    <w:bottom w:w="57" w:type="dxa"/>
                  </w:tcMar>
                  <w:vAlign w:val="center"/>
                </w:tcPr>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环境风险防控：</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高关注地块划分污染风险等级，纳入优先管控名录。</w:t>
                  </w:r>
                </w:p>
              </w:tc>
              <w:tc>
                <w:tcPr>
                  <w:tcW w:w="2204" w:type="dxa"/>
                  <w:gridSpan w:val="2"/>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bidi="ar-SA"/>
                    </w:rPr>
                  </w:pPr>
                  <w:r>
                    <w:rPr>
                      <w:rFonts w:hint="default" w:ascii="Times New Roman" w:hAnsi="Times New Roman" w:eastAsia="宋体" w:cs="Times New Roman"/>
                      <w:color w:val="000000"/>
                      <w:kern w:val="0"/>
                      <w:sz w:val="21"/>
                      <w:szCs w:val="21"/>
                    </w:rPr>
                    <w:t>本项目用地不属于污染地块名单。</w:t>
                  </w:r>
                </w:p>
              </w:tc>
              <w:tc>
                <w:tcPr>
                  <w:tcW w:w="329" w:type="dxa"/>
                  <w:gridSpan w:val="2"/>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bidi="ar-SA"/>
                    </w:rPr>
                  </w:pPr>
                  <w:r>
                    <w:rPr>
                      <w:rFonts w:hint="default" w:ascii="Times New Roman" w:hAnsi="Times New Roman" w:eastAsia="宋体" w:cs="Times New Roman"/>
                      <w:b w:val="0"/>
                      <w:bCs w:val="0"/>
                      <w:kern w:val="0"/>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0" w:hRule="atLeast"/>
                <w:jc w:val="center"/>
              </w:trPr>
              <w:tc>
                <w:tcPr>
                  <w:tcW w:w="1549" w:type="dxa"/>
                  <w:gridSpan w:val="2"/>
                  <w:vMerge w:val="continue"/>
                  <w:noWrap w:val="0"/>
                  <w:vAlign w:val="top"/>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p>
              </w:tc>
              <w:tc>
                <w:tcPr>
                  <w:tcW w:w="324" w:type="dxa"/>
                  <w:vMerge w:val="continue"/>
                  <w:noWrap w:val="0"/>
                  <w:vAlign w:val="top"/>
                </w:tcPr>
                <w:p>
                  <w:pPr>
                    <w:pStyle w:val="7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u w:val="none"/>
                      <w:lang w:val="en-US" w:eastAsia="zh-CN"/>
                    </w:rPr>
                  </w:pPr>
                </w:p>
              </w:tc>
              <w:tc>
                <w:tcPr>
                  <w:tcW w:w="3309" w:type="dxa"/>
                  <w:noWrap w:val="0"/>
                  <w:vAlign w:val="center"/>
                </w:tcPr>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资源利用效率要求：</w:t>
                  </w:r>
                </w:p>
                <w:p>
                  <w:pPr>
                    <w:pStyle w:val="74"/>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u w:val="none"/>
                      <w:lang w:val="en-US" w:eastAsia="zh-CN" w:bidi="ar-SA"/>
                    </w:rPr>
                    <w:t>进一步优化能源结构，加快集中供热、供气及配套管网建设。不得新改扩建分散燃煤设施。</w:t>
                  </w:r>
                </w:p>
              </w:tc>
              <w:tc>
                <w:tcPr>
                  <w:tcW w:w="2204" w:type="dxa"/>
                  <w:gridSpan w:val="2"/>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bidi="ar-SA"/>
                    </w:rPr>
                  </w:pPr>
                  <w:r>
                    <w:rPr>
                      <w:rFonts w:hint="eastAsia" w:cs="Times New Roman"/>
                      <w:b w:val="0"/>
                      <w:bCs w:val="0"/>
                      <w:kern w:val="0"/>
                      <w:sz w:val="21"/>
                      <w:szCs w:val="21"/>
                      <w:u w:val="none"/>
                      <w:lang w:val="en-US" w:eastAsia="zh-CN"/>
                    </w:rPr>
                    <w:t>本项目不涉及</w:t>
                  </w:r>
                </w:p>
              </w:tc>
              <w:tc>
                <w:tcPr>
                  <w:tcW w:w="329" w:type="dxa"/>
                  <w:gridSpan w:val="2"/>
                  <w:noWrap w:val="0"/>
                  <w:vAlign w:val="center"/>
                </w:tcPr>
                <w:p>
                  <w:pPr>
                    <w:pStyle w:val="7"/>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val="0"/>
                      <w:kern w:val="0"/>
                      <w:sz w:val="21"/>
                      <w:szCs w:val="21"/>
                      <w:u w:val="none"/>
                      <w:lang w:val="en-US" w:eastAsia="zh-CN" w:bidi="ar-SA"/>
                    </w:rPr>
                  </w:pPr>
                  <w:r>
                    <w:rPr>
                      <w:rFonts w:hint="default" w:ascii="Times New Roman" w:hAnsi="Times New Roman" w:eastAsia="宋体" w:cs="Times New Roman"/>
                      <w:b w:val="0"/>
                      <w:bCs w:val="0"/>
                      <w:kern w:val="0"/>
                      <w:sz w:val="21"/>
                      <w:szCs w:val="21"/>
                      <w:u w:val="none"/>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default" w:ascii="Times New Roman" w:hAnsi="Times New Roman" w:eastAsia="黑体" w:cs="Times New Roman"/>
                <w:color w:val="000000"/>
                <w:sz w:val="24"/>
              </w:rPr>
            </w:pPr>
            <w:r>
              <w:rPr>
                <w:rFonts w:hint="eastAsia" w:cs="Times New Roman"/>
                <w:b/>
                <w:sz w:val="24"/>
                <w:lang w:val="en-US" w:eastAsia="zh-CN"/>
              </w:rPr>
              <w:t>6</w:t>
            </w:r>
            <w:r>
              <w:rPr>
                <w:rFonts w:hint="default" w:ascii="Times New Roman" w:hAnsi="Times New Roman" w:eastAsia="宋体" w:cs="Times New Roman"/>
                <w:b/>
                <w:sz w:val="24"/>
              </w:rPr>
              <w:t>、</w:t>
            </w:r>
            <w:r>
              <w:rPr>
                <w:rFonts w:hint="default" w:ascii="Times New Roman" w:hAnsi="Times New Roman" w:eastAsia="宋体" w:cs="Times New Roman"/>
                <w:b/>
                <w:bCs/>
                <w:color w:val="000000"/>
                <w:kern w:val="0"/>
                <w:sz w:val="24"/>
              </w:rPr>
              <w:t>本项目与《新乡市2022年大气、水、土壤污染防治攻坚战及农业农村污染治理攻坚战实施方案的通知》</w:t>
            </w:r>
            <w:r>
              <w:rPr>
                <w:rFonts w:hint="default" w:ascii="Times New Roman" w:hAnsi="Times New Roman" w:eastAsia="宋体" w:cs="Times New Roman"/>
                <w:b/>
                <w:bCs w:val="0"/>
                <w:color w:val="000000"/>
                <w:sz w:val="24"/>
                <w:u w:val="none"/>
              </w:rPr>
              <w:t>（</w:t>
            </w:r>
            <w:r>
              <w:rPr>
                <w:rFonts w:hint="default" w:ascii="Times New Roman" w:hAnsi="Times New Roman" w:eastAsia="宋体" w:cs="Times New Roman"/>
                <w:b/>
                <w:bCs w:val="0"/>
                <w:color w:val="000000"/>
                <w:sz w:val="24"/>
                <w:u w:val="none"/>
                <w:lang w:eastAsia="zh-CN"/>
              </w:rPr>
              <w:t>新环攻坚办</w:t>
            </w:r>
            <w:r>
              <w:rPr>
                <w:rFonts w:hint="default" w:ascii="Times New Roman" w:hAnsi="Times New Roman" w:eastAsia="宋体" w:cs="Times New Roman"/>
                <w:b/>
                <w:bCs w:val="0"/>
                <w:color w:val="000000"/>
                <w:sz w:val="24"/>
                <w:u w:val="none"/>
              </w:rPr>
              <w:t>〔202</w:t>
            </w:r>
            <w:r>
              <w:rPr>
                <w:rFonts w:hint="default" w:ascii="Times New Roman" w:hAnsi="Times New Roman" w:eastAsia="宋体" w:cs="Times New Roman"/>
                <w:b/>
                <w:bCs w:val="0"/>
                <w:color w:val="000000"/>
                <w:sz w:val="24"/>
                <w:u w:val="none"/>
                <w:lang w:val="en-US" w:eastAsia="zh-CN"/>
              </w:rPr>
              <w:t>2</w:t>
            </w:r>
            <w:r>
              <w:rPr>
                <w:rFonts w:hint="default" w:ascii="Times New Roman" w:hAnsi="Times New Roman" w:eastAsia="宋体" w:cs="Times New Roman"/>
                <w:b/>
                <w:bCs w:val="0"/>
                <w:color w:val="000000"/>
                <w:sz w:val="24"/>
                <w:u w:val="none"/>
              </w:rPr>
              <w:t>〕</w:t>
            </w:r>
            <w:r>
              <w:rPr>
                <w:rFonts w:hint="default" w:ascii="Times New Roman" w:hAnsi="Times New Roman" w:eastAsia="宋体" w:cs="Times New Roman"/>
                <w:b/>
                <w:bCs w:val="0"/>
                <w:color w:val="000000"/>
                <w:sz w:val="24"/>
                <w:u w:val="none"/>
                <w:lang w:val="en-US" w:eastAsia="zh-CN"/>
              </w:rPr>
              <w:t>60</w:t>
            </w:r>
            <w:r>
              <w:rPr>
                <w:rFonts w:hint="default" w:ascii="Times New Roman" w:hAnsi="Times New Roman" w:eastAsia="宋体" w:cs="Times New Roman"/>
                <w:b/>
                <w:bCs w:val="0"/>
                <w:color w:val="000000"/>
                <w:sz w:val="24"/>
                <w:u w:val="none"/>
              </w:rPr>
              <w:t>号）</w:t>
            </w:r>
            <w:r>
              <w:rPr>
                <w:rFonts w:hint="default" w:ascii="Times New Roman" w:hAnsi="Times New Roman" w:eastAsia="宋体" w:cs="Times New Roman"/>
                <w:b/>
                <w:bCs/>
                <w:color w:val="000000"/>
                <w:kern w:val="0"/>
                <w:sz w:val="24"/>
              </w:rPr>
              <w:t>相符性分析</w:t>
            </w:r>
          </w:p>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480" w:firstLineChars="200"/>
              <w:jc w:val="left"/>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表1-</w:t>
            </w:r>
            <w:r>
              <w:rPr>
                <w:rFonts w:hint="eastAsia" w:ascii="Times New Roman" w:hAnsi="Times New Roman" w:eastAsia="黑体" w:cs="Times New Roman"/>
                <w:b w:val="0"/>
                <w:bCs w:val="0"/>
                <w:color w:val="auto"/>
                <w:sz w:val="24"/>
                <w:szCs w:val="24"/>
                <w:lang w:val="en-US" w:eastAsia="zh-CN"/>
              </w:rPr>
              <w:t>3</w:t>
            </w:r>
            <w:r>
              <w:rPr>
                <w:rFonts w:hint="eastAsia"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与新环攻坚办【2022】60号相符性分析</w:t>
            </w:r>
          </w:p>
          <w:tbl>
            <w:tblPr>
              <w:tblStyle w:val="30"/>
              <w:tblW w:w="770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8"/>
              <w:gridCol w:w="4745"/>
              <w:gridCol w:w="1554"/>
              <w:gridCol w:w="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98"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类别</w:t>
                  </w:r>
                </w:p>
              </w:tc>
              <w:tc>
                <w:tcPr>
                  <w:tcW w:w="4745"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主要内容</w:t>
                  </w:r>
                </w:p>
              </w:tc>
              <w:tc>
                <w:tcPr>
                  <w:tcW w:w="1554"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本项目</w:t>
                  </w:r>
                </w:p>
              </w:tc>
              <w:tc>
                <w:tcPr>
                  <w:tcW w:w="711" w:type="dxa"/>
                  <w:noWrap w:val="0"/>
                  <w:vAlign w:val="center"/>
                </w:tcPr>
                <w:p>
                  <w:pPr>
                    <w:pStyle w:val="11"/>
                    <w:keepNext w:val="0"/>
                    <w:keepLines w:val="0"/>
                    <w:suppressLineNumbers w:val="0"/>
                    <w:spacing w:before="0" w:beforeAutospacing="0" w:after="0" w:afterAutospacing="0" w:line="360" w:lineRule="exact"/>
                    <w:ind w:left="0" w:right="0"/>
                    <w:jc w:val="center"/>
                    <w:rPr>
                      <w:b/>
                      <w:sz w:val="21"/>
                      <w:szCs w:val="21"/>
                    </w:rPr>
                  </w:pPr>
                  <w:r>
                    <w:rPr>
                      <w:bCs/>
                      <w:sz w:val="21"/>
                      <w:szCs w:val="21"/>
                    </w:rPr>
                    <w:t>相符性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7708" w:type="dxa"/>
                  <w:gridSpan w:val="4"/>
                  <w:noWrap w:val="0"/>
                  <w:vAlign w:val="center"/>
                </w:tcPr>
                <w:p>
                  <w:pPr>
                    <w:pStyle w:val="11"/>
                    <w:keepNext w:val="0"/>
                    <w:keepLines w:val="0"/>
                    <w:suppressLineNumbers w:val="0"/>
                    <w:spacing w:before="0" w:beforeAutospacing="0" w:after="0" w:afterAutospacing="0" w:line="360" w:lineRule="exact"/>
                    <w:ind w:left="0" w:right="0"/>
                    <w:jc w:val="center"/>
                    <w:rPr>
                      <w:b/>
                      <w:sz w:val="21"/>
                      <w:szCs w:val="21"/>
                    </w:rPr>
                  </w:pPr>
                  <w:r>
                    <w:rPr>
                      <w:b/>
                      <w:sz w:val="21"/>
                      <w:szCs w:val="21"/>
                    </w:rPr>
                    <w:t>新乡市2022年大气污染防治攻坚战实施方案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98"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严格项目准入，推进绿色低碳产业发展</w:t>
                  </w:r>
                </w:p>
              </w:tc>
              <w:tc>
                <w:tcPr>
                  <w:tcW w:w="4745" w:type="dxa"/>
                  <w:noWrap w:val="0"/>
                  <w:vAlign w:val="center"/>
                </w:tcPr>
                <w:p>
                  <w:pPr>
                    <w:pStyle w:val="11"/>
                    <w:keepNext w:val="0"/>
                    <w:keepLines w:val="0"/>
                    <w:suppressLineNumbers w:val="0"/>
                    <w:spacing w:beforeAutospacing="0" w:afterAutospacing="0" w:line="360" w:lineRule="exact"/>
                    <w:ind w:left="0" w:right="0"/>
                    <w:jc w:val="left"/>
                    <w:rPr>
                      <w:sz w:val="21"/>
                      <w:szCs w:val="21"/>
                    </w:rPr>
                  </w:pPr>
                  <w:r>
                    <w:rPr>
                      <w:sz w:val="21"/>
                      <w:szCs w:val="21"/>
                    </w:rPr>
                    <w:t>项目准入严格落实国家产业规划、产业政策、</w:t>
                  </w:r>
                  <w:r>
                    <w:rPr>
                      <w:rFonts w:hint="eastAsia"/>
                      <w:sz w:val="21"/>
                      <w:szCs w:val="21"/>
                    </w:rPr>
                    <w:t>“</w:t>
                  </w:r>
                  <w:r>
                    <w:rPr>
                      <w:sz w:val="21"/>
                      <w:szCs w:val="21"/>
                    </w:rPr>
                    <w:t>三线一单</w:t>
                  </w:r>
                  <w:r>
                    <w:rPr>
                      <w:rFonts w:hint="eastAsia"/>
                      <w:sz w:val="21"/>
                      <w:szCs w:val="21"/>
                    </w:rPr>
                    <w:t>”</w:t>
                  </w:r>
                  <w:r>
                    <w:rPr>
                      <w:sz w:val="21"/>
                      <w:szCs w:val="21"/>
                    </w:rPr>
                    <w:t>、规划环评，以及产能置换、煤炭消费减量替代、区域污染物削减等相关要求，积极支持节能环保、新能源等战略性新兴产业发展，坚决遏制高耗能、高排放项目盲目建设，</w:t>
                  </w:r>
                  <w:r>
                    <w:rPr>
                      <w:rFonts w:hint="eastAsia"/>
                      <w:sz w:val="21"/>
                      <w:szCs w:val="21"/>
                    </w:rPr>
                    <w:t>“两高”</w:t>
                  </w:r>
                  <w:r>
                    <w:rPr>
                      <w:sz w:val="21"/>
                      <w:szCs w:val="21"/>
                    </w:rPr>
                    <w:t>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w:t>
                  </w:r>
                  <w:r>
                    <w:rPr>
                      <w:rFonts w:hint="eastAsia"/>
                      <w:sz w:val="21"/>
                      <w:szCs w:val="21"/>
                    </w:rPr>
                    <w:t>“</w:t>
                  </w:r>
                  <w:r>
                    <w:rPr>
                      <w:sz w:val="21"/>
                      <w:szCs w:val="21"/>
                    </w:rPr>
                    <w:t>三同时</w:t>
                  </w:r>
                  <w:r>
                    <w:rPr>
                      <w:rFonts w:hint="eastAsia"/>
                      <w:sz w:val="21"/>
                      <w:szCs w:val="21"/>
                    </w:rPr>
                    <w:t>”</w:t>
                  </w:r>
                  <w:r>
                    <w:rPr>
                      <w:sz w:val="21"/>
                      <w:szCs w:val="21"/>
                    </w:rPr>
                    <w:t>管理，国家、省绩效分级重点行业企业新建、扩建项目达到A 级绩效水平，改建项目达到B 级以上绩效水平。</w:t>
                  </w:r>
                </w:p>
              </w:tc>
              <w:tc>
                <w:tcPr>
                  <w:tcW w:w="1554"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本项目符合新乡市“三线一单”分区管控要求，不属于高耗能、高排放项目，项目后期将严格落实</w:t>
                  </w:r>
                  <w:r>
                    <w:rPr>
                      <w:rFonts w:hint="eastAsia"/>
                      <w:sz w:val="21"/>
                      <w:szCs w:val="21"/>
                    </w:rPr>
                    <w:t>“</w:t>
                  </w:r>
                  <w:r>
                    <w:rPr>
                      <w:sz w:val="21"/>
                      <w:szCs w:val="21"/>
                    </w:rPr>
                    <w:t>三同时</w:t>
                  </w:r>
                  <w:r>
                    <w:rPr>
                      <w:rFonts w:hint="eastAsia"/>
                      <w:sz w:val="21"/>
                      <w:szCs w:val="21"/>
                    </w:rPr>
                    <w:t>”</w:t>
                  </w:r>
                  <w:r>
                    <w:rPr>
                      <w:sz w:val="21"/>
                      <w:szCs w:val="21"/>
                    </w:rPr>
                    <w:t>管理制度。本项目不属于重点行业。</w:t>
                  </w:r>
                </w:p>
              </w:tc>
              <w:tc>
                <w:tcPr>
                  <w:tcW w:w="711" w:type="dxa"/>
                  <w:noWrap w:val="0"/>
                  <w:vAlign w:val="center"/>
                </w:tcPr>
                <w:p>
                  <w:pPr>
                    <w:pStyle w:val="11"/>
                    <w:keepNext w:val="0"/>
                    <w:keepLines w:val="0"/>
                    <w:suppressLineNumbers w:val="0"/>
                    <w:spacing w:before="0" w:beforeAutospacing="0" w:after="0" w:afterAutospacing="0" w:line="360" w:lineRule="exact"/>
                    <w:ind w:left="0" w:right="0"/>
                    <w:jc w:val="center"/>
                    <w:rPr>
                      <w:bCs/>
                      <w:sz w:val="21"/>
                      <w:szCs w:val="21"/>
                    </w:rPr>
                  </w:pPr>
                  <w:r>
                    <w:rPr>
                      <w:bCs/>
                      <w:sz w:val="21"/>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98"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提升VOCs 无组织排放治理水平</w:t>
                  </w:r>
                </w:p>
              </w:tc>
              <w:tc>
                <w:tcPr>
                  <w:tcW w:w="4745" w:type="dxa"/>
                  <w:noWrap w:val="0"/>
                  <w:vAlign w:val="center"/>
                </w:tcPr>
                <w:p>
                  <w:pPr>
                    <w:pStyle w:val="11"/>
                    <w:keepNext w:val="0"/>
                    <w:keepLines w:val="0"/>
                    <w:suppressLineNumbers w:val="0"/>
                    <w:spacing w:beforeAutospacing="0" w:afterAutospacing="0" w:line="360" w:lineRule="exact"/>
                    <w:ind w:left="0" w:right="0"/>
                    <w:jc w:val="left"/>
                    <w:rPr>
                      <w:sz w:val="21"/>
                      <w:szCs w:val="21"/>
                    </w:rPr>
                  </w:pPr>
                  <w:r>
                    <w:rPr>
                      <w:sz w:val="21"/>
                      <w:szCs w:val="21"/>
                    </w:rPr>
                    <w:t>2022 年5月底前，全面排查含VOCs物料储存、转移和输送、设备与管线组件、敞开液面以及工艺过程等环节无组织排放情况，组织开展VOCs 抽测，开展工业涂装、印刷行业挥发性有机物排放标准执行情况检查，对达不到相关标准要求的问题进行整治。</w:t>
                  </w:r>
                </w:p>
              </w:tc>
              <w:tc>
                <w:tcPr>
                  <w:tcW w:w="1554"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本项目涉及VOCs的物料</w:t>
                  </w:r>
                  <w:r>
                    <w:rPr>
                      <w:rFonts w:hint="eastAsia"/>
                      <w:sz w:val="21"/>
                      <w:szCs w:val="21"/>
                      <w:lang w:val="en-US" w:eastAsia="zh-CN"/>
                    </w:rPr>
                    <w:t>均采用瓶装</w:t>
                  </w:r>
                  <w:r>
                    <w:rPr>
                      <w:sz w:val="21"/>
                      <w:szCs w:val="21"/>
                    </w:rPr>
                    <w:t>储存，产生的少量废气经治理后达标排放。</w:t>
                  </w:r>
                </w:p>
              </w:tc>
              <w:tc>
                <w:tcPr>
                  <w:tcW w:w="711" w:type="dxa"/>
                  <w:noWrap w:val="0"/>
                  <w:vAlign w:val="center"/>
                </w:tcPr>
                <w:p>
                  <w:pPr>
                    <w:pStyle w:val="11"/>
                    <w:keepNext w:val="0"/>
                    <w:keepLines w:val="0"/>
                    <w:suppressLineNumbers w:val="0"/>
                    <w:spacing w:before="0" w:beforeAutospacing="0" w:after="0" w:afterAutospacing="0" w:line="360" w:lineRule="exact"/>
                    <w:ind w:left="0" w:right="0"/>
                    <w:jc w:val="center"/>
                    <w:rPr>
                      <w:bCs/>
                      <w:sz w:val="21"/>
                      <w:szCs w:val="21"/>
                    </w:rPr>
                  </w:pPr>
                  <w:r>
                    <w:rPr>
                      <w:bCs/>
                      <w:sz w:val="21"/>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98"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强化VOCs 日常监管</w:t>
                  </w:r>
                </w:p>
              </w:tc>
              <w:tc>
                <w:tcPr>
                  <w:tcW w:w="4745" w:type="dxa"/>
                  <w:noWrap w:val="0"/>
                  <w:vAlign w:val="center"/>
                </w:tcPr>
                <w:p>
                  <w:pPr>
                    <w:pStyle w:val="11"/>
                    <w:keepNext w:val="0"/>
                    <w:keepLines w:val="0"/>
                    <w:suppressLineNumbers w:val="0"/>
                    <w:spacing w:beforeAutospacing="0" w:afterAutospacing="0" w:line="360" w:lineRule="exact"/>
                    <w:ind w:left="0" w:right="0"/>
                    <w:jc w:val="left"/>
                    <w:rPr>
                      <w:sz w:val="21"/>
                      <w:szCs w:val="21"/>
                    </w:rPr>
                  </w:pPr>
                  <w:r>
                    <w:rPr>
                      <w:sz w:val="21"/>
                      <w:szCs w:val="21"/>
                    </w:rPr>
                    <w:t>加强挥发性有机物排放管理，引导涉VOCs 污染物排放企业妥善安排生产计划，在夏季（5-9 月份）减少开停车、放空、开釜等操作。涉VOCs 防腐、防水、防锈等涂装作业及大中型装修、外立面改造、道路划线、沥青铺设等施工作业，应当避开臭氧污染易发的高温时段。加强非正常工况废气排放管理。</w:t>
                  </w:r>
                </w:p>
              </w:tc>
              <w:tc>
                <w:tcPr>
                  <w:tcW w:w="1554"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本项目不属于重点行业，在生产过程中加强涉VOCs排放的管理。</w:t>
                  </w:r>
                </w:p>
              </w:tc>
              <w:tc>
                <w:tcPr>
                  <w:tcW w:w="711" w:type="dxa"/>
                  <w:noWrap w:val="0"/>
                  <w:vAlign w:val="center"/>
                </w:tcPr>
                <w:p>
                  <w:pPr>
                    <w:pStyle w:val="11"/>
                    <w:keepNext w:val="0"/>
                    <w:keepLines w:val="0"/>
                    <w:suppressLineNumbers w:val="0"/>
                    <w:spacing w:before="0" w:beforeAutospacing="0" w:after="0" w:afterAutospacing="0" w:line="360" w:lineRule="exact"/>
                    <w:ind w:left="0" w:right="0"/>
                    <w:jc w:val="center"/>
                    <w:rPr>
                      <w:bCs/>
                      <w:sz w:val="21"/>
                      <w:szCs w:val="21"/>
                    </w:rPr>
                  </w:pPr>
                  <w:r>
                    <w:rPr>
                      <w:bCs/>
                      <w:sz w:val="21"/>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7708" w:type="dxa"/>
                  <w:gridSpan w:val="4"/>
                  <w:noWrap w:val="0"/>
                  <w:vAlign w:val="center"/>
                </w:tcPr>
                <w:p>
                  <w:pPr>
                    <w:pStyle w:val="11"/>
                    <w:keepNext w:val="0"/>
                    <w:keepLines w:val="0"/>
                    <w:suppressLineNumbers w:val="0"/>
                    <w:spacing w:before="0" w:beforeAutospacing="0" w:after="0" w:afterAutospacing="0" w:line="360" w:lineRule="exact"/>
                    <w:ind w:left="0" w:right="0"/>
                    <w:jc w:val="center"/>
                    <w:rPr>
                      <w:b/>
                      <w:sz w:val="21"/>
                      <w:szCs w:val="21"/>
                    </w:rPr>
                  </w:pPr>
                  <w:r>
                    <w:rPr>
                      <w:b/>
                      <w:sz w:val="21"/>
                      <w:szCs w:val="21"/>
                    </w:rPr>
                    <w:t>新乡市2022年水污染防治攻坚战实施方案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98" w:type="dxa"/>
                  <w:noWrap w:val="0"/>
                  <w:vAlign w:val="center"/>
                </w:tcPr>
                <w:p>
                  <w:pPr>
                    <w:keepNext w:val="0"/>
                    <w:keepLines w:val="0"/>
                    <w:suppressLineNumbers w:val="0"/>
                    <w:snapToGrid w:val="0"/>
                    <w:spacing w:before="0" w:beforeAutospacing="0" w:after="0" w:afterAutospacing="0" w:line="360" w:lineRule="exact"/>
                    <w:ind w:left="0" w:right="0"/>
                    <w:jc w:val="center"/>
                    <w:rPr>
                      <w:kern w:val="0"/>
                      <w:szCs w:val="21"/>
                    </w:rPr>
                  </w:pPr>
                  <w:r>
                    <w:rPr>
                      <w:kern w:val="0"/>
                      <w:szCs w:val="21"/>
                    </w:rPr>
                    <w:t>调整优化产业结构</w:t>
                  </w:r>
                </w:p>
              </w:tc>
              <w:tc>
                <w:tcPr>
                  <w:tcW w:w="4745" w:type="dxa"/>
                  <w:noWrap w:val="0"/>
                  <w:vAlign w:val="center"/>
                </w:tcPr>
                <w:p>
                  <w:pPr>
                    <w:keepNext w:val="0"/>
                    <w:keepLines w:val="0"/>
                    <w:suppressLineNumbers w:val="0"/>
                    <w:snapToGrid w:val="0"/>
                    <w:spacing w:before="0" w:beforeAutospacing="0" w:after="0" w:afterAutospacing="0" w:line="360" w:lineRule="exact"/>
                    <w:ind w:left="0" w:right="0"/>
                    <w:jc w:val="left"/>
                    <w:rPr>
                      <w:kern w:val="0"/>
                      <w:szCs w:val="21"/>
                    </w:rPr>
                  </w:pPr>
                  <w:r>
                    <w:rPr>
                      <w:kern w:val="0"/>
                      <w:szCs w:val="21"/>
                    </w:rPr>
                    <w:t>严格执行</w:t>
                  </w:r>
                  <w:r>
                    <w:rPr>
                      <w:rFonts w:hint="eastAsia"/>
                      <w:szCs w:val="21"/>
                    </w:rPr>
                    <w:t>“</w:t>
                  </w:r>
                  <w:r>
                    <w:rPr>
                      <w:szCs w:val="21"/>
                    </w:rPr>
                    <w:t>三线一单</w:t>
                  </w:r>
                  <w:r>
                    <w:rPr>
                      <w:rFonts w:hint="eastAsia"/>
                      <w:szCs w:val="21"/>
                    </w:rPr>
                    <w:t>”</w:t>
                  </w:r>
                  <w:r>
                    <w:rPr>
                      <w:kern w:val="0"/>
                      <w:szCs w:val="21"/>
                    </w:rPr>
                    <w:t>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w:t>
                  </w:r>
                </w:p>
                <w:p>
                  <w:pPr>
                    <w:keepNext w:val="0"/>
                    <w:keepLines w:val="0"/>
                    <w:suppressLineNumbers w:val="0"/>
                    <w:snapToGrid w:val="0"/>
                    <w:spacing w:before="0" w:beforeAutospacing="0" w:after="0" w:afterAutospacing="0" w:line="360" w:lineRule="exact"/>
                    <w:ind w:left="0" w:right="0"/>
                    <w:jc w:val="left"/>
                    <w:rPr>
                      <w:kern w:val="0"/>
                      <w:szCs w:val="21"/>
                    </w:rPr>
                  </w:pPr>
                  <w:r>
                    <w:rPr>
                      <w:kern w:val="0"/>
                      <w:szCs w:val="21"/>
                    </w:rPr>
                    <w:t>水污染严重地区高污染企业布局优化，制定实施落后产能淘汰方案。严禁在黄河干流及主要支流临岸一定范围内新建“两高一资”项目及相关产业园区。</w:t>
                  </w:r>
                </w:p>
              </w:tc>
              <w:tc>
                <w:tcPr>
                  <w:tcW w:w="1554" w:type="dxa"/>
                  <w:noWrap w:val="0"/>
                  <w:vAlign w:val="center"/>
                </w:tcPr>
                <w:p>
                  <w:pPr>
                    <w:keepNext w:val="0"/>
                    <w:keepLines w:val="0"/>
                    <w:suppressLineNumbers w:val="0"/>
                    <w:snapToGrid w:val="0"/>
                    <w:spacing w:before="0" w:beforeAutospacing="0" w:after="0" w:afterAutospacing="0" w:line="360" w:lineRule="exact"/>
                    <w:ind w:left="0" w:right="0"/>
                    <w:jc w:val="left"/>
                    <w:rPr>
                      <w:rFonts w:hint="eastAsia"/>
                      <w:kern w:val="0"/>
                      <w:szCs w:val="21"/>
                    </w:rPr>
                  </w:pPr>
                  <w:r>
                    <w:rPr>
                      <w:kern w:val="0"/>
                      <w:szCs w:val="21"/>
                    </w:rPr>
                    <w:t>本项目建设符合</w:t>
                  </w:r>
                  <w:r>
                    <w:rPr>
                      <w:rFonts w:hint="eastAsia"/>
                      <w:szCs w:val="21"/>
                    </w:rPr>
                    <w:t>“</w:t>
                  </w:r>
                  <w:r>
                    <w:rPr>
                      <w:szCs w:val="21"/>
                    </w:rPr>
                    <w:t>三线一单</w:t>
                  </w:r>
                  <w:r>
                    <w:rPr>
                      <w:rFonts w:hint="eastAsia"/>
                      <w:szCs w:val="21"/>
                    </w:rPr>
                    <w:t>”</w:t>
                  </w:r>
                  <w:r>
                    <w:rPr>
                      <w:kern w:val="0"/>
                      <w:szCs w:val="21"/>
                    </w:rPr>
                    <w:t>生态环境分区管控要求，项目厂址不属于黄河干流及主要支流临岸，不属于“两高一资”项目</w:t>
                  </w:r>
                  <w:r>
                    <w:rPr>
                      <w:rFonts w:hint="eastAsia"/>
                      <w:kern w:val="0"/>
                      <w:szCs w:val="21"/>
                    </w:rPr>
                    <w:t>。</w:t>
                  </w:r>
                </w:p>
              </w:tc>
              <w:tc>
                <w:tcPr>
                  <w:tcW w:w="711" w:type="dxa"/>
                  <w:noWrap w:val="0"/>
                  <w:vAlign w:val="center"/>
                </w:tcPr>
                <w:p>
                  <w:pPr>
                    <w:keepNext w:val="0"/>
                    <w:keepLines w:val="0"/>
                    <w:suppressLineNumbers w:val="0"/>
                    <w:snapToGrid w:val="0"/>
                    <w:spacing w:before="0" w:beforeAutospacing="0" w:after="0" w:afterAutospacing="0" w:line="360" w:lineRule="exact"/>
                    <w:ind w:left="0" w:right="0"/>
                    <w:jc w:val="center"/>
                    <w:rPr>
                      <w:b/>
                      <w:kern w:val="0"/>
                      <w:szCs w:val="21"/>
                    </w:rPr>
                  </w:pPr>
                  <w:r>
                    <w:rPr>
                      <w:bCs/>
                      <w:kern w:val="0"/>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7708" w:type="dxa"/>
                  <w:gridSpan w:val="4"/>
                  <w:noWrap w:val="0"/>
                  <w:vAlign w:val="center"/>
                </w:tcPr>
                <w:p>
                  <w:pPr>
                    <w:keepNext w:val="0"/>
                    <w:keepLines w:val="0"/>
                    <w:suppressLineNumbers w:val="0"/>
                    <w:snapToGrid w:val="0"/>
                    <w:spacing w:before="0" w:beforeAutospacing="0" w:after="0" w:afterAutospacing="0" w:line="360" w:lineRule="exact"/>
                    <w:ind w:left="0" w:right="0"/>
                    <w:jc w:val="center"/>
                    <w:rPr>
                      <w:b/>
                      <w:kern w:val="0"/>
                      <w:szCs w:val="21"/>
                    </w:rPr>
                  </w:pPr>
                  <w:r>
                    <w:rPr>
                      <w:b/>
                      <w:kern w:val="0"/>
                      <w:szCs w:val="21"/>
                    </w:rPr>
                    <w:t>新乡市2022年土壤污染防治攻战坚实施方案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698" w:type="dxa"/>
                  <w:noWrap w:val="0"/>
                  <w:vAlign w:val="center"/>
                </w:tcPr>
                <w:p>
                  <w:pPr>
                    <w:pStyle w:val="11"/>
                    <w:keepNext w:val="0"/>
                    <w:keepLines w:val="0"/>
                    <w:suppressLineNumbers w:val="0"/>
                    <w:spacing w:before="0" w:beforeAutospacing="0" w:after="0" w:afterAutospacing="0" w:line="360" w:lineRule="exact"/>
                    <w:ind w:left="0" w:right="0"/>
                    <w:jc w:val="center"/>
                    <w:rPr>
                      <w:sz w:val="21"/>
                      <w:szCs w:val="21"/>
                    </w:rPr>
                  </w:pPr>
                  <w:r>
                    <w:rPr>
                      <w:sz w:val="21"/>
                      <w:szCs w:val="21"/>
                    </w:rPr>
                    <w:t>严格固体废物环境管理</w:t>
                  </w:r>
                </w:p>
              </w:tc>
              <w:tc>
                <w:tcPr>
                  <w:tcW w:w="4745" w:type="dxa"/>
                  <w:noWrap w:val="0"/>
                  <w:vAlign w:val="center"/>
                </w:tcPr>
                <w:p>
                  <w:pPr>
                    <w:keepNext w:val="0"/>
                    <w:keepLines w:val="0"/>
                    <w:suppressLineNumbers w:val="0"/>
                    <w:snapToGrid w:val="0"/>
                    <w:spacing w:before="0" w:beforeAutospacing="0" w:after="0" w:afterAutospacing="0" w:line="360" w:lineRule="exact"/>
                    <w:ind w:left="0" w:right="0"/>
                    <w:jc w:val="left"/>
                    <w:rPr>
                      <w:kern w:val="0"/>
                      <w:szCs w:val="21"/>
                    </w:rPr>
                  </w:pPr>
                  <w:r>
                    <w:rPr>
                      <w:kern w:val="0"/>
                      <w:szCs w:val="21"/>
                    </w:rPr>
                    <w:t>全面提升危险废物环境监管、利用处置和环境风险防范</w:t>
                  </w:r>
                  <w:r>
                    <w:rPr>
                      <w:rFonts w:hint="eastAsia"/>
                      <w:kern w:val="0"/>
                      <w:szCs w:val="21"/>
                    </w:rPr>
                    <w:t>“</w:t>
                  </w:r>
                  <w:r>
                    <w:rPr>
                      <w:kern w:val="0"/>
                      <w:szCs w:val="21"/>
                    </w:rPr>
                    <w:t>三个能力</w:t>
                  </w:r>
                  <w:r>
                    <w:rPr>
                      <w:rFonts w:hint="eastAsia"/>
                      <w:kern w:val="0"/>
                      <w:szCs w:val="21"/>
                    </w:rPr>
                    <w:t>”</w:t>
                  </w:r>
                  <w:r>
                    <w:rPr>
                      <w:kern w:val="0"/>
                      <w:szCs w:val="21"/>
                    </w:rPr>
                    <w:t>，推进医疗废物和危险废物集中处置项目建设，开展铅酸蓄电池收集试点工作。动态更新危险废物</w:t>
                  </w:r>
                  <w:r>
                    <w:rPr>
                      <w:rFonts w:hint="eastAsia"/>
                      <w:kern w:val="0"/>
                      <w:szCs w:val="21"/>
                    </w:rPr>
                    <w:t>“</w:t>
                  </w:r>
                  <w:r>
                    <w:rPr>
                      <w:kern w:val="0"/>
                      <w:szCs w:val="21"/>
                    </w:rPr>
                    <w:t>四个清单</w:t>
                  </w:r>
                  <w:r>
                    <w:rPr>
                      <w:rFonts w:hint="eastAsia"/>
                      <w:kern w:val="0"/>
                      <w:szCs w:val="21"/>
                    </w:rPr>
                    <w:t>”</w:t>
                  </w:r>
                  <w:r>
                    <w:rPr>
                      <w:kern w:val="0"/>
                      <w:szCs w:val="21"/>
                    </w:rPr>
                    <w:t>，有序推进固废信息化建设。</w:t>
                  </w:r>
                </w:p>
              </w:tc>
              <w:tc>
                <w:tcPr>
                  <w:tcW w:w="1554" w:type="dxa"/>
                  <w:noWrap w:val="0"/>
                  <w:vAlign w:val="center"/>
                </w:tcPr>
                <w:p>
                  <w:pPr>
                    <w:keepNext w:val="0"/>
                    <w:keepLines w:val="0"/>
                    <w:suppressLineNumbers w:val="0"/>
                    <w:snapToGrid w:val="0"/>
                    <w:spacing w:before="0" w:beforeAutospacing="0" w:after="0" w:afterAutospacing="0" w:line="360" w:lineRule="exact"/>
                    <w:ind w:left="0" w:right="0"/>
                    <w:jc w:val="center"/>
                    <w:rPr>
                      <w:kern w:val="0"/>
                      <w:szCs w:val="21"/>
                    </w:rPr>
                  </w:pPr>
                  <w:r>
                    <w:rPr>
                      <w:kern w:val="0"/>
                      <w:szCs w:val="21"/>
                    </w:rPr>
                    <w:t>本项目</w:t>
                  </w:r>
                  <w:r>
                    <w:rPr>
                      <w:rFonts w:hint="eastAsia"/>
                      <w:kern w:val="0"/>
                      <w:szCs w:val="21"/>
                    </w:rPr>
                    <w:t>按要求建设</w:t>
                  </w:r>
                  <w:r>
                    <w:rPr>
                      <w:kern w:val="0"/>
                      <w:szCs w:val="21"/>
                    </w:rPr>
                    <w:t>一般固废间和危废暂存间，</w:t>
                  </w:r>
                </w:p>
                <w:p>
                  <w:pPr>
                    <w:keepNext w:val="0"/>
                    <w:keepLines w:val="0"/>
                    <w:suppressLineNumbers w:val="0"/>
                    <w:snapToGrid w:val="0"/>
                    <w:spacing w:before="0" w:beforeAutospacing="0" w:after="0" w:afterAutospacing="0" w:line="360" w:lineRule="exact"/>
                    <w:ind w:left="0" w:right="0"/>
                    <w:jc w:val="center"/>
                    <w:rPr>
                      <w:kern w:val="0"/>
                      <w:szCs w:val="21"/>
                    </w:rPr>
                  </w:pPr>
                  <w:r>
                    <w:rPr>
                      <w:rFonts w:hint="eastAsia"/>
                      <w:kern w:val="0"/>
                      <w:szCs w:val="21"/>
                    </w:rPr>
                    <w:t>产生的一般固废和危废</w:t>
                  </w:r>
                  <w:r>
                    <w:rPr>
                      <w:kern w:val="0"/>
                      <w:szCs w:val="21"/>
                    </w:rPr>
                    <w:t>均严格按该要求进行管理。</w:t>
                  </w:r>
                </w:p>
              </w:tc>
              <w:tc>
                <w:tcPr>
                  <w:tcW w:w="711" w:type="dxa"/>
                  <w:noWrap w:val="0"/>
                  <w:vAlign w:val="center"/>
                </w:tcPr>
                <w:p>
                  <w:pPr>
                    <w:keepNext w:val="0"/>
                    <w:keepLines w:val="0"/>
                    <w:suppressLineNumbers w:val="0"/>
                    <w:snapToGrid w:val="0"/>
                    <w:spacing w:before="0" w:beforeAutospacing="0" w:after="0" w:afterAutospacing="0" w:line="360" w:lineRule="exact"/>
                    <w:ind w:left="0" w:right="0"/>
                    <w:jc w:val="center"/>
                    <w:rPr>
                      <w:b/>
                      <w:kern w:val="0"/>
                      <w:szCs w:val="21"/>
                    </w:rPr>
                  </w:pPr>
                  <w:r>
                    <w:rPr>
                      <w:bCs/>
                      <w:kern w:val="0"/>
                      <w:szCs w:val="21"/>
                    </w:rPr>
                    <w:t>相符</w:t>
                  </w:r>
                </w:p>
              </w:tc>
            </w:tr>
          </w:tbl>
          <w:p>
            <w:pPr>
              <w:keepNext w:val="0"/>
              <w:keepLines w:val="0"/>
              <w:suppressLineNumbers w:val="0"/>
              <w:autoSpaceDE w:val="0"/>
              <w:autoSpaceDN w:val="0"/>
              <w:adjustRightInd w:val="0"/>
              <w:spacing w:before="0" w:beforeAutospacing="0" w:after="0" w:afterAutospacing="0" w:line="500" w:lineRule="exact"/>
              <w:ind w:left="0" w:right="0" w:firstLine="480" w:firstLineChars="200"/>
              <w:rPr>
                <w:kern w:val="0"/>
                <w:sz w:val="24"/>
              </w:rPr>
            </w:pPr>
            <w:r>
              <w:rPr>
                <w:kern w:val="0"/>
                <w:sz w:val="24"/>
              </w:rPr>
              <w:t>综合以上分析，本项目建设符合《新乡市2022年大气、水、土壤污染防治攻坚战及农业农村污染治理攻坚战实施方案的通知》（新环攻坚办【2022】60号）文件相关要求。</w:t>
            </w:r>
          </w:p>
          <w:p>
            <w:pPr>
              <w:keepNext w:val="0"/>
              <w:keepLines w:val="0"/>
              <w:suppressLineNumbers w:val="0"/>
              <w:spacing w:before="0" w:beforeAutospacing="0" w:after="0" w:afterAutospacing="0" w:line="500" w:lineRule="exact"/>
              <w:ind w:left="0" w:right="0" w:firstLine="482" w:firstLineChars="200"/>
              <w:rPr>
                <w:b/>
                <w:bCs/>
                <w:color w:val="000000"/>
                <w:sz w:val="24"/>
              </w:rPr>
            </w:pPr>
            <w:r>
              <w:rPr>
                <w:rFonts w:hint="eastAsia"/>
                <w:b/>
                <w:kern w:val="21"/>
                <w:sz w:val="24"/>
                <w:lang w:val="en-US" w:eastAsia="zh-CN"/>
              </w:rPr>
              <w:t>7</w:t>
            </w:r>
            <w:r>
              <w:rPr>
                <w:b/>
                <w:kern w:val="21"/>
                <w:sz w:val="24"/>
              </w:rPr>
              <w:t>、与</w:t>
            </w:r>
            <w:r>
              <w:rPr>
                <w:b/>
                <w:bCs/>
                <w:color w:val="000000"/>
                <w:sz w:val="24"/>
              </w:rPr>
              <w:t>《挥发性有机物（VOCs）污染防治技术政策》相符性分析</w:t>
            </w:r>
          </w:p>
          <w:p>
            <w:pPr>
              <w:keepNext w:val="0"/>
              <w:keepLines w:val="0"/>
              <w:suppressLineNumbers w:val="0"/>
              <w:spacing w:before="0" w:beforeAutospacing="0" w:after="0" w:afterAutospacing="0" w:line="500" w:lineRule="exact"/>
              <w:ind w:left="0" w:right="0" w:firstLine="480" w:firstLineChars="200"/>
              <w:rPr>
                <w:color w:val="000000"/>
                <w:sz w:val="24"/>
              </w:rPr>
            </w:pPr>
            <w:r>
              <w:rPr>
                <w:color w:val="000000"/>
                <w:sz w:val="24"/>
              </w:rPr>
              <w:t>本项目与《挥发性有机物（VOCs）污染防治技术政策》相符性分析见表1-</w:t>
            </w:r>
            <w:r>
              <w:rPr>
                <w:rFonts w:hint="eastAsia"/>
                <w:color w:val="000000"/>
                <w:sz w:val="24"/>
                <w:lang w:val="en-US" w:eastAsia="zh-CN"/>
              </w:rPr>
              <w:t>4</w:t>
            </w:r>
            <w:r>
              <w:rPr>
                <w:color w:val="000000"/>
                <w:sz w:val="24"/>
              </w:rPr>
              <w:t>。</w:t>
            </w:r>
          </w:p>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960" w:firstLineChars="400"/>
              <w:jc w:val="left"/>
              <w:rPr>
                <w:rFonts w:hint="default" w:ascii="Times New Roman" w:hAnsi="Times New Roman" w:eastAsia="黑体" w:cs="Times New Roman"/>
                <w:b w:val="0"/>
                <w:bCs w:val="0"/>
                <w:color w:val="auto"/>
                <w:sz w:val="24"/>
                <w:szCs w:val="24"/>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960" w:firstLineChars="400"/>
              <w:jc w:val="left"/>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表1-</w:t>
            </w:r>
            <w:r>
              <w:rPr>
                <w:rFonts w:hint="eastAsia" w:ascii="Times New Roman" w:hAnsi="Times New Roman" w:eastAsia="黑体" w:cs="Times New Roman"/>
                <w:b w:val="0"/>
                <w:bCs w:val="0"/>
                <w:color w:val="auto"/>
                <w:sz w:val="24"/>
                <w:szCs w:val="24"/>
                <w:lang w:val="en-US" w:eastAsia="zh-CN"/>
              </w:rPr>
              <w:t>4</w:t>
            </w:r>
            <w:r>
              <w:rPr>
                <w:rFonts w:hint="default" w:ascii="Times New Roman" w:hAnsi="Times New Roman" w:eastAsia="黑体" w:cs="Times New Roman"/>
                <w:b w:val="0"/>
                <w:bCs w:val="0"/>
                <w:color w:val="auto"/>
                <w:sz w:val="24"/>
                <w:szCs w:val="24"/>
                <w:lang w:val="en-US" w:eastAsia="zh-CN"/>
              </w:rPr>
              <w:t xml:space="preserve"> </w:t>
            </w:r>
            <w:r>
              <w:rPr>
                <w:rFonts w:hint="eastAsia"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本项目与VOCs污染防治技术政策相符性分析</w:t>
            </w:r>
          </w:p>
          <w:tbl>
            <w:tblPr>
              <w:tblStyle w:val="30"/>
              <w:tblW w:w="771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437"/>
              <w:gridCol w:w="1840"/>
              <w:gridCol w:w="7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center"/>
                </w:tcPr>
                <w:p>
                  <w:pPr>
                    <w:pStyle w:val="89"/>
                    <w:keepNext w:val="0"/>
                    <w:keepLines w:val="0"/>
                    <w:widowControl/>
                    <w:suppressLineNumbers w:val="0"/>
                    <w:snapToGrid w:val="0"/>
                    <w:spacing w:before="0" w:beforeAutospacing="0" w:after="0" w:afterAutospacing="0" w:line="360" w:lineRule="exact"/>
                    <w:ind w:left="0" w:right="0"/>
                    <w:rPr>
                      <w:color w:val="000000"/>
                    </w:rPr>
                  </w:pPr>
                  <w:r>
                    <w:rPr>
                      <w:color w:val="000000"/>
                    </w:rPr>
                    <w:t>序号</w:t>
                  </w:r>
                </w:p>
              </w:tc>
              <w:tc>
                <w:tcPr>
                  <w:tcW w:w="4437" w:type="dxa"/>
                  <w:noWrap w:val="0"/>
                  <w:vAlign w:val="center"/>
                </w:tcPr>
                <w:p>
                  <w:pPr>
                    <w:pStyle w:val="89"/>
                    <w:keepNext w:val="0"/>
                    <w:keepLines w:val="0"/>
                    <w:widowControl/>
                    <w:suppressLineNumbers w:val="0"/>
                    <w:snapToGrid w:val="0"/>
                    <w:spacing w:before="0" w:beforeAutospacing="0" w:after="0" w:afterAutospacing="0" w:line="360" w:lineRule="exact"/>
                    <w:ind w:left="0" w:right="0"/>
                    <w:rPr>
                      <w:color w:val="000000"/>
                    </w:rPr>
                  </w:pPr>
                  <w:r>
                    <w:rPr>
                      <w:color w:val="000000"/>
                    </w:rPr>
                    <w:t>技术政策要求</w:t>
                  </w:r>
                </w:p>
              </w:tc>
              <w:tc>
                <w:tcPr>
                  <w:tcW w:w="1840" w:type="dxa"/>
                  <w:noWrap w:val="0"/>
                  <w:vAlign w:val="center"/>
                </w:tcPr>
                <w:p>
                  <w:pPr>
                    <w:pStyle w:val="89"/>
                    <w:keepNext w:val="0"/>
                    <w:keepLines w:val="0"/>
                    <w:widowControl/>
                    <w:suppressLineNumbers w:val="0"/>
                    <w:snapToGrid w:val="0"/>
                    <w:spacing w:before="0" w:beforeAutospacing="0" w:after="0" w:afterAutospacing="0" w:line="360" w:lineRule="exact"/>
                    <w:ind w:left="0" w:right="0"/>
                    <w:rPr>
                      <w:color w:val="000000"/>
                    </w:rPr>
                  </w:pPr>
                  <w:r>
                    <w:rPr>
                      <w:color w:val="000000"/>
                    </w:rPr>
                    <w:t>本项目情况</w:t>
                  </w:r>
                </w:p>
              </w:tc>
              <w:tc>
                <w:tcPr>
                  <w:tcW w:w="764" w:type="dxa"/>
                  <w:noWrap w:val="0"/>
                  <w:vAlign w:val="center"/>
                </w:tcPr>
                <w:p>
                  <w:pPr>
                    <w:pStyle w:val="89"/>
                    <w:keepNext w:val="0"/>
                    <w:keepLines w:val="0"/>
                    <w:widowControl/>
                    <w:suppressLineNumbers w:val="0"/>
                    <w:snapToGrid w:val="0"/>
                    <w:spacing w:before="0" w:beforeAutospacing="0" w:after="0" w:afterAutospacing="0" w:line="360" w:lineRule="exact"/>
                    <w:ind w:left="0" w:right="0"/>
                    <w:rPr>
                      <w:bCs/>
                      <w:color w:val="000000"/>
                    </w:rPr>
                  </w:pPr>
                  <w:r>
                    <w:rPr>
                      <w:bCs/>
                      <w:color w:val="000000"/>
                    </w:rPr>
                    <w:t>相符性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70" w:type="dxa"/>
                  <w:noWrap w:val="0"/>
                  <w:vAlign w:val="center"/>
                </w:tcPr>
                <w:p>
                  <w:pPr>
                    <w:keepNext w:val="0"/>
                    <w:keepLines w:val="0"/>
                    <w:suppressLineNumbers w:val="0"/>
                    <w:snapToGrid w:val="0"/>
                    <w:spacing w:before="0" w:beforeAutospacing="0" w:after="0" w:afterAutospacing="0" w:line="360" w:lineRule="exact"/>
                    <w:ind w:left="0" w:right="0"/>
                    <w:jc w:val="center"/>
                    <w:rPr>
                      <w:color w:val="000000"/>
                      <w:szCs w:val="21"/>
                    </w:rPr>
                  </w:pPr>
                  <w:r>
                    <w:rPr>
                      <w:color w:val="000000"/>
                      <w:szCs w:val="21"/>
                    </w:rPr>
                    <w:t>1</w:t>
                  </w:r>
                </w:p>
              </w:tc>
              <w:tc>
                <w:tcPr>
                  <w:tcW w:w="4437" w:type="dxa"/>
                  <w:noWrap w:val="0"/>
                  <w:vAlign w:val="center"/>
                </w:tcPr>
                <w:p>
                  <w:pPr>
                    <w:keepNext w:val="0"/>
                    <w:keepLines w:val="0"/>
                    <w:suppressLineNumbers w:val="0"/>
                    <w:snapToGrid w:val="0"/>
                    <w:spacing w:before="0" w:beforeAutospacing="0" w:after="0" w:afterAutospacing="0" w:line="360" w:lineRule="exact"/>
                    <w:ind w:left="0" w:right="0"/>
                    <w:jc w:val="center"/>
                    <w:rPr>
                      <w:color w:val="000000"/>
                      <w:szCs w:val="21"/>
                    </w:rPr>
                  </w:pPr>
                  <w:r>
                    <w:rPr>
                      <w:color w:val="000000"/>
                      <w:szCs w:val="21"/>
                    </w:rPr>
                    <w:t>鼓励采用密闭一体化生产技术，并对生产过程中产生的废气分类收集后处理。</w:t>
                  </w:r>
                </w:p>
              </w:tc>
              <w:tc>
                <w:tcPr>
                  <w:tcW w:w="1840" w:type="dxa"/>
                  <w:noWrap w:val="0"/>
                  <w:vAlign w:val="center"/>
                </w:tcPr>
                <w:p>
                  <w:pPr>
                    <w:pStyle w:val="89"/>
                    <w:keepNext w:val="0"/>
                    <w:keepLines w:val="0"/>
                    <w:widowControl/>
                    <w:suppressLineNumbers w:val="0"/>
                    <w:snapToGrid w:val="0"/>
                    <w:spacing w:before="0" w:beforeAutospacing="0" w:after="0" w:afterAutospacing="0" w:line="360" w:lineRule="exact"/>
                    <w:ind w:left="0" w:right="0"/>
                    <w:rPr>
                      <w:color w:val="000000"/>
                    </w:rPr>
                  </w:pPr>
                  <w:r>
                    <w:rPr>
                      <w:color w:val="000000"/>
                    </w:rPr>
                    <w:t>项目废气采用分类收集处理。</w:t>
                  </w:r>
                </w:p>
              </w:tc>
              <w:tc>
                <w:tcPr>
                  <w:tcW w:w="764" w:type="dxa"/>
                  <w:noWrap w:val="0"/>
                  <w:vAlign w:val="center"/>
                </w:tcPr>
                <w:p>
                  <w:pPr>
                    <w:pStyle w:val="89"/>
                    <w:keepNext w:val="0"/>
                    <w:keepLines w:val="0"/>
                    <w:widowControl/>
                    <w:suppressLineNumbers w:val="0"/>
                    <w:snapToGrid w:val="0"/>
                    <w:spacing w:before="0" w:beforeAutospacing="0" w:after="0" w:afterAutospacing="0" w:line="360" w:lineRule="exact"/>
                    <w:ind w:left="0" w:right="0"/>
                    <w:rPr>
                      <w:bCs/>
                      <w:color w:val="000000"/>
                    </w:rPr>
                  </w:pPr>
                  <w:r>
                    <w:rPr>
                      <w:bCs/>
                      <w:color w:val="000000"/>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center"/>
                </w:tcPr>
                <w:p>
                  <w:pPr>
                    <w:keepNext w:val="0"/>
                    <w:keepLines w:val="0"/>
                    <w:suppressLineNumbers w:val="0"/>
                    <w:snapToGrid w:val="0"/>
                    <w:spacing w:before="0" w:beforeAutospacing="0" w:after="0" w:afterAutospacing="0" w:line="360" w:lineRule="exact"/>
                    <w:ind w:left="0" w:right="0"/>
                    <w:jc w:val="center"/>
                    <w:rPr>
                      <w:color w:val="000000"/>
                      <w:szCs w:val="21"/>
                    </w:rPr>
                  </w:pPr>
                  <w:r>
                    <w:rPr>
                      <w:color w:val="000000"/>
                      <w:szCs w:val="21"/>
                    </w:rPr>
                    <w:t>2</w:t>
                  </w:r>
                </w:p>
              </w:tc>
              <w:tc>
                <w:tcPr>
                  <w:tcW w:w="4437" w:type="dxa"/>
                  <w:noWrap w:val="0"/>
                  <w:vAlign w:val="center"/>
                </w:tcPr>
                <w:p>
                  <w:pPr>
                    <w:keepNext w:val="0"/>
                    <w:keepLines w:val="0"/>
                    <w:suppressLineNumbers w:val="0"/>
                    <w:snapToGrid w:val="0"/>
                    <w:spacing w:before="0" w:beforeAutospacing="0" w:after="0" w:afterAutospacing="0" w:line="360" w:lineRule="exact"/>
                    <w:ind w:left="0" w:right="0" w:firstLine="420"/>
                    <w:jc w:val="left"/>
                    <w:rPr>
                      <w:color w:val="000000"/>
                      <w:szCs w:val="21"/>
                    </w:rPr>
                  </w:pPr>
                  <w:r>
                    <w:rPr>
                      <w:color w:val="000000"/>
                      <w:szCs w:val="21"/>
                    </w:rPr>
                    <w:t>在工业生产过程中鼓励VOCs的回收利用，并优先鼓励在生产系统内回用。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w:t>
                  </w:r>
                </w:p>
                <w:p>
                  <w:pPr>
                    <w:keepNext w:val="0"/>
                    <w:keepLines w:val="0"/>
                    <w:suppressLineNumbers w:val="0"/>
                    <w:snapToGrid w:val="0"/>
                    <w:spacing w:before="0" w:beforeAutospacing="0" w:after="0" w:afterAutospacing="0" w:line="360" w:lineRule="exact"/>
                    <w:ind w:left="0" w:right="0" w:firstLine="420"/>
                    <w:rPr>
                      <w:color w:val="000000"/>
                      <w:szCs w:val="21"/>
                    </w:rPr>
                  </w:pPr>
                  <w:r>
                    <w:rPr>
                      <w:color w:val="000000"/>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含有有机卤素成分VOCs的废气，宜采用非焚烧技术处理。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1840" w:type="dxa"/>
                  <w:noWrap w:val="0"/>
                  <w:vAlign w:val="center"/>
                </w:tcPr>
                <w:p>
                  <w:pPr>
                    <w:keepNext w:val="0"/>
                    <w:keepLines w:val="0"/>
                    <w:suppressLineNumbers w:val="0"/>
                    <w:snapToGrid w:val="0"/>
                    <w:spacing w:before="0" w:beforeAutospacing="0" w:after="0" w:afterAutospacing="0" w:line="360" w:lineRule="exact"/>
                    <w:ind w:left="0" w:right="0"/>
                    <w:jc w:val="center"/>
                    <w:rPr>
                      <w:szCs w:val="21"/>
                    </w:rPr>
                  </w:pPr>
                  <w:r>
                    <w:rPr>
                      <w:szCs w:val="21"/>
                    </w:rPr>
                    <w:t>本项目属于低浓度VOCs排放，项目VOCs废气</w:t>
                  </w:r>
                  <w:r>
                    <w:rPr>
                      <w:rFonts w:hint="eastAsia"/>
                      <w:szCs w:val="21"/>
                      <w:lang w:eastAsia="zh-CN"/>
                    </w:rPr>
                    <w:t>、</w:t>
                  </w:r>
                  <w:r>
                    <w:rPr>
                      <w:rFonts w:hint="eastAsia"/>
                      <w:szCs w:val="21"/>
                      <w:lang w:val="en-US" w:eastAsia="zh-CN"/>
                    </w:rPr>
                    <w:t>酸性气体</w:t>
                  </w:r>
                  <w:r>
                    <w:rPr>
                      <w:szCs w:val="21"/>
                    </w:rPr>
                    <w:t>拟采用</w:t>
                  </w:r>
                  <w:r>
                    <w:rPr>
                      <w:rFonts w:hint="eastAsia"/>
                      <w:szCs w:val="21"/>
                    </w:rPr>
                    <w:t>“</w:t>
                  </w:r>
                  <w:r>
                    <w:rPr>
                      <w:rFonts w:hint="eastAsia"/>
                      <w:szCs w:val="21"/>
                      <w:lang w:val="en-US" w:eastAsia="zh-CN"/>
                    </w:rPr>
                    <w:t>碱喷淋+</w:t>
                  </w:r>
                  <w:r>
                    <w:rPr>
                      <w:rFonts w:hint="eastAsia"/>
                      <w:szCs w:val="21"/>
                    </w:rPr>
                    <w:t>UV光氧催化</w:t>
                  </w:r>
                  <w:r>
                    <w:rPr>
                      <w:szCs w:val="21"/>
                    </w:rPr>
                    <w:t>+活性炭吸附</w:t>
                  </w:r>
                  <w:r>
                    <w:rPr>
                      <w:rFonts w:hint="eastAsia"/>
                      <w:szCs w:val="21"/>
                    </w:rPr>
                    <w:t>装置”</w:t>
                  </w:r>
                  <w:r>
                    <w:rPr>
                      <w:szCs w:val="21"/>
                    </w:rPr>
                    <w:t>处理后达标排放。</w:t>
                  </w:r>
                </w:p>
              </w:tc>
              <w:tc>
                <w:tcPr>
                  <w:tcW w:w="764" w:type="dxa"/>
                  <w:noWrap w:val="0"/>
                  <w:vAlign w:val="center"/>
                </w:tcPr>
                <w:p>
                  <w:pPr>
                    <w:pStyle w:val="89"/>
                    <w:keepNext w:val="0"/>
                    <w:keepLines w:val="0"/>
                    <w:widowControl/>
                    <w:suppressLineNumbers w:val="0"/>
                    <w:snapToGrid w:val="0"/>
                    <w:spacing w:before="0" w:beforeAutospacing="0" w:after="0" w:afterAutospacing="0" w:line="360" w:lineRule="exact"/>
                    <w:ind w:left="0" w:right="0"/>
                    <w:rPr>
                      <w:bCs/>
                      <w:color w:val="000000"/>
                    </w:rPr>
                  </w:pPr>
                  <w:r>
                    <w:rPr>
                      <w:bCs/>
                      <w:color w:val="000000"/>
                    </w:rPr>
                    <w:t>相符</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textAlignment w:val="auto"/>
              <w:rPr>
                <w:b/>
                <w:kern w:val="0"/>
                <w:sz w:val="24"/>
              </w:rPr>
            </w:pPr>
            <w:r>
              <w:rPr>
                <w:color w:val="000000"/>
                <w:sz w:val="24"/>
              </w:rPr>
              <w:t>因此，项目建设符合《挥发性有机物（VOCs）污染防治技术政策》相关要求。</w:t>
            </w:r>
          </w:p>
          <w:p>
            <w:pPr>
              <w:keepNext w:val="0"/>
              <w:keepLines w:val="0"/>
              <w:pageBreakBefore w:val="0"/>
              <w:widowControl w:val="0"/>
              <w:suppressLineNumbers w:val="0"/>
              <w:kinsoku/>
              <w:wordWrap/>
              <w:overflowPunct/>
              <w:topLinePunct w:val="0"/>
              <w:bidi w:val="0"/>
              <w:snapToGrid w:val="0"/>
              <w:spacing w:before="0" w:beforeAutospacing="0" w:after="0" w:afterAutospacing="0" w:line="520" w:lineRule="exact"/>
              <w:ind w:left="0" w:right="0" w:firstLine="482" w:firstLineChars="200"/>
              <w:textAlignment w:val="auto"/>
              <w:rPr>
                <w:b/>
                <w:sz w:val="24"/>
              </w:rPr>
            </w:pPr>
            <w:r>
              <w:rPr>
                <w:rFonts w:hint="eastAsia"/>
                <w:b/>
                <w:color w:val="000000"/>
                <w:sz w:val="24"/>
                <w:lang w:val="en-US" w:eastAsia="zh-CN"/>
              </w:rPr>
              <w:t>8</w:t>
            </w:r>
            <w:r>
              <w:rPr>
                <w:b/>
                <w:color w:val="000000"/>
                <w:sz w:val="24"/>
              </w:rPr>
              <w:t>、</w:t>
            </w:r>
            <w:r>
              <w:rPr>
                <w:b/>
                <w:sz w:val="24"/>
              </w:rPr>
              <w:t>与《新乡市生态环境局关于部署安装工业企业用电量监控系统的通知》新环 [2019]154号文的对照分析。</w:t>
            </w:r>
          </w:p>
          <w:p>
            <w:pPr>
              <w:keepNext w:val="0"/>
              <w:keepLines w:val="0"/>
              <w:pageBreakBefore w:val="0"/>
              <w:widowControl w:val="0"/>
              <w:suppressLineNumbers w:val="0"/>
              <w:kinsoku/>
              <w:wordWrap/>
              <w:overflowPunct/>
              <w:topLinePunct w:val="0"/>
              <w:bidi w:val="0"/>
              <w:snapToGrid w:val="0"/>
              <w:spacing w:before="0" w:beforeAutospacing="0" w:after="0" w:afterAutospacing="0" w:line="520" w:lineRule="exact"/>
              <w:ind w:left="0" w:right="0" w:firstLine="470" w:firstLineChars="196"/>
              <w:textAlignment w:val="auto"/>
              <w:rPr>
                <w:rFonts w:eastAsia="黑体"/>
                <w:color w:val="000000"/>
                <w:sz w:val="24"/>
              </w:rPr>
            </w:pPr>
            <w:r>
              <w:rPr>
                <w:sz w:val="24"/>
              </w:rPr>
              <w:t>与《新乡市生态环境局关于部署安装工业企业用电量监控系统的通知》新环 [2019]154号文的对照分析见下表。</w:t>
            </w:r>
          </w:p>
          <w:p>
            <w:pPr>
              <w:pStyle w:val="9"/>
              <w:keepNext w:val="0"/>
              <w:keepLines w:val="0"/>
              <w:pageBreakBefore w:val="0"/>
              <w:widowControl w:val="0"/>
              <w:suppressLineNumbers w:val="0"/>
              <w:kinsoku/>
              <w:wordWrap/>
              <w:overflowPunct/>
              <w:topLinePunct w:val="0"/>
              <w:bidi w:val="0"/>
              <w:snapToGrid w:val="0"/>
              <w:spacing w:before="0" w:beforeAutospacing="0" w:after="0" w:afterAutospacing="0" w:line="520" w:lineRule="exact"/>
              <w:ind w:left="0" w:right="0"/>
              <w:jc w:val="center"/>
              <w:textAlignment w:val="auto"/>
            </w:pPr>
            <w:r>
              <w:rPr>
                <w:rFonts w:hint="default" w:ascii="Times New Roman" w:hAnsi="Times New Roman" w:eastAsia="黑体" w:cs="Times New Roman"/>
                <w:b w:val="0"/>
                <w:bCs w:val="0"/>
                <w:color w:val="auto"/>
                <w:kern w:val="2"/>
                <w:sz w:val="24"/>
                <w:szCs w:val="24"/>
                <w:lang w:val="en-US" w:eastAsia="zh-CN" w:bidi="ar-SA"/>
              </w:rPr>
              <w:t xml:space="preserve">表 </w:t>
            </w:r>
            <w:r>
              <w:rPr>
                <w:rFonts w:hint="eastAsia" w:ascii="Times New Roman" w:hAnsi="Times New Roman" w:eastAsia="黑体" w:cs="Times New Roman"/>
                <w:b w:val="0"/>
                <w:bCs w:val="0"/>
                <w:color w:val="auto"/>
                <w:kern w:val="2"/>
                <w:sz w:val="24"/>
                <w:szCs w:val="24"/>
                <w:lang w:val="en-US" w:eastAsia="zh-CN" w:bidi="ar-SA"/>
              </w:rPr>
              <w:t>1-5 与新环 [2019]154号文的对照分析</w:t>
            </w:r>
          </w:p>
          <w:tbl>
            <w:tblPr>
              <w:tblStyle w:val="30"/>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121"/>
              <w:gridCol w:w="2000"/>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4"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主要任务</w:t>
                  </w:r>
                </w:p>
              </w:tc>
              <w:tc>
                <w:tcPr>
                  <w:tcW w:w="4121"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与本项目相关条文</w:t>
                  </w:r>
                </w:p>
              </w:tc>
              <w:tc>
                <w:tcPr>
                  <w:tcW w:w="200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本项目情况</w:t>
                  </w:r>
                </w:p>
              </w:tc>
              <w:tc>
                <w:tcPr>
                  <w:tcW w:w="76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4"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安装范围</w:t>
                  </w:r>
                </w:p>
              </w:tc>
              <w:tc>
                <w:tcPr>
                  <w:tcW w:w="4121"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所有排污企业的总用电控制位置、主要生产设施和污染治理设施必须安装用电量监控系统终端。</w:t>
                  </w:r>
                </w:p>
              </w:tc>
              <w:tc>
                <w:tcPr>
                  <w:tcW w:w="2000"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本项目将按照要求安装用电量监控系统终端。</w:t>
                  </w:r>
                </w:p>
              </w:tc>
              <w:tc>
                <w:tcPr>
                  <w:tcW w:w="76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满足</w:t>
                  </w:r>
                </w:p>
              </w:tc>
            </w:tr>
          </w:tbl>
          <w:p>
            <w:pPr>
              <w:keepNext w:val="0"/>
              <w:keepLines w:val="0"/>
              <w:suppressLineNumbers w:val="0"/>
              <w:spacing w:before="0" w:beforeAutospacing="0" w:after="0" w:afterAutospacing="0" w:line="460" w:lineRule="exact"/>
              <w:ind w:left="0" w:right="0" w:firstLine="480" w:firstLineChars="200"/>
              <w:jc w:val="left"/>
              <w:rPr>
                <w:rFonts w:hint="default" w:ascii="Times New Roman" w:hAnsi="Times New Roman" w:eastAsia="宋体" w:cs="Times New Roman"/>
                <w:kern w:val="0"/>
                <w:sz w:val="24"/>
                <w:szCs w:val="24"/>
                <w:lang w:val="en-US" w:eastAsia="zh-CN"/>
              </w:rPr>
            </w:pPr>
            <w:r>
              <w:rPr>
                <w:color w:val="000000"/>
                <w:sz w:val="24"/>
              </w:rPr>
              <w:t>由上表可知，本项目满足</w:t>
            </w:r>
            <w:r>
              <w:rPr>
                <w:sz w:val="24"/>
              </w:rPr>
              <w:t>《新乡市生态环境局关于部署安装工业企业用电量监控系统的通知》新环 [2019]154号文</w:t>
            </w:r>
            <w:r>
              <w:rPr>
                <w:bCs/>
                <w:color w:val="000000"/>
                <w:sz w:val="24"/>
              </w:rPr>
              <w:t>的相关要求。</w:t>
            </w:r>
          </w:p>
        </w:tc>
      </w:tr>
    </w:tbl>
    <w:p>
      <w:pPr>
        <w:spacing w:line="360" w:lineRule="auto"/>
        <w:outlineLvl w:val="0"/>
        <w:rPr>
          <w:rFonts w:hint="default" w:ascii="Times New Roman" w:hAnsi="Times New Roman" w:eastAsia="黑体" w:cs="Times New Roman"/>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6"/>
        <w:jc w:val="center"/>
        <w:outlineLvl w:val="0"/>
        <w:rPr>
          <w:rFonts w:hint="default" w:ascii="Times New Roman" w:hAnsi="Times New Roman" w:eastAsia="黑体" w:cs="Times New Roman"/>
          <w:snapToGrid w:val="0"/>
          <w:sz w:val="30"/>
          <w:szCs w:val="30"/>
          <w:vertAlign w:val="baseline"/>
        </w:rPr>
      </w:pPr>
      <w:r>
        <w:rPr>
          <w:rFonts w:hint="default" w:ascii="Times New Roman" w:hAnsi="Times New Roman" w:eastAsia="黑体" w:cs="Times New Roman"/>
          <w:snapToGrid w:val="0"/>
          <w:sz w:val="30"/>
          <w:szCs w:val="30"/>
        </w:rPr>
        <w:t>二、建设项目工程分析</w:t>
      </w:r>
    </w:p>
    <w:tbl>
      <w:tblPr>
        <w:tblStyle w:val="31"/>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8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建设内容</w:t>
            </w:r>
          </w:p>
        </w:tc>
        <w:tc>
          <w:tcPr>
            <w:tcW w:w="8372"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1</w:t>
            </w:r>
            <w:r>
              <w:rPr>
                <w:rFonts w:hint="default" w:ascii="Times New Roman" w:hAnsi="Times New Roman" w:eastAsia="宋体" w:cs="Times New Roman"/>
                <w:b/>
                <w:sz w:val="24"/>
              </w:rPr>
              <w:t>、项目由来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Calibri" w:hAnsi="Calibri" w:eastAsia="宋体" w:cs="Times New Roman"/>
                <w:sz w:val="24"/>
                <w:lang w:val="en-US"/>
              </w:rPr>
            </w:pPr>
            <w:r>
              <w:rPr>
                <w:rFonts w:hint="eastAsia" w:cs="Times New Roman"/>
                <w:b w:val="0"/>
                <w:bCs w:val="0"/>
                <w:sz w:val="24"/>
                <w:szCs w:val="24"/>
                <w:lang w:val="en-US" w:eastAsia="zh-CN"/>
              </w:rPr>
              <w:t>新乡县市场监督管理局</w:t>
            </w:r>
            <w:r>
              <w:rPr>
                <w:rFonts w:hint="eastAsia" w:cs="Times New Roman"/>
                <w:sz w:val="24"/>
                <w:szCs w:val="24"/>
                <w:lang w:eastAsia="zh-CN"/>
              </w:rPr>
              <w:t>新乡县公共检验检测中心能力提升项目</w:t>
            </w:r>
            <w:r>
              <w:rPr>
                <w:rFonts w:hint="default" w:ascii="Times New Roman" w:hAnsi="Times New Roman" w:eastAsia="宋体" w:cs="Times New Roman"/>
                <w:b w:val="0"/>
                <w:bCs w:val="0"/>
                <w:sz w:val="24"/>
                <w:szCs w:val="24"/>
                <w:lang w:val="en-US" w:eastAsia="zh-CN"/>
              </w:rPr>
              <w:t>位于</w:t>
            </w:r>
            <w:r>
              <w:rPr>
                <w:rFonts w:hint="eastAsia" w:cs="Times New Roman"/>
                <w:b w:val="0"/>
                <w:bCs w:val="0"/>
                <w:sz w:val="24"/>
                <w:szCs w:val="24"/>
                <w:lang w:val="en-US" w:eastAsia="zh-CN"/>
              </w:rPr>
              <w:t>新乡县中央大道与民乐路交叉口东北角民乐路一号</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拟投资</w:t>
            </w:r>
            <w:r>
              <w:rPr>
                <w:rFonts w:hint="eastAsia" w:cs="Times New Roman"/>
                <w:b w:val="0"/>
                <w:bCs w:val="0"/>
                <w:sz w:val="24"/>
                <w:szCs w:val="24"/>
                <w:lang w:val="en-US" w:eastAsia="zh-CN"/>
              </w:rPr>
              <w:t>5630.12万</w:t>
            </w:r>
            <w:r>
              <w:rPr>
                <w:rFonts w:hint="eastAsia" w:ascii="Times New Roman" w:hAnsi="Times New Roman" w:eastAsia="宋体" w:cs="Times New Roman"/>
                <w:b w:val="0"/>
                <w:bCs w:val="0"/>
                <w:sz w:val="24"/>
                <w:szCs w:val="24"/>
                <w:lang w:val="en-US" w:eastAsia="zh-CN"/>
              </w:rPr>
              <w:t>元在</w:t>
            </w:r>
            <w:r>
              <w:rPr>
                <w:rFonts w:hint="eastAsia" w:cs="Times New Roman"/>
                <w:b w:val="0"/>
                <w:bCs w:val="0"/>
                <w:sz w:val="24"/>
                <w:szCs w:val="24"/>
                <w:lang w:val="en-US" w:eastAsia="zh-CN"/>
              </w:rPr>
              <w:t>现有院</w:t>
            </w:r>
            <w:r>
              <w:rPr>
                <w:rFonts w:hint="eastAsia" w:ascii="Times New Roman" w:hAnsi="Times New Roman" w:eastAsia="宋体" w:cs="Times New Roman"/>
                <w:b w:val="0"/>
                <w:bCs w:val="0"/>
                <w:sz w:val="24"/>
                <w:szCs w:val="24"/>
                <w:lang w:val="en-US" w:eastAsia="zh-CN"/>
              </w:rPr>
              <w:t>内建设</w:t>
            </w:r>
            <w:r>
              <w:rPr>
                <w:rFonts w:hint="eastAsia" w:cs="Times New Roman"/>
                <w:b w:val="0"/>
                <w:bCs w:val="0"/>
                <w:sz w:val="24"/>
                <w:szCs w:val="24"/>
                <w:lang w:val="en-US" w:eastAsia="zh-CN"/>
              </w:rPr>
              <w:t>新乡县公共检验检测中心能力提升项目</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0" w:firstLineChars="2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受</w:t>
            </w:r>
            <w:r>
              <w:rPr>
                <w:rFonts w:hint="eastAsia" w:cs="Times New Roman"/>
                <w:sz w:val="24"/>
                <w:szCs w:val="22"/>
                <w:lang w:val="en-US" w:eastAsia="zh-CN"/>
              </w:rPr>
              <w:t>新乡县市场监督管理局</w:t>
            </w:r>
            <w:r>
              <w:rPr>
                <w:rFonts w:hint="default" w:ascii="Times New Roman" w:hAnsi="Times New Roman" w:eastAsia="宋体" w:cs="Times New Roman"/>
                <w:sz w:val="24"/>
                <w:szCs w:val="22"/>
                <w:lang w:val="en-US" w:eastAsia="zh-CN"/>
              </w:rPr>
              <w:t>委托（委托书见附件1），我公司承担了本项目的环境影响评价工作，通过现场勘察和资料收集，依据《环境影响评价技术导则》的要求，结合工程规模和生产工艺，在收集和查阅相关资料基础上，本着“科学、公正、客观”的态度，编制完成了本项目的环境影响报告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2" w:firstLineChars="200"/>
              <w:jc w:val="left"/>
              <w:textAlignment w:val="auto"/>
              <w:rPr>
                <w:rFonts w:hint="eastAsia"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项目</w:t>
            </w:r>
            <w:r>
              <w:rPr>
                <w:rFonts w:hint="eastAsia" w:ascii="Times New Roman" w:hAnsi="Times New Roman" w:eastAsia="宋体" w:cs="Times New Roman"/>
                <w:b/>
                <w:color w:val="auto"/>
                <w:sz w:val="24"/>
                <w:szCs w:val="24"/>
                <w:lang w:eastAsia="zh-CN"/>
              </w:rPr>
              <w:t>基本情况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0" w:firstLineChars="200"/>
              <w:textAlignment w:val="auto"/>
              <w:rPr>
                <w:rFonts w:hint="default" w:ascii="Times New Roman" w:hAnsi="Times New Roman" w:eastAsia="宋体" w:cs="Times New Roman"/>
                <w:sz w:val="24"/>
                <w:szCs w:val="22"/>
                <w:lang w:val="pt-BR" w:eastAsia="zh-CN"/>
              </w:rPr>
            </w:pPr>
            <w:r>
              <w:rPr>
                <w:rFonts w:hint="default" w:ascii="Times New Roman" w:hAnsi="Times New Roman" w:eastAsia="宋体" w:cs="Times New Roman"/>
                <w:sz w:val="24"/>
                <w:szCs w:val="22"/>
                <w:lang w:val="en-US" w:eastAsia="zh-CN"/>
              </w:rPr>
              <w:t>本项目</w:t>
            </w:r>
            <w:r>
              <w:rPr>
                <w:rFonts w:hint="eastAsia" w:cs="Times New Roman"/>
                <w:sz w:val="24"/>
                <w:szCs w:val="22"/>
                <w:lang w:val="en-US" w:eastAsia="zh-CN"/>
              </w:rPr>
              <w:t>在</w:t>
            </w:r>
            <w:r>
              <w:rPr>
                <w:rFonts w:hint="eastAsia" w:cs="Times New Roman"/>
                <w:b w:val="0"/>
                <w:bCs w:val="0"/>
                <w:sz w:val="24"/>
                <w:szCs w:val="24"/>
                <w:lang w:val="en-US" w:eastAsia="zh-CN"/>
              </w:rPr>
              <w:t>现有院</w:t>
            </w:r>
            <w:r>
              <w:rPr>
                <w:rFonts w:hint="eastAsia" w:ascii="Times New Roman" w:hAnsi="Times New Roman" w:eastAsia="宋体" w:cs="Times New Roman"/>
                <w:b w:val="0"/>
                <w:bCs w:val="0"/>
                <w:sz w:val="24"/>
                <w:szCs w:val="24"/>
                <w:lang w:val="en-US" w:eastAsia="zh-CN"/>
              </w:rPr>
              <w:t>内</w:t>
            </w:r>
            <w:r>
              <w:rPr>
                <w:rFonts w:hint="eastAsia" w:ascii="Times New Roman" w:hAnsi="Times New Roman" w:eastAsia="宋体" w:cs="Times New Roman"/>
                <w:sz w:val="24"/>
                <w:szCs w:val="22"/>
                <w:lang w:val="en-US" w:eastAsia="zh-CN"/>
              </w:rPr>
              <w:t>建设</w:t>
            </w:r>
            <w:r>
              <w:rPr>
                <w:rFonts w:hint="eastAsia" w:cs="Times New Roman"/>
                <w:sz w:val="24"/>
                <w:szCs w:val="22"/>
                <w:lang w:val="en-US" w:eastAsia="zh-CN"/>
              </w:rPr>
              <w:t>新乡县公共检验检测中心能力提升项目</w:t>
            </w:r>
            <w:r>
              <w:rPr>
                <w:rFonts w:hint="eastAsia" w:ascii="Times New Roman" w:hAnsi="Times New Roman" w:eastAsia="宋体" w:cs="Times New Roman"/>
                <w:sz w:val="24"/>
                <w:szCs w:val="22"/>
                <w:lang w:val="en-US" w:eastAsia="zh-CN"/>
              </w:rPr>
              <w:t>，项目</w:t>
            </w:r>
            <w:r>
              <w:rPr>
                <w:rFonts w:hint="default" w:ascii="Times New Roman" w:hAnsi="Times New Roman" w:eastAsia="宋体" w:cs="Times New Roman"/>
                <w:sz w:val="24"/>
                <w:szCs w:val="22"/>
                <w:lang w:val="en-US" w:eastAsia="zh-CN"/>
              </w:rPr>
              <w:t>基本情况见下表。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表2-1                  项目基本情况一览表</w:t>
            </w:r>
          </w:p>
          <w:tbl>
            <w:tblPr>
              <w:tblStyle w:val="30"/>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6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项目</w:t>
                  </w:r>
                  <w:r>
                    <w:rPr>
                      <w:rFonts w:hint="default" w:ascii="Times New Roman" w:hAnsi="Times New Roman" w:eastAsia="宋体" w:cs="Times New Roman"/>
                      <w:b w:val="0"/>
                      <w:bCs w:val="0"/>
                      <w:color w:val="auto"/>
                      <w:sz w:val="21"/>
                      <w:szCs w:val="21"/>
                    </w:rPr>
                    <w:t>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新乡县公共检验检测中心能力提升项目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新乡县市场监督管理局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新乡县中央大道与民乐路交叉口东北角民乐路一号（新乡县市场监督管理局院内）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695.62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5630.12万</w:t>
                  </w:r>
                  <w:r>
                    <w:rPr>
                      <w:rFonts w:hint="default" w:ascii="Times New Roman" w:hAnsi="Times New Roman" w:eastAsia="宋体" w:cs="Times New Roman"/>
                      <w:color w:val="auto"/>
                      <w:sz w:val="21"/>
                      <w:szCs w:val="21"/>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劳动定员</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lang w:val="en-US" w:eastAsia="zh-CN"/>
                    </w:rPr>
                  </w:pPr>
                  <w:r>
                    <w:rPr>
                      <w:rFonts w:hint="eastAsia" w:cs="Times New Roman"/>
                      <w:color w:val="auto"/>
                      <w:sz w:val="21"/>
                      <w:szCs w:val="21"/>
                      <w:lang w:val="en-US" w:eastAsia="zh-CN"/>
                    </w:rPr>
                    <w:t>职工定员20人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79"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工作制度</w:t>
                  </w:r>
                </w:p>
              </w:tc>
              <w:tc>
                <w:tcPr>
                  <w:tcW w:w="6164" w:type="dxa"/>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年工作时间300天，</w:t>
                  </w:r>
                  <w:r>
                    <w:rPr>
                      <w:rFonts w:hint="eastAsia" w:cs="Times New Roman"/>
                      <w:color w:val="auto"/>
                      <w:sz w:val="21"/>
                      <w:szCs w:val="21"/>
                      <w:lang w:val="en-US" w:eastAsia="zh-CN"/>
                    </w:rPr>
                    <w:t>一</w:t>
                  </w:r>
                  <w:r>
                    <w:rPr>
                      <w:rFonts w:hint="eastAsia" w:ascii="Times New Roman" w:hAnsi="Times New Roman" w:eastAsia="宋体" w:cs="Times New Roman"/>
                      <w:color w:val="auto"/>
                      <w:sz w:val="21"/>
                      <w:szCs w:val="21"/>
                      <w:lang w:val="en-US" w:eastAsia="zh-CN"/>
                    </w:rPr>
                    <w:t>班工作制，每班8小时</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both"/>
              <w:textAlignment w:val="auto"/>
              <w:outlineLvl w:val="9"/>
              <w:rPr>
                <w:rFonts w:hint="default" w:ascii="Times New Roman" w:hAnsi="Times New Roman" w:eastAsia="宋体" w:cs="Times New Roman"/>
                <w:b/>
                <w:bCs w:val="0"/>
                <w:color w:val="000000"/>
                <w:sz w:val="24"/>
                <w:lang w:val="en-US" w:eastAsia="zh-CN"/>
              </w:rPr>
            </w:pPr>
            <w:r>
              <w:rPr>
                <w:rFonts w:hint="default" w:ascii="Times New Roman" w:hAnsi="Times New Roman" w:eastAsia="宋体" w:cs="Times New Roman"/>
                <w:b/>
                <w:bCs w:val="0"/>
                <w:color w:val="000000"/>
                <w:sz w:val="24"/>
                <w:lang w:val="en-US" w:eastAsia="zh-CN"/>
              </w:rPr>
              <w:t>3、建设规模及内容</w:t>
            </w:r>
          </w:p>
          <w:p>
            <w:pPr>
              <w:pStyle w:val="6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宋体" w:cs="Times New Roman"/>
                <w:bCs/>
                <w:color w:val="000000"/>
                <w:sz w:val="24"/>
                <w:lang w:val="en-US" w:eastAsia="zh-CN"/>
              </w:rPr>
              <w:t>本项目总投资</w:t>
            </w:r>
            <w:r>
              <w:rPr>
                <w:rFonts w:hint="eastAsia" w:cs="Times New Roman"/>
                <w:bCs/>
                <w:color w:val="000000"/>
                <w:sz w:val="24"/>
                <w:lang w:val="en-US" w:eastAsia="zh-CN"/>
              </w:rPr>
              <w:t>5630.12万</w:t>
            </w:r>
            <w:r>
              <w:rPr>
                <w:rFonts w:hint="default" w:ascii="Times New Roman" w:hAnsi="Times New Roman" w:eastAsia="宋体" w:cs="Times New Roman"/>
                <w:bCs/>
                <w:color w:val="000000"/>
                <w:sz w:val="24"/>
                <w:lang w:val="en-US" w:eastAsia="zh-CN"/>
              </w:rPr>
              <w:t>元，</w:t>
            </w:r>
            <w:r>
              <w:rPr>
                <w:rFonts w:hint="default" w:ascii="Times New Roman" w:hAnsi="Times New Roman" w:eastAsia="宋体" w:cs="Times New Roman"/>
                <w:sz w:val="24"/>
              </w:rPr>
              <w:t>主要包括</w:t>
            </w:r>
            <w:r>
              <w:rPr>
                <w:rFonts w:hint="default" w:ascii="Times New Roman" w:hAnsi="Times New Roman" w:eastAsia="宋体" w:cs="Times New Roman"/>
                <w:sz w:val="24"/>
                <w:lang w:eastAsia="zh-CN"/>
              </w:rPr>
              <w:t>主体工程、公用工程和环保工程等，</w:t>
            </w:r>
            <w:r>
              <w:rPr>
                <w:rFonts w:hint="default" w:ascii="Times New Roman" w:hAnsi="Times New Roman" w:eastAsia="宋体" w:cs="Times New Roman"/>
                <w:sz w:val="24"/>
              </w:rPr>
              <w:t>项目平面布置图</w:t>
            </w:r>
            <w:r>
              <w:rPr>
                <w:rFonts w:hint="default" w:ascii="Times New Roman" w:hAnsi="Times New Roman" w:eastAsia="宋体" w:cs="Times New Roman"/>
                <w:color w:val="auto"/>
                <w:sz w:val="24"/>
              </w:rPr>
              <w:t>见附图</w:t>
            </w:r>
            <w:r>
              <w:rPr>
                <w:rFonts w:hint="eastAsia" w:cs="Times New Roman"/>
                <w:color w:val="auto"/>
                <w:sz w:val="24"/>
                <w:lang w:val="en-US" w:eastAsia="zh-CN"/>
              </w:rPr>
              <w:t>5</w:t>
            </w:r>
            <w:r>
              <w:rPr>
                <w:rFonts w:hint="default" w:ascii="Times New Roman" w:hAnsi="Times New Roman" w:eastAsia="宋体" w:cs="Times New Roman"/>
                <w:sz w:val="24"/>
              </w:rPr>
              <w:t>。</w:t>
            </w:r>
            <w:r>
              <w:rPr>
                <w:rFonts w:hint="default" w:ascii="Times New Roman" w:hAnsi="Times New Roman" w:eastAsia="宋体" w:cs="Times New Roman"/>
                <w:bCs/>
                <w:color w:val="auto"/>
                <w:sz w:val="24"/>
                <w:lang w:val="en-US" w:eastAsia="zh-CN"/>
              </w:rPr>
              <w:t>建筑内容见下表。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 xml:space="preserve">表2-2                  </w:t>
            </w:r>
            <w:r>
              <w:rPr>
                <w:rFonts w:hint="eastAsia"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项目组成一览表</w:t>
            </w:r>
          </w:p>
          <w:tbl>
            <w:tblPr>
              <w:tblStyle w:val="30"/>
              <w:tblW w:w="81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54"/>
              <w:gridCol w:w="1346"/>
              <w:gridCol w:w="5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bCs/>
                      <w:snapToGrid w:val="0"/>
                      <w:kern w:val="0"/>
                      <w:szCs w:val="21"/>
                    </w:rPr>
                  </w:pPr>
                  <w:r>
                    <w:rPr>
                      <w:bCs/>
                      <w:snapToGrid w:val="0"/>
                      <w:kern w:val="0"/>
                      <w:szCs w:val="21"/>
                      <w:lang w:val="zh-CN"/>
                    </w:rPr>
                    <w:t>类别</w:t>
                  </w: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bCs/>
                      <w:snapToGrid w:val="0"/>
                      <w:kern w:val="0"/>
                      <w:szCs w:val="21"/>
                    </w:rPr>
                  </w:pPr>
                  <w:r>
                    <w:rPr>
                      <w:bCs/>
                      <w:snapToGrid w:val="0"/>
                      <w:kern w:val="0"/>
                      <w:szCs w:val="21"/>
                      <w:lang w:val="zh-CN"/>
                    </w:rPr>
                    <w:t>名称</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bCs/>
                      <w:snapToGrid w:val="0"/>
                      <w:kern w:val="0"/>
                      <w:szCs w:val="21"/>
                    </w:rPr>
                  </w:pPr>
                  <w:r>
                    <w:rPr>
                      <w:bCs/>
                      <w:snapToGrid w:val="0"/>
                      <w:kern w:val="0"/>
                      <w:szCs w:val="21"/>
                      <w:lang w:val="zh-CN"/>
                    </w:rPr>
                    <w:t>建设内容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lang w:val="zh-CN"/>
                    </w:rPr>
                    <w:t>主体工程</w:t>
                  </w: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实验室</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zCs w:val="21"/>
                    </w:rPr>
                    <w:t>主要包括</w:t>
                  </w:r>
                  <w:r>
                    <w:rPr>
                      <w:rFonts w:hint="eastAsia"/>
                      <w:szCs w:val="21"/>
                      <w:lang w:val="en-US" w:eastAsia="zh-CN"/>
                    </w:rPr>
                    <w:t>实验区</w:t>
                  </w:r>
                  <w:r>
                    <w:rPr>
                      <w:szCs w:val="21"/>
                    </w:rPr>
                    <w:t>、</w:t>
                  </w:r>
                  <w:r>
                    <w:rPr>
                      <w:rFonts w:hint="eastAsia"/>
                      <w:szCs w:val="21"/>
                      <w:lang w:val="en-US" w:eastAsia="zh-CN"/>
                    </w:rPr>
                    <w:t>样本间</w:t>
                  </w:r>
                  <w:r>
                    <w:rPr>
                      <w:szCs w:val="21"/>
                    </w:rPr>
                    <w:t>等。其中实验区主要为</w:t>
                  </w:r>
                  <w:r>
                    <w:rPr>
                      <w:rFonts w:hint="eastAsia"/>
                      <w:szCs w:val="21"/>
                    </w:rPr>
                    <w:t>样本制备间、</w:t>
                  </w:r>
                  <w:r>
                    <w:rPr>
                      <w:rFonts w:hint="eastAsia"/>
                      <w:szCs w:val="21"/>
                      <w:lang w:val="en-US" w:eastAsia="zh-CN"/>
                    </w:rPr>
                    <w:t>理化</w:t>
                  </w:r>
                  <w:r>
                    <w:rPr>
                      <w:szCs w:val="21"/>
                    </w:rPr>
                    <w:t>实验区</w:t>
                  </w:r>
                  <w:r>
                    <w:rPr>
                      <w:rFonts w:hint="eastAsia"/>
                      <w:szCs w:val="21"/>
                      <w:lang w:eastAsia="zh-CN"/>
                    </w:rPr>
                    <w:t>、</w:t>
                  </w:r>
                  <w:r>
                    <w:rPr>
                      <w:rFonts w:hint="eastAsia"/>
                      <w:szCs w:val="21"/>
                      <w:lang w:val="en-US" w:eastAsia="zh-CN"/>
                    </w:rPr>
                    <w:t>微生物实验区</w:t>
                  </w:r>
                  <w:r>
                    <w:rPr>
                      <w:szCs w:val="21"/>
                    </w:rPr>
                    <w:t>，布置样本接收、试剂准备、样本制备等房间，并配置洗消间、</w:t>
                  </w:r>
                  <w:r>
                    <w:rPr>
                      <w:rFonts w:hint="eastAsia"/>
                      <w:szCs w:val="21"/>
                      <w:lang w:val="en-US" w:eastAsia="zh-CN"/>
                    </w:rPr>
                    <w:t>样本</w:t>
                  </w:r>
                  <w:r>
                    <w:rPr>
                      <w:szCs w:val="21"/>
                    </w:rPr>
                    <w:t>库、试剂库、制水间、更衣室、</w:t>
                  </w:r>
                  <w:r>
                    <w:rPr>
                      <w:rFonts w:hint="eastAsia"/>
                      <w:szCs w:val="21"/>
                      <w:lang w:val="en-US" w:eastAsia="zh-CN"/>
                    </w:rPr>
                    <w:t>一般固废间、</w:t>
                  </w:r>
                  <w:r>
                    <w:rPr>
                      <w:szCs w:val="21"/>
                    </w:rPr>
                    <w:t>危险废物暂存间等辅助区域。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restart"/>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lang w:val="zh-CN"/>
                    </w:rPr>
                    <w:t>公用工程</w:t>
                  </w: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供水工程</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lang w:val="zh-CN"/>
                    </w:rPr>
                    <w:t>市政供水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continue"/>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lang w:val="zh-CN"/>
                    </w:rPr>
                  </w:pP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lang w:val="zh-CN"/>
                    </w:rPr>
                  </w:pPr>
                  <w:r>
                    <w:rPr>
                      <w:snapToGrid w:val="0"/>
                      <w:kern w:val="0"/>
                      <w:szCs w:val="21"/>
                      <w:lang w:val="zh-CN"/>
                    </w:rPr>
                    <w:t>供电工程</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lang w:val="zh-CN"/>
                    </w:rPr>
                  </w:pPr>
                  <w:r>
                    <w:rPr>
                      <w:snapToGrid w:val="0"/>
                      <w:kern w:val="0"/>
                      <w:szCs w:val="21"/>
                      <w:lang w:val="zh-CN"/>
                    </w:rPr>
                    <w:t>市政供电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restart"/>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color w:val="FF0000"/>
                      <w:kern w:val="0"/>
                      <w:szCs w:val="21"/>
                    </w:rPr>
                  </w:pPr>
                  <w:r>
                    <w:rPr>
                      <w:snapToGrid w:val="0"/>
                      <w:kern w:val="0"/>
                      <w:szCs w:val="21"/>
                      <w:lang w:val="zh-CN"/>
                    </w:rPr>
                    <w:t>环保工程</w:t>
                  </w: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废水</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本项目生产废水经</w:t>
                  </w:r>
                  <w:r>
                    <w:rPr>
                      <w:rFonts w:hint="eastAsia"/>
                      <w:snapToGrid w:val="0"/>
                      <w:kern w:val="0"/>
                      <w:szCs w:val="21"/>
                    </w:rPr>
                    <w:t>“</w:t>
                  </w:r>
                  <w:r>
                    <w:rPr>
                      <w:spacing w:val="-11"/>
                      <w:szCs w:val="21"/>
                    </w:rPr>
                    <w:t>酸碱中和+微电解+沉淀+</w:t>
                  </w:r>
                  <w:r>
                    <w:rPr>
                      <w:spacing w:val="-5"/>
                      <w:szCs w:val="21"/>
                    </w:rPr>
                    <w:t>过滤吸附+消毒</w:t>
                  </w:r>
                  <w:r>
                    <w:rPr>
                      <w:rFonts w:hint="eastAsia"/>
                      <w:snapToGrid w:val="0"/>
                      <w:kern w:val="0"/>
                      <w:szCs w:val="21"/>
                    </w:rPr>
                    <w:t>处理”、生活污水经化粪池处理与</w:t>
                  </w:r>
                  <w:r>
                    <w:rPr>
                      <w:snapToGrid w:val="0"/>
                      <w:kern w:val="0"/>
                      <w:szCs w:val="21"/>
                    </w:rPr>
                    <w:t>纯水制备产生的浓水</w:t>
                  </w:r>
                  <w:r>
                    <w:rPr>
                      <w:rFonts w:hint="eastAsia"/>
                      <w:snapToGrid w:val="0"/>
                      <w:kern w:val="0"/>
                      <w:szCs w:val="21"/>
                    </w:rPr>
                    <w:t>一同</w:t>
                  </w:r>
                  <w:r>
                    <w:rPr>
                      <w:snapToGrid w:val="0"/>
                      <w:kern w:val="0"/>
                      <w:szCs w:val="21"/>
                    </w:rPr>
                    <w:t>通过</w:t>
                  </w:r>
                  <w:r>
                    <w:rPr>
                      <w:rFonts w:hint="eastAsia"/>
                      <w:snapToGrid w:val="0"/>
                      <w:kern w:val="0"/>
                      <w:szCs w:val="21"/>
                    </w:rPr>
                    <w:t>污水</w:t>
                  </w:r>
                  <w:r>
                    <w:rPr>
                      <w:snapToGrid w:val="0"/>
                      <w:kern w:val="0"/>
                      <w:szCs w:val="21"/>
                    </w:rPr>
                    <w:t>管网进入</w:t>
                  </w:r>
                  <w:r>
                    <w:rPr>
                      <w:rFonts w:hint="eastAsia"/>
                      <w:snapToGrid w:val="0"/>
                      <w:kern w:val="0"/>
                      <w:szCs w:val="21"/>
                      <w:lang w:eastAsia="zh-CN"/>
                    </w:rPr>
                    <w:t>新乡县综合污水处理厂</w:t>
                  </w:r>
                  <w:r>
                    <w:rPr>
                      <w:snapToGrid w:val="0"/>
                      <w:kern w:val="0"/>
                      <w:szCs w:val="21"/>
                    </w:rPr>
                    <w:t>进一步处理</w:t>
                  </w:r>
                  <w:r>
                    <w:rPr>
                      <w:rFonts w:hint="eastAsia"/>
                      <w:snapToGrid w:val="0"/>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continue"/>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color w:val="FF0000"/>
                      <w:kern w:val="0"/>
                      <w:szCs w:val="21"/>
                      <w:lang w:val="zh-CN"/>
                    </w:rPr>
                  </w:pP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废气</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rFonts w:hint="eastAsia"/>
                      <w:snapToGrid w:val="0"/>
                      <w:kern w:val="0"/>
                      <w:szCs w:val="21"/>
                      <w:lang w:val="en-US" w:eastAsia="zh-CN"/>
                    </w:rPr>
                    <w:t>理化</w:t>
                  </w:r>
                  <w:r>
                    <w:rPr>
                      <w:rFonts w:hint="eastAsia"/>
                      <w:snapToGrid w:val="0"/>
                      <w:kern w:val="0"/>
                      <w:szCs w:val="21"/>
                    </w:rPr>
                    <w:t>实验过程产生的</w:t>
                  </w:r>
                  <w:r>
                    <w:rPr>
                      <w:rFonts w:hint="eastAsia"/>
                      <w:snapToGrid w:val="0"/>
                      <w:kern w:val="0"/>
                      <w:szCs w:val="21"/>
                      <w:lang w:val="en-US" w:eastAsia="zh-CN"/>
                    </w:rPr>
                    <w:t>有机废气</w:t>
                  </w:r>
                  <w:r>
                    <w:rPr>
                      <w:rFonts w:hint="eastAsia"/>
                      <w:snapToGrid w:val="0"/>
                      <w:kern w:val="0"/>
                      <w:szCs w:val="21"/>
                    </w:rPr>
                    <w:t>经“</w:t>
                  </w:r>
                  <w:r>
                    <w:rPr>
                      <w:rFonts w:hint="eastAsia"/>
                      <w:snapToGrid w:val="0"/>
                      <w:kern w:val="0"/>
                      <w:szCs w:val="21"/>
                      <w:lang w:val="en-US" w:eastAsia="zh-CN"/>
                    </w:rPr>
                    <w:t>通风橱</w:t>
                  </w:r>
                  <w:r>
                    <w:rPr>
                      <w:rFonts w:hint="eastAsia"/>
                      <w:snapToGrid w:val="0"/>
                      <w:kern w:val="0"/>
                      <w:szCs w:val="21"/>
                    </w:rPr>
                    <w:t>收集</w:t>
                  </w:r>
                  <w:r>
                    <w:rPr>
                      <w:snapToGrid w:val="0"/>
                      <w:kern w:val="0"/>
                      <w:szCs w:val="21"/>
                    </w:rPr>
                    <w:t>+</w:t>
                  </w:r>
                  <w:r>
                    <w:rPr>
                      <w:rFonts w:hint="eastAsia"/>
                      <w:snapToGrid w:val="0"/>
                      <w:kern w:val="0"/>
                      <w:szCs w:val="21"/>
                      <w:lang w:val="en-US" w:eastAsia="zh-CN"/>
                    </w:rPr>
                    <w:t>碱喷淋+</w:t>
                  </w:r>
                  <w:r>
                    <w:rPr>
                      <w:rFonts w:hint="eastAsia"/>
                      <w:snapToGrid w:val="0"/>
                      <w:kern w:val="0"/>
                      <w:szCs w:val="21"/>
                    </w:rPr>
                    <w:t>UV光氧催化</w:t>
                  </w:r>
                  <w:r>
                    <w:rPr>
                      <w:snapToGrid w:val="0"/>
                      <w:kern w:val="0"/>
                      <w:szCs w:val="21"/>
                    </w:rPr>
                    <w:t>+活性炭吸附</w:t>
                  </w:r>
                  <w:r>
                    <w:rPr>
                      <w:rFonts w:hint="eastAsia"/>
                      <w:snapToGrid w:val="0"/>
                      <w:kern w:val="0"/>
                      <w:szCs w:val="21"/>
                    </w:rPr>
                    <w:t>”处理后达标排放；产生的气溶胶</w:t>
                  </w:r>
                  <w:r>
                    <w:rPr>
                      <w:rFonts w:hint="eastAsia"/>
                      <w:szCs w:val="21"/>
                    </w:rPr>
                    <w:t>经生物安全柜</w:t>
                  </w:r>
                  <w:r>
                    <w:rPr>
                      <w:szCs w:val="21"/>
                    </w:rPr>
                    <w:t>内部</w:t>
                  </w:r>
                  <w:r>
                    <w:rPr>
                      <w:rFonts w:hint="eastAsia"/>
                      <w:szCs w:val="21"/>
                    </w:rPr>
                    <w:t>“紫外光消毒+高效空气过滤器”</w:t>
                  </w:r>
                  <w:r>
                    <w:rPr>
                      <w:szCs w:val="21"/>
                    </w:rPr>
                    <w:t>过滤后</w:t>
                  </w:r>
                  <w:r>
                    <w:rPr>
                      <w:rFonts w:hint="eastAsia"/>
                      <w:szCs w:val="21"/>
                    </w:rPr>
                    <w:t>，在实验室内循环</w:t>
                  </w:r>
                  <w:r>
                    <w:rPr>
                      <w:rFonts w:hint="eastAsia"/>
                      <w:snapToGrid w:val="0"/>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continue"/>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color w:val="FF0000"/>
                      <w:kern w:val="0"/>
                      <w:szCs w:val="21"/>
                      <w:lang w:val="zh-CN"/>
                    </w:rPr>
                  </w:pP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eastAsia="宋体"/>
                      <w:snapToGrid w:val="0"/>
                      <w:kern w:val="0"/>
                      <w:szCs w:val="21"/>
                      <w:lang w:val="en-US" w:eastAsia="zh-CN"/>
                    </w:rPr>
                  </w:pPr>
                  <w:r>
                    <w:rPr>
                      <w:rFonts w:hint="eastAsia"/>
                      <w:snapToGrid w:val="0"/>
                      <w:kern w:val="0"/>
                      <w:szCs w:val="21"/>
                      <w:lang w:val="en-US" w:eastAsia="zh-CN"/>
                    </w:rPr>
                    <w:t>噪声</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snapToGrid w:val="0"/>
                      <w:kern w:val="0"/>
                      <w:szCs w:val="21"/>
                      <w:lang w:val="en-US" w:eastAsia="zh-CN"/>
                    </w:rPr>
                  </w:pPr>
                  <w:r>
                    <w:rPr>
                      <w:rFonts w:hint="eastAsia"/>
                      <w:snapToGrid w:val="0"/>
                      <w:kern w:val="0"/>
                      <w:szCs w:val="21"/>
                      <w:lang w:val="en-US" w:eastAsia="zh-CN"/>
                    </w:rPr>
                    <w:t>高噪声安装隔音罩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continue"/>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color w:val="FF0000"/>
                      <w:kern w:val="0"/>
                      <w:szCs w:val="21"/>
                      <w:lang w:val="zh-CN"/>
                    </w:rPr>
                  </w:pP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一般固废</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napToGrid w:val="0"/>
                      <w:kern w:val="0"/>
                      <w:szCs w:val="21"/>
                    </w:rPr>
                  </w:pPr>
                  <w:r>
                    <w:rPr>
                      <w:snapToGrid w:val="0"/>
                      <w:kern w:val="0"/>
                      <w:szCs w:val="21"/>
                      <w:lang w:val="zh-CN"/>
                    </w:rPr>
                    <w:t>设置</w:t>
                  </w:r>
                  <w:r>
                    <w:rPr>
                      <w:rFonts w:hint="eastAsia"/>
                      <w:snapToGrid w:val="0"/>
                      <w:kern w:val="0"/>
                      <w:szCs w:val="21"/>
                      <w:lang w:val="en-US" w:eastAsia="zh-CN"/>
                    </w:rPr>
                    <w:t>1</w:t>
                  </w:r>
                  <w:r>
                    <w:rPr>
                      <w:snapToGrid w:val="0"/>
                      <w:kern w:val="0"/>
                      <w:szCs w:val="21"/>
                    </w:rPr>
                    <w:t>0</w:t>
                  </w:r>
                  <w:r>
                    <w:rPr>
                      <w:snapToGrid w:val="0"/>
                      <w:kern w:val="0"/>
                      <w:szCs w:val="21"/>
                      <w:lang w:val="zh-CN"/>
                    </w:rPr>
                    <w:t>m</w:t>
                  </w:r>
                  <w:r>
                    <w:rPr>
                      <w:snapToGrid w:val="0"/>
                      <w:kern w:val="0"/>
                      <w:szCs w:val="21"/>
                      <w:vertAlign w:val="superscript"/>
                      <w:lang w:val="zh-CN"/>
                    </w:rPr>
                    <w:t>2</w:t>
                  </w:r>
                  <w:r>
                    <w:rPr>
                      <w:snapToGrid w:val="0"/>
                      <w:kern w:val="0"/>
                      <w:szCs w:val="21"/>
                      <w:lang w:val="zh-CN"/>
                    </w:rPr>
                    <w:t>一般固废暂存</w:t>
                  </w:r>
                  <w:r>
                    <w:rPr>
                      <w:rFonts w:hint="eastAsia"/>
                      <w:snapToGrid w:val="0"/>
                      <w:kern w:val="0"/>
                      <w:szCs w:val="21"/>
                      <w:lang w:val="zh-CN"/>
                    </w:rPr>
                    <w:t>场所</w:t>
                  </w:r>
                  <w:r>
                    <w:rPr>
                      <w:rFonts w:hint="eastAsia"/>
                      <w:snapToGrid w:val="0"/>
                      <w:kern w:val="0"/>
                      <w:szCs w:val="21"/>
                    </w:rPr>
                    <w:t>1处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continue"/>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color w:val="FF0000"/>
                      <w:kern w:val="0"/>
                      <w:szCs w:val="21"/>
                      <w:lang w:val="zh-CN"/>
                    </w:rPr>
                  </w:pP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危险废物</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lang w:val="zh-CN"/>
                    </w:rPr>
                  </w:pPr>
                  <w:r>
                    <w:rPr>
                      <w:snapToGrid w:val="0"/>
                      <w:kern w:val="0"/>
                      <w:szCs w:val="21"/>
                      <w:lang w:val="zh-CN"/>
                    </w:rPr>
                    <w:t>设置</w:t>
                  </w:r>
                  <w:r>
                    <w:rPr>
                      <w:rFonts w:hint="eastAsia"/>
                      <w:snapToGrid w:val="0"/>
                      <w:kern w:val="0"/>
                      <w:szCs w:val="21"/>
                      <w:lang w:val="en-US" w:eastAsia="zh-CN"/>
                    </w:rPr>
                    <w:t>20</w:t>
                  </w:r>
                  <w:r>
                    <w:rPr>
                      <w:snapToGrid w:val="0"/>
                      <w:kern w:val="0"/>
                      <w:szCs w:val="21"/>
                      <w:lang w:val="zh-CN"/>
                    </w:rPr>
                    <w:t>m</w:t>
                  </w:r>
                  <w:r>
                    <w:rPr>
                      <w:snapToGrid w:val="0"/>
                      <w:kern w:val="0"/>
                      <w:szCs w:val="21"/>
                      <w:vertAlign w:val="superscript"/>
                      <w:lang w:val="zh-CN"/>
                    </w:rPr>
                    <w:t>2</w:t>
                  </w:r>
                  <w:r>
                    <w:rPr>
                      <w:snapToGrid w:val="0"/>
                      <w:kern w:val="0"/>
                      <w:szCs w:val="21"/>
                      <w:lang w:val="zh-CN"/>
                    </w:rPr>
                    <w:t>危险废物暂存间1</w:t>
                  </w:r>
                  <w:r>
                    <w:rPr>
                      <w:rFonts w:hint="eastAsia"/>
                      <w:snapToGrid w:val="0"/>
                      <w:kern w:val="0"/>
                      <w:szCs w:val="21"/>
                      <w:lang w:val="zh-CN"/>
                    </w:rPr>
                    <w:t>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154" w:type="dxa"/>
                  <w:vMerge w:val="continue"/>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color w:val="FF0000"/>
                      <w:kern w:val="0"/>
                      <w:szCs w:val="21"/>
                      <w:lang w:val="zh-CN"/>
                    </w:rPr>
                  </w:pPr>
                </w:p>
              </w:tc>
              <w:tc>
                <w:tcPr>
                  <w:tcW w:w="134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snapToGrid w:val="0"/>
                      <w:kern w:val="0"/>
                      <w:szCs w:val="21"/>
                    </w:rPr>
                    <w:t>生活垃圾</w:t>
                  </w:r>
                </w:p>
              </w:tc>
              <w:tc>
                <w:tcPr>
                  <w:tcW w:w="5634"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lang w:val="zh-CN"/>
                    </w:rPr>
                  </w:pPr>
                  <w:r>
                    <w:rPr>
                      <w:snapToGrid w:val="0"/>
                      <w:kern w:val="0"/>
                      <w:szCs w:val="21"/>
                      <w:lang w:val="zh-CN"/>
                    </w:rPr>
                    <w:t>垃圾箱</w:t>
                  </w:r>
                  <w:r>
                    <w:rPr>
                      <w:snapToGrid w:val="0"/>
                      <w:kern w:val="0"/>
                      <w:szCs w:val="21"/>
                    </w:rPr>
                    <w:t>若干</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、项目产品方案</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Calibri" w:hAnsi="Calibri" w:eastAsia="宋体" w:cs="Times New Roman"/>
                <w:lang w:val="en-US" w:eastAsia="zh-CN"/>
              </w:rPr>
            </w:pPr>
            <w:r>
              <w:rPr>
                <w:rFonts w:hint="default" w:ascii="Times New Roman" w:hAnsi="Times New Roman" w:eastAsia="宋体" w:cs="Times New Roman"/>
                <w:sz w:val="24"/>
              </w:rPr>
              <w:t>项目产品方案如下表所示</w:t>
            </w:r>
            <w:r>
              <w:rPr>
                <w:rFonts w:hint="default" w:ascii="Times New Roman" w:hAnsi="Times New Roman" w:eastAsia="宋体" w:cs="Times New Roman"/>
                <w:bCs/>
                <w:sz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表2-3                项目产品方案一览表</w:t>
            </w:r>
          </w:p>
          <w:tbl>
            <w:tblPr>
              <w:tblStyle w:val="30"/>
              <w:tblW w:w="81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20"/>
              <w:gridCol w:w="2366"/>
              <w:gridCol w:w="2229"/>
              <w:gridCol w:w="22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20"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bCs/>
                      <w:snapToGrid w:val="0"/>
                      <w:kern w:val="0"/>
                      <w:szCs w:val="21"/>
                    </w:rPr>
                  </w:pPr>
                  <w:r>
                    <w:rPr>
                      <w:bCs/>
                      <w:snapToGrid w:val="0"/>
                      <w:kern w:val="0"/>
                      <w:szCs w:val="21"/>
                    </w:rPr>
                    <w:t>序号</w:t>
                  </w:r>
                </w:p>
              </w:tc>
              <w:tc>
                <w:tcPr>
                  <w:tcW w:w="236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bCs/>
                      <w:snapToGrid w:val="0"/>
                      <w:kern w:val="0"/>
                      <w:szCs w:val="21"/>
                    </w:rPr>
                  </w:pPr>
                  <w:r>
                    <w:rPr>
                      <w:bCs/>
                      <w:snapToGrid w:val="0"/>
                      <w:kern w:val="0"/>
                      <w:szCs w:val="21"/>
                    </w:rPr>
                    <w:t>产品类别</w:t>
                  </w:r>
                </w:p>
              </w:tc>
              <w:tc>
                <w:tcPr>
                  <w:tcW w:w="222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bCs/>
                      <w:snapToGrid w:val="0"/>
                      <w:kern w:val="0"/>
                      <w:szCs w:val="21"/>
                    </w:rPr>
                  </w:pPr>
                  <w:r>
                    <w:rPr>
                      <w:bCs/>
                      <w:snapToGrid w:val="0"/>
                      <w:kern w:val="0"/>
                      <w:szCs w:val="21"/>
                    </w:rPr>
                    <w:t>年产量（份/年）</w:t>
                  </w:r>
                </w:p>
              </w:tc>
              <w:tc>
                <w:tcPr>
                  <w:tcW w:w="2230"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bCs/>
                      <w:snapToGrid w:val="0"/>
                      <w:kern w:val="0"/>
                      <w:szCs w:val="21"/>
                      <w:lang w:val="en-US" w:eastAsia="zh-CN"/>
                    </w:rPr>
                  </w:pPr>
                  <w:r>
                    <w:rPr>
                      <w:rFonts w:hint="eastAsia"/>
                      <w:bCs/>
                      <w:snapToGrid w:val="0"/>
                      <w:kern w:val="0"/>
                      <w:szCs w:val="21"/>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20"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1</w:t>
                  </w:r>
                </w:p>
              </w:tc>
              <w:tc>
                <w:tcPr>
                  <w:tcW w:w="236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snapToGrid w:val="0"/>
                      <w:kern w:val="0"/>
                      <w:szCs w:val="21"/>
                    </w:rPr>
                  </w:pPr>
                  <w:r>
                    <w:rPr>
                      <w:rStyle w:val="36"/>
                      <w:rFonts w:hint="eastAsia"/>
                      <w:lang w:val="en-US" w:eastAsia="zh-CN"/>
                    </w:rPr>
                    <w:t>食品</w:t>
                  </w:r>
                  <w:r>
                    <w:rPr>
                      <w:rStyle w:val="36"/>
                    </w:rPr>
                    <w:t>样本检测</w:t>
                  </w:r>
                </w:p>
              </w:tc>
              <w:tc>
                <w:tcPr>
                  <w:tcW w:w="222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4000</w:t>
                  </w:r>
                </w:p>
              </w:tc>
              <w:tc>
                <w:tcPr>
                  <w:tcW w:w="2230"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包含粮食及其产品、焙烤食品、油脂及其制品、酒类、食糖及淀粉糖、淀粉及淀粉制品、豆类及其制品、水果制品、蔬菜及其制品、食用菌及其制品、调味品及调味料、坚果及籽类制品、冷冻饮品、速冻食品、蛋制品、肉及肉制品、罐头、饮料类、藻类及其制品、水产品、乳及乳制品、方面食品及其他类、食品添加剂等食品23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20"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eastAsia="宋体"/>
                      <w:szCs w:val="21"/>
                      <w:lang w:val="en-US" w:eastAsia="zh-CN"/>
                    </w:rPr>
                  </w:pPr>
                  <w:r>
                    <w:rPr>
                      <w:rFonts w:hint="eastAsia"/>
                      <w:szCs w:val="21"/>
                      <w:lang w:val="en-US" w:eastAsia="zh-CN"/>
                    </w:rPr>
                    <w:t>2</w:t>
                  </w:r>
                </w:p>
              </w:tc>
              <w:tc>
                <w:tcPr>
                  <w:tcW w:w="236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Style w:val="36"/>
                      <w:rFonts w:hint="default"/>
                      <w:lang w:val="en-US" w:eastAsia="zh-CN"/>
                    </w:rPr>
                  </w:pPr>
                  <w:r>
                    <w:rPr>
                      <w:rStyle w:val="36"/>
                      <w:rFonts w:hint="eastAsia"/>
                      <w:lang w:val="en-US" w:eastAsia="zh-CN"/>
                    </w:rPr>
                    <w:t>机械样本检测</w:t>
                  </w:r>
                </w:p>
              </w:tc>
              <w:tc>
                <w:tcPr>
                  <w:tcW w:w="222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500</w:t>
                  </w:r>
                </w:p>
              </w:tc>
              <w:tc>
                <w:tcPr>
                  <w:tcW w:w="2230"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包含：振动筛检测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20"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eastAsia="宋体"/>
                      <w:szCs w:val="21"/>
                      <w:lang w:val="en-US" w:eastAsia="zh-CN"/>
                    </w:rPr>
                  </w:pPr>
                  <w:r>
                    <w:rPr>
                      <w:rFonts w:hint="eastAsia"/>
                      <w:szCs w:val="21"/>
                      <w:lang w:val="en-US" w:eastAsia="zh-CN"/>
                    </w:rPr>
                    <w:t>3</w:t>
                  </w:r>
                </w:p>
              </w:tc>
              <w:tc>
                <w:tcPr>
                  <w:tcW w:w="236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Style w:val="36"/>
                      <w:rFonts w:hint="default"/>
                      <w:lang w:val="en-US" w:eastAsia="zh-CN"/>
                    </w:rPr>
                  </w:pPr>
                  <w:r>
                    <w:rPr>
                      <w:rStyle w:val="36"/>
                      <w:rFonts w:hint="eastAsia"/>
                      <w:lang w:val="en-US" w:eastAsia="zh-CN"/>
                    </w:rPr>
                    <w:t>化工样本检测</w:t>
                  </w:r>
                </w:p>
              </w:tc>
              <w:tc>
                <w:tcPr>
                  <w:tcW w:w="222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1000</w:t>
                  </w:r>
                </w:p>
              </w:tc>
              <w:tc>
                <w:tcPr>
                  <w:tcW w:w="2230"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包含：车用柴油、车用汽油等油类检测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20"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eastAsia="宋体"/>
                      <w:szCs w:val="21"/>
                      <w:lang w:val="en-US" w:eastAsia="zh-CN"/>
                    </w:rPr>
                  </w:pPr>
                  <w:r>
                    <w:rPr>
                      <w:rFonts w:hint="eastAsia"/>
                      <w:szCs w:val="21"/>
                      <w:lang w:val="en-US" w:eastAsia="zh-CN"/>
                    </w:rPr>
                    <w:t>4</w:t>
                  </w:r>
                </w:p>
              </w:tc>
              <w:tc>
                <w:tcPr>
                  <w:tcW w:w="236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Style w:val="36"/>
                      <w:rFonts w:hint="default"/>
                      <w:lang w:val="en-US" w:eastAsia="zh-CN"/>
                    </w:rPr>
                  </w:pPr>
                  <w:r>
                    <w:rPr>
                      <w:rStyle w:val="36"/>
                      <w:rFonts w:hint="eastAsia"/>
                      <w:lang w:val="en-US" w:eastAsia="zh-CN"/>
                    </w:rPr>
                    <w:t>药品样本检测</w:t>
                  </w:r>
                </w:p>
              </w:tc>
              <w:tc>
                <w:tcPr>
                  <w:tcW w:w="222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200</w:t>
                  </w:r>
                </w:p>
              </w:tc>
              <w:tc>
                <w:tcPr>
                  <w:tcW w:w="2230"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包含：各种药品检测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20"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eastAsia="宋体"/>
                      <w:szCs w:val="21"/>
                      <w:lang w:val="en-US" w:eastAsia="zh-CN"/>
                    </w:rPr>
                  </w:pPr>
                  <w:r>
                    <w:rPr>
                      <w:rFonts w:hint="eastAsia"/>
                      <w:szCs w:val="21"/>
                      <w:lang w:val="en-US" w:eastAsia="zh-CN"/>
                    </w:rPr>
                    <w:t>5</w:t>
                  </w:r>
                </w:p>
              </w:tc>
              <w:tc>
                <w:tcPr>
                  <w:tcW w:w="2366" w:type="dxa"/>
                  <w:noWrap w:val="0"/>
                  <w:tcMar>
                    <w:top w:w="85" w:type="dxa"/>
                    <w:bottom w:w="85" w:type="dxa"/>
                  </w:tcMar>
                  <w:vAlign w:val="center"/>
                </w:tcPr>
                <w:p>
                  <w:pPr>
                    <w:keepNext w:val="0"/>
                    <w:keepLines w:val="0"/>
                    <w:suppressLineNumbers w:val="0"/>
                    <w:adjustRightInd w:val="0"/>
                    <w:snapToGrid w:val="0"/>
                    <w:spacing w:before="0" w:beforeAutospacing="0" w:after="0" w:afterAutospacing="0" w:line="360" w:lineRule="exact"/>
                    <w:ind w:left="0" w:right="0"/>
                    <w:jc w:val="center"/>
                    <w:rPr>
                      <w:rStyle w:val="36"/>
                      <w:rFonts w:hint="default"/>
                      <w:lang w:val="en-US" w:eastAsia="zh-CN"/>
                    </w:rPr>
                  </w:pPr>
                  <w:r>
                    <w:rPr>
                      <w:rStyle w:val="36"/>
                      <w:rFonts w:hint="eastAsia"/>
                      <w:lang w:val="en-US" w:eastAsia="zh-CN"/>
                    </w:rPr>
                    <w:t>建材样本检测</w:t>
                  </w:r>
                </w:p>
              </w:tc>
              <w:tc>
                <w:tcPr>
                  <w:tcW w:w="222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300</w:t>
                  </w:r>
                </w:p>
              </w:tc>
              <w:tc>
                <w:tcPr>
                  <w:tcW w:w="2230"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napToGrid w:val="0"/>
                      <w:kern w:val="0"/>
                      <w:szCs w:val="21"/>
                      <w:lang w:val="en-US" w:eastAsia="zh-CN"/>
                    </w:rPr>
                  </w:pPr>
                  <w:r>
                    <w:rPr>
                      <w:rFonts w:hint="eastAsia"/>
                      <w:snapToGrid w:val="0"/>
                      <w:kern w:val="0"/>
                      <w:szCs w:val="21"/>
                      <w:lang w:val="en-US" w:eastAsia="zh-CN"/>
                    </w:rPr>
                    <w:t>包含：砖、钢材等建材检测</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sz w:val="24"/>
                <w:lang w:val="en-US" w:eastAsia="zh-CN"/>
              </w:rPr>
            </w:pPr>
            <w:r>
              <w:rPr>
                <w:rFonts w:hint="default" w:ascii="Times New Roman" w:hAnsi="Times New Roman" w:eastAsia="宋体" w:cs="Times New Roman"/>
                <w:b/>
                <w:sz w:val="24"/>
                <w:lang w:val="en-US" w:eastAsia="zh-CN"/>
              </w:rPr>
              <w:t>5、主要生产设备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宋体" w:cs="Times New Roman"/>
                <w:b w:val="0"/>
                <w:bCs/>
                <w:sz w:val="24"/>
                <w:lang w:val="en-US" w:eastAsia="zh-CN"/>
              </w:rPr>
              <w:t>本项目主要生产设备及型号见表2-4。</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 xml:space="preserve">表2-4               </w:t>
            </w:r>
            <w:r>
              <w:rPr>
                <w:rFonts w:hint="eastAsia" w:ascii="Times New Roman" w:hAnsi="Times New Roman" w:eastAsia="黑体" w:cs="Times New Roman"/>
                <w:b w:val="0"/>
                <w:bCs w:val="0"/>
                <w:color w:val="auto"/>
                <w:sz w:val="24"/>
                <w:szCs w:val="24"/>
                <w:lang w:val="en-US" w:eastAsia="zh-CN"/>
              </w:rPr>
              <w:t>本</w:t>
            </w:r>
            <w:r>
              <w:rPr>
                <w:rFonts w:hint="default" w:ascii="Times New Roman" w:hAnsi="Times New Roman" w:eastAsia="黑体" w:cs="Times New Roman"/>
                <w:b w:val="0"/>
                <w:bCs w:val="0"/>
                <w:color w:val="auto"/>
                <w:sz w:val="24"/>
                <w:szCs w:val="24"/>
                <w:lang w:val="en-US" w:eastAsia="zh-CN"/>
              </w:rPr>
              <w:t>项目主要生产设备一览表</w:t>
            </w:r>
          </w:p>
          <w:tbl>
            <w:tblPr>
              <w:tblStyle w:val="30"/>
              <w:tblW w:w="81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2848"/>
              <w:gridCol w:w="2273"/>
              <w:gridCol w:w="1385"/>
              <w:gridCol w:w="1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t>序号</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t>产品名称</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t>规格型号</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t>数量</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i w:val="0"/>
                      <w:iCs w:val="0"/>
                      <w:color w:val="000000" w:themeColor="text1"/>
                      <w:sz w:val="21"/>
                      <w:szCs w:val="21"/>
                      <w:u w:val="none"/>
                      <w14:textFill>
                        <w14:solidFill>
                          <w14:schemeClr w14:val="tx1"/>
                        </w14:solidFill>
                      </w14:textFill>
                    </w:rPr>
                  </w:pPr>
                  <w:r>
                    <w:rPr>
                      <w:rFonts w:hint="eastAsia" w:cs="Times New Roman" w:eastAsiaTheme="minorEastAsia"/>
                      <w:b/>
                      <w:bCs/>
                      <w:i w:val="0"/>
                      <w:iCs w:val="0"/>
                      <w:color w:val="000000" w:themeColor="text1"/>
                      <w:kern w:val="0"/>
                      <w:sz w:val="21"/>
                      <w:szCs w:val="21"/>
                      <w:u w:val="none"/>
                      <w:lang w:val="en-US" w:eastAsia="zh-CN" w:bidi="ar"/>
                      <w14:textFill>
                        <w14:solidFill>
                          <w14:schemeClr w14:val="tx1"/>
                        </w14:solidFill>
                      </w14:textFill>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t>食品类检测设备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气相色谱仪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8890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气相色谱仪-质谱联用仪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8890/7000D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液相-ICPMS联用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1260-7900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高效液相色谱-质谱仪联用仪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1290/6470B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液相色谱（荧光检测器，二极管阵列检测器）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1260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液相色谱</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原子荧光联用仪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SK-盛析-LC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离子色谱仪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IC6610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凝胶色谱仪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PrepLinc2 GPC&amp;AccuVap</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气</w:t>
                  </w:r>
                  <w:r>
                    <w:rPr>
                      <w:rFonts w:hint="default" w:ascii="Times New Roman" w:hAnsi="Times New Roman" w:cs="Times New Roman" w:eastAsiaTheme="minorEastAsia"/>
                      <w:color w:val="000000" w:themeColor="text1"/>
                      <w:sz w:val="21"/>
                      <w:szCs w:val="21"/>
                      <w14:textFill>
                        <w14:solidFill>
                          <w14:schemeClr w14:val="tx1"/>
                        </w14:solidFill>
                      </w14:textFill>
                    </w:rPr>
                    <w:t>相色谱-四级杆质谱联用仪（GC-MS）</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bidi="ar"/>
                      <w14:textFill>
                        <w14:solidFill>
                          <w14:schemeClr w14:val="tx1"/>
                        </w14:solidFill>
                      </w14:textFill>
                    </w:rPr>
                    <w:t>8890/5977B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全自动型GPC凝胶净化系统</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GelMaster-3000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双波长薄层扫描</w:t>
                  </w: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KH-2100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酶标仪（有振荡功能）</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K6600-A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酶标板振荡器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MIX-1500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荧光分光光度计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F-320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紫外</w:t>
                  </w:r>
                  <w:r>
                    <w:rPr>
                      <w:rFonts w:hint="default" w:ascii="Times New Roman" w:hAnsi="Times New Roman" w:cs="Times New Roman" w:eastAsiaTheme="minorEastAsia"/>
                      <w:color w:val="000000" w:themeColor="text1"/>
                      <w:sz w:val="21"/>
                      <w:szCs w:val="21"/>
                      <w14:textFill>
                        <w14:solidFill>
                          <w14:schemeClr w14:val="tx1"/>
                        </w14:solidFill>
                      </w14:textFill>
                    </w:rPr>
                    <w:t>分光光度计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UV-1700PC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红外分光光度计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TJ270-30A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氮吹仪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EVA 32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eastAsia="zh-CN"/>
                      <w14:textFill>
                        <w14:solidFill>
                          <w14:schemeClr w14:val="tx1"/>
                        </w14:solidFill>
                      </w14:textFill>
                    </w:rPr>
                    <w:t>测汞仪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DMA-500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氨基酸分析仪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Biochrom30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超水制备仪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展开槽</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TK-10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薄层涂布器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FW135</w:t>
                  </w:r>
                  <w:r>
                    <w:rPr>
                      <w:rFonts w:hint="default" w:ascii="Times New Roman" w:hAnsi="Times New Roman" w:cs="Times New Roman" w:eastAsiaTheme="minorEastAsia"/>
                      <w:color w:val="000000" w:themeColor="text1"/>
                      <w:sz w:val="21"/>
                      <w:szCs w:val="21"/>
                      <w14:textFill>
                        <w14:solidFill>
                          <w14:schemeClr w14:val="tx1"/>
                        </w14:solidFill>
                      </w14:textFill>
                    </w:rPr>
                    <w:t>TD-II</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普通离心机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TG-16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组织匀浆机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F6/10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全自动均质器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AH 50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单道移液器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Transferpette</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台式振荡器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TNTY-2520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高速冷冻离心机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TGL-1650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低速冷冻离心机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TDL-5M</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超离心研磨仪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JXCH-800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eastAsia="zh-CN"/>
                      <w14:textFill>
                        <w14:solidFill>
                          <w14:schemeClr w14:val="tx1"/>
                        </w14:solidFill>
                      </w14:textFill>
                    </w:rPr>
                    <w:t>精密酸度计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PHSJ-4F</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自动电位滴定仪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960basic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荧光显微镜</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RX50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微波消解仪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XT-9916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eastAsia="zh-CN"/>
                      <w14:textFill>
                        <w14:solidFill>
                          <w14:schemeClr w14:val="tx1"/>
                        </w14:solidFill>
                      </w14:textFill>
                    </w:rPr>
                    <w:t>全自动定氮仪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K9860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纤维测定仪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F2000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索氏脂肪抽提仪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SOX606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分液漏斗萃取净化振荡器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CYLDZ-6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AG65D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卡尔费休水分测定仪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AKF-1PLUS</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eastAsia="zh-CN"/>
                      <w14:textFill>
                        <w14:solidFill>
                          <w14:schemeClr w14:val="tx1"/>
                        </w14:solidFill>
                      </w14:textFill>
                    </w:rPr>
                    <w:t>圆形验粉筛</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eastAsia"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大米碎米测定仪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JPZ-D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实验砻谷机，实验碾米机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JLG-II</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大米外观品质检测仪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JPZ-A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小麦硬度指数测定仪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JYDX100×40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磁性金属物测定仪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JJCC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色度仪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DS-700d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小麦粉麸星测定仪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DSF-IV</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通风橱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eastAsia"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3</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流动注射分析仪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DMA-50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全自动微生物生化鉴定系统</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MA120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微量加样器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dPette+</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乳脂离心机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TDL-350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散射式浑浊度仪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WGZ-2000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面包体积测定仪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PV-X</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二氧化硫测定装置</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ST1061RW</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全自动固相萃取仪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Fotector-08HT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全自动</w:t>
                  </w:r>
                  <w:r>
                    <w:rPr>
                      <w:rFonts w:hint="default" w:ascii="Times New Roman" w:hAnsi="Times New Roman" w:cs="Times New Roman" w:eastAsiaTheme="minorEastAsia"/>
                      <w:color w:val="000000" w:themeColor="text1"/>
                      <w:sz w:val="21"/>
                      <w:szCs w:val="21"/>
                      <w14:textFill>
                        <w14:solidFill>
                          <w14:schemeClr w14:val="tx1"/>
                        </w14:solidFill>
                      </w14:textFill>
                    </w:rPr>
                    <w:t>平行浓缩仪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EVA90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拍打式无菌均质器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TP-04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厌氧培养箱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YYPY-135D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净化工作台</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DL-CJ-2ND1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生物安全柜</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eastAsia"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吹扫捕集</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PT-7900D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PCR仪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Line Gene 9600 Plus</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水平电泳仪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SINSAGE-EP300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低本底αβ测量仪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PAB-6000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全自动自动镭氡分析仪（配500mL闪烁室）</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HD2012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超低本底液闪计数器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300SLL</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液氮罐</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YDS-50B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冻力测试仪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JS-2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全自动食用油极性组分自动分离系统</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EOPC-002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b w:val="0"/>
                      <w:bCs w:val="0"/>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b w:val="0"/>
                      <w:bCs w:val="0"/>
                      <w:i w:val="0"/>
                      <w:iCs w:val="0"/>
                      <w:color w:val="000000" w:themeColor="text1"/>
                      <w:kern w:val="0"/>
                      <w:sz w:val="21"/>
                      <w:szCs w:val="21"/>
                      <w:u w:val="none"/>
                      <w:lang w:val="en-US" w:eastAsia="zh-CN" w:bidi="ar"/>
                      <w14:textFill>
                        <w14:solidFill>
                          <w14:schemeClr w14:val="tx1"/>
                        </w14:solidFill>
                      </w14:textFill>
                    </w:rPr>
                    <w:t>酶底物法分析系统</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b w:val="0"/>
                      <w:bCs w:val="0"/>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b w:val="0"/>
                      <w:bCs w:val="0"/>
                      <w:i w:val="0"/>
                      <w:iCs w:val="0"/>
                      <w:color w:val="000000" w:themeColor="text1"/>
                      <w:kern w:val="0"/>
                      <w:sz w:val="21"/>
                      <w:szCs w:val="21"/>
                      <w:u w:val="none"/>
                      <w:lang w:val="en-US" w:eastAsia="zh-CN" w:bidi="ar"/>
                      <w14:textFill>
                        <w14:solidFill>
                          <w14:schemeClr w14:val="tx1"/>
                        </w14:solidFill>
                      </w14:textFill>
                    </w:rPr>
                    <w:t>Denfender AUtomax</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b w:val="0"/>
                      <w:bCs w:val="0"/>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b w:val="0"/>
                      <w:bCs w:val="0"/>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架盘药物天平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AF611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样品混合器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MVM25</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碘量仪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WYD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振荡培养箱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TQLY-2320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电子式粉质仪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JFZD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zh-CN"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降落数值测定仪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zh-CN"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PFN-1500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zh-CN"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方糖硬度测试仪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ST120F</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罗维朋比色计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PLV-300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烟点测定仪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YD-1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白度仪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WSB-V</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密度天平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AF224J</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干热灭菌箱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BXH-130G</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电导率仪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PHS-3E</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电热板</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DRB-3/3D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实验电炉</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DK-98-II单联2KW</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陶瓷纤维马弗炉</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MF-7-12D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啤酒饮料二氧化碳测定仪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SCY-3B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90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旋涡混合器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XH-2000-1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中草药粉碎机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FW135</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全玻璃浓缩器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eastAsia"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高压蒸汽灭菌器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BXM-85VE</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菌落计数器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ZX-400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气相色谱仪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GC4011A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液相色谱仪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LC3000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原子荧光光度计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AF7500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原子</w:t>
                  </w: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吸收</w:t>
                  </w: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AA7003</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气相色谱仪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7890B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液相色谱仪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1260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原子吸收分光光度计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NOVAA400plus</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原子荧光光度计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PF32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二氧化碳测定仪</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压力表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SCY-3B</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0.6</w:t>
                  </w: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MPa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阿贝折射仪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WZS-1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白度计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WSB-2A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酶标分析仪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DNM-9602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显微镜</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XSP-16A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旋转粘度计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NDJ-79</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自动旋光仪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WZZ-2S</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自动电位滴定仪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ZD-2A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水分测定仪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KF-1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面包体积测定仪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JMTY</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磁性金属物检测器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CJZ-B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脂肪</w:t>
                  </w: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SZT-06A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箱式电阻炉</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SX-4-10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高速离心机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TGL-16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微波消解仪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HG08C-4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散射浊度仪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YGZ-200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圆形验粉筛</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YFS</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温湿度计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WS2080A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温湿度计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WS-608</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玻璃温度计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（0~300）℃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BSA224S</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CP214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CP153</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FR423CN</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HZF-A200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架盘天平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JPT-1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紫外可见分光光度计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UV-9600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紫外可见分光光度计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T6新世纪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酸度计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PHS-3C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电导率仪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DDS-11A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数显电导率仪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DDS-307</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真空干燥箱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DZF-6020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电热鼓风干燥箱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101-2A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智能</w:t>
                  </w: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生化培养箱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SPX-150B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智能霉菌培养箱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MJ-160B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精密恒温水浴锅</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HHS</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恒温振荡器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SHA-C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电子恒温水浴锅</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DZKW-4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恒温水浴振荡器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SHA-C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ES30K-1D</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电子秤</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XK3190-A12E</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酒精计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精密酒精计</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压力表（灭菌锅）</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0.25MPa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智能控温电热板</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DB-1A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电热板</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BGG</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菌落计数器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XK97-A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氰化物测定仪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GDYS-102SQ</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lang w:eastAsia="zh-CN"/>
                      <w14:textFill>
                        <w14:solidFill>
                          <w14:schemeClr w14:val="tx1"/>
                        </w14:solidFill>
                      </w14:textFill>
                    </w:rPr>
                    <w:t>循环式水式多用真空泵</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lang w:val="en-US" w:eastAsia="zh-CN"/>
                      <w14:textFill>
                        <w14:solidFill>
                          <w14:schemeClr w14:val="tx1"/>
                        </w14:solidFill>
                      </w14:textFill>
                    </w:rPr>
                    <w:t>SHB-III</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调速多用振荡器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HY-4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粗纤维测定仪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CXC-06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210" w:firstLineChars="10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扭力天平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TN-100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箱式电阻炉</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SX</w:t>
                  </w:r>
                  <w:r>
                    <w:rPr>
                      <w:rFonts w:hint="default" w:ascii="Times New Roman" w:hAnsi="Times New Roman" w:cs="Times New Roman" w:eastAsiaTheme="minorEastAsia"/>
                      <w:color w:val="000000" w:themeColor="text1"/>
                      <w:spacing w:val="0"/>
                      <w:position w:val="0"/>
                      <w:sz w:val="21"/>
                      <w:szCs w:val="21"/>
                      <w:shd w:val="clear" w:fill="auto"/>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-4-10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调速多用振荡器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HY-4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可调式电热板</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ML-3-4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高速电动匀浆机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FSH-2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离心机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TGL-16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159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旋转蒸发仪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RE-52A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超声波清洗器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DSG20500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超纯水器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molatom1830c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植物粉碎机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FW-200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调速磁力搅拌器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Jan-79</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高速组织捣碎机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JJ-2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磁力搅拌器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HZ79-1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高速万能粉碎机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FW-200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食品处理机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KW336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固相萃取仪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USE-12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169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江铃全顺检测车</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JX5044XJCMB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智能控温电热板</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DB-1A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电热板</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BGG</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菌落计数器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XK97-A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氰化物测定仪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GDYS-102SQ</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lang w:eastAsia="zh-CN"/>
                      <w14:textFill>
                        <w14:solidFill>
                          <w14:schemeClr w14:val="tx1"/>
                        </w14:solidFill>
                      </w14:textFill>
                    </w:rPr>
                    <w:t>循环式水式多用真空泵</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lang w:val="en-US" w:eastAsia="zh-CN"/>
                      <w14:textFill>
                        <w14:solidFill>
                          <w14:schemeClr w14:val="tx1"/>
                        </w14:solidFill>
                      </w14:textFill>
                    </w:rPr>
                    <w:t>SHB-III</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调速多用振荡器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HY-4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粗纤维测定仪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CXC-06</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210" w:firstLineChars="10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扭力天平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t>TN-100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箱式电阻炉</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SX</w:t>
                  </w:r>
                  <w:r>
                    <w:rPr>
                      <w:rFonts w:hint="default" w:ascii="Times New Roman" w:hAnsi="Times New Roman" w:cs="Times New Roman" w:eastAsiaTheme="minorEastAsia"/>
                      <w:color w:val="000000" w:themeColor="text1"/>
                      <w:spacing w:val="0"/>
                      <w:position w:val="0"/>
                      <w:sz w:val="21"/>
                      <w:szCs w:val="21"/>
                      <w:shd w:val="clear" w:fill="auto"/>
                      <w:vertAlign w:val="sub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-4-10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179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离心沉淀器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80-2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lang w:val="en-US"/>
                      <w14:textFill>
                        <w14:solidFill>
                          <w14:schemeClr w14:val="tx1"/>
                        </w14:solidFill>
                      </w14:textFill>
                    </w:rPr>
                  </w:pPr>
                  <w: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t>机械类检测设备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FA1004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eastAsia="zh-CN"/>
                      <w14:textFill>
                        <w14:solidFill>
                          <w14:schemeClr w14:val="tx1"/>
                        </w14:solidFill>
                      </w14:textFill>
                    </w:rPr>
                    <w:t>电热恒温鼓风干燥箱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101-1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振动综合检测分析仪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JCKJ-1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电脑高速元素分析仪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LX-WJ4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红外碳硫分析仪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LX-HW-1B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便携式振动筛测控仪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JCKB-1.0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噪声频谱分析仪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HS5671+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电力分析仪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435</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红外测温仪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VC305</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转速表</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DN6234P+</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声级计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AR814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涂层测厚仪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MiniTest730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pacing w:val="0"/>
                      <w:position w:val="0"/>
                      <w:sz w:val="21"/>
                      <w:szCs w:val="21"/>
                      <w:shd w:val="clear" w:fill="auto"/>
                      <w:lang w:val="en-US" w:eastAsia="zh-CN"/>
                      <w14:textFill>
                        <w14:solidFill>
                          <w14:schemeClr w14:val="tx1"/>
                        </w14:solidFill>
                      </w14:textFill>
                    </w:rPr>
                    <w:t>建材类检测设备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砖用卡尺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ZK-1（250mm）</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直角尺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250mmX450mm</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游标万能角度尺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0-320︒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钢卷尺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10m</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钢直尺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300mm</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钢直尺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1000mm</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外径千分尺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0-25mm</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游标卡尺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0-150mmn</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210" w:firstLineChars="10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深度游标卡尺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无仪器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拉力试验机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LE-100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压力试验机</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TYE-2000B</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pacing w:val="0"/>
                      <w:position w:val="0"/>
                      <w:sz w:val="21"/>
                      <w:szCs w:val="21"/>
                      <w:shd w:val="clear" w:fill="auto"/>
                      <w:lang w:val="en-US" w:eastAsia="zh-CN"/>
                      <w14:textFill>
                        <w14:solidFill>
                          <w14:schemeClr w14:val="tx1"/>
                        </w14:solidFill>
                      </w14:textFill>
                    </w:rPr>
                    <w:t>药品类检测设备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FA2004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FA2004</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数显PH计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PHS-3C</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电热恒温干燥箱</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GZX-DH-30*35</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5</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电热恒温水浴锅</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DZKW-D-2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6</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箱式电阻炉</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4-10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7</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三用紫外仪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ZF-2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8</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生物显微镜</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XSP-BM-2CA</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9</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澄明度检测仪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YB-2</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10</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崩解时限仪</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BJ-II型</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11</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温湿度计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WS-1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12</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温湿度计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WS-1</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13</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温湿度计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t>14</w:t>
                  </w:r>
                </w:p>
              </w:tc>
              <w:tc>
                <w:tcPr>
                  <w:tcW w:w="2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玻璃温度计</w:t>
                  </w:r>
                </w:p>
              </w:tc>
              <w:tc>
                <w:tcPr>
                  <w:tcW w:w="2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0-200℃</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position w:val="0"/>
                      <w:sz w:val="21"/>
                      <w:szCs w:val="21"/>
                      <w:shd w:val="clear" w:fill="auto"/>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jc w:val="center"/>
              </w:trPr>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lang w:val="en-US"/>
                      <w14:textFill>
                        <w14:solidFill>
                          <w14:schemeClr w14:val="tx1"/>
                        </w14:solidFill>
                      </w14:textFill>
                    </w:rPr>
                  </w:pPr>
                  <w:r>
                    <w:rPr>
                      <w:rFonts w:hint="default" w:ascii="Times New Roman" w:hAnsi="Times New Roman" w:cs="Times New Roman" w:eastAsiaTheme="minorEastAsia"/>
                      <w:b/>
                      <w:bCs/>
                      <w:i w:val="0"/>
                      <w:iCs w:val="0"/>
                      <w:color w:val="000000" w:themeColor="text1"/>
                      <w:kern w:val="0"/>
                      <w:sz w:val="21"/>
                      <w:szCs w:val="21"/>
                      <w:u w:val="none"/>
                      <w:lang w:val="en-US" w:eastAsia="zh-CN" w:bidi="ar"/>
                      <w14:textFill>
                        <w14:solidFill>
                          <w14:schemeClr w14:val="tx1"/>
                        </w14:solidFill>
                      </w14:textFill>
                    </w:rPr>
                    <w:t>化工类检测设备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气相色谱仪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8890</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气相色谱仪-质谱联用仪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8890/7000D</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高效液相色谱仪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1260</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原子吸收分光光度计</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ZEEnit 700Q</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液相-ICPMS联用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1260-7900</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卡尔费休水分测定仪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AKF-1PLUS</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eastAsia="zh-CN"/>
                      <w14:textFill>
                        <w14:solidFill>
                          <w14:schemeClr w14:val="tx1"/>
                        </w14:solidFill>
                      </w14:textFill>
                    </w:rPr>
                    <w:t>精密酸度计</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2"/>
                      <w:sz w:val="21"/>
                      <w:szCs w:val="21"/>
                      <w:lang w:val="en-US" w:eastAsia="zh-CN" w:bidi="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PHSJ-4F</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电导率仪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PHS-3E</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9</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电子天平</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AG65D</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10</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电热板</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DRB-3/3D</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11</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实验电炉</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DK-98-II单联2KW</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陶瓷纤维马弗炉</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MF-7-12D</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13</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全自动电位滴定仪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960basic</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14</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馏分燃料油氧化安定性测定器（加速法）</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SYD-0175</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15</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紫外荧光油品硫试验器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SYD-0689</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16</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石油产品酸值酸度试验器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SYD-264</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17</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石油产品残炭测定器（微量法）</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SYD-17144</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18</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石油产品灰分试验器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SYD-508</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19</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铜片腐蚀试验器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SYD-5096A</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20</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石油产品水分试验器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SYD-260A</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21</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高频往复试验机</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BL-2022</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22</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柴油污染物含量测定仪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SYD-33400</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23</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石油产品运动粘度测定器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SYD-265C</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24</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石油产品低温试验器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SYD-510G</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25</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冷滤点抽滤器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LC-2</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26</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全自动闭口闪点试验器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SYD-261D</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27</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柴油十六烷值测定机</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CNT-M</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28</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石油产品蒸馏试验器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SYD-6536B</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29</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标准密度/运动粘度试验器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SYD-1884A</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30</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便携式沥青红外光谱仪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SYD-0673M</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31</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自动饱和蒸气压测定器（雷德法）</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SYD-8017A</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32</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实际胶质试验器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SYD-8019A</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33</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汽油氧化安定性测定器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SYD-8018D</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34</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石油产品水溶性酸及碱试验器</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SYD-259</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35</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汽油辛烷值测定机</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ONT-M</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36</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全自动石墨消解仪</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AUTO-GDA</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37</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恒温干燥箱</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38</w:t>
                  </w:r>
                </w:p>
              </w:tc>
              <w:tc>
                <w:tcPr>
                  <w:tcW w:w="28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通风橱</w:t>
                  </w:r>
                </w:p>
              </w:tc>
              <w:tc>
                <w:tcPr>
                  <w:tcW w:w="2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w:t>
                  </w:r>
                </w:p>
              </w:tc>
              <w:tc>
                <w:tcPr>
                  <w:tcW w:w="13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81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u w:val="none"/>
                      <w:lang w:val="en-US" w:eastAsia="zh-CN"/>
                      <w14:textFill>
                        <w14:solidFill>
                          <w14:schemeClr w14:val="tx1"/>
                        </w14:solidFill>
                      </w14:textFill>
                    </w:rPr>
                    <w:t>计量类设备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2848"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塞尺</w:t>
                  </w:r>
                </w:p>
              </w:tc>
              <w:tc>
                <w:tcPr>
                  <w:tcW w:w="2273"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200A</w:t>
                  </w:r>
                </w:p>
              </w:tc>
              <w:tc>
                <w:tcPr>
                  <w:tcW w:w="1385"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钟罩式气体流量标准装置（100L）</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LGQ -100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钟罩式气体流量标准装置（20L）</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LGQ -100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智能测长仪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210" w:firstLineChars="10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DZY-C</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便携式毫瓦级超声功率计</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BCZ100-1</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砝码</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0.5kg～20kg</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砝码(E2)</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1mg～500g</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砝码</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20kg～25kg</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砝码</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1000kg</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百分表检定仪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SZJ-G</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温度计</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0-50℃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砝码(F1)</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1mg～500g</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电子天平</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JD5000-2</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电子天平</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ES30K-1D</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电子天平</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XK3190-A12E</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（0-0.16）MPa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（0-0.25）MPa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（0-0.4）MPa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（0-0.6）MPa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（0-1.6）MPa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（0-4）MPa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（0-10）MPa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（0-16）MPa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（0-4）MPa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（0-6）MPa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（0-10）MPa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（0-25）MPa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（0-40）MPa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（0-60）MPa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钢直尺</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0-1000mm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钢直尺</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0-150mm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钢卷尺</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t>0-10m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可见光区透射比标准滤光片</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杂散光标准滤光器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干涉滤光器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氧化钬滤光片</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镨釹滤光器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可见光区透射比标准滤光片</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39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智能动态配气仪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DK800-6K</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智能动态配气仪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DK800-6K</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砝码</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00</w:t>
                  </w:r>
                  <w:r>
                    <w:rPr>
                      <w:rFonts w:hint="default" w:ascii="Times New Roman" w:hAnsi="Times New Roman" w:cs="Times New Roman" w:eastAsiaTheme="minorEastAsia"/>
                      <w:color w:val="000000" w:themeColor="text1"/>
                      <w:sz w:val="21"/>
                      <w:szCs w:val="21"/>
                      <w14:textFill>
                        <w14:solidFill>
                          <w14:schemeClr w14:val="tx1"/>
                        </w14:solidFill>
                      </w14:textFill>
                    </w:rPr>
                    <w:t>mg～</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14:textFill>
                        <w14:solidFill>
                          <w14:schemeClr w14:val="tx1"/>
                        </w14:solidFill>
                      </w14:textFill>
                    </w:rPr>
                    <w:t>00g</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平行平晶</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（15.62-16.00）mm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平行平晶</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（41.00-41.62）mm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平行平晶</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（65.37-65.75）mm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外径千分尺</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60mm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平板</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（0-25）mm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千分表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250mm×175mm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刀口尺</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（0-1）mm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49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平面平晶</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75mm</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量块</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3块组</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量块</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5块组</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量块</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12块组</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量块</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20块组</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玻璃转子流量计</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DK800-6F</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读数显微镜</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JC10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表面粗糙度比较样块</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32块组</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血压计标准器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KY-SJ99/0~40kPa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三项标准电能表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WT-3030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59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电子秒表（数字电秒表）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504</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机械秒表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PC894</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容量瓶</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250ml</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低温恒温槽</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DC-0506</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绝缘电阻表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ZC25-4</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耐压测试仪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ZHZ8A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分析天平</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TG328A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电子天平</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CP225D</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温度计（6-1）</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（0~50）℃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三项电能表检定装置</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WT-T360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69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数显量仪测力计</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SLC</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温湿场测量记录仪（温湿场环境检测装置）</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QX-9</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温湿场测量记录仪 （湿度）（温湿场环境检测装置湿度）</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QX-9</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数位温度表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TES1320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仿组织超声体膜</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KS107BD</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电导率仪计量标准</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ECS-V1</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sz w:val="21"/>
                      <w:szCs w:val="21"/>
                      <w:u w:val="none"/>
                      <w:lang w:val="en-US" w:eastAsia="zh-CN" w:bidi="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PH计检定仪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JBpHB-II</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zh-CN"/>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智能心电图机心电监护仪检定仪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ECG-3</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77</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精密数字压力表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（-100~0）kPa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78</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精密数字压力表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（0~1）MPa</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79</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标准金属量器100L</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BJL-100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pacing w:val="0"/>
                      <w:kern w:val="2"/>
                      <w:position w:val="0"/>
                      <w:sz w:val="21"/>
                      <w:szCs w:val="21"/>
                      <w:shd w:val="clear" w:fill="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0"/>
                      <w:position w:val="0"/>
                      <w:sz w:val="21"/>
                      <w:szCs w:val="21"/>
                      <w:shd w:val="clear" w:fill="auto"/>
                      <w:lang w:val="en-US" w:eastAsia="zh-CN"/>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80</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标准金属量器20L</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BJL-20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81</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标准金属量器20L</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42" w:rightChars="-2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20L</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82</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化解解冻器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HJKQ</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83</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温湿度计</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WSB-3-H1</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84</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电子秤</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TCS-1000</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85</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医用漏电测量仪</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YD1</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6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86</w:t>
                  </w:r>
                </w:p>
              </w:tc>
              <w:tc>
                <w:tcPr>
                  <w:tcW w:w="28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电压表</w:t>
                  </w:r>
                </w:p>
              </w:tc>
              <w:tc>
                <w:tcPr>
                  <w:tcW w:w="22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69L17</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台</w:t>
                  </w:r>
                </w:p>
              </w:tc>
            </w:tr>
          </w:tbl>
          <w:p>
            <w:pPr>
              <w:pStyle w:val="4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2" w:firstLineChars="200"/>
              <w:jc w:val="both"/>
              <w:textAlignment w:val="auto"/>
              <w:rPr>
                <w:rFonts w:hint="eastAsia" w:ascii="Times New Roman" w:hAnsi="Times New Roman" w:eastAsia="宋体" w:cs="Times New Roman"/>
                <w:b/>
                <w:color w:val="auto"/>
                <w:kern w:val="2"/>
                <w:lang w:eastAsia="zh-CN"/>
              </w:rPr>
            </w:pPr>
            <w:r>
              <w:rPr>
                <w:rFonts w:hint="default" w:ascii="Times New Roman" w:hAnsi="Times New Roman" w:cs="Times New Roman"/>
                <w:b/>
                <w:color w:val="auto"/>
                <w:kern w:val="2"/>
                <w:lang w:val="en-US" w:eastAsia="zh-CN"/>
              </w:rPr>
              <w:t>6</w:t>
            </w:r>
            <w:r>
              <w:rPr>
                <w:rFonts w:hint="default" w:ascii="Times New Roman" w:hAnsi="Times New Roman" w:eastAsia="宋体" w:cs="Times New Roman"/>
                <w:b/>
                <w:color w:val="auto"/>
                <w:kern w:val="2"/>
              </w:rPr>
              <w:t>、</w:t>
            </w:r>
            <w:r>
              <w:rPr>
                <w:rFonts w:hint="eastAsia" w:ascii="Times New Roman" w:hAnsi="Times New Roman" w:cs="Times New Roman"/>
                <w:b/>
                <w:color w:val="auto"/>
                <w:kern w:val="2"/>
                <w:lang w:eastAsia="zh-CN"/>
              </w:rPr>
              <w:t>主要</w:t>
            </w:r>
            <w:r>
              <w:rPr>
                <w:rFonts w:hint="default" w:ascii="Times New Roman" w:hAnsi="Times New Roman" w:eastAsia="宋体" w:cs="Times New Roman"/>
                <w:b/>
                <w:color w:val="auto"/>
                <w:kern w:val="2"/>
              </w:rPr>
              <w:t>原辅材料及</w:t>
            </w:r>
            <w:r>
              <w:rPr>
                <w:rFonts w:hint="eastAsia" w:ascii="Times New Roman" w:hAnsi="Times New Roman" w:cs="Times New Roman"/>
                <w:b/>
                <w:color w:val="auto"/>
                <w:kern w:val="2"/>
                <w:lang w:eastAsia="zh-CN"/>
              </w:rPr>
              <w:t>能源消耗</w:t>
            </w:r>
          </w:p>
          <w:p>
            <w:pPr>
              <w:pStyle w:val="4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黑体" w:cs="Times New Roman"/>
                <w:b w:val="0"/>
                <w:bCs w:val="0"/>
                <w:color w:val="auto"/>
                <w:kern w:val="2"/>
                <w:sz w:val="24"/>
                <w:szCs w:val="24"/>
                <w:lang w:val="en-US" w:eastAsia="zh-CN"/>
              </w:rPr>
            </w:pPr>
            <w:r>
              <w:rPr>
                <w:rFonts w:hint="default" w:ascii="Times New Roman" w:hAnsi="Times New Roman" w:eastAsia="宋体" w:cs="Times New Roman"/>
                <w:color w:val="auto"/>
                <w:kern w:val="2"/>
              </w:rPr>
              <w:t>本项目主要原辅材料及其用量见下表</w:t>
            </w:r>
            <w:r>
              <w:rPr>
                <w:rFonts w:hint="default" w:ascii="Times New Roman" w:hAnsi="Times New Roman" w:cs="Times New Roman"/>
                <w:color w:val="auto"/>
                <w:kern w:val="2"/>
                <w:lang w:val="en-US" w:eastAsia="zh-CN"/>
              </w:rPr>
              <w:t>2</w:t>
            </w:r>
            <w:r>
              <w:rPr>
                <w:rFonts w:hint="default" w:ascii="Times New Roman" w:hAnsi="Times New Roman" w:eastAsia="宋体" w:cs="Times New Roman"/>
                <w:color w:val="auto"/>
                <w:kern w:val="2"/>
                <w:lang w:val="en-US" w:eastAsia="zh-CN"/>
              </w:rPr>
              <w:t>-</w:t>
            </w:r>
            <w:r>
              <w:rPr>
                <w:rFonts w:hint="eastAsia" w:ascii="Times New Roman" w:hAnsi="Times New Roman" w:eastAsia="宋体" w:cs="Times New Roman"/>
                <w:color w:val="auto"/>
                <w:kern w:val="2"/>
                <w:lang w:val="en-US" w:eastAsia="zh-CN"/>
              </w:rPr>
              <w:t>6</w:t>
            </w:r>
            <w:r>
              <w:rPr>
                <w:rFonts w:hint="default" w:ascii="Times New Roman" w:hAnsi="Times New Roman" w:eastAsia="宋体" w:cs="Times New Roman"/>
                <w:color w:val="auto"/>
                <w:kern w:val="2"/>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表2-</w:t>
            </w:r>
            <w:r>
              <w:rPr>
                <w:rFonts w:hint="eastAsia" w:ascii="Times New Roman" w:hAnsi="Times New Roman" w:eastAsia="黑体" w:cs="Times New Roman"/>
                <w:b w:val="0"/>
                <w:bCs w:val="0"/>
                <w:color w:val="auto"/>
                <w:sz w:val="24"/>
                <w:szCs w:val="24"/>
                <w:lang w:val="en-US" w:eastAsia="zh-CN"/>
              </w:rPr>
              <w:t>6</w:t>
            </w:r>
            <w:r>
              <w:rPr>
                <w:rFonts w:hint="default" w:ascii="Times New Roman" w:hAnsi="Times New Roman" w:eastAsia="黑体" w:cs="Times New Roman"/>
                <w:b w:val="0"/>
                <w:bCs w:val="0"/>
                <w:color w:val="auto"/>
                <w:sz w:val="24"/>
                <w:szCs w:val="24"/>
                <w:lang w:val="en-US" w:eastAsia="zh-CN"/>
              </w:rPr>
              <w:t xml:space="preserve">            项目原辅材料及其用量一览表</w:t>
            </w:r>
          </w:p>
          <w:tbl>
            <w:tblPr>
              <w:tblStyle w:val="30"/>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708"/>
              <w:gridCol w:w="1400"/>
              <w:gridCol w:w="1300"/>
              <w:gridCol w:w="1133"/>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exact"/>
                <w:jc w:val="center"/>
              </w:trPr>
              <w:tc>
                <w:tcPr>
                  <w:tcW w:w="6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序号</w:t>
                  </w:r>
                </w:p>
              </w:tc>
              <w:tc>
                <w:tcPr>
                  <w:tcW w:w="17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cs="Times New Roman"/>
                      <w:snapToGrid w:val="0"/>
                      <w:color w:val="auto"/>
                      <w:spacing w:val="0"/>
                      <w:kern w:val="0"/>
                      <w:sz w:val="21"/>
                      <w:szCs w:val="21"/>
                      <w:lang w:val="en-US" w:eastAsia="zh-CN"/>
                    </w:rPr>
                    <w:t>试剂名称</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pacing w:val="0"/>
                      <w:kern w:val="0"/>
                      <w:sz w:val="21"/>
                      <w:szCs w:val="21"/>
                      <w:lang w:val="en-US" w:eastAsia="zh-CN"/>
                    </w:rPr>
                  </w:pPr>
                  <w:r>
                    <w:rPr>
                      <w:rFonts w:hint="eastAsia" w:ascii="Times New Roman" w:hAnsi="Times New Roman" w:cs="Times New Roman"/>
                      <w:snapToGrid w:val="0"/>
                      <w:color w:val="auto"/>
                      <w:spacing w:val="0"/>
                      <w:kern w:val="0"/>
                      <w:sz w:val="21"/>
                      <w:szCs w:val="21"/>
                      <w:lang w:val="en-US" w:eastAsia="zh-CN"/>
                    </w:rPr>
                    <w:t>年用量</w:t>
                  </w:r>
                </w:p>
              </w:tc>
              <w:tc>
                <w:tcPr>
                  <w:tcW w:w="13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pacing w:val="0"/>
                      <w:kern w:val="0"/>
                      <w:sz w:val="21"/>
                      <w:szCs w:val="21"/>
                      <w:lang w:eastAsia="zh-CN"/>
                    </w:rPr>
                  </w:pPr>
                  <w:r>
                    <w:rPr>
                      <w:rFonts w:hint="eastAsia" w:cs="Times New Roman"/>
                      <w:snapToGrid w:val="0"/>
                      <w:color w:val="auto"/>
                      <w:spacing w:val="0"/>
                      <w:kern w:val="0"/>
                      <w:sz w:val="21"/>
                      <w:szCs w:val="21"/>
                      <w:lang w:val="en-US" w:eastAsia="zh-CN"/>
                    </w:rPr>
                    <w:t>规格</w:t>
                  </w:r>
                </w:p>
              </w:tc>
              <w:tc>
                <w:tcPr>
                  <w:tcW w:w="113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pacing w:val="0"/>
                      <w:kern w:val="0"/>
                      <w:sz w:val="21"/>
                      <w:szCs w:val="21"/>
                      <w:lang w:eastAsia="zh-CN"/>
                    </w:rPr>
                  </w:pPr>
                  <w:r>
                    <w:rPr>
                      <w:rFonts w:hint="eastAsia" w:cs="Times New Roman"/>
                      <w:snapToGrid w:val="0"/>
                      <w:color w:val="auto"/>
                      <w:spacing w:val="0"/>
                      <w:kern w:val="0"/>
                      <w:sz w:val="21"/>
                      <w:szCs w:val="21"/>
                      <w:lang w:val="en-US" w:eastAsia="zh-CN"/>
                    </w:rPr>
                    <w:t>数量</w:t>
                  </w:r>
                </w:p>
              </w:tc>
              <w:tc>
                <w:tcPr>
                  <w:tcW w:w="19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pacing w:val="0"/>
                      <w:kern w:val="0"/>
                      <w:sz w:val="21"/>
                      <w:szCs w:val="21"/>
                      <w:lang w:eastAsia="zh-CN"/>
                    </w:rPr>
                  </w:pPr>
                  <w:r>
                    <w:rPr>
                      <w:rFonts w:hint="default" w:ascii="Times New Roman" w:hAnsi="Times New Roman" w:eastAsia="宋体" w:cs="Times New Roman"/>
                      <w:snapToGrid w:val="0"/>
                      <w:color w:val="auto"/>
                      <w:spacing w:val="0"/>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高纯氮气</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200kg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50kg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标气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乙炔气</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50kg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50kg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标气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氩气</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50kg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50kg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pacing w:val="-4"/>
                      <w:kern w:val="2"/>
                      <w:sz w:val="21"/>
                      <w:szCs w:val="21"/>
                      <w:lang w:val="en-US" w:eastAsia="zh-CN" w:bidi="ar-SA"/>
                    </w:rPr>
                  </w:pPr>
                  <w:r>
                    <w:rPr>
                      <w:rFonts w:hint="eastAsia" w:cs="Times New Roman"/>
                      <w:kern w:val="2"/>
                      <w:sz w:val="21"/>
                      <w:szCs w:val="21"/>
                      <w:lang w:val="en-US" w:eastAsia="zh-CN" w:bidi="ar-SA"/>
                    </w:rPr>
                    <w:t>标气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灌装氧气</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150kg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50kg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spacing w:val="-4"/>
                      <w:kern w:val="2"/>
                      <w:sz w:val="21"/>
                      <w:szCs w:val="21"/>
                      <w:lang w:val="en-US" w:eastAsia="zh-CN" w:bidi="ar-SA"/>
                    </w:rPr>
                  </w:pPr>
                  <w:r>
                    <w:rPr>
                      <w:rFonts w:hint="eastAsia" w:cs="Times New Roman"/>
                      <w:kern w:val="2"/>
                      <w:sz w:val="21"/>
                      <w:szCs w:val="21"/>
                      <w:lang w:val="en-US" w:eastAsia="zh-CN" w:bidi="ar-SA"/>
                    </w:rPr>
                    <w:t>标气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色谱纯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乙腈</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色谱纯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乙酸铵</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色谱纯、分析纯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优级纯、分析纯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优级纯、分析纯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盐酸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优级纯、分析纯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优级纯、分析纯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高氯酸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优级纯、分析纯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磷酸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冰乙酸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氨水</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无水乙醚</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95%乙醇</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无水乙醇</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正己烷</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丙酮</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石油醚</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异丙酮</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氯仿</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异辛烷</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环已烷</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500ml</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氢氧化钠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氢氧化钾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1500</w:t>
                  </w:r>
                  <w:r>
                    <w:rPr>
                      <w:rFonts w:hint="default" w:ascii="Times New Roman" w:hAnsi="Times New Roman" w:eastAsia="宋体" w:cs="Times New Roman"/>
                      <w:i w:val="0"/>
                      <w:iCs w:val="0"/>
                      <w:color w:val="000000"/>
                      <w:kern w:val="0"/>
                      <w:sz w:val="21"/>
                      <w:szCs w:val="21"/>
                      <w:u w:val="none"/>
                      <w:lang w:val="en-US" w:eastAsia="zh-CN" w:bidi="ar"/>
                    </w:rPr>
                    <w:t>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酒石酸氢钾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柠檬酸氢二钠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一水柠檬酸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硼砂</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七水硫酸钴</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溴化钾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硫酸镁</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氧化钙</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碳酸钙</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氯化铝</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氧化铝</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硼氢化钠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硼氢化钾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硝酸银</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硝酸汞</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氯化汞</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碳酸氢钠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高锰酸钾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三乙醇胺</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乙二胺四乙酸二钠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氨基磺酸氨</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硫酸银</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铬酸钾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氯化钡</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过氧化氢</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氢氧化铝</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草酸铵</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乙酸镁</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碘</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硫酸铜</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亚铁氰化钾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氯化钾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酒石酸钾钠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硫代硫酸钠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硝酸亚汞</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硫脲</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氧化镁</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硝酸镁</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抗坏血酸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柠檬酸铵</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硫酸铵</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碘化钾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盐酸羟胺</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二硫腙</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三氧化二砷</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三氯化铁</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硫酸亚铁</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柠檬酸铋铵</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草酸钠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亚硫酸钠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重铬酸钾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pacing w:val="-4"/>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氯化亚硒</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过硫酸钾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硼酸钠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对氨基苯磺酸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盐酸萘乙二胺</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酒石酸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硫酸镉</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三正辛胺</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异烟酸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吡唑啉酮</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铬黑T</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异烟酸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氯胺T</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乙酸锌</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钼酸铵</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氯化亚锡</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铁氰化钾</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硫酸肼</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磷酸氢二铵</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乙酸酐</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氯化铁</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硫酸氢钠</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三氯乙酸</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乙二胺</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170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铬天青S</w:t>
                  </w:r>
                </w:p>
              </w:tc>
              <w:tc>
                <w:tcPr>
                  <w:tcW w:w="14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钨酸钠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碘化汞</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葡萄糖</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氯化钠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磷酸氢二钠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磷酸二氢钾</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无水碳酸钠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工作基准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邻苯二甲酸氢钾</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工作基准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重铬酸钾</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工作基准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草酸钠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工作基准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氧化锌</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工作基准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氯化钠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工作基准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苯甲酸</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50ml</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ml/瓶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山梨酸</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50ml</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ml/瓶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糖精钠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50ml</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ml/瓶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环己基氨基磺酸钠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叔丁基羟基茴香醚</w:t>
                  </w:r>
                  <w:r>
                    <w:rPr>
                      <w:rStyle w:val="91"/>
                      <w:rFonts w:hint="default" w:ascii="Times New Roman" w:hAnsi="Times New Roman" w:eastAsia="宋体" w:cs="Times New Roman"/>
                      <w:sz w:val="21"/>
                      <w:szCs w:val="21"/>
                      <w:lang w:val="en-US" w:eastAsia="zh-CN" w:bidi="ar"/>
                    </w:rPr>
                    <w:t>(BHA)</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w:t>
                  </w:r>
                  <w:r>
                    <w:rPr>
                      <w:rStyle w:val="92"/>
                      <w:rFonts w:hint="default" w:ascii="Times New Roman" w:hAnsi="Times New Roman" w:cs="Times New Roman"/>
                      <w:sz w:val="21"/>
                      <w:szCs w:val="21"/>
                      <w:lang w:val="en-US" w:eastAsia="zh-CN" w:bidi="ar"/>
                    </w:rPr>
                    <w:t>二叔丁基对甲酚</w:t>
                  </w:r>
                  <w:r>
                    <w:rPr>
                      <w:rStyle w:val="91"/>
                      <w:rFonts w:hint="default" w:ascii="Times New Roman" w:hAnsi="Times New Roman" w:eastAsia="宋体" w:cs="Times New Roman"/>
                      <w:sz w:val="21"/>
                      <w:szCs w:val="21"/>
                      <w:lang w:val="en-US" w:eastAsia="zh-CN" w:bidi="ar"/>
                    </w:rPr>
                    <w:t>(BHT)</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亚硝酸盐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50ml</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ml/瓶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333333"/>
                      <w:kern w:val="0"/>
                      <w:sz w:val="21"/>
                      <w:szCs w:val="21"/>
                      <w:u w:val="none"/>
                      <w:lang w:val="en-US" w:eastAsia="zh-CN" w:bidi="ar"/>
                    </w:rPr>
                    <w:t>硝酸盐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50ml</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ml/瓶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亚硫酸盐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50ml</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ml/瓶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合成着色剂</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咖啡因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游离棉酚</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六六六</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滴滴涕</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六号溶剂</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阿斯巴甜</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阿力甜</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双乙酸钠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乙二胺四乙酸二钠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对硫磷</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一氯二溴甲烷</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二氯一溴甲烷</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三溴甲烷</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丙烯酰胺</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邻苯二甲酸二酯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六氯丁二烯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马拉硫磷</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甲基对硫磷</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乐果</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敌敌畏</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百菌清</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溴氰菊酯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灭草松</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2,4-滴</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呋喃丹</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毒死婢</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莠去津</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草甘膦</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七氯</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丙烯醛</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三氯乙醛</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二氯乙酸</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三氯乙酸</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亚氯酸盐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氯酸盐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溴酸盐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标准品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胰蛋白胨</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酵母浸膏</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琼脂</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月桂基硫酸钠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乳糖</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3号胆盐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结晶紫</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蛋白胨</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牛胆粉</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煌绿</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牛肉膏</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牛胆盐</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L-胱氨酸</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木糖</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蔗糖</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jc w:val="center"/>
              </w:trPr>
              <w:tc>
                <w:tcPr>
                  <w:tcW w:w="67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170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新生毒素</w:t>
                  </w:r>
                </w:p>
              </w:tc>
              <w:tc>
                <w:tcPr>
                  <w:tcW w:w="14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1000g</w:t>
                  </w:r>
                </w:p>
              </w:tc>
              <w:tc>
                <w:tcPr>
                  <w:tcW w:w="130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500g</w:t>
                  </w:r>
                  <w:r>
                    <w:rPr>
                      <w:rFonts w:hint="eastAsia" w:cs="Times New Roman"/>
                      <w:i w:val="0"/>
                      <w:iCs w:val="0"/>
                      <w:color w:val="000000"/>
                      <w:kern w:val="0"/>
                      <w:sz w:val="21"/>
                      <w:szCs w:val="21"/>
                      <w:u w:val="none"/>
                      <w:lang w:val="en-US" w:eastAsia="zh-CN" w:bidi="ar"/>
                    </w:rPr>
                    <w:t>/瓶</w:t>
                  </w:r>
                </w:p>
              </w:tc>
              <w:tc>
                <w:tcPr>
                  <w:tcW w:w="113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4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原辅料理化性质：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表2-</w:t>
            </w:r>
            <w:r>
              <w:rPr>
                <w:rFonts w:hint="eastAsia" w:eastAsia="黑体" w:cs="Times New Roman"/>
                <w:b w:val="0"/>
                <w:bCs w:val="0"/>
                <w:color w:val="auto"/>
                <w:sz w:val="24"/>
                <w:szCs w:val="24"/>
                <w:lang w:val="en-US" w:eastAsia="zh-CN"/>
              </w:rPr>
              <w:t>5</w:t>
            </w:r>
            <w:r>
              <w:rPr>
                <w:rFonts w:hint="default" w:ascii="Times New Roman" w:hAnsi="Times New Roman" w:eastAsia="黑体" w:cs="Times New Roman"/>
                <w:b w:val="0"/>
                <w:bCs w:val="0"/>
                <w:color w:val="auto"/>
                <w:sz w:val="24"/>
                <w:szCs w:val="24"/>
                <w:lang w:val="en-US" w:eastAsia="zh-CN"/>
              </w:rPr>
              <w:t xml:space="preserve">           </w:t>
            </w:r>
            <w:r>
              <w:rPr>
                <w:rFonts w:hint="eastAsia"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 xml:space="preserve"> 项目</w:t>
            </w:r>
            <w:r>
              <w:rPr>
                <w:rFonts w:hint="eastAsia" w:eastAsia="黑体" w:cs="Times New Roman"/>
                <w:b w:val="0"/>
                <w:bCs w:val="0"/>
                <w:color w:val="auto"/>
                <w:sz w:val="24"/>
                <w:szCs w:val="24"/>
                <w:lang w:val="en-US" w:eastAsia="zh-CN"/>
              </w:rPr>
              <w:t>试剂理化性质</w:t>
            </w:r>
            <w:r>
              <w:rPr>
                <w:rFonts w:hint="default" w:ascii="Times New Roman" w:hAnsi="Times New Roman" w:eastAsia="黑体" w:cs="Times New Roman"/>
                <w:b w:val="0"/>
                <w:bCs w:val="0"/>
                <w:color w:val="auto"/>
                <w:sz w:val="24"/>
                <w:szCs w:val="24"/>
                <w:lang w:val="en-US" w:eastAsia="zh-CN"/>
              </w:rPr>
              <w:t>一览表</w:t>
            </w:r>
          </w:p>
          <w:tbl>
            <w:tblPr>
              <w:tblStyle w:val="30"/>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560"/>
              <w:gridCol w:w="1083"/>
              <w:gridCol w:w="3005"/>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序号</w:t>
                  </w:r>
                </w:p>
              </w:tc>
              <w:tc>
                <w:tcPr>
                  <w:tcW w:w="15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试剂名称</w:t>
                  </w:r>
                </w:p>
              </w:tc>
              <w:tc>
                <w:tcPr>
                  <w:tcW w:w="10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分子式</w:t>
                  </w:r>
                </w:p>
              </w:tc>
              <w:tc>
                <w:tcPr>
                  <w:tcW w:w="3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理化性质</w:t>
                  </w:r>
                </w:p>
              </w:tc>
              <w:tc>
                <w:tcPr>
                  <w:tcW w:w="19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毒理性质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5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高纯氮气</w:t>
                  </w:r>
                </w:p>
              </w:tc>
              <w:tc>
                <w:tcPr>
                  <w:tcW w:w="10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无色无臭无味无毒的惰性气体。</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fldChar w:fldCharType="begin"/>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instrText xml:space="preserve"> HYPERLINK "https://baike.so.com/doc/2751462-2903816.html" \t "https://baike.so.com/doc/_blank" </w:instrTex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fldChar w:fldCharType="separate"/>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相对密度</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fldChar w:fldCharType="end"/>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ds(21.1℃，空气=1)0.967。气体密度1.153kg/m3(21.1℃，101.3kPa);液体密度808.5kg/m3(-195.8℃,101.3kPa)</w:t>
                  </w:r>
                </w:p>
              </w:tc>
              <w:tc>
                <w:tcPr>
                  <w:tcW w:w="190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5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乙炔气</w:t>
                  </w:r>
                </w:p>
              </w:tc>
              <w:tc>
                <w:tcPr>
                  <w:tcW w:w="10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eastAsia="宋体" w:cs="Times New Roman"/>
                      <w:snapToGrid w:val="0"/>
                      <w:color w:val="000000" w:themeColor="text1"/>
                      <w:spacing w:val="0"/>
                      <w:kern w:val="0"/>
                      <w:sz w:val="21"/>
                      <w:szCs w:val="21"/>
                      <w:lang w:val="en-US" w:eastAsia="zh-CN"/>
                      <w14:textFill>
                        <w14:solidFill>
                          <w14:schemeClr w14:val="tx1"/>
                        </w14:solidFill>
                      </w14:textFill>
                    </w:rPr>
                    <w:t>纯乙炔为无色无味的易燃气体。熔点-81.8℃（198K，升华），沸点-84℃，相对密度0.6208（-82/4℃），微溶于水，溶于乙醇、苯、丙酮。</w:t>
                  </w:r>
                </w:p>
              </w:tc>
              <w:tc>
                <w:tcPr>
                  <w:tcW w:w="19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纯乙炔属微毒类，具有弱麻醉和阻止细胞氧化的作用。乙炔中常混有磷化氢、硫化氢等气体，故常伴有此类毒物的毒作用。人接触100 mg/m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能耐受30～60 min，20%引起明显缺氧，30%时共济失调，35%下5 min引起意识丧失，含10%乙炔的空气中5 h，有轻度中毒反应。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5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氩气</w:t>
                  </w:r>
                </w:p>
              </w:tc>
              <w:tc>
                <w:tcPr>
                  <w:tcW w:w="10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Ar</w:t>
                  </w:r>
                </w:p>
              </w:tc>
              <w:tc>
                <w:tcPr>
                  <w:tcW w:w="3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无色、无味、无嗅无毒的惰性气体，微溶于水。熔点-189.2℃，沸点-185.9℃，密度：1.784kg/m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vertAlign w:val="baseline"/>
                      <w:lang w:val="en-US" w:eastAsia="zh-CN"/>
                      <w14:textFill>
                        <w14:solidFill>
                          <w14:schemeClr w14:val="tx1"/>
                        </w14:solidFill>
                      </w14:textFill>
                    </w:rPr>
                    <w:t>，</w:t>
                  </w:r>
                  <w:r>
                    <w:rPr>
                      <w:rFonts w:hint="eastAsia" w:cs="Times New Roman"/>
                      <w:snapToGrid w:val="0"/>
                      <w:color w:val="000000" w:themeColor="text1"/>
                      <w:spacing w:val="0"/>
                      <w:kern w:val="0"/>
                      <w:sz w:val="21"/>
                      <w:szCs w:val="21"/>
                      <w:lang w:val="en-US" w:eastAsia="zh-CN"/>
                      <w14:textFill>
                        <w14:solidFill>
                          <w14:schemeClr w14:val="tx1"/>
                        </w14:solidFill>
                      </w14:textFill>
                    </w:rPr>
                    <w:t>1394kg/m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（饱和液氩，1atm）</w:t>
                  </w:r>
                </w:p>
              </w:tc>
              <w:tc>
                <w:tcPr>
                  <w:tcW w:w="19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5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灌装氧气</w:t>
                  </w:r>
                </w:p>
              </w:tc>
              <w:tc>
                <w:tcPr>
                  <w:tcW w:w="10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无色无味气体，熔点-218.4℃，沸点-183℃，相对密度1.14（-183℃，水=1）。不易溶于水。</w:t>
                  </w:r>
                </w:p>
              </w:tc>
              <w:tc>
                <w:tcPr>
                  <w:tcW w:w="19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急性毒性：人类吸入TCLo：100pph/14H；其他毒害作用：TCLo：100%（100%）（人吸入，14h）；TCLo：80%（大鼠吸入）。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5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甲醇</w:t>
                  </w:r>
                </w:p>
              </w:tc>
              <w:tc>
                <w:tcPr>
                  <w:tcW w:w="10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OH</w:t>
                  </w:r>
                </w:p>
              </w:tc>
              <w:tc>
                <w:tcPr>
                  <w:tcW w:w="30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甲醇是无色有酒精气味易挥发的液体，成品通常由一氧化碳与氢气反应制得，可用于制造甲醛和农药等，并用作有机物的萃取剂和酒精的变性剂等。</w:t>
                  </w:r>
                </w:p>
              </w:tc>
              <w:tc>
                <w:tcPr>
                  <w:tcW w:w="19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大鼠经口最低中毒浓度：7500mg/kg（孕7～19天）；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156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乙腈</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N</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是一种无色液体，极易挥发，有类似于醚的特殊气味，有优良的溶剂性能，能溶解多种有机、无机和气体物质。有一定毒性，与水和醇无限互溶。</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2730mg/kg(大鼠经口)；1250mg/kg(兔经皮)；LC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12663mg/m3，8h(大鼠吸入)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乙酸铵</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COONH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是一种有乙酸气味的白色三角晶体，可作为分析试剂和肉类防腐剂。该溶液pH在7左右，显中性。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常温下为一种无色、有甜味的透明液体，其密度小于水，具有强烈的芳香气味。沸点为80.1℃，熔点为5.5℃。密度为0.88g/cm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，微溶于水，溶于乙醇、乙醚和丙酮等多数有机溶剂。</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LD50：3306 mg/kg（大鼠经口）；48 mg/kg（小鼠经皮）；LC50：10000 ppm 7小时（大鼠吸入）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硫酸是一种最活泼的二元无机强酸，能和绝大多数金属发生反应。高浓度的硫酸有强烈吸水性，可用作脱水剂，碳化木材、纸张、棉麻织物及生物皮肉等含碳水化合物的物质。</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:2140mg/kg(大鼠经口)；LC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:510mg/m³，2小时(大鼠吸入)；320mg/m³，2小时(小鼠吸入)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盐酸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HCl</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盐酸属于一元无机强酸，工业用途广泛。有强烈的刺鼻气味，具有较高的腐蚀性，浓盐酸的质量分数约为37%，具有极强的挥发性。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硝酸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是一种强氧化性、腐蚀性的强酸。相对密度(d204)1.41，熔点-42℃（无水），沸点120.5℃（68%）</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高氯酸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HClO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是一种无色透明的发烟液体。无机酸，可助燃，具强腐蚀性、强刺激性，可致人体灼伤。用于高氯酸盐的制备，人造金刚石提纯，电影胶片制造，医药工业，电抛光工业，生产砂轮，除去碳粒杂质。</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磷酸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PO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透明无色液体，无刺激性气味，不易挥发，不易分解，几乎没有氧化性。具有酸的通性，是三元弱酸。熔点42℃，沸点261℃（分解），密度1.874g/mL（液态）</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急性毒性：LD50：1530mg/kg（大鼠经口）；2740mg/kg（兔经皮）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冰乙酸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COOH</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无色透明液体，熔点：16.6℃，沸点：117.9℃，密度：1.05g/cm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急性毒性：LD50：3530mg/kg（大鼠经口）；1060mg/kg（兔经皮）；LC50：13791mg/m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（小鼠吸入，1h）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氨水</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是氨的水溶液，由氨气通入水中制得。氨水是实验室的重要试剂，主要用作分析试剂、中和剂、生物碱浸出剂、铝盐合成和弱碱性溶剂，也用于某些元素（如铜、镍）的检定和测定。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人体口经LDLo：43mg/kg；人体吸入LCLo：5000ppm；人体吸入TCLo：408ppm；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无水乙醚</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一种带有刺激性气味、无色、易燃、极易挥发的液体。</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：1215mg/kg（大鼠经口）LC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：221190mg/m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95%乙醇</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常温常压下是一种无色透明、易挥发、易燃烧、不导电的液体，低毒性，熔点是-114.1℃，沸点是78.3℃，液体密度是0.7893g/cm3。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微毒。急性毒性：LD50：7060 mg/kg（兔经口）；LD50：7340 mg/kg（兔经皮）；LC50：37620 mg/m³，10h（大鼠吸入）；人吸入4.3 mg/L，50 min，头面部发热，四肢发凉，头痛；人吸入2.6 mg/L，39 min，头痛，无后作用。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无水乙醇</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有特殊香味，易流动。无水乙醇极易从空气中吸收水分，能与水和氯仿、乙醚等多种有机溶剂以任意比例互溶。能与水形成共沸混合物(含水4.43%)，共沸点78.15℃。</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急性毒性口服人类——男性22500mg/kg/4W-I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四氯化碳</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无色透明液体，密度：1.594g/cm3，熔点：-23℃，沸点：76-77℃。</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LD50：2350mg/kg（大鼠经口）；5070mg/kg（大鼠经皮）；LC50：50400mg/m3（大鼠吸入，4h）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正己烷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有微弱特殊气味的无色液体。其具有挥发性，几乎不溶于水，易溶于氯仿、乙醚、乙醇。主要用作溶剂，如植物油抽提溶剂、丙烯聚合溶剂、橡胶和涂料溶剂、颜料稀释剂，用于大豆、米糠、棉籽等各种食用油脂和香辛料中油脂等的抽提。</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：25g/kg（大鼠经口）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：48000ppm（大鼠吸入，4h）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丙酮</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一种无色透明液体，有特殊的辛辣气味。其易溶于水、甲醇、乙醇等有机溶剂，易燃、易挥发，化学性质较活泼。</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:5800mg/kg(大鼠经口)；20000mg/kg(兔经皮)LC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石油醚</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液体，有煤油气味。主要为戊烷和己烷的混合物。不溶于水，溶于无水乙醇、苯、氯仿、油类等多数有机溶剂。易燃易爆，与氧化剂可强烈反应。主要用作溶剂和油脂处理。通常用铂重整抽余油或直馏汽油经分馏、加氢或其他方法制得。</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：40mg/kg（小鼠静脉）LC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：3400ppm4小时（大鼠吸入）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是最简单的羧酸。无色而有刺激性气味的液体。</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:1100mg/kg（大鼠经口），LC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:15000mg/m3（大鼠吸入，15min）；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COOH</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无色透明液体，熔点：16.6℃，沸点：117.9℃，密度：1.05g/cm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急性毒性：LD50：3530mg/kg（大鼠经口）；1060mg/kg（兔经皮）；LC50：13791mg/m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（小鼠吸入，1h）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异丙酮</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高浓度蒸气具有明显麻醉作用，对眼、呼吸道的黏膜有刺激作用，能损伤视网膜及视神经。</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异丙酮属于微毒类。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8</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无色透明液体，有类似苯的芳香气味。熔点：-94.9℃，沸点：110.6℃，密度：0.872g/cm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vertAlign w:val="baseline"/>
                      <w:lang w:val="en-US" w:eastAsia="zh-CN"/>
                      <w14:textFill>
                        <w14:solidFill>
                          <w14:schemeClr w14:val="tx1"/>
                        </w14:solidFill>
                      </w14:textFill>
                    </w:rPr>
                    <w:t>，不溶于水，可混溶于苯、乙醇、乙醚、氯仿等多数有机溶剂。</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属低毒类。急性毒性：LD50：5000mg/kg（大鼠经口）；12124mg/kg（兔经皮）；人吸入71.4g/m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，短时致死；人吸入3g/m3×1～8小时，急性中毒；人吸入0.2～0.3g/m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×8小时，中毒症状出现。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氯仿</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三氯甲烷，无色透明重质液体，极易挥发，有特殊气味，在光照下遇空气逐渐被氧化生成剧毒的光气。熔点：-63.5℃，密度：1.48g/cm3，沸点：61.3℃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急性毒性：LD50：908mg/kg（大鼠经口）；LC50：47702mg/m3（大鼠吸入，4h）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异辛烷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CCH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CH(CH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无色透明液体，熔点-107.4℃，沸点99.2℃，溶解性：不溶于水，溶于醚，易溶于醇、丙酮、苯、氯仿等，用于有机合成，用作溶剂及气相色谱的对比样品。</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LC：80g/m3×2小时(小鼠吸入)；小鼠经口0.2ml/只，惊厥、呼吸麻痹、心脏停搏、死亡；人吸入1g/m3×5分钟，粘膜刺激症状。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环已烷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无色有刺激性气味的液体，不溶于水，溶于乙醇、乙醚、苯、丙酮等多数有机溶剂。密度：0.79g/cm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，熔点：6.5℃，沸点：80.7℃</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急性毒性：LD50：12705mg/kg（大鼠经口）；LCLo：70000mg/m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（小鼠吸入，2h）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氢氧化钠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NaOH</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一种具有高腐蚀性的强碱，一般为白色片状或颗粒，能溶于水生成碱性溶液，也能溶解于甲醇及乙醇。此碱性物具有潮解性，会吸收空气里的水蒸气，亦会吸取二氧化碳等酸性气体。</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 xml:space="preserve">急性毒性：腹注-小鼠 LD50：40毫克/公斤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氢氧化钾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KOH</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为白色粉末状结晶或三斜轴面的鳞片状带光泽结晶，有滑腻手感，无臭味。溶于水、酒精、甘油、醚类及香精油中，水溶液呈弱酸性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半数致死量(大鼠，经口)5.14G/kG。有刺激性。有毒，内服严重时导致死亡，致死最低量：成人口服640mg/kg;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酒石酸氢钾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KHC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是酒石酸钾的酸式盐，酿葡萄酒时的副产品，无色或白色结晶性粉末，无臭，有愉快的清凉酸味。相对密度1.984。易溶于稀无机酸；碱溶液或硼砂溶液。不溶于乙醇或乙酸。</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LD50小鼠El服6.819/kg(bw)；</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GRAS FDA-2lCFR 184.1077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柠檬酸氢二钠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r>
                    <w:rPr>
                      <w:rFonts w:hint="eastAsia" w:cs="Times New Roman"/>
                      <w:snapToGrid w:val="0"/>
                      <w:color w:val="000000" w:themeColor="text1"/>
                      <w:spacing w:val="0"/>
                      <w:kern w:val="0"/>
                      <w:sz w:val="21"/>
                      <w:szCs w:val="21"/>
                      <w:lang w:val="en-US" w:eastAsia="zh-CN"/>
                      <w14:textFill>
                        <w14:solidFill>
                          <w14:schemeClr w14:val="tx1"/>
                        </w14:solidFill>
                      </w14:textFill>
                    </w:rPr>
                    <w:t>·15H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无色结晶或白色结晶性粉末，无臭，味咸、微酸。</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小鼠腹腔LD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：1348mg/kg；小鼠腹腔LD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：1635mg/kg；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一水柠檬酸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8</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无色结晶或白色晶状粉末。主要用于食品、饮料行业作为酸味剂、调味剂及防腐剂、保鲜剂。还在化工行业、化妆品行业及洗涤行业中用作抗氧化剂、增塑剂、洗涤剂。</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硼砂</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B</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r>
                    <w:rPr>
                      <w:rFonts w:hint="eastAsia" w:cs="Times New Roman"/>
                      <w:snapToGrid w:val="0"/>
                      <w:color w:val="000000" w:themeColor="text1"/>
                      <w:spacing w:val="0"/>
                      <w:kern w:val="0"/>
                      <w:sz w:val="21"/>
                      <w:szCs w:val="21"/>
                      <w:lang w:val="en-US" w:eastAsia="zh-CN"/>
                      <w14:textFill>
                        <w14:solidFill>
                          <w14:schemeClr w14:val="tx1"/>
                        </w14:solidFill>
                      </w14:textFill>
                    </w:rPr>
                    <w:t>·10H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无色半透明结晶体或白色结晶粉末。无臭，味咸，易溶于水和甘油，不溶于乙醇和酸，水溶液呈弱碱性。密度为1.73g/cm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，在干燥空气中风化。</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七水硫酸钴</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CoSO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·7H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密度：2.03g/cm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，熔点：98℃，沸点：735℃，外观：红色结晶性粉末，溶解性：溶于水、甲醇，不溶于氨，微溶于乙醇。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急性毒性：大鼠经口LD50：582mg/kg；大鼠肌肉LC50： 320mg/kg；小狗注射LDLo：16200μg/kg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溴化钾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KBr</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无色结晶或白色粉末，无臭，味咸而微苦。见光易变黄，稍有吸湿性。溶于水（100℃时溶解度为102g/100ml水）和甘油，微溶于乙醇和乙醚。水溶液呈中性。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硫酸镁</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MgSO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无色斜方晶系结晶。溶于水、乙醇、甘油，不溶于丙酮。用于制药以及印染工业，也可做干燥剂、饲料、肥料或复合肥料，也是生产氧化镁的原料。</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氧化钙</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CaO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俗名</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instrText xml:space="preserve"> HYPERLINK "https://baike.so.com/doc/5068151-5295612.html" \t "https://baike.so.com/doc/_blank" </w:instrTex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生石灰</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。物理性质是白色或带灰色块状或颗粒。溶于酸类、甘油和蔗糖溶液，几乎不溶于乙醇。相对密度3.32~3.35。熔点2572℃。沸点2850℃。</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instrText xml:space="preserve"> HYPERLINK "https://baike.so.com/doc/6175804-6389045.html" \t "https://baike.so.com/doc/_blank" </w:instrTex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折光率</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1.838。</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碳酸钙</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CaCO₃</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俗称：灰石、石灰石、石粉、化学式是CaCO₃，呈中性，基本上不溶于水，溶于盐酸。它是地球上常见物质，亦为动物骨骼或外壳的主要成分。碳酸钙是重要的建筑材料，工业上用途甚广。碳酸钙是由钙离子和碳酸根离子结合生成的，所以既是钙盐也是碳酸盐。</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氯化铝</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AlCl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白色结晶性粉末，有强盐酸气味，工业品呈淡黄色。易溶于水、醇、氯仿、四氯化碳，微溶于苯。</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氧化铝</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Al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难溶于水的白色固体，无臭、无味、质极硬，易吸潮而不潮解（灼烧过的不吸湿）。能溶于无机酸和碱性溶液中，几乎不溶于水及非极性有机溶剂；相对密度(d204）4.0；熔点2050℃。</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硼氢化钠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NaBH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白色结晶粉末，吸湿性强，容易吸水潮解。溶于水、液氨、胺类。易溶于甲醇，微溶于乙醇、四氢呋喃。不溶于乙醚、苯、烃类。</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急性毒性：大鼠口经LD50：18 mg/kg（大鼠腔膜内）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硼氢化钾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BH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K</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疏松粉末或晶体。在空气中稳定，不吸湿性。硼氢化钾易溶于水，溶于液氨，微溶于甲醇和乙醇，几乎不溶于乙醚、苯、四氢呋喃、甲醚及其他碳氢化合物。在碱性环境中稳定，遇无机酸分解而放出氢气。强还原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硝酸银</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AgNO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白色结晶性粉末，易溶于水、氨水、甘油，微溶于乙醇。熔点：212℃，沸点：444℃（分解），密度：4.35g/cm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急性毒性：LD50：1173mg/kg（大鼠经口）；50mg/kg（小鼠经口）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硝酸汞</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Hg(NO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白色结晶性粉末，易溶于水，不溶于乙醇，溶于硝酸，密度：4.39g/cm3，熔点：79℃，沸点：180℃（分解）。</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急性毒性：LD50：26mg/kg（大鼠经口）；75mg/kg（大鼠经皮）。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氯化汞</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HgCl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呈白色结晶性粉末、有剧毒，溶于水、乙醇、乙醚、甲醇、丙酮、乙酸乙酯，不溶于二硫化碳、吡啶。熔点：277℃，沸点：302℃，密度：5.44g/cm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急性中毒：LD50：1mg/kg（大鼠经口）；41mg/kg（兔经皮）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碳酸氢钠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 xml:space="preserve"> NaHCO₃</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白色结晶性粉末，无臭，味咸，易溶于水及甘油，不溶于乙醇。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急性毒性：大鼠经口LD50：4220mg/kg；小鼠经口LD50：3360mg/kg。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高锰酸钾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KMnO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黑紫色结晶，带蓝色的金属光泽，无臭，与某些有机物或易氧化物接触，易发生爆炸，溶于水、碱液，微溶于甲醇、丙酮、硫酸。</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三乙醇胺</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15</w:t>
                  </w:r>
                  <w:r>
                    <w:rPr>
                      <w:rFonts w:hint="eastAsia" w:cs="Times New Roman"/>
                      <w:snapToGrid w:val="0"/>
                      <w:color w:val="000000" w:themeColor="text1"/>
                      <w:spacing w:val="0"/>
                      <w:kern w:val="0"/>
                      <w:sz w:val="21"/>
                      <w:szCs w:val="21"/>
                      <w:lang w:val="en-US" w:eastAsia="zh-CN"/>
                      <w14:textFill>
                        <w14:solidFill>
                          <w14:schemeClr w14:val="tx1"/>
                        </w14:solidFill>
                      </w14:textFill>
                    </w:rPr>
                    <w:t>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无色至淡黄色粘性液体，室温下为无色透明粘稠液体。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溶解性：溶于水，甲醇、丙酮、氯仿等，微溶于乙醚和苯，在非极性溶剂中几乎不溶。</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急性毒性：大鼠经口LD50：9110mg/kg；小鼠经口LC50：8680mg/kg。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乙二胺四乙酸二钠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14</w:t>
                  </w: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8</w:t>
                  </w:r>
                  <w:r>
                    <w:rPr>
                      <w:rFonts w:hint="eastAsia" w:cs="Times New Roman"/>
                      <w:snapToGrid w:val="0"/>
                      <w:color w:val="000000" w:themeColor="text1"/>
                      <w:spacing w:val="0"/>
                      <w:kern w:val="0"/>
                      <w:sz w:val="21"/>
                      <w:szCs w:val="21"/>
                      <w:lang w:val="en-US" w:eastAsia="zh-CN"/>
                      <w14:textFill>
                        <w14:solidFill>
                          <w14:schemeClr w14:val="tx1"/>
                        </w14:solidFill>
                      </w14:textFill>
                    </w:rPr>
                    <w:t>·2H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是化学中一种良好的配合剂，它有六个配位原子，形成的配合物叫做鳌合物，EDTA在配位滴定中经常用到，一般是测定金属离子的含量。</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氨基磺酸氨</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S</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白色晶体，溶于水，水溶液中呈弱酸性，不溶于甲醇和乙醇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毒性LD50：大鼠经口3900mg/kg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硫酸银</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Ag</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白色结晶性粉末，易溶于氨水、硝酸、和浓硫酸，微溶于水，不溶于乙醇，密度：4.45g/cm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，熔点：652℃，沸点：1085℃</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在皮肤和粘膜上造成腐蚀影响，刺激皮肤和粘膜。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硝酸钾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无色透明棱柱状或白色颗粒或结晶性粉末。味辛辣而咸有凉感。微潮解，潮解性比硝酸钠小。溶解性：易溶于水，不溶于无水乙醇、乙醚。溶于水时吸热，溶液温度降低。</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急性毒性：LD50：3750 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铬酸钾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CrO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黄色结晶性粉末，溶于水、不溶于乙醇，密度：2.732g/cm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，熔点：971°C</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氯化钡</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BaCl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白色的晶体，易溶于水，微溶于盐酸和硝酸，难溶于乙醇和乙醚，密度：3.856g/cm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，熔点：960℃，沸点：1560℃</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 LD50：118mg/kg（大鼠经口）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过氧化氢</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过氧化氢是淡蓝色的黏稠液体，可任意比例与水混溶，是一种强氧化剂。其一般以30%或60%的水溶液形式存放，俗称双氧水，适用于医用伤口消毒、环境消毒和食品消毒</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LD50:4060mg/kg（大鼠经皮）；LC50：2000mg/m3，4小时（大鼠吸入）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氢氧化铝</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Al(OH)3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铝的氢氧化物。氢氧化铝既能与酸反应生成盐和水又能与强碱反应生成盐和水，因此也是一种两性氢氧化物。化学式Al(OH)3，是铝的氢氧化物。由于又显一定的酸性，所以又可称之为铝酸（H3AlO3）。但实际与碱反应时生成的是四羟基合铝酸盐（[Al(OH)4]-）。因此通常在把它视作一水合偏铝酸（HAlO2·H2O），按用途分为工业级和医药级两种。</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草酸铵</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无色柱状或白色粒状结晶，无味，有毒。溶于水，微溶于乙醇。水溶液显酸性。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乙酸镁</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Mg(CH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COO)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无色单斜晶体，密度1.454g/cm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（无水物密度为1.42g/cm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）。易溶于水，水溶液呈中性或弱酸性。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碘</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I</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紫黑色有光泽的片状晶体，易升华，升华后易凝华，有毒性和腐蚀性。单质碘遇淀粉会变蓝紫色。主要用于制药物、染料、碘酒、试纸和碘化合物等。</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硫酸铜</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CuSO₄</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无水硫酸铜为灰白色粉末，易吸水变蓝绿色的五水合硫酸铜。溶于水、甲醇。不溶于乙醇。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属中等毒性。急性毒性：LD50：300mg/kg（大鼠经口）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由硫酸根离子和钾离子组成的盐，通常状况下为无色或白色结晶、颗粒或粉末。无气味，味苦，质硬。化学性质不活泼。在空气中稳定。密度2.66g/cm3。熔点1069℃。水溶液呈中性，常温下pH约为71g溶于8.3ml水、4ml沸水、75ml甘油，不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亚铁氰化钾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Fe(CN)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呈黄色结晶性粉末。与稀硫酸加热生成氢氰酸、硫酸亚铁和硫酸钾，与浓硫酸加热生成硫酸亚铁、硫酸铵、硫酸钾，并放出一氧化碳。</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大鼠经口LD50为1.6～3.2g/kg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KCl</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白色晶体，味极咸，无臭无毒性。易溶于水、醚、甘油及碱类，微溶于乙醇，但不溶于无水乙醇，有吸湿性，易结块。稳定性：稳定。与强氧化剂不相容，强酸。防潮。吸湿性。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口服过量氯化钾有毒；半数致死量约为2500mg/kg（与普通盐毒性近似）。静脉注射的半数致死量约为100mg/kg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酒石酸钾钠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NaKC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无色至蓝白色正交晶系晶体，可溶于水，微溶于醇，味咸而凉，水溶液呈微碱性。密度1.79g/cm3。熔点75℃。</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硫代硫酸钠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又名次亚硫酸钠，无色或白色结晶性粉末，溶于水和松节油，难溶于乙醇，熔点：48°C，沸点：100°C，密度：1.667g/cm3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硝酸亚汞</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Hg</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无色结晶性粉末，溶解性：溶于水、稀硝酸，不溶于乙醇、乙醚。密度：4.78g/cm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，熔点：70℃（分解）</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急性毒性：LD50：170mg/kg（大鼠经口）；2330mg/kg（大鼠经皮）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硫脲</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白色而有光泽的晶体，味苦，密度1.41g/cm³，熔点176～178℃。用于制造药物、染料、树脂、压塑粉等的原料，也用作橡胶的硫化促进剂、金属矿物的浮选剂等。</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急性毒性：LD50：125mg/kg（大鼠经口）；100mg/kg（小鼠腹腔）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氧化镁</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MgO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常温下为一种白色固体。呈白色或灰白色粉末，无臭、无味、无毒，熔点为2852℃，沸点为3600℃，密度为3.58g/cm3（25℃）。溶于酸和铵盐溶液，不溶于酒精。</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硝酸镁</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Mg(NO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白色结晶性粉末，溶于水、甲醇、乙醇、液氨，其水溶液呈中性。可用作浓硝酸的脱水剂、催化剂和小麦灰化剂等。</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急性毒性：LD50：5440 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抗坏血酸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8</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维生素C为白色结晶或结晶性粉末，无臭，味酸，久置色渐变微黄，在水中易溶，呈酸性。它具有很强的还原性，具有蛋白质合成，维持免疫功能等作用。</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柠檬酸铵</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r>
                    <w:rPr>
                      <w:rFonts w:hint="eastAsia" w:cs="Times New Roman"/>
                      <w:snapToGrid w:val="0"/>
                      <w:color w:val="000000" w:themeColor="text1"/>
                      <w:spacing w:val="0"/>
                      <w:kern w:val="0"/>
                      <w:sz w:val="21"/>
                      <w:szCs w:val="21"/>
                      <w:lang w:val="en-US" w:eastAsia="zh-CN"/>
                      <w14:textFill>
                        <w14:solidFill>
                          <w14:schemeClr w14:val="tx1"/>
                        </w14:solidFill>
                      </w14:textFill>
                    </w:rPr>
                    <w:t>(NH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也叫做柠檬酸三铵，白色潮解粉末或结晶。易溶于水。熔点时有分解。低毒。</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硫酸铵</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白色结晶性粉末，无气味，水溶液呈酸性。不溶于醇、丙酮和氨水。有吸湿性，吸湿后固结成块。</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碘化钾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KI</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是一种无机化合物，用于制备有机碘化物等，并用作化学试剂。</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盐酸羟胺</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HONH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HCl</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无色结晶，易潮解，溶于水，乙醇、甘油，溶于冷乙醚。有毒，对皮肤有刺激性。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半数致死量（小鼠经口）408mg/kg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二硫腙</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C</w:t>
                  </w:r>
                  <w:r>
                    <w:rPr>
                      <w:rFonts w:hint="eastAsia" w:ascii="Times New Roman" w:hAnsi="Times New Roman" w:eastAsia="宋体" w:cs="Times New Roman"/>
                      <w:snapToGrid w:val="0"/>
                      <w:color w:val="000000" w:themeColor="text1"/>
                      <w:spacing w:val="0"/>
                      <w:kern w:val="0"/>
                      <w:sz w:val="21"/>
                      <w:szCs w:val="21"/>
                      <w:vertAlign w:val="subscript"/>
                      <w:lang w:val="en-US" w:eastAsia="zh-CN"/>
                      <w14:textFill>
                        <w14:solidFill>
                          <w14:schemeClr w14:val="tx1"/>
                        </w14:solidFill>
                      </w14:textFill>
                    </w:rPr>
                    <w:t>13</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H</w:t>
                  </w:r>
                  <w:r>
                    <w:rPr>
                      <w:rFonts w:hint="eastAsia" w:ascii="Times New Roman" w:hAnsi="Times New Roman" w:eastAsia="宋体" w:cs="Times New Roman"/>
                      <w:snapToGrid w:val="0"/>
                      <w:color w:val="000000" w:themeColor="text1"/>
                      <w:spacing w:val="0"/>
                      <w:kern w:val="0"/>
                      <w:sz w:val="21"/>
                      <w:szCs w:val="21"/>
                      <w:vertAlign w:val="subscript"/>
                      <w:lang w:val="en-US" w:eastAsia="zh-CN"/>
                      <w14:textFill>
                        <w14:solidFill>
                          <w14:schemeClr w14:val="tx1"/>
                        </w14:solidFill>
                      </w14:textFill>
                    </w:rPr>
                    <w:t>12</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N</w:t>
                  </w:r>
                  <w:r>
                    <w:rPr>
                      <w:rFonts w:hint="eastAsia" w:ascii="Times New Roman" w:hAnsi="Times New Roman" w:eastAsia="宋体"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S</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又名：双硫腙，分子量：256.33 　　性状：蓝黑色结晶性粉末 　　稳定性：易被空气氧化，可加入二氧化硫水溶液保护 　　溶解性：常温下：易溶于四氯化碳和氯仿，其溶液不稳定，微溶于乙醇，不溶于水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熔点：168℃</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半数致死剂量：(小鼠，腹腔)200mg/kg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三氧化二砷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As</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俗称砒霜，有剧毒。无臭。白色粉末或结晶。</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急性毒性：LD50：10mg/kg（大鼠经口）；20mg/kg（小鼠经口）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三氯化铁</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FeCl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黑棕色结晶性粉末，熔点306℃、沸点316℃。溶解性：易溶于水，不溶于甘油，易溶于甲醇、乙醇、丙酮、乙醚。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硫酸亚铁</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FeSO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白色粉末无气味、晶体为浅绿色结晶，俗称“绿矾”，溶于水、甘油，不溶于乙醇。具有还原性。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LD50：（小鼠，经口）1520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草酸钠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白色结晶性粉末，无气味，有吸湿性。溶于水，不溶于乙醇。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急性毒性：人静脉LDLo：17 mg/kg；小鼠腹腔LC50：155 mg/kg；小鼠皮下注射LCLo：100mg/kg；猫皮下注射LDLo：100mg/kg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亚硫酸钠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白色晶体性粉末，密度：2.63g/cm3，易溶于水</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重铬酸钾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Cr</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是一种有毒且有致癌性的强氧化剂，室温下为橙红色三斜晶体或针状晶体，溶于水，不溶于乙醇。分子式:K2Cr2O7，分子量294.1846，熔点：398ºC，沸点：500ºC。</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190mg/kg（小鼠经口）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氯化亚硒</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Se</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暗红微带红棕色的油状液体。密度（g/mL,25℃）：2.77，熔点：-85℃，沸点：130℃。溶解性：溶于氯仿、苯、四氯化碳、二硫化碳。</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过硫酸钾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14:textFill>
                        <w14:solidFill>
                          <w14:schemeClr w14:val="tx1"/>
                        </w14:solidFill>
                      </w14:textFill>
                    </w:rPr>
                    <w:t>K</w:t>
                  </w:r>
                  <w:r>
                    <w:rPr>
                      <w:rFonts w:hint="default" w:ascii="Times New Roman" w:hAnsi="Times New Roman" w:eastAsia="Helvetica" w:cs="Times New Roman"/>
                      <w:i w:val="0"/>
                      <w:iCs w:val="0"/>
                      <w:caps w:val="0"/>
                      <w:color w:val="000000" w:themeColor="text1"/>
                      <w:spacing w:val="0"/>
                      <w:sz w:val="24"/>
                      <w:szCs w:val="24"/>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1"/>
                      <w:szCs w:val="21"/>
                      <w14:textFill>
                        <w14:solidFill>
                          <w14:schemeClr w14:val="tx1"/>
                        </w14:solidFill>
                      </w14:textFill>
                    </w:rPr>
                    <w:t>S</w:t>
                  </w:r>
                  <w:r>
                    <w:rPr>
                      <w:rFonts w:hint="default" w:ascii="Times New Roman" w:hAnsi="Times New Roman" w:eastAsia="Helvetica" w:cs="Times New Roman"/>
                      <w:i w:val="0"/>
                      <w:iCs w:val="0"/>
                      <w:caps w:val="0"/>
                      <w:color w:val="000000" w:themeColor="text1"/>
                      <w:spacing w:val="0"/>
                      <w:sz w:val="24"/>
                      <w:szCs w:val="24"/>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1"/>
                      <w:szCs w:val="21"/>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4"/>
                      <w:szCs w:val="24"/>
                      <w:vertAlign w:val="subscript"/>
                      <w14:textFill>
                        <w14:solidFill>
                          <w14:schemeClr w14:val="tx1"/>
                        </w14:solidFill>
                      </w14:textFill>
                    </w:rPr>
                    <w:t>8</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无色或白色三斜晶系结晶粉末。无气味，有潮解性。溶于水，不溶于乙醇。熔点：1067℃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沸点：1689℃</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急性毒性：口服-大鼠 LD50:802 毫克/公斤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乙酸乙酯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COOH</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微溶于水，溶于醇、酮、醚、氯仿等多数有机溶剂，其蒸气与空气可形成爆炸性混合物，遇明火、高热能引起燃烧爆炸。</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5620mg/kg(大鼠经口）；4940mg/kg（兔经口）；LC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eastAsia" w:cs="Times New Roman"/>
                      <w:snapToGrid w:val="0"/>
                      <w:color w:val="000000" w:themeColor="text1"/>
                      <w:spacing w:val="0"/>
                      <w:kern w:val="0"/>
                      <w:sz w:val="21"/>
                      <w:szCs w:val="21"/>
                      <w:lang w:val="en-US" w:eastAsia="zh-CN"/>
                      <w14:textFill>
                        <w14:solidFill>
                          <w14:schemeClr w14:val="tx1"/>
                        </w14:solidFill>
                      </w14:textFill>
                    </w:rPr>
                    <w:t>5760mg/m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，8小时（大鼠吸入）；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硼酸钠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B</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一般指四硼酸钠，四硼酸钠为无色或白色的结晶性粉末，无臭，溶于水、甘油，不溶于乙醇。易风化。</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对氨基苯磺酸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r>
                    <w:rPr>
                      <w:rFonts w:hint="eastAsia" w:cs="Times New Roman"/>
                      <w:snapToGrid w:val="0"/>
                      <w:color w:val="000000" w:themeColor="text1"/>
                      <w:spacing w:val="0"/>
                      <w:kern w:val="0"/>
                      <w:sz w:val="21"/>
                      <w:szCs w:val="21"/>
                      <w:lang w:val="en-US" w:eastAsia="zh-CN"/>
                      <w14:textFill>
                        <w14:solidFill>
                          <w14:schemeClr w14:val="tx1"/>
                        </w14:solidFill>
                      </w14:textFill>
                    </w:rPr>
                    <w:t>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S</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4-苯胺磺酸，白色结晶性粉末，溶于水，不溶于乙醇、乙醚等有机溶剂。熔点：288℃，密度：1.485g/cm3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急性毒性：大鼠经口LD50：12300mg/kg；大鼠静脉注射LD50：6gm/kg；小鼠经口LC50：＞3478.1mg/kg。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盐酸萘乙二胺</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12</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14</w:t>
                  </w: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·2HCl</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溶于水并微溶于乙醇。是用于监测大气中二氧化氮的专用试剂。用于制染料和药物等</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酒石酸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即2,3-二羟基丁二酸，是一种羧酸，熔点：200-206℃，沸点：399.3℃，密度：1.886g/cm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，溶解性：溶于水和乙醇，微溶于乙醚。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硫酸镉</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CdSO</w:t>
                  </w:r>
                  <w:r>
                    <w:rPr>
                      <w:rFonts w:hint="default" w:ascii="Times New Roman" w:hAnsi="Times New Roman" w:eastAsia="Helvetica" w:cs="Times New Roman"/>
                      <w:i w:val="0"/>
                      <w:iCs w:val="0"/>
                      <w:caps w:val="0"/>
                      <w:color w:val="000000" w:themeColor="text1"/>
                      <w:spacing w:val="0"/>
                      <w:sz w:val="18"/>
                      <w:szCs w:val="18"/>
                      <w:shd w:val="clear" w:fill="FFFFFF"/>
                      <w:vertAlign w:val="subscript"/>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为白色结晶性粉末，溶于水，不溶于乙醇，醋酸和乙醚，密度：4.69g/cm3，熔点：1000℃</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三正辛胺</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24</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51</w:t>
                  </w:r>
                  <w:r>
                    <w:rPr>
                      <w:rFonts w:hint="eastAsia" w:cs="Times New Roman"/>
                      <w:snapToGrid w:val="0"/>
                      <w:color w:val="000000" w:themeColor="text1"/>
                      <w:spacing w:val="0"/>
                      <w:kern w:val="0"/>
                      <w:sz w:val="21"/>
                      <w:szCs w:val="21"/>
                      <w:lang w:val="en-US" w:eastAsia="zh-CN"/>
                      <w14:textFill>
                        <w14:solidFill>
                          <w14:schemeClr w14:val="tx1"/>
                        </w14:solidFill>
                      </w14:textFill>
                    </w:rPr>
                    <w:t>N</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无色油状液体，有氨的气味，呈碱性，密度（g/mL,20℃）：0.810，熔点（ºC）：34，沸点（ºC,0.7mmHg）：164-168。溶解性：熔于醇和醚，微溶于甲醇，易溶于非极性溶剂，极微溶于水</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急性毒性：小鼠引入腹膜LD50：62500ug/kg。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异烟酸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w:t>
                  </w:r>
                  <w:r>
                    <w:rPr>
                      <w:rFonts w:hint="eastAsia" w:cs="Times New Roman"/>
                      <w:snapToGrid w:val="0"/>
                      <w:color w:val="000000" w:themeColor="text1"/>
                      <w:spacing w:val="0"/>
                      <w:kern w:val="0"/>
                      <w:sz w:val="21"/>
                      <w:szCs w:val="21"/>
                      <w:lang w:val="en-US" w:eastAsia="zh-CN"/>
                      <w14:textFill>
                        <w14:solidFill>
                          <w14:schemeClr w14:val="tx1"/>
                        </w14:solidFill>
                      </w14:textFill>
                    </w:rPr>
                    <w:t>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是两性化合物，既溶于酸，也溶于碱，与酸反应生成吡啶盐，与碱反应生成羧酸盐。吡啶羧酸在水溶液中都以内盐，即以两性离子的形式存在。在20℃时，其饱和水溶液的pH值为3.6。</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吡唑啉酮</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4"/>
                      <w:szCs w:val="24"/>
                      <w:vertAlign w:val="subscript"/>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1"/>
                      <w:szCs w:val="21"/>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4"/>
                      <w:szCs w:val="24"/>
                      <w:vertAlign w:val="subscript"/>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1"/>
                      <w:szCs w:val="21"/>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4"/>
                      <w:szCs w:val="24"/>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1"/>
                      <w:szCs w:val="21"/>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密度：1.12g/cm3，熔点：126-128℃（lit），沸点：287℃/265 mmHg(lit.)，溶于热水、醇、酸、碱，微溶于苯，不溶于醚、石油醚。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生殖毒性：一般生殖毒性试验中，大鼠给予依达拉奉3、20、200mg/kg，20、200mg/kg组的动物出现尿色橙褐、流泪、流涎和自主活动减少，体重和食量轻微下降；200mg/kg组雌鼠平均性周期延长，雌鼠、雄鼠生育力降低，胎仔胸腺残留率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铬黑T</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20</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12</w:t>
                  </w: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NaO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r>
                    <w:rPr>
                      <w:rFonts w:hint="eastAsia" w:cs="Times New Roman"/>
                      <w:snapToGrid w:val="0"/>
                      <w:color w:val="000000" w:themeColor="text1"/>
                      <w:spacing w:val="0"/>
                      <w:kern w:val="0"/>
                      <w:sz w:val="21"/>
                      <w:szCs w:val="21"/>
                      <w:lang w:val="en-US" w:eastAsia="zh-CN"/>
                      <w14:textFill>
                        <w14:solidFill>
                          <w14:schemeClr w14:val="tx1"/>
                        </w14:solidFill>
                      </w14:textFill>
                    </w:rPr>
                    <w:t>S</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棕黑色</w:t>
                  </w:r>
                  <w:r>
                    <w:rPr>
                      <w:rFonts w:hint="eastAsia"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eastAsia" w:cs="Times New Roman"/>
                      <w:snapToGrid w:val="0"/>
                      <w:color w:val="000000" w:themeColor="text1"/>
                      <w:spacing w:val="0"/>
                      <w:kern w:val="0"/>
                      <w:sz w:val="21"/>
                      <w:szCs w:val="21"/>
                      <w:lang w:val="en-US" w:eastAsia="zh-CN"/>
                      <w14:textFill>
                        <w14:solidFill>
                          <w14:schemeClr w14:val="tx1"/>
                        </w14:solidFill>
                      </w14:textFill>
                    </w:rPr>
                    <w:instrText xml:space="preserve"> HYPERLINK "https://baike.baidu.com/item/%E7%B2%89%E6%9C%AB?fromModule=lemma_inlink" \t "https://baike.baidu.com/item/_blank" </w:instrText>
                  </w:r>
                  <w:r>
                    <w:rPr>
                      <w:rFonts w:hint="eastAsia"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eastAsia" w:cs="Times New Roman"/>
                      <w:snapToGrid w:val="0"/>
                      <w:color w:val="000000" w:themeColor="text1"/>
                      <w:spacing w:val="0"/>
                      <w:kern w:val="0"/>
                      <w:sz w:val="21"/>
                      <w:szCs w:val="21"/>
                      <w:lang w:val="en-US" w:eastAsia="zh-CN"/>
                      <w14:textFill>
                        <w14:solidFill>
                          <w14:schemeClr w14:val="tx1"/>
                        </w14:solidFill>
                      </w14:textFill>
                    </w:rPr>
                    <w:t>粉末</w:t>
                  </w:r>
                  <w:r>
                    <w:rPr>
                      <w:rFonts w:hint="eastAsia" w:cs="Times New Roman"/>
                      <w:snapToGrid w:val="0"/>
                      <w:color w:val="000000" w:themeColor="text1"/>
                      <w:spacing w:val="0"/>
                      <w:kern w:val="0"/>
                      <w:sz w:val="21"/>
                      <w:szCs w:val="21"/>
                      <w:lang w:val="en-US" w:eastAsia="zh-CN"/>
                      <w14:textFill>
                        <w14:solidFill>
                          <w14:schemeClr w14:val="tx1"/>
                        </w14:solidFill>
                      </w14:textFill>
                    </w:rPr>
                    <w:fldChar w:fldCharType="end"/>
                  </w:r>
                  <w:r>
                    <w:rPr>
                      <w:rFonts w:hint="eastAsia" w:cs="Times New Roman"/>
                      <w:snapToGrid w:val="0"/>
                      <w:color w:val="000000" w:themeColor="text1"/>
                      <w:spacing w:val="0"/>
                      <w:kern w:val="0"/>
                      <w:sz w:val="21"/>
                      <w:szCs w:val="21"/>
                      <w:lang w:val="en-US" w:eastAsia="zh-CN"/>
                      <w14:textFill>
                        <w14:solidFill>
                          <w14:schemeClr w14:val="tx1"/>
                        </w14:solidFill>
                      </w14:textFill>
                    </w:rPr>
                    <w:t>，溶于</w:t>
                  </w:r>
                  <w:r>
                    <w:rPr>
                      <w:rFonts w:hint="eastAsia"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eastAsia" w:cs="Times New Roman"/>
                      <w:snapToGrid w:val="0"/>
                      <w:color w:val="000000" w:themeColor="text1"/>
                      <w:spacing w:val="0"/>
                      <w:kern w:val="0"/>
                      <w:sz w:val="21"/>
                      <w:szCs w:val="21"/>
                      <w:lang w:val="en-US" w:eastAsia="zh-CN"/>
                      <w14:textFill>
                        <w14:solidFill>
                          <w14:schemeClr w14:val="tx1"/>
                        </w14:solidFill>
                      </w14:textFill>
                    </w:rPr>
                    <w:instrText xml:space="preserve"> HYPERLINK "https://baike.baidu.com/item/%E7%83%AD%E6%B0%B4?fromModule=lemma_inlink" \t "https://baike.baidu.com/item/_blank" </w:instrText>
                  </w:r>
                  <w:r>
                    <w:rPr>
                      <w:rFonts w:hint="eastAsia"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eastAsia" w:cs="Times New Roman"/>
                      <w:snapToGrid w:val="0"/>
                      <w:color w:val="000000" w:themeColor="text1"/>
                      <w:spacing w:val="0"/>
                      <w:kern w:val="0"/>
                      <w:sz w:val="21"/>
                      <w:szCs w:val="21"/>
                      <w:lang w:val="en-US" w:eastAsia="zh-CN"/>
                      <w14:textFill>
                        <w14:solidFill>
                          <w14:schemeClr w14:val="tx1"/>
                        </w14:solidFill>
                      </w14:textFill>
                    </w:rPr>
                    <w:t>热水</w:t>
                  </w:r>
                  <w:r>
                    <w:rPr>
                      <w:rFonts w:hint="eastAsia" w:cs="Times New Roman"/>
                      <w:snapToGrid w:val="0"/>
                      <w:color w:val="000000" w:themeColor="text1"/>
                      <w:spacing w:val="0"/>
                      <w:kern w:val="0"/>
                      <w:sz w:val="21"/>
                      <w:szCs w:val="21"/>
                      <w:lang w:val="en-US" w:eastAsia="zh-CN"/>
                      <w14:textFill>
                        <w14:solidFill>
                          <w14:schemeClr w14:val="tx1"/>
                        </w14:solidFill>
                      </w14:textFill>
                    </w:rPr>
                    <w:fldChar w:fldCharType="end"/>
                  </w:r>
                  <w:r>
                    <w:rPr>
                      <w:rFonts w:hint="eastAsia" w:cs="Times New Roman"/>
                      <w:snapToGrid w:val="0"/>
                      <w:color w:val="000000" w:themeColor="text1"/>
                      <w:spacing w:val="0"/>
                      <w:kern w:val="0"/>
                      <w:sz w:val="21"/>
                      <w:szCs w:val="21"/>
                      <w:lang w:val="en-US" w:eastAsia="zh-CN"/>
                      <w14:textFill>
                        <w14:solidFill>
                          <w14:schemeClr w14:val="tx1"/>
                        </w14:solidFill>
                      </w14:textFill>
                    </w:rPr>
                    <w:t>，冷却后成红棕色溶液，略溶于乙醇，微溶于丙酮，铬黑T是常用的金属指示剂。</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异烟酸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w:t>
                  </w:r>
                  <w:r>
                    <w:rPr>
                      <w:rFonts w:hint="eastAsia" w:cs="Times New Roman"/>
                      <w:snapToGrid w:val="0"/>
                      <w:color w:val="000000" w:themeColor="text1"/>
                      <w:spacing w:val="0"/>
                      <w:kern w:val="0"/>
                      <w:sz w:val="21"/>
                      <w:szCs w:val="21"/>
                      <w:lang w:val="en-US" w:eastAsia="zh-CN"/>
                      <w14:textFill>
                        <w14:solidFill>
                          <w14:schemeClr w14:val="tx1"/>
                        </w14:solidFill>
                      </w14:textFill>
                    </w:rPr>
                    <w:t>NO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4-吡啶甲酸，白色至类白色粉末。熔点：310-315℃，沸点：396℃ at 760 mmHg。溶解性：几乎不溶于苯、乙醚和乙醇。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氯胺T</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 xml:space="preserve"> C7H7ClNNaO2S.3(H2O)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外用消毒药，对细菌、病毒、真菌、芽胞均有杀灭作用。溶于水、乙醇（分解）和甘油，不溶于乙醚、氯仿和苯。</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乙酸锌</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COO)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Zn</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有光泽的六面体鳞片或片晶体，有乙酸气味，由氧化锌与乙酸作用而得。一般用于制锌盐、也用作媒染剂、木材防腐剂、试剂等。</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钼酸铵</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MoO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白色粉末，熔点：170℃（分解），密度：2.496g/cm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氯化亚锡</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SnCl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白色结晶性粉末，密度：3.95g/cm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，熔点：247℃。溶解性：溶于醇，易溶于浓盐酸沸点：623℃（分解）</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铁氰化钾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[Fe(CN)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亮红色固体盐含有[Fe(CN)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−配离子，它可溶于水，水溶液带有黄绿色荧光。</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最小致死量（大鼠，经口）1600mg/kg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硫酸肼</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无色或白色棱形结晶或粉末。无味。易溶于热水，微溶于冷水，不溶于乙醇。0.2mol/L水溶液的pH为1.3。相对密度1.378。熔点254℃（分解）。有强烈的还原作用。遇氧化剂易引起爆炸。有毒。有致癌性。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急性毒性：LD50：601 mg/kg（大鼠经口）；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磷酸氢二铵</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HPO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无色透明单斜晶系晶体或白色粉末，无气味，具咸凉味。易溶于水，不溶于醇、丙酮、氨。</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磷酸氢二铵对皮肤和黏膜有轻度刺激，吸入或食入体内会引起严重腹泻。口服，大鼠LD50：17000 毫克/千克；腹腔，大鼠LD50：1000 毫克/千克。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乙酸酐</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无色透明液体，有刺激气味。熔点：-73℃，沸点：140℃，密度：1.087g/cm3。溶解性：溶于乙醇、乙醚、苯。易燃，有腐蚀性，有催泪性。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急性毒性：大鼠经口LD50：1780mg/kg；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大鼠经吸入LD50：1000ppm/4H；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兔子经皮肤接触LD50：4mL/kg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氯化铁</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FeCl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黑棕色结晶，也有薄片状，熔点306℃、沸点316℃；易溶于水，不溶于甘油，易溶于甲醇、乙醇、丙酮、乙醚。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硫酸氢钠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NaHSO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也称酸式硫酸钠，白色单斜晶体，密度：2.1g/cm3，熔点：315℃（分解），溶解性：溶于水，不溶于液氨。</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三氯乙酸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HCl</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无色晶体，有刺激性气味，易潮解，溶于水、乙醇、乙醚，微溶于四氯化碳。密度：1.62g/cm3，熔点：54-58℃，沸点：196℃。</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急性毒性：LD50：3300mg/kg（大鼠经口）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乙二胺</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8</w:t>
                  </w:r>
                  <w:r>
                    <w:rPr>
                      <w:rFonts w:hint="eastAsia" w:cs="Times New Roman"/>
                      <w:snapToGrid w:val="0"/>
                      <w:color w:val="000000" w:themeColor="text1"/>
                      <w:spacing w:val="0"/>
                      <w:kern w:val="0"/>
                      <w:sz w:val="21"/>
                      <w:szCs w:val="21"/>
                      <w:lang w:val="en-US" w:eastAsia="zh-CN"/>
                      <w14:textFill>
                        <w14:solidFill>
                          <w14:schemeClr w14:val="tx1"/>
                        </w14:solidFill>
                      </w14:textFill>
                    </w:rPr>
                    <w:t>N</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无色或微黄色油状或水样透明液体，溶于水、乙醇，不溶于正庚烷，不溶于苯，微溶于乙醚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急性毒性：LD50：1298 mg/kg（大鼠经口）；730mg/kg（兔经皮）；LC50：300 mg/m3（小鼠吸入）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铬天青S</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C23H13Cl2Na3O9S</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红棕色粉末，溶于水为棕黄色溶液，微溶于乙醇呈红棕色</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钨酸钠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WO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无色结晶或白色斜方结晶，具有光泽的片状结晶或结晶粉末，钨酸钠溶于水，水溶液呈微碱性，不溶于乙醇，微溶于氨。在空中风化。</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碘化汞</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HgI</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黄色或红色结晶性粉末，溶解性：不溶于水，溶于甲醇、乙醇、乙醚、氯仿、甘油、丙酮、二硫化碳，见光分解，长期光照下会变棕色，对蓝光尤其灵敏，500℃分解成Hg和I</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。与碘化钾溶液反应可生成碘化汞钾。；加热到130℃变成黄色，冷时仍变成红色</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急性毒性：LD50：18mg/kg（大鼠经口）；75mg/kg（大鼠经皮）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葡萄糖</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12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6</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无色结晶或白色结晶性或颗粒性粉末；无臭，味甜，有吸湿性，易溶于水，微溶于乙醇，不溶于乙醚。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NaCl</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无色立方结晶或细小结晶粉末，味咸。外观是白色晶体状，是食盐的主要成分。</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磷酸氢二钠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HNA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P</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在空气中易风化，极易失去五分子结晶水而形成七水物(Na2HPO4.7H2O）。可溶于水、不溶于醇。水溶液呈微碱性反应（0.1-1N溶液的PH约为9.0）。在100℃失去结晶水而成无水物，250℃时分解成焦磷酸钠。1%水溶液的pH值为8.8～9.2；不溶于醇。35.1℃时熔融并失去5个结晶水。</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急性毒性：无数据资料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皮肤刺激或腐蚀：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皮肤-兔子-轻度的皮肤刺激-24h；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眼睛刺激或腐蚀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眼睛-兔子-轻度的眼睛刺激-24h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磷酸二氢钾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PO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白色结晶性粉末，有潮解性，加热至400℃时熔化而成透明的液体，冷却后固化为不透明的玻璃状偏磷酸钾。空气中稳定，溶于水，不溶于乙醇。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午餐肉、熟猪前腿肉、熟火腿、熟肉末3g/kg；低倍浓缩奶、甜炼乳、稀奶滑油2g/kg；奶粉、奶油粉5g/kg；加工干酪9g/kg；速冻黑线鳕、鲈、鲽科鱼、无须鳕的鱼肉片5g/kg；即食肉汤、羹1000mg/kg；冷饮2g/kg。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无水碳酸钠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碳酸钠常温下为白色无气味的粉末或颗粒。有吸水性，易溶于水和甘油，微溶于无水乙醇，难溶于丙醇。水溶液呈碱性且有一定的腐蚀性，能与酸发生复分解反应，也能与一些钙盐、钡盐发生复分解反应。溶液显碱性，可使酚酞变红。</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邻苯二甲酸氢钾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8</w:t>
                  </w:r>
                  <w:r>
                    <w:rPr>
                      <w:rFonts w:hint="eastAsia" w:cs="Times New Roman"/>
                      <w:snapToGrid w:val="0"/>
                      <w:color w:val="000000" w:themeColor="text1"/>
                      <w:spacing w:val="0"/>
                      <w:kern w:val="0"/>
                      <w:sz w:val="21"/>
                      <w:szCs w:val="21"/>
                      <w:lang w:val="en-US" w:eastAsia="zh-CN"/>
                      <w14:textFill>
                        <w14:solidFill>
                          <w14:schemeClr w14:val="tx1"/>
                        </w14:solidFill>
                      </w14:textFill>
                    </w:rPr>
                    <w:t>H</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5</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eastAsia" w:cs="Times New Roman"/>
                      <w:snapToGrid w:val="0"/>
                      <w:color w:val="000000" w:themeColor="text1"/>
                      <w:spacing w:val="0"/>
                      <w:kern w:val="0"/>
                      <w:sz w:val="21"/>
                      <w:szCs w:val="21"/>
                      <w:lang w:val="en-US" w:eastAsia="zh-CN"/>
                      <w14:textFill>
                        <w14:solidFill>
                          <w14:schemeClr w14:val="tx1"/>
                        </w14:solidFill>
                      </w14:textFill>
                    </w:rPr>
                    <w:t>K</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白色结晶粉末，在空气中稳定，能溶于水，微溶于醇，用作pH测定的缓冲剂、分析基准物质。熔点：295-300℃，沸点：378.3℃，密度：1.006g/cm</w:t>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重铬酸钾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K</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Cr</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7</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snapToGrid w:val="0"/>
                      <w:color w:val="000000" w:themeColor="text1"/>
                      <w:spacing w:val="0"/>
                      <w:kern w:val="0"/>
                      <w:sz w:val="21"/>
                      <w:szCs w:val="21"/>
                      <w:lang w:val="en-US" w:eastAsia="zh-CN"/>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14:textFill>
                        <w14:solidFill>
                          <w14:schemeClr w14:val="tx1"/>
                        </w14:solidFill>
                      </w14:textFill>
                    </w:rPr>
                    <w:t>室温下为橘红色结晶性粉末，溶于水，不溶于乙醇。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14:textFill>
                        <w14:solidFill>
                          <w14:schemeClr w14:val="tx1"/>
                        </w14:solidFill>
                      </w14:textFill>
                    </w:rPr>
                    <w:t>重铬酸钾是一种有毒且有致癌性的强氧化剂，密度：2.676g/cm</w:t>
                  </w:r>
                  <w:r>
                    <w:rPr>
                      <w:rFonts w:hint="eastAsia" w:cs="Times New Roman"/>
                      <w:b w:val="0"/>
                      <w:bCs w:val="0"/>
                      <w:snapToGrid w:val="0"/>
                      <w:color w:val="000000" w:themeColor="text1"/>
                      <w:spacing w:val="0"/>
                      <w:kern w:val="0"/>
                      <w:sz w:val="21"/>
                      <w:szCs w:val="21"/>
                      <w:vertAlign w:val="superscript"/>
                      <w:lang w:val="en-US" w:eastAsia="zh-CN"/>
                      <w14:textFill>
                        <w14:solidFill>
                          <w14:schemeClr w14:val="tx1"/>
                        </w14:solidFill>
                      </w14:textFill>
                    </w:rPr>
                    <w:t>3</w:t>
                  </w:r>
                  <w:r>
                    <w:rPr>
                      <w:rFonts w:hint="eastAsia" w:cs="Times New Roman"/>
                      <w:b w:val="0"/>
                      <w:bCs w:val="0"/>
                      <w:snapToGrid w:val="0"/>
                      <w:color w:val="000000" w:themeColor="text1"/>
                      <w:spacing w:val="0"/>
                      <w:kern w:val="0"/>
                      <w:sz w:val="21"/>
                      <w:szCs w:val="21"/>
                      <w:lang w:val="en-US" w:eastAsia="zh-CN"/>
                      <w14:textFill>
                        <w14:solidFill>
                          <w14:schemeClr w14:val="tx1"/>
                        </w14:solidFill>
                      </w14:textFill>
                    </w:rPr>
                    <w:t>，熔点：398ºC</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snapToGrid w:val="0"/>
                      <w:color w:val="000000" w:themeColor="text1"/>
                      <w:spacing w:val="0"/>
                      <w:kern w:val="0"/>
                      <w:sz w:val="21"/>
                      <w:szCs w:val="21"/>
                      <w:lang w:val="en-US" w:eastAsia="zh-CN"/>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LD50：25mg/kg（大鼠经口）；190mg/kg（小鼠经口）；14mg/kg（兔经皮）。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草酸钠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C</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eastAsia" w:cs="Times New Roman"/>
                      <w:snapToGrid w:val="0"/>
                      <w:color w:val="000000" w:themeColor="text1"/>
                      <w:spacing w:val="0"/>
                      <w:kern w:val="0"/>
                      <w:sz w:val="21"/>
                      <w:szCs w:val="21"/>
                      <w:lang w:val="en-US" w:eastAsia="zh-CN"/>
                      <w14:textFill>
                        <w14:solidFill>
                          <w14:schemeClr w14:val="tx1"/>
                        </w14:solidFill>
                      </w14:textFill>
                    </w:rPr>
                    <w:t>O</w:t>
                  </w:r>
                  <w:r>
                    <w:rPr>
                      <w:rFonts w:hint="eastAsia"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白色结晶性粉末。无气味。有吸湿性，溶于水，不溶于乙醇。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急性毒性：人静脉LDLo：17 mg/kg；小鼠腹腔LC50：155 mg/kg；小鼠皮下注射LCLo： 100 mg/kg；猫皮下注射LDLo： 100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氧化锌</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ZnO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白色粉末或六角晶系结晶体。无嗅无味，无砂性。溶于酸、浓氢氧化碱、氨水和铵盐溶液，不溶于水、乙醇。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大鼠腹腔注射LD50：240mg/kg。有毒。中毒者会出现食欲不佳、烦渴、疲倦等许多症状，重者会出现肺间质水肿，肺泡上皮破坏。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氯化钠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NaCl</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无色立方结晶或细小结晶粉末，味咸。外观是白色晶体状，其来源主要是海水，是食盐的主要成分。易溶于水、甘油，微溶于乙醇（酒精）、液氨；不溶于浓盐酸。</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eastAsia"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苯甲酸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C7H6O2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无色单斜片状或小叶状结晶。lg该品溶于2. 3mL冷乙醇、1.5mL沸乙醇．4. 5mL氯仿．3mL乙醚，3mL丙酮，30mL四氯化碳．lOmL苯，30mL二硫化碳，23mL松节油。溶于热水，微溶于石油醚。受热至100℃以上升华。引起燃烧的危险。</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大鼠经口LD50：2530mg/kg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山梨酸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"https://www.chembk.com/cn/search/C6H8O2"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6</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无色针状结晶或白色结晶</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粉</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末，无臭或稍有刺激性味。mp133～135℃；bp228℃（分解）。溶于乙醇、丙二醇、冰醋酸、乙醚、丙酮、苯和四氯化碳。在30℃水中溶解度为0. 25%．100℃时为3. 8%。对光、热稳定，但在空气中长期放置易被氧化着色。</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大鼠经口LD50：7360mg/kg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大鼠腹腔LD50：800mg/kg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小鼠经口LC50：</w:t>
                  </w:r>
                  <w:r>
                    <w:rPr>
                      <w:rFonts w:hint="eastAsia"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3478.1</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mg/kg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小鼠腹腔LC50：2820mg/kg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小鼠皮下LC50：2820mg/kg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兔子皮肤LD：&gt;1gm/kg</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糖精钠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"https://www.chembk.com/cn/search/C7H4NNaO3S"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7</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NNaO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S</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结晶性粉末。甜度为蔗糖的200～500倍，一般为300倍，甜味阈值约为0.00048%。易溶于水，略溶于乙醇，水溶液呈微碱性。其在水溶液中的热稳定性优于糖精，于100℃加热2h无变化。水溶液长时间放置，甜味慢慢降低。</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环己基氨基磺酸钠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"https://www.chembk.com/cn/search/C6H12NNaO3S"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6</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NNaO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S</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白色结晶性粉末，无臭，甜度为蔗糖的40～50倍，溶于水(lg/5mL)，微溶于丙二醇(1g/25mL)，不溶于乙醇、氯仿、苯和乙醚。10%的水溶液pH值为6.5。对热、光、空气稳定，碱性条件下稳定，酸性时略有分解。不吸潮。</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叔丁基羟基茴香醚</w:t>
                  </w:r>
                  <w:r>
                    <w:rPr>
                      <w:rStyle w:val="91"/>
                      <w:rFonts w:hint="default" w:ascii="Times New Roman" w:hAnsi="Times New Roman" w:eastAsia="宋体" w:cs="Times New Roman"/>
                      <w:color w:val="000000" w:themeColor="text1"/>
                      <w:sz w:val="21"/>
                      <w:szCs w:val="21"/>
                      <w:lang w:val="en-US" w:eastAsia="zh-CN" w:bidi="ar"/>
                      <w14:textFill>
                        <w14:solidFill>
                          <w14:schemeClr w14:val="tx1"/>
                        </w14:solidFill>
                      </w14:textFill>
                    </w:rPr>
                    <w:t>(BHA)</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16"/>
                      <w:szCs w:val="16"/>
                      <w:shd w:val="clear" w:fill="FFFFFF"/>
                      <w:vertAlign w:val="baseline"/>
                      <w14:textFill>
                        <w14:solidFill>
                          <w14:schemeClr w14:val="tx1"/>
                        </w14:solidFill>
                      </w14:textFill>
                    </w:rPr>
                    <w:t>11</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16"/>
                      <w:szCs w:val="16"/>
                      <w:shd w:val="clear" w:fill="FFFFFF"/>
                      <w:vertAlign w:val="baseline"/>
                      <w14:textFill>
                        <w14:solidFill>
                          <w14:schemeClr w14:val="tx1"/>
                        </w14:solidFill>
                      </w14:textFill>
                    </w:rPr>
                    <w:t>16</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16"/>
                      <w:szCs w:val="16"/>
                      <w:shd w:val="clear" w:fill="FFFFFF"/>
                      <w:vertAlign w:val="baseline"/>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带有酚类的特异臭气和有刺激性的气味，通常为3-BHA和2-BHA的混合物。熔点随混合比不同而异</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亚硝酸盐</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含有亚硝酸根阴离子(NO</w:t>
                  </w:r>
                  <w:r>
                    <w:rPr>
                      <w:rFonts w:hint="default" w:ascii="Times New Roman" w:hAnsi="Times New Roman" w:eastAsia="Helvetica" w:cs="Times New Roman"/>
                      <w:i w:val="0"/>
                      <w:iCs w:val="0"/>
                      <w:caps w:val="0"/>
                      <w:color w:val="000000" w:themeColor="text1"/>
                      <w:spacing w:val="0"/>
                      <w:sz w:val="18"/>
                      <w:szCs w:val="18"/>
                      <w:shd w:val="clear" w:fill="FFFFFF"/>
                      <w:vertAlign w:val="super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)的盐</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硝酸盐</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离子化合物，含有硝酸根离子NO</w:t>
                  </w:r>
                  <w:r>
                    <w:rPr>
                      <w:rFonts w:hint="default" w:ascii="Times New Roman" w:hAnsi="Times New Roman" w:eastAsia="Helvetica" w:cs="Times New Roman"/>
                      <w:i w:val="0"/>
                      <w:iCs w:val="0"/>
                      <w:caps w:val="0"/>
                      <w:color w:val="000000" w:themeColor="text1"/>
                      <w:spacing w:val="0"/>
                      <w:sz w:val="18"/>
                      <w:szCs w:val="18"/>
                      <w:shd w:val="clear" w:fill="FFFFFF"/>
                      <w:vertAlign w:val="superscript"/>
                      <w14:textFill>
                        <w14:solidFill>
                          <w14:schemeClr w14:val="tx1"/>
                        </w14:solidFill>
                      </w14:textFill>
                    </w:rPr>
                    <w:t>3-</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亚硫酸盐</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Na</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SO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一种含氧酸盐，分子式为Na2SO3其酸根为亚硫酸根SO</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1"/>
                      <w:szCs w:val="21"/>
                      <w:shd w:val="clear" w:fill="FFFFFF"/>
                      <w:vertAlign w:val="superscript"/>
                      <w14:textFill>
                        <w14:solidFill>
                          <w14:schemeClr w14:val="tx1"/>
                        </w14:solidFill>
                      </w14:textFill>
                    </w:rPr>
                    <w:t>2-</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咖啡因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"https://www.chembk.com/cn/search/C8H10N4O2"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白色微带黄绿色针状结晶或结晶性粉末，有绢丝光泽，无臭，味苦。极易溶于吡咯和含4%水的四氢呋喃，溶于乙酸乙酯，微溶于石油醚。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游离棉酚</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30</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30</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8</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棉酚易溶于有机溶剂，如丙酮、乙醇、乙醚、甲醇、乙腈、氯仿等，可用于棉酚的提取，难溶于己烷和高沸点的石油醚，不溶于水和低沸点的石油醚。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六六六</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"https://www.chembk.com/cn/search/C6H6Cl6"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6</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6</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l6</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白色结晶性粉末</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微臭在丙酮、乙醚中易溶，在无水乙醇中溶解，在水中不溶。</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滴滴涕</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"https://www.chembk.com/cn/search/C14H9Cl5"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9</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l5</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无色针状结晶。熔点108.5-109℃，沸点260℃。易溶于吡啶及二氧六环。在100ml溶剂中溶解度分别为：丙酮58g，四氯化碳45g，氯苯74g，乙醇2g，乙醚28g。不溶于水、稀酸和碱液。</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口服-大鼠 LD50: 87 mg/kg; 口服-小鼠 LD50: 135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阿斯巴甜</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vertAlign w:val="subscript"/>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"https://www.chembk.com/cn/search/C14H18N2O5"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18</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白色结晶性粉末，无臭，有强甜味，甜味纯正，甜度为蔗糖的100～200倍。在水溶液中不稳定，易分解而失去甜味</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阿力甜</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"https://www.chembk.com/cn/search/C14H25N3O4S"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25</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S</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白色结晶性粉末，味甜。微溶于氯仿。不吸湿，耐热性、耐酸性好。</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：大鼠经口大于5g/kg </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小鼠经口12. 654g/kg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双乙酸钠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7</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NaO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白色结晶，带有醋酸气味，易吸湿，极易溶于水，加热至150℃以上分解，具有可燃性，在阴凉干燥条件下性质稳定。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乙二胺四乙酸二钠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"https://www.chembk.com/cn/search/C10H16N2Na2O8"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16</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Na</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无味无臭或微咸的白色或乳白色结晶或颗粒状粉末，无臭、无味。它能溶于水，极难溶于乙醇。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为2000mg/kg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对硫磷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"https://www.chembk.com/cn/search/C10H14NO5PS"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NO</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PS</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纯品为淡黄色油状液体，工业品为棕色液体，具大蒜味。易溶于苯、甲苯、二甲苯、丙酮、乙醇等有机溶剂，微溶于烷烃，难溶于水(75℃时水中溶解度为24mg/L)。在中性和微酸性溶液中稳定，遇碱易分解。</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纯品对雄性大鼠经口LD50为13mg/kg，雌性为3.6mg/kg;雄性大鼠经皮LD50为21mg/kg，雌性为6.8mg/kg;大鼠最低致死量为lOmg/m3。大鼠经口无作用剂量每天为2mg/kg，狗为每天1mg/kg。鸟急性经口LD50为2mg/kg。鲤鱼LC50为4.5mg/L(48h)。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四氯化碳</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"https://www.chembk.com/cn/search/CCl4"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CCl4</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无色透明液体。有特殊气味。</w:t>
                  </w:r>
                  <w:r>
                    <w:rPr>
                      <w:rFonts w:hint="eastAsia" w:eastAsia="宋体" w:cs="Times New Roman"/>
                      <w:i w:val="0"/>
                      <w:iCs w:val="0"/>
                      <w:caps w:val="0"/>
                      <w:color w:val="000000" w:themeColor="text1"/>
                      <w:spacing w:val="0"/>
                      <w:sz w:val="21"/>
                      <w:szCs w:val="21"/>
                      <w:shd w:val="clear" w:fill="FFFFFF"/>
                      <w:lang w:val="en-US" w:eastAsia="zh-CN"/>
                      <w14:textFill>
                        <w14:solidFill>
                          <w14:schemeClr w14:val="tx1"/>
                        </w14:solidFill>
                      </w14:textFill>
                    </w:rPr>
                    <w:t>密度：1.595g/cm3，</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沸点76.7℃；熔点- 23℃In~01. 4607。能与乙醇、乙醚、苯、氯仿、二硫化碳、石油醚、油类相混溶，极微溶于水</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大鼠、小鼠、狗口服LD5。：分别为2. 92g/kg、12. 1～14. 4g/kg、2.3g/kg,小鼠腹膜内注射LDso：4.lg/kg=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一氯二溴甲烷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instrText xml:space="preserve"> HYPERLINK "https://www.chembk.com/cn/search/ClCHBr2" </w:instrTex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ClCHBr</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无色至黄色液体</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熔点</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-22℃</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密度</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2.504g/cm3</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闪点19.8°C</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二氯一溴甲烷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CHBrCl</w:t>
                  </w:r>
                  <w:r>
                    <w:rPr>
                      <w:rFonts w:hint="default" w:ascii="Times New Roman" w:hAnsi="Times New Roman" w:eastAsia="Helvetica" w:cs="Times New Roman"/>
                      <w:i w:val="0"/>
                      <w:iCs w:val="0"/>
                      <w:caps w:val="0"/>
                      <w:color w:val="000000" w:themeColor="text1"/>
                      <w:spacing w:val="0"/>
                      <w:sz w:val="16"/>
                      <w:szCs w:val="16"/>
                      <w:shd w:val="clear" w:fill="FFFFFF"/>
                      <w:vertAlign w:val="baseline"/>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无色液体，溶于乙醇、乙醚、丙酮、苯、氯仿，微溶于水</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三溴甲烷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"https://www.chembk.com/cn/search/CHBr3"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CHBr</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无色重质液体，有类似氯仿的气味。与乙醇、乙醚、氯仿、苯、石油醚、丙酮、不挥发和易挥发的油混溶，与许多有机溶剂形成共沸物。溶于约800倍的水。密度2. 8899g／cm3。熔点7.7℃。沸点149.5℃。黏度(15℃)2.152mPa．s。折射率。不易燃易爆。</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LD50：933mg/kg（大鼠经口）；414mg/kg（大鼠腹腔）；1072mg/kg（小鼠经口）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LC50：12100mg/m3（小鼠吸入，2h）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丙烯酰胺</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"https://www.chembk.com/cn/search/C3H5NO"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5</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NO</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无色无臭结晶。剧毒。溶于水、乙醇、丙酮、乙醚和三氯乙烷，微溶于甲苯，不溶于苯。在室温下稳定，但熔融时则骤然聚合。熔点84～86℃。沸点87℃(0. 26kPa)、125℃(3. 3kPa)。相对密度1. 122。折射率1.460（计算值）</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家兔LD50为126mg/kg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邻苯二甲酸二酯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4</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无色透明微黄色油状液体，稍有芳香味，能与乙醇、乙醚等一般有机溶剂混溶，不溶于水和石油醚</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口服 大鼠 LD50: 6800 mg/kg; 口服  小鼠 LD50: 6800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"https://www.chembk.com/cn/search/C6H6"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色透明挥发性液体。易挥发，能与乙醇、乙醚、丙酮、氯仿、冰乙酸、二硫化碳、四氯化碳及油类等有机溶剂相混溶。溶于水：23.5℃、0.188%cw/w)。苯是一种不易分解的化合物。其蒸气能与空气形成爆炸性的混合物。遇到高热或明火极容易引起燃烧和爆炸。容易产生和积聚静电。与氧化剂接触反应激烈。</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成年大鼠经口LDso：3.8mL/kg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乙苯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"https://www.chembk.com/cn/search/C8H10"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8</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无色液体，具有芳香气味，蒸气略重于空气。沸点136.2℃，折射率1. 5009。相对密度0.8671。凝固点- 95℃。闪点15℃。  自燃点432. 22℃。比热容1.717J／(g．℃)。黏度0. 64mPas(25℃)。溶于乙醇、苯、四氯化碳及乙醚，几乎不溶于水。</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LD50：3500mg/kg（大鼠经口）；17800mg/kg（兔经皮）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LC50：55000mg/m3（大鼠吸入，2h）；35500mg/m3（小鼠吸入，2h）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二甲苯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"https://www.chembk.com/cn/search/C8H10"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8</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无色透明液体，有芳香气味。相对密度 0.89679。熔点- 25.2℃。沸点144.4℃。折射_率1. 5016。闪点32.0℃。自燃点500℃，可与乙醇、乙醚、丙酮和苯混溶，不溶于水。</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7</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8</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无色澄清液体，有苯样气味，有强折光性，能与乙醇、乙醚、丙酮、氯仿、二硫化碳和冰乙酸混溶，极微溶于水。</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LD</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：5000mg/kg(大鼠经口)；LC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50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：12124mg/kg(兔经皮)；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六氯丁二烯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"https://www.chembk.com/cn/search/C4Cl6"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Cl</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无色至淡黄色液体，稍有特殊气味，密度：1.68g/cm</w:t>
                  </w:r>
                  <w:r>
                    <w:rPr>
                      <w:rFonts w:hint="default" w:ascii="Times New Roman" w:hAnsi="Times New Roman" w:eastAsia="宋体"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18"/>
                      <w:szCs w:val="18"/>
                      <w:shd w:val="clear" w:fill="FFFFFF"/>
                      <w:vertAlign w:val="baseline"/>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熔点：-19℃</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与乙醇、乙醚混溶，不溶于水</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马拉硫磷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19</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6</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PS</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无色至淡黄色油状液体，为易溶于醇、醚、酮等多数有机溶剂。</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D50：1800mg/kg（大鼠经口）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LC50：84.6mg/m</w:t>
                  </w:r>
                  <w:r>
                    <w:rPr>
                      <w:rFonts w:hint="default" w:ascii="Times New Roman" w:hAnsi="Times New Roman" w:eastAsia="Helvetica"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（大鼠吸入，4h）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甲基对硫磷</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"https://www.chembk.com/cn/search/C8H10NO5PS"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PS</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无色结晶性粉末，工业产品为带蒜臭的黄棕色油状液体，微溶于水，溶于乙醇、氯仿，易溶于芳烃。</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LD50：14~42mg/kg（大鼠经口）；63mg/kg（大鼠经皮）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LC50：34mg/m3（大鼠吸入，4h）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乐果</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"https://www.chembk.com/cn/search/C5H12NO3PS2"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PS</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白色结晶，有樟脑气味，工业品通常是浅黄棕色的乳剂</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熔点：52~52.5℃</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密度：1.305g/cm</w:t>
                  </w:r>
                  <w:r>
                    <w:rPr>
                      <w:rFonts w:hint="default" w:ascii="Times New Roman" w:hAnsi="Times New Roman" w:eastAsia="Helvetica" w:cs="Times New Roman"/>
                      <w:i w:val="0"/>
                      <w:iCs w:val="0"/>
                      <w:caps w:val="0"/>
                      <w:color w:val="000000" w:themeColor="text1"/>
                      <w:spacing w:val="0"/>
                      <w:sz w:val="18"/>
                      <w:szCs w:val="18"/>
                      <w:shd w:val="clear" w:fill="FFFFFF"/>
                      <w:vertAlign w:val="superscript"/>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18"/>
                      <w:szCs w:val="18"/>
                      <w:shd w:val="clear" w:fill="FFFFFF"/>
                      <w:vertAlign w:val="baseline"/>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微溶于水，溶于乙醇、氯仿、苯、酮类等。</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纯品对大鼠急性经口LD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为500~600mg/kg，工业品为320~380mg/kg（94%~96%）。大鼠急性经皮LD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为650mg/kg。雄野鸭急性经口LD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为15mg/kg。蜜蜂LD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为0.09pg/只</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急性毒性 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：60mg/kg（大鼠经口）；750mg/kg（兔经皮）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敌敌畏</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"https://www.chembk.com/cn/search/C4H7Cl2O4P"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7</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Cl</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P</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无色液体，具有芳香味，工业品带微黄色。能溶于苯、二甲苯等大多数有机溶剂，不溶于石油醚、煤油，在水中溶解度约0.6%～1%。原药热稳定性较好，长期存放不分解，但易水解，室温下饱和敌敌畏水溶液的水解速度每天约3%，在碱性或升温条件下，水解加速。对铁、钢有腐蚀性，不锈钢、铝、镍耐腐蚀。</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雄性、雌性大鼠经口LD50：80、56mg/kg；雄大鼠经皮LD50为107mg/kg，雌性为75mg/kgI小鼠吸入LC50为13. 2mg/m3 (4h)，大鼠吸入LCso为14. 8mg／m</w:t>
                  </w:r>
                  <w:r>
                    <w:rPr>
                      <w:rFonts w:hint="default" w:ascii="Times New Roman" w:hAnsi="Times New Roman" w:eastAsia="Helvetica" w:cs="Times New Roman"/>
                      <w:i w:val="0"/>
                      <w:iCs w:val="0"/>
                      <w:caps w:val="0"/>
                      <w:color w:val="000000" w:themeColor="text1"/>
                      <w:spacing w:val="0"/>
                      <w:sz w:val="21"/>
                      <w:szCs w:val="21"/>
                      <w:shd w:val="clear" w:fill="FFFFFF"/>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百菌清</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"https://www.chembk.com/cn/search/C8Cl4N2"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Cl</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白色结晶，无臭味工业品略有刺激臭味。在碱和酸性水溶液中以及对紫外光照射，都可稳定存在。不耐强碱，无腐蚀性。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大鼠经口LD50&gt;l</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0000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mg/kg，小鼠经口LD50为3700mg/kg;兔经皮LD50为&gt;l</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000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mg/kg；大鼠吸入LCso&gt;4. 7mg/L(lh)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溴氰菊酯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"https://www.chembk.com/cn/search/C22H19Br2NO3"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22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19</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Br</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白色斜方针状晶体。常温下几乎不溶于水，溶于多种有机溶剂。对光及空气较稳定。在酸性介质中较稳定，在碱性介质中不稳定。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纯品经口LD50小鼠27-42 mg/kg，大鼠105-168 mg/kg</w:t>
                  </w:r>
                  <w:r>
                    <w:rPr>
                      <w:rFonts w:hint="default" w:ascii="Times New Roman" w:hAnsi="Times New Roman" w:eastAsia="Helvetica" w:cs="Times New Roman"/>
                      <w:i w:val="0"/>
                      <w:iCs w:val="0"/>
                      <w:caps w:val="0"/>
                      <w:color w:val="000000" w:themeColor="text1"/>
                      <w:spacing w:val="0"/>
                      <w:sz w:val="21"/>
                      <w:szCs w:val="21"/>
                      <w:shd w:val="clear" w:fill="FFFFFF"/>
                      <w:lang w:val="en-US" w:eastAsia="zh-CN"/>
                      <w14:textFill>
                        <w14:solidFill>
                          <w14:schemeClr w14:val="tx1"/>
                        </w14:solidFill>
                      </w14:textFill>
                    </w:rPr>
                    <w:t>;工</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业品对雄性大鼠经口LD50为128 mg/kg。大鼠经皮剂量达2940 mg/kg</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狗经口300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灭草松</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"https://www.chembk.com/cn/search/C10H12N2O3S"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S</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白色结晶固体，熔点为138℃，分解温度为200℃，蒸气压(20℃)&lt;1.33×lO-s Pa，相对密度为11 22。20℃时溶解度为(%)：丙酮150.7、乙醇86.4、乙酸乙酯65、乙醚61.6、氯仿18.0、苯3.3、环乙烷0.02、水0. 05。对酸、碱、光稳定。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大鼠经口LD50为</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1100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mg/kg，大鼠经皮</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LD50&gt;2500mg/kg，小鼠腹膜内注射LD50为400mg/kg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2,4-滴</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6</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Cl</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白色至黄色结晶性粉末,密度：1.563g/cm</w:t>
                  </w:r>
                  <w:r>
                    <w:rPr>
                      <w:rFonts w:hint="default" w:ascii="Times New Roman" w:hAnsi="Times New Roman" w:eastAsia="宋体" w:cs="Times New Roman"/>
                      <w:i w:val="0"/>
                      <w:iCs w:val="0"/>
                      <w:caps w:val="0"/>
                      <w:color w:val="000000" w:themeColor="text1"/>
                      <w:spacing w:val="0"/>
                      <w:kern w:val="2"/>
                      <w:sz w:val="21"/>
                      <w:szCs w:val="21"/>
                      <w:shd w:val="clear" w:fill="FFFFFF"/>
                      <w:vertAlign w:val="superscript"/>
                      <w:lang w:val="en-US" w:eastAsia="zh-CN" w:bidi="ar-SA"/>
                      <w14:textFill>
                        <w14:solidFill>
                          <w14:schemeClr w14:val="tx1"/>
                        </w14:solidFill>
                      </w14:textFill>
                    </w:rPr>
                    <w:t>3</w:t>
                  </w: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,熔点：137℃</w:t>
                  </w:r>
                  <w:r>
                    <w:rPr>
                      <w:rFonts w:hint="default" w:ascii="Times New Roman" w:hAnsi="Times New Roman"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w:t>
                  </w: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沸点：160℃（0.4mmHg）</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：666-1313mg/kg；小鼠经口LD</w:t>
                  </w:r>
                  <w:r>
                    <w:rPr>
                      <w:rFonts w:hint="default" w:ascii="Times New Roman" w:hAnsi="Times New Roman" w:eastAsia="Helvetica" w:cs="Times New Roman"/>
                      <w:i w:val="0"/>
                      <w:iCs w:val="0"/>
                      <w:caps w:val="0"/>
                      <w:color w:val="000000" w:themeColor="text1"/>
                      <w:spacing w:val="0"/>
                      <w:sz w:val="18"/>
                      <w:szCs w:val="18"/>
                      <w:shd w:val="clear" w:fill="FFFFFF"/>
                      <w:vertAlign w:val="baseline"/>
                      <w14:textFill>
                        <w14:solidFill>
                          <w14:schemeClr w14:val="tx1"/>
                        </w14:solidFill>
                      </w14:textFill>
                    </w:rPr>
                    <w:t>50</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：375mg/kg；大鼠经皮LD50：1500mg/kg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呋喃丹</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"https://www.chembk.com/cn/search/C12H15NO3"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12</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15</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白色结晶，25℃时水中溶解度为700ppm，在中性和酸性条件下较稳定，在碱性介质中不稳定，水解速度随pH值和温度的升高而加快</w:t>
                  </w:r>
                  <w:r>
                    <w:rPr>
                      <w:rFonts w:hint="default" w:ascii="Times New Roman" w:hAnsi="Times New Roman"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"https://www.wiki8.cn/LD_143700/" \o "医学百科：LD"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LD</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505.3mg/kg（大鼠经口）；885mg/kg（兔经皮）；10g/kg（</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"https://www.wiki8.cn/renjing_9941/" \o "医学百科：人经"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人经</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皮）；</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"https://www.wiki8.cn/LC_149472/" \o "医学百科：LC"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LC</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5085ppm  2小时（哺乳类动物</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"https://www.wiki8.cn/xiru_2755/" \o "医学百科：吸入"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吸入</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）；8～14mg/kg（小鼠经口）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毒死婢</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"https://www.chembk.com/cn/search/C9H11Cl3NO3PS"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9</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11</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Cl</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PS</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白色颗粒状结晶，室温下稳定，有硫醇臭味。水中溶解度为2mL/L，易溶于异辛烷、甲醇等有机溶剂。一般贮存条件下稳定，在酸性介质中稳定，在碱性介质中易分解，对铜和黄铜有腐蚀性。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雄大鼠急性经口LD50为163mg/kg，雌大鼠急性经口毒性LD50为135mg/kg，豚鼠为500mg/kg，兔经皮LD50为2000mg/kg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莠去津</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instrText xml:space="preserve"> HYPERLINK "https://www.chembk.com/cn/search/C8H14ClN5" </w:instrTex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14</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ClN</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白色结晶，熔点为175～177℃，蒸气压(20℃)为4.0×10-s Pa。25℃时溶解度为：甲醇1.8%，氯仿5.2%，水33mg/L。在微酸性和微碱性介质中稳定，但在高温下，碱和无机酸可将其水解为无除草活性的羟基衍生物。无腐蚀性。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大鼠经口LD50为3080mg/kg，小鼠为1750mg/kg，兔经皮LD50为7500mg/kg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草甘膦</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8</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NO</w:t>
                  </w:r>
                  <w:r>
                    <w:rPr>
                      <w:rFonts w:hint="default" w:ascii="Times New Roman" w:hAnsi="Times New Roman" w:eastAsia="Helvetica" w:cs="Times New Roman"/>
                      <w:i w:val="0"/>
                      <w:iCs w:val="0"/>
                      <w:caps w:val="0"/>
                      <w:color w:val="000000" w:themeColor="text1"/>
                      <w:spacing w:val="0"/>
                      <w:sz w:val="20"/>
                      <w:szCs w:val="20"/>
                      <w:shd w:val="clear" w:fill="FFFFFF"/>
                      <w:vertAlign w:val="subscript"/>
                      <w:lang w:val="en-US" w:eastAsia="zh-CN"/>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0"/>
                      <w:szCs w:val="20"/>
                      <w:shd w:val="clear" w:fill="FFFFFF"/>
                      <w:lang w:val="en-US" w:eastAsia="zh-CN"/>
                      <w14:textFill>
                        <w14:solidFill>
                          <w14:schemeClr w14:val="tx1"/>
                        </w14:solidFill>
                      </w14:textFill>
                    </w:rPr>
                    <w:t>P</w:t>
                  </w:r>
                </w:p>
              </w:tc>
              <w:tc>
                <w:tcPr>
                  <w:tcW w:w="3005" w:type="dxa"/>
                  <w:vAlign w:val="center"/>
                </w:tcPr>
                <w:p>
                  <w:pPr>
                    <w:pStyle w:val="26"/>
                    <w:keepNext w:val="0"/>
                    <w:keepLines w:val="0"/>
                    <w:widowControl/>
                    <w:suppressLineNumbers w:val="0"/>
                    <w:spacing w:before="0" w:beforeAutospacing="0" w:after="150" w:afterAutospacing="0"/>
                    <w:ind w:left="0" w:leftChars="0" w:right="0" w:rightChars="0"/>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t>纯品为白色固体，熔点230℃（分解）。难溶于一般有机溶剂。25℃时，在水中的溶解度为1. 2%。不可燃，不爆炸，常温贮存稳定。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大鼠、小鼠经口LD50为4873mg/kg、1568mg/kg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七氯</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10</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5</w:t>
                  </w:r>
                  <w:r>
                    <w:rPr>
                      <w:rFonts w:hint="default" w:ascii="Times New Roman" w:hAnsi="Times New Roman" w:eastAsia="Helvetica" w:cs="Times New Roman"/>
                      <w:i w:val="0"/>
                      <w:iCs w:val="0"/>
                      <w:caps w:val="0"/>
                      <w:color w:val="000000" w:themeColor="text1"/>
                      <w:spacing w:val="0"/>
                      <w:sz w:val="20"/>
                      <w:szCs w:val="20"/>
                      <w:shd w:val="clear" w:fill="FFFFFF"/>
                      <w14:textFill>
                        <w14:solidFill>
                          <w14:schemeClr w14:val="tx1"/>
                        </w14:solidFill>
                      </w14:textFill>
                    </w:rPr>
                    <w:t>Cl</w:t>
                  </w:r>
                  <w:r>
                    <w:rPr>
                      <w:rFonts w:hint="default" w:ascii="Times New Roman" w:hAnsi="Times New Roman" w:eastAsia="Helvetica" w:cs="Times New Roman"/>
                      <w:i w:val="0"/>
                      <w:iCs w:val="0"/>
                      <w:caps w:val="0"/>
                      <w:color w:val="000000" w:themeColor="text1"/>
                      <w:spacing w:val="0"/>
                      <w:sz w:val="20"/>
                      <w:szCs w:val="20"/>
                      <w:shd w:val="clear" w:fill="FFFFFF"/>
                      <w:vertAlign w:val="subscript"/>
                      <w14:textFill>
                        <w14:solidFill>
                          <w14:schemeClr w14:val="tx1"/>
                        </w14:solidFill>
                      </w14:textFill>
                    </w:rPr>
                    <w:t>7</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无色结晶性粉末</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密度：1.57g/cm</w:t>
                  </w:r>
                  <w:r>
                    <w:rPr>
                      <w:rFonts w:hint="default" w:ascii="Times New Roman" w:hAnsi="Times New Roman" w:eastAsia="宋体" w:cs="Times New Roman"/>
                      <w:i w:val="0"/>
                      <w:iCs w:val="0"/>
                      <w:caps w:val="0"/>
                      <w:color w:val="000000" w:themeColor="text1"/>
                      <w:spacing w:val="0"/>
                      <w:sz w:val="21"/>
                      <w:szCs w:val="21"/>
                      <w:shd w:val="clear" w:fill="FFFFFF"/>
                      <w:vertAlign w:val="baseline"/>
                      <w14:textFill>
                        <w14:solidFill>
                          <w14:schemeClr w14:val="tx1"/>
                        </w14:solidFill>
                      </w14:textFill>
                    </w:rPr>
                    <w:t>3</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熔点：95-96℃</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不溶于水，溶于一些有机溶剂如乙醇、醚类、芳烃</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LD50 40mg/kg(</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"https://www.yixue.com/%E5%A4%A7%E9%BC%A0" \o "大鼠"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经口)；2000mg/kg(兔经皮)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丙烯醛</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4</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常温下为无色或浅黄色、易挥发的透明液体，具有强烈的刺激性，其蒸汽有强烈的催泪性。溶于2～3份水。能与大多数有机溶剂加石蜡烃（正己烷、正辛烷、正戊烷）、甲苯、二甲苯、氯仿、甲醇、乙醇、丙酮、丙烯酸、乙酸乙酯等完全互溶。不稳定，其蒸汽与空气形成爆炸性混合物，遇明火、高热极易燃烧爆炸，遇高热易聚合并放出大量热量。</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大鼠经口LD50: 46mg/kg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三氯乙醛</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HCl</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O</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无色易挥发油状液体，有刺激性气味。相对密度1. 510  (1. 5121)。熔点- 57,5℃。沸点97.8℃。蒸气压(20℃)4. 666kPa。折射率(n2(o)1. 45572。蒸发潜热2. 257×los J/kg，与水化合生成三氯乙醛水合物。溶于水、乙醇、乙醚和氯仿。</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小鼠灌胃LDs0 710～850mg/kg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二氯乙酸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ClO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无色液体，相对密度1. 5634。熔点5～6℃。沸点19 3～194℃。溶于水、乙醇和乙醚。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大鼠经口LD4. 48g/kg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三氯乙酸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"https://www.chembk.com/cn/search/C2HO2Cl3"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Cl</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无色结晶体，有特殊气味，易潮解，不易燃。溶于乙醇、乙醚、丙酮、苯、四氯化碳、己烷、邻二甲苯和水。其水溶液呈强酸性。</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大鼠经口LD50 3300mg/kg。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氯酸盐</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begin"/>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instrText xml:space="preserve"> HYPERLINK "https://www.chembk.com/cn/search/ClO3" </w:instrTex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separate"/>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ClO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3</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fldChar w:fldCharType="end"/>
                  </w:r>
                  <w:r>
                    <w:rPr>
                      <w:rFonts w:hint="eastAsia" w:cs="Times New Roman"/>
                      <w:snapToGrid w:val="0"/>
                      <w:color w:val="000000" w:themeColor="text1"/>
                      <w:spacing w:val="0"/>
                      <w:kern w:val="0"/>
                      <w:sz w:val="21"/>
                      <w:szCs w:val="21"/>
                      <w:vertAlign w:val="superscript"/>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氯酸盐是</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"https://baike.baidu.com/item/%E6%B0%AF%E9%85%B8/5662996?fromModule=lemma_inlink" \t "https://baike.baidu.com/item/%E6%B0%AF%E9%85%B8%E7%9B%90/_blank"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氯酸</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所成的</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"https://baike.baidu.com/item/%E7%9B%90%E7%B1%BB/4715297?fromModule=lemma_inlink" \t "https://baike.baidu.com/item/%E6%B0%AF%E9%85%B8%E7%9B%90/_blank"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盐类</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，含有三角锥型的</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"https://baike.baidu.com/item/%E6%B0%AF%E9%85%B8%E6%A0%B9/8891075?fromModule=lemma_inlink" \t "https://baike.baidu.com/item/%E6%B0%AF%E9%85%B8%E7%9B%90/_blank"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氯酸根</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离子—ClO3−，其中氯原子的氧化态为+5。氯酸盐有强氧化性，储存时应避免接触有机材料及</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"https://baike.baidu.com/item/%E8%BF%98%E5%8E%9F%E6%80%A7?fromModule=lemma_inlink" \t "https://baike.baidu.com/item/%E6%B0%AF%E9%85%B8%E7%9B%90/_blank"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还原性</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的物质。氯酸盐是一种比较强的</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"https://baike.baidu.com/item/%E6%B0%A7%E5%8C%96%E5%89%82/2520415?fromModule=lemma_inlink" \t "https://baike.baidu.com/item/%E6%B0%AF%E9%85%B8%E7%9B%90/_blank"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氧化剂</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，把磷放入氯酸盐中，会爆炸。</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溴酸盐</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BrO₃</w:t>
                  </w:r>
                  <w:r>
                    <w:rPr>
                      <w:rFonts w:hint="eastAsia" w:eastAsia="宋体" w:cs="Times New Roman"/>
                      <w:i w:val="0"/>
                      <w:iCs w:val="0"/>
                      <w:caps w:val="0"/>
                      <w:color w:val="000000" w:themeColor="text1"/>
                      <w:spacing w:val="0"/>
                      <w:sz w:val="21"/>
                      <w:szCs w:val="21"/>
                      <w:shd w:val="clear" w:fill="FFFFFF"/>
                      <w:vertAlign w:val="superscript"/>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"https://baike.baidu.com/item/%E7%A2%B1%E9%87%91%E5%B1%9E?fromModule=lemma_inlink"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碱金属</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的溴酸盐，如</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"https://baike.baidu.com/item/%E6%BA%B4%E9%85%B8%E9%92%A0?fromModule=lemma_inlink"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溴酸钠</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和</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"https://baike.baidu.com/item/%E6%BA%B4%E9%85%B8%E9%92%BE?fromModule=lemma_inlink"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溴酸钾</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溶于水。</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"https://baike.baidu.com/item/%E7%A2%B1%E5%9C%9F%E9%87%91%E5%B1%9E?fromModule=lemma_inlink"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碱土金属</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的溴酸盐，如</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"https://baike.baidu.com/item/%E6%BA%B4%E9%85%B8%E9%92%A1?fromModule=lemma_inlink"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溴酸钡</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Ba(BrO₃)₂，难溶于水。受热都易分解。有</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"https://baike.baidu.com/item/%E6%B0%A7%E5%8C%96%E4%BD%9C%E7%94%A8/10344923?fromModule=lemma_inlink"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氧化作用</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。由将溴蒸气通入金属的碳酸盐或</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"https://baike.baidu.com/item/%E6%B0%A2%E6%B0%A7%E5%8C%96%E7%89%A9?fromModule=lemma_inlink"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氢氧化物</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溶液后，再将生成的</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"https://baike.baidu.com/item/%E6%BA%B4%E5%8C%96%E7%89%A9?fromModule=lemma_inlink"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溴化物</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和溴酸盐用</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"https://baike.baidu.com/item/%E7%BB%93%E6%99%B6%E6%B3%95?fromModule=lemma_inlink"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结晶法</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分离而制得。含有</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"https://baike.baidu.com/item/%E4%B8%89%E8%A7%92%E9%94%A5?fromModule=lemma_inlink"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三角锥</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型的</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"https://baike.baidu.com/item/%E6%BA%B4%E9%85%B8/4664480?fromModule=lemma_inlink"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溴酸</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根离子BrO</w:t>
                  </w:r>
                  <w:r>
                    <w:rPr>
                      <w:rFonts w:hint="default" w:ascii="Times New Roman" w:hAnsi="Times New Roman" w:eastAsia="宋体" w:cs="Times New Roman"/>
                      <w:i w:val="0"/>
                      <w:iCs w:val="0"/>
                      <w:caps w:val="0"/>
                      <w:color w:val="000000" w:themeColor="text1"/>
                      <w:spacing w:val="0"/>
                      <w:sz w:val="21"/>
                      <w:szCs w:val="21"/>
                      <w:shd w:val="clear" w:fill="FFFFFF"/>
                      <w:vertAlign w:val="subscript"/>
                      <w:lang w:val="en-US" w:eastAsia="zh-CN"/>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-，其中溴的</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"https://baike.baidu.com/item/%E6%B0%A7%E5%8C%96%E6%80%81?fromModule=lemma_inlink" \t "https://baike.baidu.com/item/%E6%BA%B4%E9%85%B8%E7%9B%90/_blank"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氧化态</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为+5。</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胰蛋白胨</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浅黄色至棕色粉末或颗粒，有肉味，但无腐臭，易溶于水，不溶于乙醇、氯仿和乙醚。</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琼脂</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18</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9</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）n</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条状琼脂呈无色半透明或类白色至淡黄色，表面皱缩、微有光泽，质轻软而韧，不易折，完全干燥后，则脆而易碎；粉状琼脂为白色或淡黄色鳞片状粉末。琼脂无臭，味淡。不溶于冷水，但能徐徐吸水，膨润软化，可以吸收20多倍的水。易分散于沸水成溶胶，溶胶呈中性反应。</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月桂基硫酸钠</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fldChar w:fldCharType="begin"/>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instrText xml:space="preserve"> HYPERLINK "https://www.chembk.com/cn/search/C12H25NaO4S" </w:instrTex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fldChar w:fldCharType="separate"/>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C</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12</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H</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25</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NaO</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4</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S</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fldChar w:fldCharType="end"/>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白至微黄色粉末，微有特殊气味。 易溶于水。</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LD50</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1300mg/kg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174</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乳糖</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C</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12</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H</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22</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O</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11</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白色晶体或结晶粉末，甜度约为蔗糖的70%，比重1.525（20℃），在120℃失去结晶水。无水物熔点222.8℃，可溶于水，微溶于乙醇，溶于乙醚和氯仿。</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175</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结晶紫</w:t>
                  </w:r>
                </w:p>
              </w:tc>
              <w:tc>
                <w:tcPr>
                  <w:tcW w:w="1083" w:type="dxa"/>
                  <w:vAlign w:val="center"/>
                </w:tcPr>
                <w:p>
                  <w:pPr>
                    <w:pStyle w:val="5"/>
                    <w:keepNext w:val="0"/>
                    <w:keepLines w:val="0"/>
                    <w:widowControl/>
                    <w:suppressLineNumbers w:val="0"/>
                    <w:shd w:val="clear" w:fill="FFFFFF"/>
                    <w:spacing w:before="150" w:beforeAutospacing="0" w:after="150" w:afterAutospacing="0" w:line="17" w:lineRule="atLeast"/>
                    <w:ind w:left="0" w:right="0" w:firstLine="0"/>
                    <w:jc w:val="cente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C</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25</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H</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30</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N</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vertAlign w:val="subscript"/>
                      <w:lang w:val="en-US" w:eastAsia="zh-CN" w:bidi="ar-SA"/>
                      <w14:textFill>
                        <w14:solidFill>
                          <w14:schemeClr w14:val="tx1"/>
                        </w14:solidFill>
                      </w14:textFill>
                    </w:rPr>
                    <w:t>3</w:t>
                  </w:r>
                  <w:r>
                    <w:rPr>
                      <w:rFonts w:hint="default" w:ascii="Times New Roman" w:hAnsi="Times New Roman" w:eastAsia="Helvetica" w:cs="Times New Roman"/>
                      <w:b w:val="0"/>
                      <w:bCs w:val="0"/>
                      <w:i w:val="0"/>
                      <w:iCs w:val="0"/>
                      <w:caps w:val="0"/>
                      <w:color w:val="000000" w:themeColor="text1"/>
                      <w:spacing w:val="0"/>
                      <w:kern w:val="2"/>
                      <w:sz w:val="21"/>
                      <w:szCs w:val="21"/>
                      <w:shd w:val="clear" w:fill="FFFFFF"/>
                      <w:lang w:val="en-US" w:eastAsia="zh-CN" w:bidi="ar-SA"/>
                      <w14:textFill>
                        <w14:solidFill>
                          <w14:schemeClr w14:val="tx1"/>
                        </w14:solidFill>
                      </w14:textFill>
                    </w:rPr>
                    <w:t>Cl</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易溶于醇，能溶于氯仿，尚溶于水，不溶于醚，溶于水呈紫色，极易溶于酒精呈紫色。在浓硫酸中呈红光黄（橙）色，稀释后呈暗绿光黄色转蓝到紫色，在浓硝酸中呈橄榄色。其水溶液加氢氧化钠成紫色沉淀；加盐酸变蓝色。属三苯甲烷类碱性染料。</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176</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蛋白胨</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Helvetica"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浅黄色至棕色粉末或颗粒,有肉味,但无腐臭,易溶于水,不溶于</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"https://baike.baidu.com/item/%E4%B9%99%E9%86%87?fromModule=lemma_inlink" \t "https://baike.baidu.com/item/%E8%9B%8B%E7%99%BD%E8%83%A8/_blank"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乙醇</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、氯仿和</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"https://baike.baidu.com/item/%E4%B9%99%E9%86%9A?fromModule=lemma_inlink" \t "https://baike.baidu.com/item/%E8%9B%8B%E7%99%BD%E8%83%A8/_blank"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乙醚</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177</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牛胆粉</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Helvetica" w:cs="Times New Roman"/>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绿褐色或棕褐色的块状物或粉末，有的呈半透明角质样</w:t>
                  </w:r>
                  <w:r>
                    <w:rPr>
                      <w:rFonts w:hint="default" w:ascii="Times New Roman" w:hAnsi="Times New Roman" w:eastAsia="Helvetica"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178</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煌绿</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27</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35</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3</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ClBr</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金黄色闪光结晶，可溶水和乙醇，为</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begin"/>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instrText xml:space="preserve"> HYPERLINK "https://baike.baidu.com/item/%E4%B8%89%E8%8B%AF%E7%94%B2%E7%83%B7%E6%9F%93%E6%96%99/12775171?fromModule=lemma_inlink" \t "https://baike.baidu.com/item/%E7%85%8C%E7%BB%BF/_blank" </w:instrTex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separate"/>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三苯甲烷染料</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fldChar w:fldCharType="end"/>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179</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牛肉膏</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在常温下是流态物质，但粘度非常高、不易分离的，随着温度升高粘度就会急剧下降，变得易于分离</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牛胆盐</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白色或浅黄色粉末，味苦，一种选择性抑菌剂。易吸湿。1%水溶液澄清透明，PH7.5-8.5，配制肠道菌选择性培养基</w:t>
                  </w:r>
                  <w:r>
                    <w:rPr>
                      <w:rFonts w:hint="default" w:ascii="Times New Roman" w:hAnsi="Times New Roman" w:eastAsia="宋体" w:cs="Times New Roman"/>
                      <w:i w:val="0"/>
                      <w:iCs w:val="0"/>
                      <w:caps w:val="0"/>
                      <w:color w:val="000000" w:themeColor="text1"/>
                      <w:spacing w:val="0"/>
                      <w:sz w:val="21"/>
                      <w:szCs w:val="21"/>
                      <w:shd w:val="clear" w:fill="FFFFFF"/>
                      <w:lang w:eastAsia="zh-CN"/>
                      <w14:textFill>
                        <w14:solidFill>
                          <w14:schemeClr w14:val="tx1"/>
                        </w14:solidFill>
                      </w14:textFill>
                    </w:rPr>
                    <w:t>。</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181</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L-胱氨酸</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C</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6</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H</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12</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N</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2</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O</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4</w:t>
                  </w: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rPr>
                    <w:t>S</w:t>
                  </w:r>
                  <w:r>
                    <w:rPr>
                      <w:rFonts w:hint="default" w:ascii="Times New Roman" w:hAnsi="Times New Roman" w:eastAsia="Helvetica" w:cs="Times New Roman"/>
                      <w:i w:val="0"/>
                      <w:iCs w:val="0"/>
                      <w:caps w:val="0"/>
                      <w:color w:val="000000" w:themeColor="text1"/>
                      <w:spacing w:val="0"/>
                      <w:sz w:val="21"/>
                      <w:szCs w:val="21"/>
                      <w:shd w:val="clear" w:fill="FFFFFF"/>
                      <w:vertAlign w:val="subscript"/>
                      <w14:textFill>
                        <w14:solidFill>
                          <w14:schemeClr w14:val="tx1"/>
                        </w14:solidFill>
                      </w14:textFill>
                    </w:rPr>
                    <w:t>2</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白色六角形板状结晶或白色结晶粉末，溶于稀酸和碱溶液，极难溶于水，不溶于乙醇。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"https://baike.baidu.com/item/%E6%80%A5%E6%80%A7%E6%AF%92%E6%80%A7/6198587?fromModule=lemma_inlink" \t "https://baike.baidu.com/item/L-%E8%83%B1%E6%B0%A8%E9%85%B8/_blank"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急性毒性</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：大鼠经口</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"https://baike.baidu.com/item/LD50/4041609?fromModule=lemma_inlink" \t "https://baike.baidu.com/item/L-%E8%83%B1%E6%B0%A8%E9%85%B8/_blank"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LD50</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：25g/kg</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其它多剂量毒性：大鼠经口TDLo：279mg/kg/93D-C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182</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木糖</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5</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10</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5</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为白色结晶或结晶性粉末，易溶于水，熔点90.5℃，沸点415.5°C at 760 mmHg。</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183</w:t>
                  </w:r>
                </w:p>
              </w:tc>
              <w:tc>
                <w:tcPr>
                  <w:tcW w:w="156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蔗糖</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C</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H</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22</w:t>
                  </w: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O</w:t>
                  </w:r>
                  <w:r>
                    <w:rPr>
                      <w:rFonts w:hint="default" w:ascii="Times New Roman" w:hAnsi="Times New Roman" w:cs="Times New Roman"/>
                      <w:snapToGrid w:val="0"/>
                      <w:color w:val="000000" w:themeColor="text1"/>
                      <w:spacing w:val="0"/>
                      <w:kern w:val="0"/>
                      <w:sz w:val="21"/>
                      <w:szCs w:val="21"/>
                      <w:vertAlign w:val="subscript"/>
                      <w:lang w:val="en-US" w:eastAsia="zh-CN"/>
                      <w14:textFill>
                        <w14:solidFill>
                          <w14:schemeClr w14:val="tx1"/>
                        </w14:solidFill>
                      </w14:textFill>
                    </w:rPr>
                    <w:t>11</w:t>
                  </w:r>
                </w:p>
              </w:tc>
              <w:tc>
                <w:tcPr>
                  <w:tcW w:w="300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白色或类白色结晶性粉末，或者有光泽的无色、白色或类白色结晶。易溶于水，微溶于96%乙醇，几乎不溶于无水乙醇。</w:t>
                  </w:r>
                </w:p>
              </w:tc>
              <w:tc>
                <w:tcPr>
                  <w:tcW w:w="19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lang w:val="en-US" w:eastAsia="zh-CN"/>
                      <w14:textFill>
                        <w14:solidFill>
                          <w14:schemeClr w14:val="tx1"/>
                        </w14:solidFill>
                      </w14:textFill>
                    </w:rPr>
                    <w:t>无毒</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outlineLvl w:val="9"/>
              <w:rPr>
                <w:rFonts w:hint="default" w:ascii="Times New Roman" w:hAnsi="Times New Roman" w:eastAsia="宋体" w:cs="Times New Roman"/>
                <w:b/>
                <w:color w:val="000000"/>
                <w:sz w:val="24"/>
                <w:szCs w:val="22"/>
                <w:lang w:val="en-US" w:eastAsia="zh-CN"/>
              </w:rPr>
            </w:pPr>
            <w:r>
              <w:rPr>
                <w:rFonts w:hint="default" w:ascii="Times New Roman" w:hAnsi="Times New Roman" w:eastAsia="宋体" w:cs="Times New Roman"/>
                <w:b/>
                <w:color w:val="000000"/>
                <w:sz w:val="24"/>
                <w:szCs w:val="22"/>
                <w:lang w:val="en-US" w:eastAsia="zh-CN"/>
              </w:rPr>
              <w:t>7、项目水平衡</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sz w:val="24"/>
              </w:rPr>
            </w:pPr>
            <w:r>
              <w:rPr>
                <w:sz w:val="24"/>
              </w:rPr>
              <w:t>（1）给水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color w:val="FF0000"/>
                <w:sz w:val="24"/>
              </w:rPr>
            </w:pPr>
            <w:r>
              <w:rPr>
                <w:sz w:val="24"/>
              </w:rPr>
              <w:t>项目用水来源为自来水，项目用水主要为</w:t>
            </w:r>
            <w:r>
              <w:rPr>
                <w:rFonts w:hint="eastAsia"/>
                <w:sz w:val="24"/>
                <w:lang w:val="en-US" w:eastAsia="zh-CN"/>
              </w:rPr>
              <w:t>清洗</w:t>
            </w:r>
            <w:r>
              <w:rPr>
                <w:sz w:val="24"/>
              </w:rPr>
              <w:t>用水、</w:t>
            </w:r>
            <w:r>
              <w:rPr>
                <w:rFonts w:hint="eastAsia"/>
                <w:sz w:val="24"/>
                <w:lang w:val="en-US" w:eastAsia="zh-CN"/>
              </w:rPr>
              <w:t>水浴锅补充用水、</w:t>
            </w:r>
            <w:r>
              <w:rPr>
                <w:sz w:val="24"/>
              </w:rPr>
              <w:t>办公人员的办公生活用水。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sz w:val="24"/>
                <w:szCs w:val="22"/>
              </w:rPr>
            </w:pPr>
            <w:r>
              <w:rPr>
                <w:sz w:val="24"/>
                <w:szCs w:val="22"/>
              </w:rPr>
              <w:t>①生活用水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color w:val="FF0000"/>
                <w:sz w:val="24"/>
                <w:szCs w:val="22"/>
              </w:rPr>
            </w:pPr>
            <w:r>
              <w:rPr>
                <w:sz w:val="24"/>
              </w:rPr>
              <w:t>生活用水量按40L/人·天计算，本项目劳动定员为</w:t>
            </w:r>
            <w:r>
              <w:rPr>
                <w:rFonts w:hint="eastAsia"/>
                <w:sz w:val="24"/>
                <w:lang w:val="en-US" w:eastAsia="zh-CN"/>
              </w:rPr>
              <w:t>20</w:t>
            </w:r>
            <w:r>
              <w:rPr>
                <w:sz w:val="24"/>
              </w:rPr>
              <w:t>人，</w:t>
            </w:r>
            <w:r>
              <w:rPr>
                <w:sz w:val="24"/>
                <w:szCs w:val="22"/>
              </w:rPr>
              <w:t>生活用水量为</w:t>
            </w:r>
            <w:r>
              <w:rPr>
                <w:rFonts w:hint="eastAsia"/>
                <w:bCs/>
                <w:kern w:val="0"/>
                <w:sz w:val="24"/>
                <w:lang w:val="en-US" w:eastAsia="zh-CN"/>
              </w:rPr>
              <w:t>0.8</w:t>
            </w:r>
            <w:r>
              <w:rPr>
                <w:bCs/>
                <w:kern w:val="0"/>
                <w:sz w:val="24"/>
              </w:rPr>
              <w:t>m</w:t>
            </w:r>
            <w:r>
              <w:rPr>
                <w:bCs/>
                <w:kern w:val="0"/>
                <w:sz w:val="24"/>
                <w:vertAlign w:val="superscript"/>
              </w:rPr>
              <w:t>3</w:t>
            </w:r>
            <w:r>
              <w:rPr>
                <w:bCs/>
                <w:kern w:val="0"/>
                <w:sz w:val="24"/>
              </w:rPr>
              <w:t>/d（</w:t>
            </w:r>
            <w:r>
              <w:rPr>
                <w:rFonts w:hint="eastAsia"/>
                <w:bCs/>
                <w:kern w:val="0"/>
                <w:sz w:val="24"/>
                <w:lang w:val="en-US" w:eastAsia="zh-CN"/>
              </w:rPr>
              <w:t>240</w:t>
            </w:r>
            <w:r>
              <w:rPr>
                <w:bCs/>
                <w:kern w:val="0"/>
                <w:sz w:val="24"/>
              </w:rPr>
              <w:t>m</w:t>
            </w:r>
            <w:r>
              <w:rPr>
                <w:bCs/>
                <w:kern w:val="0"/>
                <w:sz w:val="24"/>
                <w:vertAlign w:val="superscript"/>
              </w:rPr>
              <w:t>3</w:t>
            </w:r>
            <w:r>
              <w:rPr>
                <w:bCs/>
                <w:kern w:val="0"/>
                <w:sz w:val="24"/>
              </w:rPr>
              <w:t>/a）。</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sz w:val="24"/>
                <w:szCs w:val="22"/>
              </w:rPr>
            </w:pPr>
            <w:r>
              <w:rPr>
                <w:sz w:val="24"/>
                <w:szCs w:val="22"/>
              </w:rPr>
              <w:t>②</w:t>
            </w:r>
            <w:r>
              <w:rPr>
                <w:rFonts w:hint="eastAsia"/>
                <w:sz w:val="24"/>
                <w:szCs w:val="22"/>
              </w:rPr>
              <w:t>清洗</w:t>
            </w:r>
            <w:r>
              <w:rPr>
                <w:sz w:val="24"/>
                <w:szCs w:val="22"/>
              </w:rPr>
              <w:t>用水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sz w:val="24"/>
                <w:szCs w:val="22"/>
              </w:rPr>
            </w:pPr>
            <w:r>
              <w:rPr>
                <w:sz w:val="24"/>
                <w:szCs w:val="22"/>
              </w:rPr>
              <w:t>根据建设单位提供资料，实验用水为自来水和纯水，自来水主要用于室内卫生清洁、清洗实验器具，纯水主要用于进行实验</w:t>
            </w:r>
            <w:r>
              <w:rPr>
                <w:rFonts w:hint="eastAsia"/>
                <w:sz w:val="24"/>
                <w:szCs w:val="22"/>
              </w:rPr>
              <w:t>器皿</w:t>
            </w:r>
            <w:r>
              <w:rPr>
                <w:sz w:val="24"/>
                <w:szCs w:val="22"/>
              </w:rPr>
              <w:t>的二次清洗等。项目</w:t>
            </w:r>
            <w:r>
              <w:rPr>
                <w:rFonts w:hint="eastAsia"/>
                <w:sz w:val="24"/>
                <w:szCs w:val="22"/>
              </w:rPr>
              <w:t>实验室地面清洗用水</w:t>
            </w:r>
            <w:r>
              <w:rPr>
                <w:rFonts w:hint="eastAsia"/>
                <w:sz w:val="24"/>
                <w:szCs w:val="22"/>
                <w:lang w:val="en-US" w:eastAsia="zh-CN"/>
              </w:rPr>
              <w:t>2</w:t>
            </w:r>
            <w:r>
              <w:rPr>
                <w:bCs/>
                <w:kern w:val="0"/>
                <w:sz w:val="24"/>
              </w:rPr>
              <w:t>m</w:t>
            </w:r>
            <w:r>
              <w:rPr>
                <w:bCs/>
                <w:kern w:val="0"/>
                <w:sz w:val="24"/>
                <w:vertAlign w:val="superscript"/>
              </w:rPr>
              <w:t>3</w:t>
            </w:r>
            <w:r>
              <w:rPr>
                <w:bCs/>
                <w:kern w:val="0"/>
                <w:sz w:val="24"/>
              </w:rPr>
              <w:t>/d（</w:t>
            </w:r>
            <w:r>
              <w:rPr>
                <w:rFonts w:hint="eastAsia"/>
                <w:bCs/>
                <w:kern w:val="0"/>
                <w:sz w:val="24"/>
                <w:lang w:val="en-US" w:eastAsia="zh-CN"/>
              </w:rPr>
              <w:t>600</w:t>
            </w:r>
            <w:r>
              <w:rPr>
                <w:bCs/>
                <w:kern w:val="0"/>
                <w:sz w:val="24"/>
              </w:rPr>
              <w:t>m</w:t>
            </w:r>
            <w:r>
              <w:rPr>
                <w:bCs/>
                <w:kern w:val="0"/>
                <w:sz w:val="24"/>
                <w:vertAlign w:val="superscript"/>
              </w:rPr>
              <w:t>3</w:t>
            </w:r>
            <w:r>
              <w:rPr>
                <w:bCs/>
                <w:kern w:val="0"/>
                <w:sz w:val="24"/>
              </w:rPr>
              <w:t>/a）</w:t>
            </w:r>
            <w:r>
              <w:rPr>
                <w:rFonts w:hint="eastAsia"/>
                <w:sz w:val="24"/>
                <w:szCs w:val="22"/>
              </w:rPr>
              <w:t>，</w:t>
            </w:r>
            <w:r>
              <w:rPr>
                <w:sz w:val="24"/>
                <w:szCs w:val="22"/>
              </w:rPr>
              <w:t>清洗实验</w:t>
            </w:r>
            <w:r>
              <w:rPr>
                <w:rFonts w:hint="eastAsia"/>
                <w:sz w:val="24"/>
                <w:szCs w:val="22"/>
              </w:rPr>
              <w:t>器皿</w:t>
            </w:r>
            <w:r>
              <w:rPr>
                <w:sz w:val="24"/>
                <w:szCs w:val="22"/>
              </w:rPr>
              <w:t>一次清洗用水</w:t>
            </w:r>
            <w:r>
              <w:rPr>
                <w:rFonts w:hint="eastAsia"/>
                <w:sz w:val="24"/>
                <w:szCs w:val="22"/>
              </w:rPr>
              <w:t>3</w:t>
            </w:r>
            <w:r>
              <w:rPr>
                <w:bCs/>
                <w:kern w:val="0"/>
                <w:sz w:val="24"/>
              </w:rPr>
              <w:t>m</w:t>
            </w:r>
            <w:r>
              <w:rPr>
                <w:bCs/>
                <w:kern w:val="0"/>
                <w:sz w:val="24"/>
                <w:vertAlign w:val="superscript"/>
              </w:rPr>
              <w:t>3</w:t>
            </w:r>
            <w:r>
              <w:rPr>
                <w:bCs/>
                <w:kern w:val="0"/>
                <w:sz w:val="24"/>
              </w:rPr>
              <w:t>/d（</w:t>
            </w:r>
            <w:r>
              <w:rPr>
                <w:rFonts w:hint="eastAsia"/>
                <w:bCs/>
                <w:kern w:val="0"/>
                <w:sz w:val="24"/>
                <w:lang w:val="en-US" w:eastAsia="zh-CN"/>
              </w:rPr>
              <w:t>900</w:t>
            </w:r>
            <w:r>
              <w:rPr>
                <w:bCs/>
                <w:kern w:val="0"/>
                <w:sz w:val="24"/>
              </w:rPr>
              <w:t>m</w:t>
            </w:r>
            <w:r>
              <w:rPr>
                <w:bCs/>
                <w:kern w:val="0"/>
                <w:sz w:val="24"/>
                <w:vertAlign w:val="superscript"/>
              </w:rPr>
              <w:t>3</w:t>
            </w:r>
            <w:r>
              <w:rPr>
                <w:bCs/>
                <w:kern w:val="0"/>
                <w:sz w:val="24"/>
              </w:rPr>
              <w:t>/a）；</w:t>
            </w:r>
            <w:r>
              <w:rPr>
                <w:sz w:val="24"/>
                <w:szCs w:val="22"/>
              </w:rPr>
              <w:t>本项目设有纯水仪设备，用于制备纯水，主要用于二次清洗实验</w:t>
            </w:r>
            <w:r>
              <w:rPr>
                <w:rFonts w:hint="eastAsia"/>
                <w:sz w:val="24"/>
                <w:szCs w:val="22"/>
              </w:rPr>
              <w:t>器皿</w:t>
            </w:r>
            <w:r>
              <w:rPr>
                <w:sz w:val="24"/>
                <w:szCs w:val="22"/>
              </w:rPr>
              <w:t>等，纯水总用量为</w:t>
            </w:r>
            <w:r>
              <w:rPr>
                <w:rFonts w:hint="eastAsia"/>
                <w:sz w:val="24"/>
                <w:szCs w:val="22"/>
                <w:lang w:val="en-US" w:eastAsia="zh-CN"/>
              </w:rPr>
              <w:t>1</w:t>
            </w:r>
            <w:r>
              <w:rPr>
                <w:bCs/>
                <w:kern w:val="0"/>
                <w:sz w:val="24"/>
              </w:rPr>
              <w:t>m</w:t>
            </w:r>
            <w:r>
              <w:rPr>
                <w:bCs/>
                <w:kern w:val="0"/>
                <w:sz w:val="24"/>
                <w:vertAlign w:val="superscript"/>
              </w:rPr>
              <w:t>3</w:t>
            </w:r>
            <w:r>
              <w:rPr>
                <w:sz w:val="24"/>
                <w:szCs w:val="22"/>
              </w:rPr>
              <w:t>/d（</w:t>
            </w:r>
            <w:r>
              <w:rPr>
                <w:rFonts w:hint="eastAsia"/>
                <w:sz w:val="24"/>
                <w:szCs w:val="22"/>
                <w:lang w:val="en-US" w:eastAsia="zh-CN"/>
              </w:rPr>
              <w:t>30</w:t>
            </w:r>
            <w:r>
              <w:rPr>
                <w:sz w:val="24"/>
                <w:szCs w:val="22"/>
              </w:rPr>
              <w:t>0</w:t>
            </w:r>
            <w:r>
              <w:rPr>
                <w:bCs/>
                <w:kern w:val="0"/>
                <w:sz w:val="24"/>
              </w:rPr>
              <w:t>m</w:t>
            </w:r>
            <w:r>
              <w:rPr>
                <w:bCs/>
                <w:kern w:val="0"/>
                <w:sz w:val="24"/>
                <w:vertAlign w:val="superscript"/>
              </w:rPr>
              <w:t>3</w:t>
            </w:r>
            <w:r>
              <w:rPr>
                <w:bCs/>
                <w:kern w:val="0"/>
                <w:sz w:val="24"/>
              </w:rPr>
              <w:t>/a</w:t>
            </w:r>
            <w:r>
              <w:rPr>
                <w:sz w:val="24"/>
                <w:szCs w:val="22"/>
              </w:rPr>
              <w:t>），纯水制备效率约为70%，则需要自来水</w:t>
            </w:r>
            <w:r>
              <w:rPr>
                <w:rFonts w:hint="eastAsia"/>
                <w:sz w:val="24"/>
                <w:szCs w:val="22"/>
                <w:lang w:val="en-US" w:eastAsia="zh-CN"/>
              </w:rPr>
              <w:t>1.43</w:t>
            </w:r>
            <w:r>
              <w:rPr>
                <w:sz w:val="24"/>
                <w:szCs w:val="22"/>
              </w:rPr>
              <w:t>m</w:t>
            </w:r>
            <w:r>
              <w:rPr>
                <w:sz w:val="24"/>
                <w:szCs w:val="22"/>
                <w:vertAlign w:val="superscript"/>
              </w:rPr>
              <w:t>3</w:t>
            </w:r>
            <w:r>
              <w:rPr>
                <w:sz w:val="24"/>
                <w:szCs w:val="22"/>
              </w:rPr>
              <w:t>/d（</w:t>
            </w:r>
            <w:r>
              <w:rPr>
                <w:rFonts w:hint="eastAsia"/>
                <w:sz w:val="24"/>
                <w:szCs w:val="22"/>
                <w:lang w:val="en-US" w:eastAsia="zh-CN"/>
              </w:rPr>
              <w:t>428.6</w:t>
            </w:r>
            <w:r>
              <w:rPr>
                <w:bCs/>
                <w:kern w:val="0"/>
                <w:sz w:val="24"/>
              </w:rPr>
              <w:t>m</w:t>
            </w:r>
            <w:r>
              <w:rPr>
                <w:bCs/>
                <w:kern w:val="0"/>
                <w:sz w:val="24"/>
                <w:vertAlign w:val="superscript"/>
              </w:rPr>
              <w:t>3</w:t>
            </w:r>
            <w:r>
              <w:rPr>
                <w:bCs/>
                <w:kern w:val="0"/>
                <w:sz w:val="24"/>
              </w:rPr>
              <w:t>/a</w:t>
            </w:r>
            <w:r>
              <w:rPr>
                <w:sz w:val="24"/>
                <w:szCs w:val="22"/>
              </w:rPr>
              <w:t>）。</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sz w:val="24"/>
              </w:rPr>
            </w:pPr>
            <w:r>
              <w:rPr>
                <w:rFonts w:hint="eastAsia" w:ascii="Times New Roman" w:hAnsi="Times New Roman" w:eastAsia="宋体" w:cs="Times New Roman"/>
                <w:sz w:val="24"/>
                <w:szCs w:val="22"/>
              </w:rPr>
              <w:fldChar w:fldCharType="begin"/>
            </w:r>
            <w:r>
              <w:rPr>
                <w:rFonts w:hint="eastAsia" w:ascii="Times New Roman" w:hAnsi="Times New Roman" w:eastAsia="宋体" w:cs="Times New Roman"/>
                <w:sz w:val="24"/>
                <w:szCs w:val="22"/>
              </w:rPr>
              <w:instrText xml:space="preserve"> = 3 \* GB3 \* MERGEFORMAT </w:instrText>
            </w:r>
            <w:r>
              <w:rPr>
                <w:rFonts w:hint="eastAsia" w:ascii="Times New Roman" w:hAnsi="Times New Roman" w:eastAsia="宋体" w:cs="Times New Roman"/>
                <w:sz w:val="24"/>
                <w:szCs w:val="22"/>
              </w:rPr>
              <w:fldChar w:fldCharType="separate"/>
            </w:r>
            <w:r>
              <w:rPr>
                <w:rFonts w:ascii="Times New Roman" w:hAnsi="Times New Roman" w:eastAsia="宋体" w:cs="Times New Roman"/>
                <w:sz w:val="24"/>
                <w:szCs w:val="22"/>
              </w:rPr>
              <w:t>③</w:t>
            </w:r>
            <w:r>
              <w:rPr>
                <w:rFonts w:hint="eastAsia" w:ascii="Times New Roman" w:hAnsi="Times New Roman" w:eastAsia="宋体" w:cs="Times New Roman"/>
                <w:sz w:val="24"/>
                <w:szCs w:val="22"/>
              </w:rPr>
              <w:fldChar w:fldCharType="end"/>
            </w:r>
            <w:r>
              <w:rPr>
                <w:sz w:val="24"/>
              </w:rPr>
              <w:t>灭菌器、水浴锅补充用自来水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sz w:val="24"/>
              </w:rPr>
            </w:pPr>
            <w:r>
              <w:rPr>
                <w:sz w:val="24"/>
              </w:rPr>
              <w:t>本项目实验器皿等需高温蒸汽灭菌，水浴锅、灭菌锅等定期补充自来水，用量约为0.</w:t>
            </w:r>
            <w:r>
              <w:rPr>
                <w:rFonts w:hint="eastAsia"/>
                <w:sz w:val="24"/>
                <w:lang w:val="en-US" w:eastAsia="zh-CN"/>
              </w:rPr>
              <w:t>1</w:t>
            </w:r>
            <w:r>
              <w:rPr>
                <w:sz w:val="24"/>
              </w:rPr>
              <w:t>m</w:t>
            </w:r>
            <w:r>
              <w:rPr>
                <w:sz w:val="24"/>
                <w:vertAlign w:val="superscript"/>
              </w:rPr>
              <w:t>3</w:t>
            </w:r>
            <w:r>
              <w:rPr>
                <w:sz w:val="24"/>
              </w:rPr>
              <w:t>/d</w:t>
            </w:r>
            <w:r>
              <w:rPr>
                <w:rFonts w:hint="eastAsia"/>
                <w:sz w:val="24"/>
              </w:rPr>
              <w:t>（</w:t>
            </w:r>
            <w:r>
              <w:rPr>
                <w:rFonts w:hint="eastAsia"/>
                <w:sz w:val="24"/>
                <w:lang w:val="en-US" w:eastAsia="zh-CN"/>
              </w:rPr>
              <w:t>30</w:t>
            </w:r>
            <w:r>
              <w:rPr>
                <w:sz w:val="24"/>
              </w:rPr>
              <w:t>m</w:t>
            </w:r>
            <w:r>
              <w:rPr>
                <w:sz w:val="24"/>
                <w:vertAlign w:val="superscript"/>
              </w:rPr>
              <w:t>3</w:t>
            </w:r>
            <w:r>
              <w:rPr>
                <w:sz w:val="24"/>
              </w:rPr>
              <w:t>/a)，此部分全部蒸发损失。</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eastAsia="宋体"/>
                <w:sz w:val="24"/>
                <w:lang w:val="en-US" w:eastAsia="zh-CN"/>
              </w:rPr>
            </w:pPr>
            <w:r>
              <w:rPr>
                <w:rFonts w:hint="eastAsia" w:ascii="Times New Roman" w:hAnsi="Times New Roman" w:eastAsia="宋体" w:cs="Times New Roman"/>
                <w:sz w:val="24"/>
                <w:szCs w:val="22"/>
              </w:rPr>
              <w:fldChar w:fldCharType="begin"/>
            </w:r>
            <w:r>
              <w:rPr>
                <w:rFonts w:hint="eastAsia" w:ascii="Times New Roman" w:hAnsi="Times New Roman" w:eastAsia="宋体" w:cs="Times New Roman"/>
                <w:sz w:val="24"/>
                <w:szCs w:val="22"/>
              </w:rPr>
              <w:instrText xml:space="preserve"> = 4 \* GB3 \* MERGEFORMAT </w:instrText>
            </w:r>
            <w:r>
              <w:rPr>
                <w:rFonts w:hint="eastAsia" w:ascii="Times New Roman" w:hAnsi="Times New Roman" w:eastAsia="宋体" w:cs="Times New Roman"/>
                <w:sz w:val="24"/>
                <w:szCs w:val="22"/>
              </w:rPr>
              <w:fldChar w:fldCharType="separate"/>
            </w:r>
            <w:r>
              <w:rPr>
                <w:rFonts w:hint="eastAsia" w:ascii="Times New Roman" w:hAnsi="Times New Roman" w:eastAsia="宋体" w:cs="Times New Roman"/>
                <w:sz w:val="24"/>
                <w:szCs w:val="22"/>
              </w:rPr>
              <w:t>④</w:t>
            </w:r>
            <w:r>
              <w:rPr>
                <w:rFonts w:hint="eastAsia" w:ascii="Times New Roman" w:hAnsi="Times New Roman" w:eastAsia="宋体" w:cs="Times New Roman"/>
                <w:sz w:val="24"/>
                <w:szCs w:val="22"/>
              </w:rPr>
              <w:fldChar w:fldCharType="end"/>
            </w:r>
            <w:r>
              <w:rPr>
                <w:rFonts w:hint="eastAsia"/>
                <w:sz w:val="24"/>
                <w:lang w:val="en-US" w:eastAsia="zh-CN"/>
              </w:rPr>
              <w:t>碱喷淋用水</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eastAsia="宋体"/>
                <w:sz w:val="24"/>
                <w:lang w:val="en-US" w:eastAsia="zh-CN"/>
              </w:rPr>
            </w:pPr>
            <w:r>
              <w:rPr>
                <w:rFonts w:hint="eastAsia"/>
                <w:sz w:val="24"/>
                <w:lang w:val="en-US" w:eastAsia="zh-CN"/>
              </w:rPr>
              <w:t>本项目废气治理设施碱喷淋装置平均每季度更换一次废液，每次更换量为0.5t/a，废液作为危废交危废单位处置。</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sz w:val="24"/>
              </w:rPr>
            </w:pPr>
            <w:r>
              <w:rPr>
                <w:sz w:val="24"/>
              </w:rPr>
              <w:t>（2）排水</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bCs/>
                <w:kern w:val="0"/>
                <w:sz w:val="24"/>
              </w:rPr>
            </w:pPr>
            <w:r>
              <w:rPr>
                <w:bCs/>
                <w:kern w:val="0"/>
                <w:sz w:val="24"/>
              </w:rPr>
              <w:t>①生活污水</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bCs/>
                <w:kern w:val="0"/>
                <w:sz w:val="24"/>
              </w:rPr>
            </w:pPr>
            <w:r>
              <w:rPr>
                <w:sz w:val="24"/>
                <w:szCs w:val="22"/>
              </w:rPr>
              <w:t>生活污水产生系数按照0.8计算，则生活污水的产生量为</w:t>
            </w:r>
            <w:r>
              <w:rPr>
                <w:rFonts w:hint="eastAsia"/>
                <w:bCs/>
                <w:kern w:val="0"/>
                <w:sz w:val="24"/>
                <w:lang w:val="en-US" w:eastAsia="zh-CN"/>
              </w:rPr>
              <w:t>0.64</w:t>
            </w:r>
            <w:r>
              <w:rPr>
                <w:bCs/>
                <w:kern w:val="0"/>
                <w:sz w:val="24"/>
              </w:rPr>
              <w:t>m</w:t>
            </w:r>
            <w:r>
              <w:rPr>
                <w:bCs/>
                <w:kern w:val="0"/>
                <w:sz w:val="24"/>
                <w:vertAlign w:val="superscript"/>
              </w:rPr>
              <w:t>3</w:t>
            </w:r>
            <w:r>
              <w:rPr>
                <w:bCs/>
                <w:kern w:val="0"/>
                <w:sz w:val="24"/>
              </w:rPr>
              <w:t>/d（</w:t>
            </w:r>
            <w:r>
              <w:rPr>
                <w:rFonts w:hint="eastAsia"/>
                <w:bCs/>
                <w:kern w:val="0"/>
                <w:sz w:val="24"/>
                <w:lang w:val="en-US" w:eastAsia="zh-CN"/>
              </w:rPr>
              <w:t>192</w:t>
            </w:r>
            <w:r>
              <w:rPr>
                <w:bCs/>
                <w:kern w:val="0"/>
                <w:sz w:val="24"/>
              </w:rPr>
              <w:t>m</w:t>
            </w:r>
            <w:r>
              <w:rPr>
                <w:bCs/>
                <w:kern w:val="0"/>
                <w:sz w:val="24"/>
                <w:vertAlign w:val="superscript"/>
              </w:rPr>
              <w:t>3</w:t>
            </w:r>
            <w:r>
              <w:rPr>
                <w:bCs/>
                <w:kern w:val="0"/>
                <w:sz w:val="24"/>
              </w:rPr>
              <w:t>/a）；生活污水经化粪池处理后与经污水处理站处理后的生产废水一同经</w:t>
            </w:r>
            <w:r>
              <w:rPr>
                <w:rFonts w:hint="eastAsia"/>
                <w:bCs/>
                <w:kern w:val="0"/>
                <w:sz w:val="24"/>
                <w:lang w:val="en-US" w:eastAsia="zh-CN"/>
              </w:rPr>
              <w:t>污水</w:t>
            </w:r>
            <w:r>
              <w:rPr>
                <w:bCs/>
                <w:kern w:val="0"/>
                <w:sz w:val="24"/>
              </w:rPr>
              <w:t>管网排入</w:t>
            </w:r>
            <w:r>
              <w:rPr>
                <w:rFonts w:hint="eastAsia"/>
                <w:bCs/>
                <w:kern w:val="0"/>
                <w:sz w:val="24"/>
                <w:lang w:val="en-US" w:eastAsia="zh-CN"/>
              </w:rPr>
              <w:t>新乡县综合污水处理厂</w:t>
            </w:r>
            <w:r>
              <w:rPr>
                <w:bCs/>
                <w:kern w:val="0"/>
                <w:sz w:val="24"/>
              </w:rPr>
              <w:t>处理。</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bCs/>
                <w:kern w:val="0"/>
                <w:sz w:val="24"/>
              </w:rPr>
            </w:pPr>
            <w:r>
              <w:rPr>
                <w:sz w:val="24"/>
                <w:szCs w:val="22"/>
              </w:rPr>
              <w:t>②</w:t>
            </w:r>
            <w:r>
              <w:rPr>
                <w:rFonts w:hint="eastAsia"/>
                <w:sz w:val="24"/>
                <w:szCs w:val="22"/>
              </w:rPr>
              <w:t>浓水</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bCs/>
                <w:kern w:val="0"/>
                <w:sz w:val="24"/>
              </w:rPr>
            </w:pPr>
            <w:r>
              <w:rPr>
                <w:bCs/>
                <w:kern w:val="0"/>
                <w:sz w:val="24"/>
              </w:rPr>
              <w:t>本项目纯水制备采用</w:t>
            </w:r>
            <w:r>
              <w:rPr>
                <w:rFonts w:hint="eastAsia"/>
                <w:bCs/>
                <w:kern w:val="0"/>
                <w:sz w:val="24"/>
              </w:rPr>
              <w:t>“</w:t>
            </w:r>
            <w:r>
              <w:rPr>
                <w:bCs/>
                <w:kern w:val="0"/>
                <w:sz w:val="24"/>
              </w:rPr>
              <w:t>超滤+反渗透</w:t>
            </w:r>
            <w:r>
              <w:rPr>
                <w:rFonts w:hint="eastAsia"/>
                <w:bCs/>
                <w:kern w:val="0"/>
                <w:sz w:val="24"/>
              </w:rPr>
              <w:t>”</w:t>
            </w:r>
            <w:r>
              <w:rPr>
                <w:bCs/>
                <w:kern w:val="0"/>
                <w:sz w:val="24"/>
              </w:rPr>
              <w:t>，纯水制取率约为70％，剩余30％以浓水的形式排放，浓水产生量为</w:t>
            </w:r>
            <w:r>
              <w:rPr>
                <w:rFonts w:hint="eastAsia"/>
                <w:bCs/>
                <w:kern w:val="0"/>
                <w:sz w:val="24"/>
                <w:lang w:val="en-US" w:eastAsia="zh-CN"/>
              </w:rPr>
              <w:t>0.43</w:t>
            </w:r>
            <w:r>
              <w:rPr>
                <w:bCs/>
                <w:kern w:val="0"/>
                <w:sz w:val="24"/>
              </w:rPr>
              <w:t>m</w:t>
            </w:r>
            <w:r>
              <w:rPr>
                <w:bCs/>
                <w:kern w:val="0"/>
                <w:sz w:val="24"/>
                <w:vertAlign w:val="superscript"/>
              </w:rPr>
              <w:t>3</w:t>
            </w:r>
            <w:r>
              <w:rPr>
                <w:bCs/>
                <w:kern w:val="0"/>
                <w:sz w:val="24"/>
              </w:rPr>
              <w:t>/d（</w:t>
            </w:r>
            <w:r>
              <w:rPr>
                <w:rFonts w:hint="eastAsia"/>
                <w:bCs/>
                <w:kern w:val="0"/>
                <w:sz w:val="24"/>
                <w:lang w:val="en-US" w:eastAsia="zh-CN"/>
              </w:rPr>
              <w:t>128.6</w:t>
            </w:r>
            <w:r>
              <w:rPr>
                <w:bCs/>
                <w:kern w:val="0"/>
                <w:sz w:val="24"/>
              </w:rPr>
              <w:t>m</w:t>
            </w:r>
            <w:r>
              <w:rPr>
                <w:bCs/>
                <w:kern w:val="0"/>
                <w:sz w:val="24"/>
                <w:vertAlign w:val="superscript"/>
              </w:rPr>
              <w:t>3</w:t>
            </w:r>
            <w:r>
              <w:rPr>
                <w:bCs/>
                <w:kern w:val="0"/>
                <w:sz w:val="24"/>
              </w:rPr>
              <w:t>/a），纯水制备产生的浓水为清净下水，经污水管网直接排入</w:t>
            </w:r>
            <w:r>
              <w:rPr>
                <w:rFonts w:hint="eastAsia"/>
                <w:bCs/>
                <w:kern w:val="0"/>
                <w:sz w:val="24"/>
                <w:lang w:val="en-US" w:eastAsia="zh-CN"/>
              </w:rPr>
              <w:t>新乡县综合污水处理厂</w:t>
            </w:r>
            <w:r>
              <w:rPr>
                <w:bCs/>
                <w:kern w:val="0"/>
                <w:sz w:val="24"/>
              </w:rPr>
              <w:t>；</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sz w:val="24"/>
                <w:szCs w:val="22"/>
              </w:rPr>
            </w:pPr>
            <w:r>
              <w:rPr>
                <w:rFonts w:hint="eastAsia" w:ascii="Times New Roman" w:hAnsi="Times New Roman" w:eastAsia="宋体" w:cs="Times New Roman"/>
                <w:sz w:val="24"/>
                <w:szCs w:val="22"/>
              </w:rPr>
              <w:fldChar w:fldCharType="begin"/>
            </w:r>
            <w:r>
              <w:rPr>
                <w:rFonts w:hint="eastAsia" w:ascii="Times New Roman" w:hAnsi="Times New Roman" w:eastAsia="宋体" w:cs="Times New Roman"/>
                <w:sz w:val="24"/>
                <w:szCs w:val="22"/>
              </w:rPr>
              <w:instrText xml:space="preserve"> = 3 \* GB3 \* MERGEFORMAT </w:instrText>
            </w:r>
            <w:r>
              <w:rPr>
                <w:rFonts w:hint="eastAsia" w:ascii="Times New Roman" w:hAnsi="Times New Roman" w:eastAsia="宋体" w:cs="Times New Roman"/>
                <w:sz w:val="24"/>
                <w:szCs w:val="22"/>
              </w:rPr>
              <w:fldChar w:fldCharType="separate"/>
            </w:r>
            <w:r>
              <w:rPr>
                <w:rFonts w:hint="eastAsia" w:ascii="Times New Roman" w:hAnsi="Times New Roman" w:eastAsia="宋体" w:cs="Times New Roman"/>
                <w:sz w:val="24"/>
                <w:szCs w:val="22"/>
              </w:rPr>
              <w:t>③</w:t>
            </w:r>
            <w:r>
              <w:rPr>
                <w:rFonts w:hint="eastAsia" w:ascii="Times New Roman" w:hAnsi="Times New Roman" w:eastAsia="宋体" w:cs="Times New Roman"/>
                <w:sz w:val="24"/>
                <w:szCs w:val="22"/>
              </w:rPr>
              <w:fldChar w:fldCharType="end"/>
            </w:r>
            <w:r>
              <w:rPr>
                <w:rFonts w:hint="eastAsia"/>
                <w:sz w:val="24"/>
              </w:rPr>
              <w:t>实验</w:t>
            </w:r>
            <w:r>
              <w:rPr>
                <w:rFonts w:hint="eastAsia"/>
                <w:sz w:val="24"/>
                <w:lang w:val="en-US" w:eastAsia="zh-CN"/>
              </w:rPr>
              <w:t>器材</w:t>
            </w:r>
            <w:r>
              <w:rPr>
                <w:rFonts w:hint="eastAsia"/>
                <w:sz w:val="24"/>
              </w:rPr>
              <w:t>清洗废水</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bCs/>
                <w:kern w:val="0"/>
                <w:sz w:val="24"/>
              </w:rPr>
            </w:pPr>
            <w:r>
              <w:rPr>
                <w:rFonts w:hint="eastAsia"/>
                <w:sz w:val="24"/>
              </w:rPr>
              <w:t>实验</w:t>
            </w:r>
            <w:r>
              <w:rPr>
                <w:rFonts w:hint="eastAsia"/>
                <w:sz w:val="24"/>
                <w:lang w:val="en-US" w:eastAsia="zh-CN"/>
              </w:rPr>
              <w:t>器材</w:t>
            </w:r>
            <w:r>
              <w:rPr>
                <w:sz w:val="24"/>
                <w:szCs w:val="22"/>
              </w:rPr>
              <w:t>清洗水产生量包含实验</w:t>
            </w:r>
            <w:r>
              <w:rPr>
                <w:rFonts w:hint="eastAsia"/>
                <w:sz w:val="24"/>
                <w:szCs w:val="22"/>
              </w:rPr>
              <w:t>器皿</w:t>
            </w:r>
            <w:r>
              <w:rPr>
                <w:rFonts w:hint="eastAsia"/>
                <w:sz w:val="24"/>
                <w:szCs w:val="22"/>
                <w:lang w:eastAsia="zh-CN"/>
              </w:rPr>
              <w:t>、</w:t>
            </w:r>
            <w:r>
              <w:rPr>
                <w:rFonts w:hint="eastAsia"/>
                <w:sz w:val="24"/>
                <w:szCs w:val="22"/>
                <w:lang w:val="en-US" w:eastAsia="zh-CN"/>
              </w:rPr>
              <w:t>镊子等</w:t>
            </w:r>
            <w:r>
              <w:rPr>
                <w:rFonts w:hint="eastAsia"/>
                <w:sz w:val="24"/>
                <w:szCs w:val="22"/>
              </w:rPr>
              <w:t>一次</w:t>
            </w:r>
            <w:r>
              <w:rPr>
                <w:sz w:val="24"/>
                <w:szCs w:val="22"/>
              </w:rPr>
              <w:t>清洗废水和纯水二次清洗</w:t>
            </w:r>
            <w:r>
              <w:rPr>
                <w:rFonts w:hint="eastAsia"/>
                <w:sz w:val="24"/>
                <w:lang w:val="en-US" w:eastAsia="zh-CN"/>
              </w:rPr>
              <w:t>器材</w:t>
            </w:r>
            <w:r>
              <w:rPr>
                <w:sz w:val="24"/>
                <w:szCs w:val="22"/>
              </w:rPr>
              <w:t>产生的废水，清洗废水产生系数按照0.9计算，则清洗废水总产生量为</w:t>
            </w:r>
            <w:r>
              <w:rPr>
                <w:rFonts w:hint="eastAsia"/>
                <w:sz w:val="24"/>
                <w:szCs w:val="22"/>
                <w:lang w:val="en-US" w:eastAsia="zh-CN"/>
              </w:rPr>
              <w:t>3.6</w:t>
            </w:r>
            <w:r>
              <w:rPr>
                <w:bCs/>
                <w:kern w:val="0"/>
                <w:sz w:val="24"/>
              </w:rPr>
              <w:t>m</w:t>
            </w:r>
            <w:r>
              <w:rPr>
                <w:bCs/>
                <w:kern w:val="0"/>
                <w:sz w:val="24"/>
                <w:vertAlign w:val="superscript"/>
              </w:rPr>
              <w:t>3</w:t>
            </w:r>
            <w:r>
              <w:rPr>
                <w:bCs/>
                <w:kern w:val="0"/>
                <w:sz w:val="24"/>
              </w:rPr>
              <w:t>/d（</w:t>
            </w:r>
            <w:r>
              <w:rPr>
                <w:rFonts w:hint="eastAsia"/>
                <w:bCs/>
                <w:kern w:val="0"/>
                <w:sz w:val="24"/>
                <w:lang w:val="en-US" w:eastAsia="zh-CN"/>
              </w:rPr>
              <w:t>1080</w:t>
            </w:r>
            <w:r>
              <w:rPr>
                <w:bCs/>
                <w:kern w:val="0"/>
                <w:sz w:val="24"/>
              </w:rPr>
              <w:t>m</w:t>
            </w:r>
            <w:r>
              <w:rPr>
                <w:bCs/>
                <w:kern w:val="0"/>
                <w:sz w:val="24"/>
                <w:vertAlign w:val="superscript"/>
              </w:rPr>
              <w:t>3</w:t>
            </w:r>
            <w:r>
              <w:rPr>
                <w:bCs/>
                <w:kern w:val="0"/>
                <w:sz w:val="24"/>
              </w:rPr>
              <w:t>/a）；清洗废水经</w:t>
            </w:r>
            <w:r>
              <w:rPr>
                <w:rFonts w:hint="eastAsia"/>
                <w:bCs/>
                <w:kern w:val="0"/>
                <w:sz w:val="24"/>
              </w:rPr>
              <w:t>“</w:t>
            </w:r>
            <w:r>
              <w:rPr>
                <w:spacing w:val="-11"/>
                <w:sz w:val="24"/>
              </w:rPr>
              <w:t>酸碱中和+微电解+沉淀+</w:t>
            </w:r>
            <w:r>
              <w:rPr>
                <w:spacing w:val="-5"/>
                <w:sz w:val="24"/>
              </w:rPr>
              <w:t>过滤吸附+消毒</w:t>
            </w:r>
            <w:r>
              <w:rPr>
                <w:rFonts w:hint="eastAsia"/>
                <w:bCs/>
                <w:kern w:val="0"/>
                <w:sz w:val="24"/>
              </w:rPr>
              <w:t>”</w:t>
            </w:r>
            <w:r>
              <w:rPr>
                <w:bCs/>
                <w:kern w:val="0"/>
                <w:sz w:val="24"/>
              </w:rPr>
              <w:t>处理工艺处理后经污水管网排入</w:t>
            </w:r>
            <w:r>
              <w:rPr>
                <w:rFonts w:hint="eastAsia"/>
                <w:bCs/>
                <w:kern w:val="0"/>
                <w:sz w:val="24"/>
                <w:lang w:eastAsia="zh-CN"/>
              </w:rPr>
              <w:t>新乡县综合污水处理厂</w:t>
            </w:r>
            <w:r>
              <w:rPr>
                <w:bCs/>
                <w:kern w:val="0"/>
                <w:sz w:val="24"/>
              </w:rPr>
              <w:t>。</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rFonts w:hint="eastAsia"/>
                <w:sz w:val="24"/>
              </w:rPr>
            </w:pPr>
            <w:r>
              <w:rPr>
                <w:rFonts w:hint="eastAsia" w:ascii="Times New Roman" w:hAnsi="Times New Roman" w:eastAsia="宋体" w:cs="Times New Roman"/>
                <w:sz w:val="24"/>
                <w:szCs w:val="22"/>
              </w:rPr>
              <w:fldChar w:fldCharType="begin"/>
            </w:r>
            <w:r>
              <w:rPr>
                <w:rFonts w:hint="eastAsia" w:ascii="Times New Roman" w:hAnsi="Times New Roman" w:eastAsia="宋体" w:cs="Times New Roman"/>
                <w:sz w:val="24"/>
                <w:szCs w:val="22"/>
              </w:rPr>
              <w:instrText xml:space="preserve"> = 4 \* GB3 \* MERGEFORMAT </w:instrText>
            </w:r>
            <w:r>
              <w:rPr>
                <w:rFonts w:hint="eastAsia" w:ascii="Times New Roman" w:hAnsi="Times New Roman" w:eastAsia="宋体" w:cs="Times New Roman"/>
                <w:sz w:val="24"/>
                <w:szCs w:val="22"/>
              </w:rPr>
              <w:fldChar w:fldCharType="separate"/>
            </w:r>
            <w:r>
              <w:rPr>
                <w:rFonts w:hint="eastAsia" w:ascii="Times New Roman" w:hAnsi="Times New Roman" w:eastAsia="宋体" w:cs="Times New Roman"/>
                <w:sz w:val="24"/>
                <w:szCs w:val="22"/>
              </w:rPr>
              <w:t>④</w:t>
            </w:r>
            <w:r>
              <w:rPr>
                <w:rFonts w:hint="eastAsia" w:ascii="Times New Roman" w:hAnsi="Times New Roman" w:eastAsia="宋体" w:cs="Times New Roman"/>
                <w:sz w:val="24"/>
                <w:szCs w:val="22"/>
              </w:rPr>
              <w:fldChar w:fldCharType="end"/>
            </w:r>
            <w:r>
              <w:rPr>
                <w:rFonts w:hint="eastAsia"/>
                <w:sz w:val="24"/>
              </w:rPr>
              <w:t>地面清洗废水</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rFonts w:hint="eastAsia"/>
                <w:sz w:val="24"/>
              </w:rPr>
            </w:pPr>
            <w:r>
              <w:rPr>
                <w:rFonts w:hint="eastAsia"/>
                <w:sz w:val="24"/>
              </w:rPr>
              <w:t>地面清洗过程会产生一定量的地面清洗废水</w:t>
            </w:r>
            <w:r>
              <w:rPr>
                <w:sz w:val="24"/>
                <w:szCs w:val="22"/>
              </w:rPr>
              <w:t>，清洗废水产生系数按照0.9计算，则清洗废水总产生量为</w:t>
            </w:r>
            <w:r>
              <w:rPr>
                <w:rFonts w:hint="eastAsia"/>
                <w:sz w:val="24"/>
                <w:szCs w:val="22"/>
                <w:lang w:val="en-US" w:eastAsia="zh-CN"/>
              </w:rPr>
              <w:t>1.8</w:t>
            </w:r>
            <w:r>
              <w:rPr>
                <w:bCs/>
                <w:kern w:val="0"/>
                <w:sz w:val="24"/>
              </w:rPr>
              <w:t>m</w:t>
            </w:r>
            <w:r>
              <w:rPr>
                <w:bCs/>
                <w:kern w:val="0"/>
                <w:sz w:val="24"/>
                <w:vertAlign w:val="superscript"/>
              </w:rPr>
              <w:t>3</w:t>
            </w:r>
            <w:r>
              <w:rPr>
                <w:bCs/>
                <w:kern w:val="0"/>
                <w:sz w:val="24"/>
              </w:rPr>
              <w:t>/d（</w:t>
            </w:r>
            <w:r>
              <w:rPr>
                <w:rFonts w:hint="eastAsia"/>
                <w:bCs/>
                <w:kern w:val="0"/>
                <w:sz w:val="24"/>
                <w:lang w:val="en-US" w:eastAsia="zh-CN"/>
              </w:rPr>
              <w:t>540</w:t>
            </w:r>
            <w:r>
              <w:rPr>
                <w:bCs/>
                <w:kern w:val="0"/>
                <w:sz w:val="24"/>
              </w:rPr>
              <w:t>m</w:t>
            </w:r>
            <w:r>
              <w:rPr>
                <w:bCs/>
                <w:kern w:val="0"/>
                <w:sz w:val="24"/>
                <w:vertAlign w:val="superscript"/>
              </w:rPr>
              <w:t>3</w:t>
            </w:r>
            <w:r>
              <w:rPr>
                <w:bCs/>
                <w:kern w:val="0"/>
                <w:sz w:val="24"/>
              </w:rPr>
              <w:t>/a）；清洗废水经</w:t>
            </w:r>
            <w:r>
              <w:rPr>
                <w:rFonts w:hint="eastAsia"/>
                <w:bCs/>
                <w:kern w:val="0"/>
                <w:sz w:val="24"/>
              </w:rPr>
              <w:t>“</w:t>
            </w:r>
            <w:r>
              <w:rPr>
                <w:spacing w:val="-11"/>
                <w:sz w:val="24"/>
              </w:rPr>
              <w:t>酸碱中和+微电解+沉淀+</w:t>
            </w:r>
            <w:r>
              <w:rPr>
                <w:spacing w:val="-5"/>
                <w:sz w:val="24"/>
              </w:rPr>
              <w:t>过滤吸附+消毒</w:t>
            </w:r>
            <w:r>
              <w:rPr>
                <w:rFonts w:hint="eastAsia"/>
                <w:bCs/>
                <w:kern w:val="0"/>
                <w:sz w:val="24"/>
              </w:rPr>
              <w:t>”</w:t>
            </w:r>
            <w:r>
              <w:rPr>
                <w:bCs/>
                <w:kern w:val="0"/>
                <w:sz w:val="24"/>
              </w:rPr>
              <w:t>处理工艺处理后经污水管网排入</w:t>
            </w:r>
            <w:r>
              <w:rPr>
                <w:rFonts w:hint="eastAsia"/>
                <w:bCs/>
                <w:kern w:val="0"/>
                <w:sz w:val="24"/>
                <w:lang w:eastAsia="zh-CN"/>
              </w:rPr>
              <w:t>新乡县综合污水处理厂</w:t>
            </w:r>
            <w:r>
              <w:rPr>
                <w:bCs/>
                <w:kern w:val="0"/>
                <w:sz w:val="24"/>
              </w:rPr>
              <w:t>。</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sz w:val="24"/>
              </w:rPr>
            </w:pPr>
            <w:r>
              <w:rPr>
                <w:sz w:val="24"/>
              </w:rPr>
              <w:t>本项目水平衡图见图1。</w:t>
            </w: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sz w:val="24"/>
              </w:rPr>
            </w:pP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sz w:val="24"/>
              </w:rPr>
            </w:pP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sz w:val="24"/>
              </w:rPr>
            </w:pP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sz w:val="24"/>
              </w:rPr>
            </w:pPr>
          </w:p>
          <w:p>
            <w:pPr>
              <w:keepNext w:val="0"/>
              <w:keepLines w:val="0"/>
              <w:pageBreakBefore w:val="0"/>
              <w:widowControl w:val="0"/>
              <w:suppressLineNumbers w:val="0"/>
              <w:tabs>
                <w:tab w:val="left" w:pos="7920"/>
              </w:tabs>
              <w:kinsoku/>
              <w:wordWrap/>
              <w:overflowPunct/>
              <w:topLinePunct w:val="0"/>
              <w:autoSpaceDE/>
              <w:autoSpaceDN/>
              <w:bidi w:val="0"/>
              <w:snapToGrid w:val="0"/>
              <w:spacing w:before="0" w:beforeAutospacing="0" w:after="0" w:afterAutospacing="0" w:line="520" w:lineRule="exact"/>
              <w:ind w:left="0" w:right="0"/>
              <w:textAlignment w:val="auto"/>
              <w:rPr>
                <w:rFonts w:hint="eastAsia" w:eastAsia="宋体"/>
                <w:sz w:val="24"/>
                <w:lang w:eastAsia="zh-CN"/>
              </w:rPr>
            </w:pPr>
          </w:p>
          <w:p>
            <w:pPr>
              <w:pStyle w:val="2"/>
              <w:keepLines w:val="0"/>
              <w:suppressLineNumbers w:val="0"/>
              <w:spacing w:beforeAutospacing="0" w:afterAutospacing="0"/>
              <w:ind w:left="0" w:right="0" w:firstLine="0"/>
              <w:jc w:val="center"/>
            </w:pPr>
            <w:r>
              <w:object>
                <v:shape id="_x0000_i1025" o:spt="75" type="#_x0000_t75" style="height:285.2pt;width:360.2pt;" o:ole="t" filled="f" o:preferrelative="t" stroked="f" coordsize="21600,21600">
                  <v:path/>
                  <v:fill on="f" focussize="0,0"/>
                  <v:stroke on="f"/>
                  <v:imagedata r:id="rId18" cropleft="14689f" croptop="5434f" cropright="15402f" cropbottom="6974f" o:title=""/>
                  <o:lock v:ext="edit" aspectratio="f"/>
                  <w10:wrap type="none"/>
                  <w10:anchorlock/>
                </v:shape>
                <o:OLEObject Type="Embed" ProgID="Visio.Drawing.11" ShapeID="_x0000_i1025" DrawAspect="Content" ObjectID="_1468075725" r:id="rId17">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z w:val="24"/>
                <w:u w:val="none"/>
              </w:rPr>
            </w:pPr>
            <w:r>
              <w:rPr>
                <w:b/>
                <w:bCs/>
                <w:sz w:val="24"/>
              </w:rPr>
              <w:t xml:space="preserve">图1  </w:t>
            </w:r>
            <w:r>
              <w:rPr>
                <w:rFonts w:hint="eastAsia"/>
                <w:b/>
                <w:bCs/>
                <w:sz w:val="24"/>
                <w:lang w:val="en-US" w:eastAsia="zh-CN"/>
              </w:rPr>
              <w:t xml:space="preserve"> </w:t>
            </w:r>
            <w:r>
              <w:rPr>
                <w:b/>
                <w:bCs/>
                <w:sz w:val="24"/>
              </w:rPr>
              <w:t>项目水平衡图</w:t>
            </w:r>
          </w:p>
          <w:p>
            <w:pPr>
              <w:pStyle w:val="8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both"/>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8、</w:t>
            </w:r>
            <w:r>
              <w:rPr>
                <w:rFonts w:hint="default" w:ascii="Times New Roman" w:hAnsi="Times New Roman" w:eastAsia="宋体" w:cs="Times New Roman"/>
                <w:b/>
                <w:sz w:val="24"/>
                <w:szCs w:val="24"/>
              </w:rPr>
              <w:t>工作制度及劳动定员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（1）工作制度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年工作日：300天/年；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生产制度：生产岗位为</w:t>
            </w:r>
            <w:r>
              <w:rPr>
                <w:rFonts w:hint="eastAsia" w:cs="Times New Roman"/>
                <w:sz w:val="24"/>
                <w:szCs w:val="24"/>
                <w:lang w:val="en-US" w:eastAsia="zh-CN"/>
              </w:rPr>
              <w:t>一</w:t>
            </w:r>
            <w:r>
              <w:rPr>
                <w:rFonts w:hint="default" w:ascii="Times New Roman" w:hAnsi="Times New Roman" w:eastAsia="宋体" w:cs="Times New Roman"/>
                <w:sz w:val="24"/>
                <w:szCs w:val="24"/>
              </w:rPr>
              <w:t>班制，</w:t>
            </w:r>
            <w:r>
              <w:rPr>
                <w:rFonts w:hint="default" w:ascii="Times New Roman" w:hAnsi="Times New Roman" w:eastAsia="宋体" w:cs="Times New Roman"/>
                <w:sz w:val="24"/>
                <w:szCs w:val="24"/>
                <w:lang w:eastAsia="zh-CN"/>
              </w:rPr>
              <w:t>每班</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r>
              <w:rPr>
                <w:rFonts w:hint="default" w:ascii="Times New Roman" w:hAnsi="Times New Roman" w:eastAsia="宋体" w:cs="Times New Roman"/>
                <w:sz w:val="24"/>
                <w:szCs w:val="24"/>
                <w:lang w:eastAsia="zh-CN"/>
              </w:rPr>
              <w:t>，年工作</w:t>
            </w:r>
            <w:r>
              <w:rPr>
                <w:rFonts w:hint="eastAsia" w:cs="Times New Roman"/>
                <w:sz w:val="24"/>
                <w:szCs w:val="24"/>
                <w:lang w:val="en-US" w:eastAsia="zh-CN"/>
              </w:rPr>
              <w:t>24</w:t>
            </w:r>
            <w:r>
              <w:rPr>
                <w:rFonts w:hint="default" w:ascii="Times New Roman" w:hAnsi="Times New Roman" w:eastAsia="宋体" w:cs="Times New Roman"/>
                <w:sz w:val="24"/>
                <w:szCs w:val="24"/>
                <w:lang w:val="en-US" w:eastAsia="zh-CN"/>
              </w:rPr>
              <w:t>00h</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（2）劳动定员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本项目</w:t>
            </w:r>
            <w:r>
              <w:rPr>
                <w:rFonts w:hint="eastAsia" w:cs="Times New Roman"/>
                <w:b w:val="0"/>
                <w:bCs/>
                <w:sz w:val="24"/>
                <w:szCs w:val="24"/>
                <w:lang w:val="en-US" w:eastAsia="zh-CN"/>
              </w:rPr>
              <w:t>职工定员20人</w:t>
            </w:r>
            <w:r>
              <w:rPr>
                <w:rFonts w:hint="default" w:ascii="Times New Roman" w:hAnsi="Times New Roman" w:eastAsia="宋体" w:cs="Times New Roman"/>
                <w:b w:val="0"/>
                <w:bCs/>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9、</w:t>
            </w:r>
            <w:r>
              <w:rPr>
                <w:rFonts w:hint="default" w:ascii="Times New Roman" w:hAnsi="Times New Roman" w:eastAsia="宋体" w:cs="Times New Roman"/>
                <w:b/>
                <w:sz w:val="24"/>
                <w:szCs w:val="24"/>
              </w:rPr>
              <w:t>项目选址及平面布置</w:t>
            </w:r>
          </w:p>
          <w:p>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outlineLvl w:val="9"/>
              <w:rPr>
                <w:rFonts w:hint="default" w:ascii="Times New Roman" w:hAnsi="Times New Roman" w:eastAsia="宋体" w:cs="Times New Roman"/>
                <w:b w:val="0"/>
                <w:bCs/>
                <w:i w:val="0"/>
                <w:iCs w:val="0"/>
                <w:color w:val="auto"/>
                <w:sz w:val="24"/>
                <w:szCs w:val="24"/>
                <w:highlight w:val="none"/>
                <w:u w:val="none"/>
              </w:rPr>
            </w:pPr>
            <w:r>
              <w:rPr>
                <w:rFonts w:hint="eastAsia" w:cs="Times New Roman"/>
                <w:b w:val="0"/>
                <w:bCs/>
                <w:i w:val="0"/>
                <w:iCs w:val="0"/>
                <w:color w:val="auto"/>
                <w:sz w:val="24"/>
                <w:u w:val="none"/>
                <w:lang w:eastAsia="zh-CN"/>
              </w:rPr>
              <w:t>新乡县市场监督管理局</w:t>
            </w:r>
            <w:r>
              <w:rPr>
                <w:rFonts w:hint="default" w:ascii="Times New Roman" w:hAnsi="Times New Roman" w:eastAsia="宋体" w:cs="Times New Roman"/>
                <w:b w:val="0"/>
                <w:bCs/>
                <w:i w:val="0"/>
                <w:iCs w:val="0"/>
                <w:color w:val="auto"/>
                <w:sz w:val="24"/>
                <w:u w:val="none"/>
              </w:rPr>
              <w:t>位于</w:t>
            </w:r>
            <w:r>
              <w:rPr>
                <w:rFonts w:hint="eastAsia" w:cs="Times New Roman"/>
                <w:b w:val="0"/>
                <w:bCs/>
                <w:i w:val="0"/>
                <w:iCs w:val="0"/>
                <w:color w:val="auto"/>
                <w:sz w:val="24"/>
                <w:u w:val="none"/>
                <w:lang w:eastAsia="zh-CN"/>
              </w:rPr>
              <w:t>新乡县中央大道与民乐路交叉口东北角民乐路一号（新乡县市场监督管理局院内）</w:t>
            </w:r>
            <w:r>
              <w:rPr>
                <w:rFonts w:hint="default" w:ascii="Times New Roman" w:hAnsi="Times New Roman" w:eastAsia="宋体" w:cs="Times New Roman"/>
                <w:b w:val="0"/>
                <w:bCs/>
                <w:i w:val="0"/>
                <w:iCs w:val="0"/>
                <w:color w:val="auto"/>
                <w:sz w:val="24"/>
                <w:u w:val="none"/>
                <w:lang w:eastAsia="zh-CN"/>
              </w:rPr>
              <w:t>（项目地理位置图见附图</w:t>
            </w:r>
            <w:r>
              <w:rPr>
                <w:rFonts w:hint="default" w:ascii="Times New Roman" w:hAnsi="Times New Roman" w:eastAsia="宋体" w:cs="Times New Roman"/>
                <w:b w:val="0"/>
                <w:bCs/>
                <w:i w:val="0"/>
                <w:iCs w:val="0"/>
                <w:color w:val="auto"/>
                <w:sz w:val="24"/>
                <w:u w:val="none"/>
                <w:lang w:val="en-US" w:eastAsia="zh-CN"/>
              </w:rPr>
              <w:t>1</w:t>
            </w:r>
            <w:r>
              <w:rPr>
                <w:rFonts w:hint="default" w:ascii="Times New Roman" w:hAnsi="Times New Roman" w:eastAsia="宋体" w:cs="Times New Roman"/>
                <w:b w:val="0"/>
                <w:bCs/>
                <w:i w:val="0"/>
                <w:iCs w:val="0"/>
                <w:color w:val="auto"/>
                <w:sz w:val="24"/>
                <w:u w:val="none"/>
                <w:lang w:eastAsia="zh-CN"/>
              </w:rPr>
              <w:t>）</w:t>
            </w:r>
            <w:r>
              <w:rPr>
                <w:rFonts w:hint="default" w:ascii="Times New Roman" w:hAnsi="Times New Roman" w:eastAsia="宋体" w:cs="Times New Roman"/>
                <w:b w:val="0"/>
                <w:bCs/>
                <w:i w:val="0"/>
                <w:iCs w:val="0"/>
                <w:color w:val="auto"/>
                <w:sz w:val="24"/>
                <w:u w:val="none"/>
              </w:rPr>
              <w:t>，根据现场踏勘，项目</w:t>
            </w:r>
            <w:r>
              <w:rPr>
                <w:rFonts w:hint="default" w:ascii="Times New Roman" w:hAnsi="Times New Roman" w:eastAsia="宋体" w:cs="Times New Roman"/>
                <w:b w:val="0"/>
                <w:bCs/>
                <w:i w:val="0"/>
                <w:iCs w:val="0"/>
                <w:color w:val="auto"/>
                <w:sz w:val="24"/>
                <w:u w:val="none"/>
                <w:lang w:eastAsia="zh-CN"/>
              </w:rPr>
              <w:t>东侧为</w:t>
            </w:r>
            <w:r>
              <w:rPr>
                <w:rFonts w:hint="eastAsia" w:cs="Times New Roman"/>
                <w:b w:val="0"/>
                <w:bCs/>
                <w:i w:val="0"/>
                <w:iCs w:val="0"/>
                <w:color w:val="auto"/>
                <w:sz w:val="24"/>
                <w:u w:val="none"/>
                <w:lang w:val="en-US" w:eastAsia="zh-CN"/>
              </w:rPr>
              <w:t>新乡县税务局</w:t>
            </w:r>
            <w:r>
              <w:rPr>
                <w:rFonts w:hint="default" w:ascii="Times New Roman" w:hAnsi="Times New Roman" w:eastAsia="宋体" w:cs="Times New Roman"/>
                <w:b w:val="0"/>
                <w:bCs/>
                <w:i w:val="0"/>
                <w:iCs w:val="0"/>
                <w:color w:val="auto"/>
                <w:sz w:val="24"/>
                <w:u w:val="none"/>
                <w:lang w:eastAsia="zh-CN"/>
              </w:rPr>
              <w:t>，</w:t>
            </w:r>
            <w:r>
              <w:rPr>
                <w:rFonts w:hint="default" w:ascii="Times New Roman" w:hAnsi="Times New Roman" w:eastAsia="宋体" w:cs="Times New Roman"/>
                <w:b w:val="0"/>
                <w:bCs/>
                <w:i w:val="0"/>
                <w:iCs w:val="0"/>
                <w:color w:val="auto"/>
                <w:sz w:val="24"/>
                <w:u w:val="none"/>
              </w:rPr>
              <w:t>南</w:t>
            </w:r>
            <w:r>
              <w:rPr>
                <w:rFonts w:hint="eastAsia" w:cs="Times New Roman"/>
                <w:b w:val="0"/>
                <w:bCs/>
                <w:i w:val="0"/>
                <w:iCs w:val="0"/>
                <w:color w:val="auto"/>
                <w:sz w:val="24"/>
                <w:u w:val="none"/>
                <w:lang w:val="en-US" w:eastAsia="zh-CN"/>
              </w:rPr>
              <w:t>隔民乐路</w:t>
            </w:r>
            <w:r>
              <w:rPr>
                <w:rFonts w:hint="default" w:ascii="Times New Roman" w:hAnsi="Times New Roman" w:eastAsia="宋体" w:cs="Times New Roman"/>
                <w:b w:val="0"/>
                <w:bCs/>
                <w:i w:val="0"/>
                <w:iCs w:val="0"/>
                <w:color w:val="auto"/>
                <w:sz w:val="24"/>
                <w:u w:val="none"/>
                <w:lang w:eastAsia="zh-CN"/>
              </w:rPr>
              <w:t>为</w:t>
            </w:r>
            <w:r>
              <w:rPr>
                <w:rFonts w:hint="eastAsia" w:cs="Times New Roman"/>
                <w:b w:val="0"/>
                <w:bCs/>
                <w:i w:val="0"/>
                <w:iCs w:val="0"/>
                <w:color w:val="auto"/>
                <w:sz w:val="24"/>
                <w:u w:val="none"/>
                <w:lang w:val="en-US" w:eastAsia="zh-CN"/>
              </w:rPr>
              <w:t>新乡县电业局</w:t>
            </w:r>
            <w:r>
              <w:rPr>
                <w:rFonts w:hint="default" w:ascii="Times New Roman" w:hAnsi="Times New Roman" w:eastAsia="宋体" w:cs="Times New Roman"/>
                <w:b w:val="0"/>
                <w:bCs/>
                <w:i w:val="0"/>
                <w:iCs w:val="0"/>
                <w:color w:val="auto"/>
                <w:sz w:val="24"/>
                <w:u w:val="none"/>
                <w:lang w:eastAsia="zh-CN"/>
              </w:rPr>
              <w:t>，西侧为</w:t>
            </w:r>
            <w:r>
              <w:rPr>
                <w:rFonts w:hint="eastAsia" w:cs="Times New Roman"/>
                <w:b w:val="0"/>
                <w:bCs/>
                <w:i w:val="0"/>
                <w:iCs w:val="0"/>
                <w:color w:val="auto"/>
                <w:sz w:val="24"/>
                <w:u w:val="none"/>
                <w:lang w:val="en-US" w:eastAsia="zh-CN"/>
              </w:rPr>
              <w:t>中央大道</w:t>
            </w:r>
            <w:r>
              <w:rPr>
                <w:rFonts w:hint="default" w:ascii="Times New Roman" w:hAnsi="Times New Roman" w:eastAsia="宋体" w:cs="Times New Roman"/>
                <w:b w:val="0"/>
                <w:bCs/>
                <w:i w:val="0"/>
                <w:iCs w:val="0"/>
                <w:color w:val="auto"/>
                <w:sz w:val="24"/>
                <w:u w:val="none"/>
                <w:lang w:val="en-US" w:eastAsia="zh-CN"/>
              </w:rPr>
              <w:t>，</w:t>
            </w:r>
            <w:r>
              <w:rPr>
                <w:rFonts w:hint="default" w:ascii="Times New Roman" w:hAnsi="Times New Roman" w:eastAsia="宋体" w:cs="Times New Roman"/>
                <w:b w:val="0"/>
                <w:bCs/>
                <w:i w:val="0"/>
                <w:iCs w:val="0"/>
                <w:color w:val="auto"/>
                <w:sz w:val="24"/>
                <w:u w:val="none"/>
                <w:lang w:eastAsia="zh-CN"/>
              </w:rPr>
              <w:t>北侧</w:t>
            </w:r>
            <w:r>
              <w:rPr>
                <w:rFonts w:hint="default" w:ascii="Times New Roman" w:hAnsi="Times New Roman" w:eastAsia="宋体" w:cs="Times New Roman"/>
                <w:b w:val="0"/>
                <w:bCs/>
                <w:i w:val="0"/>
                <w:iCs w:val="0"/>
                <w:color w:val="auto"/>
                <w:sz w:val="24"/>
                <w:szCs w:val="24"/>
                <w:u w:val="none"/>
                <w:lang w:eastAsia="zh-CN"/>
              </w:rPr>
              <w:t>为</w:t>
            </w:r>
            <w:r>
              <w:rPr>
                <w:rFonts w:hint="eastAsia" w:cs="Times New Roman"/>
                <w:sz w:val="24"/>
                <w:szCs w:val="24"/>
                <w:vertAlign w:val="baseline"/>
                <w:lang w:val="en-US" w:eastAsia="zh-CN"/>
              </w:rPr>
              <w:t>新乡新中农商银行</w:t>
            </w:r>
            <w:r>
              <w:rPr>
                <w:rFonts w:hint="default" w:ascii="Times New Roman" w:hAnsi="Times New Roman" w:eastAsia="宋体" w:cs="Times New Roman"/>
                <w:b w:val="0"/>
                <w:bCs/>
                <w:i w:val="0"/>
                <w:iCs w:val="0"/>
                <w:color w:val="auto"/>
                <w:sz w:val="24"/>
                <w:szCs w:val="24"/>
                <w:u w:val="none"/>
                <w:lang w:eastAsia="zh-CN"/>
              </w:rPr>
              <w:t>。</w:t>
            </w:r>
            <w:r>
              <w:rPr>
                <w:rFonts w:hint="default" w:ascii="Times New Roman" w:hAnsi="Times New Roman" w:eastAsia="宋体" w:cs="Times New Roman"/>
                <w:b w:val="0"/>
                <w:bCs/>
                <w:i w:val="0"/>
                <w:iCs w:val="0"/>
                <w:color w:val="auto"/>
                <w:sz w:val="24"/>
                <w:szCs w:val="24"/>
                <w:u w:val="none"/>
              </w:rPr>
              <w:t>项目</w:t>
            </w:r>
            <w:r>
              <w:rPr>
                <w:rFonts w:hint="default" w:ascii="Times New Roman" w:hAnsi="Times New Roman" w:eastAsia="宋体" w:cs="Times New Roman"/>
                <w:b w:val="0"/>
                <w:bCs/>
                <w:i w:val="0"/>
                <w:iCs w:val="0"/>
                <w:color w:val="auto"/>
                <w:sz w:val="24"/>
                <w:szCs w:val="24"/>
                <w:u w:val="none"/>
                <w:lang w:eastAsia="zh-CN"/>
              </w:rPr>
              <w:t>周围敏感点为：</w:t>
            </w:r>
            <w:r>
              <w:rPr>
                <w:rFonts w:hint="eastAsia" w:cs="Times New Roman"/>
                <w:b w:val="0"/>
                <w:bCs/>
                <w:i w:val="0"/>
                <w:iCs w:val="0"/>
                <w:color w:val="auto"/>
                <w:sz w:val="24"/>
                <w:szCs w:val="24"/>
                <w:u w:val="none"/>
                <w:lang w:val="en-US" w:eastAsia="zh-CN"/>
              </w:rPr>
              <w:t>东侧10m处的新乡县税务局、南侧115m处的新乡县电业局、东侧164m处的新乡县交通局、东侧174m处的新乡县药监局、东北286m处的新乡县税务局、北侧301m处的新乡县政府，西北190m处的新城世纪花园、东南453m处的杨屯村</w:t>
            </w:r>
            <w:r>
              <w:rPr>
                <w:rFonts w:hint="default" w:ascii="Times New Roman" w:hAnsi="Times New Roman" w:eastAsia="宋体" w:cs="Times New Roman"/>
                <w:b w:val="0"/>
                <w:bCs/>
                <w:i w:val="0"/>
                <w:iCs w:val="0"/>
                <w:color w:val="auto"/>
                <w:sz w:val="24"/>
                <w:szCs w:val="24"/>
                <w:u w:val="none"/>
                <w:lang w:val="en-US" w:eastAsia="zh-CN"/>
              </w:rPr>
              <w:t>（项目周边敏感点见附图</w:t>
            </w:r>
            <w:r>
              <w:rPr>
                <w:rFonts w:hint="default" w:ascii="Times New Roman" w:hAnsi="Times New Roman" w:eastAsia="宋体" w:cs="Times New Roman"/>
                <w:b w:val="0"/>
                <w:bCs/>
                <w:i w:val="0"/>
                <w:iCs w:val="0"/>
                <w:color w:val="auto"/>
                <w:sz w:val="24"/>
                <w:u w:val="none"/>
                <w:lang w:val="en-US" w:eastAsia="zh-CN"/>
              </w:rPr>
              <w:t>4）。</w:t>
            </w:r>
            <w:r>
              <w:rPr>
                <w:rFonts w:hint="default" w:ascii="Times New Roman" w:hAnsi="Times New Roman" w:eastAsia="宋体" w:cs="Times New Roman"/>
                <w:b w:val="0"/>
                <w:bCs/>
                <w:i w:val="0"/>
                <w:iCs w:val="0"/>
                <w:color w:val="auto"/>
                <w:sz w:val="24"/>
                <w:u w:val="none"/>
              </w:rPr>
              <w:t>距离本项目最近的地表水体为</w:t>
            </w:r>
            <w:r>
              <w:rPr>
                <w:rFonts w:hint="default" w:ascii="Times New Roman" w:hAnsi="Times New Roman" w:eastAsia="宋体" w:cs="Times New Roman"/>
                <w:b w:val="0"/>
                <w:bCs/>
                <w:i w:val="0"/>
                <w:iCs w:val="0"/>
                <w:color w:val="auto"/>
                <w:sz w:val="24"/>
                <w:u w:val="none"/>
                <w:lang w:eastAsia="zh-CN"/>
              </w:rPr>
              <w:t>南</w:t>
            </w:r>
            <w:r>
              <w:rPr>
                <w:rFonts w:hint="default" w:ascii="Times New Roman" w:hAnsi="Times New Roman" w:eastAsia="宋体" w:cs="Times New Roman"/>
                <w:b w:val="0"/>
                <w:bCs/>
                <w:i w:val="0"/>
                <w:iCs w:val="0"/>
                <w:color w:val="auto"/>
                <w:sz w:val="24"/>
                <w:u w:val="none"/>
              </w:rPr>
              <w:t>侧</w:t>
            </w:r>
            <w:r>
              <w:rPr>
                <w:rFonts w:hint="eastAsia" w:cs="Times New Roman"/>
                <w:b w:val="0"/>
                <w:bCs/>
                <w:i w:val="0"/>
                <w:iCs w:val="0"/>
                <w:color w:val="auto"/>
                <w:sz w:val="24"/>
                <w:u w:val="none"/>
                <w:lang w:val="en-US" w:eastAsia="zh-CN"/>
              </w:rPr>
              <w:t>337</w:t>
            </w:r>
            <w:r>
              <w:rPr>
                <w:rFonts w:hint="default" w:ascii="Times New Roman" w:hAnsi="Times New Roman" w:eastAsia="宋体" w:cs="Times New Roman"/>
                <w:b w:val="0"/>
                <w:bCs/>
                <w:i w:val="0"/>
                <w:iCs w:val="0"/>
                <w:color w:val="auto"/>
                <w:sz w:val="24"/>
                <w:u w:val="none"/>
              </w:rPr>
              <w:t>m处的</w:t>
            </w:r>
            <w:r>
              <w:rPr>
                <w:rFonts w:hint="eastAsia" w:cs="Times New Roman"/>
                <w:b w:val="0"/>
                <w:bCs/>
                <w:i w:val="0"/>
                <w:iCs w:val="0"/>
                <w:color w:val="auto"/>
                <w:sz w:val="24"/>
                <w:u w:val="none"/>
                <w:lang w:val="en-US" w:eastAsia="zh-CN"/>
              </w:rPr>
              <w:t>人民胜利渠，最近的纳污水体为东3.5km处的东孟姜女河</w:t>
            </w:r>
            <w:r>
              <w:rPr>
                <w:rFonts w:hint="default" w:ascii="Times New Roman" w:hAnsi="Times New Roman" w:eastAsia="宋体" w:cs="Times New Roman"/>
                <w:b w:val="0"/>
                <w:bCs/>
                <w:i w:val="0"/>
                <w:iCs w:val="0"/>
                <w:color w:val="auto"/>
                <w:sz w:val="24"/>
                <w:szCs w:val="24"/>
                <w:u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sz w:val="24"/>
                <w:szCs w:val="24"/>
                <w:lang w:val="en-US" w:eastAsia="zh-CN"/>
              </w:rPr>
            </w:pPr>
            <w:r>
              <w:rPr>
                <w:rFonts w:hint="eastAsia" w:cs="Times New Roman"/>
                <w:sz w:val="24"/>
                <w:lang w:val="en-US" w:eastAsia="zh-CN"/>
              </w:rPr>
              <w:t>项目</w:t>
            </w:r>
            <w:r>
              <w:rPr>
                <w:rFonts w:hint="default" w:ascii="Times New Roman" w:hAnsi="Times New Roman" w:eastAsia="宋体" w:cs="Times New Roman"/>
                <w:sz w:val="24"/>
              </w:rPr>
              <w:t>平面布局能够实现人流、物流分开，物料转运流畅，布局较为合理</w:t>
            </w:r>
            <w:r>
              <w:rPr>
                <w:rFonts w:hint="default" w:ascii="Times New Roman" w:hAnsi="Times New Roman" w:eastAsia="宋体" w:cs="Times New Roman"/>
                <w:sz w:val="24"/>
                <w:lang w:val="en-US" w:eastAsia="zh-CN"/>
              </w:rPr>
              <w:t>（平面布置图见附图</w:t>
            </w:r>
            <w:r>
              <w:rPr>
                <w:rFonts w:hint="eastAsia" w:cs="Times New Roman"/>
                <w:sz w:val="24"/>
                <w:lang w:val="en-US" w:eastAsia="zh-CN"/>
              </w:rPr>
              <w:t>5</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default" w:ascii="Times New Roman" w:hAnsi="Times New Roman" w:eastAsia="宋体"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default" w:ascii="Times New Roman" w:hAnsi="Times New Roman" w:eastAsia="宋体" w:cs="Times New Roman"/>
                <w:bCs/>
                <w:kern w:val="2"/>
                <w:sz w:val="21"/>
                <w:szCs w:val="21"/>
                <w:lang w:val="en-US" w:eastAsia="zh-CN" w:bidi="ar-SA"/>
              </w:rPr>
            </w:pPr>
          </w:p>
        </w:tc>
      </w:tr>
    </w:tbl>
    <w:tbl>
      <w:tblPr>
        <w:tblStyle w:val="30"/>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9" w:hRule="atLeast"/>
          <w:jc w:val="center"/>
        </w:trPr>
        <w:tc>
          <w:tcPr>
            <w:tcW w:w="823" w:type="dxa"/>
            <w:noWrap w:val="0"/>
            <w:vAlign w:val="center"/>
          </w:tcPr>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工艺流程和产排污环节</w:t>
            </w:r>
          </w:p>
        </w:tc>
        <w:tc>
          <w:tcPr>
            <w:tcW w:w="8161" w:type="dxa"/>
            <w:noWrap w:val="0"/>
            <w:vAlign w:val="top"/>
          </w:tcPr>
          <w:p>
            <w:pPr>
              <w:pStyle w:val="1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eastAsia="zh-CN"/>
              </w:rPr>
              <w:t>施工</w:t>
            </w:r>
            <w:r>
              <w:rPr>
                <w:rFonts w:hint="default" w:ascii="Times New Roman" w:hAnsi="Times New Roman" w:eastAsia="宋体" w:cs="Times New Roman"/>
                <w:b/>
                <w:bCs/>
                <w:sz w:val="24"/>
                <w:szCs w:val="24"/>
              </w:rPr>
              <w:t>期工程分析</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191135</wp:posOffset>
                  </wp:positionH>
                  <wp:positionV relativeFrom="paragraph">
                    <wp:posOffset>1189355</wp:posOffset>
                  </wp:positionV>
                  <wp:extent cx="4881245" cy="2047875"/>
                  <wp:effectExtent l="0" t="0" r="14605" b="9525"/>
                  <wp:wrapNone/>
                  <wp:docPr id="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9"/>
                          <pic:cNvPicPr>
                            <a:picLocks noChangeAspect="1"/>
                          </pic:cNvPicPr>
                        </pic:nvPicPr>
                        <pic:blipFill>
                          <a:blip r:embed="rId19"/>
                          <a:stretch>
                            <a:fillRect/>
                          </a:stretch>
                        </pic:blipFill>
                        <pic:spPr>
                          <a:xfrm>
                            <a:off x="0" y="0"/>
                            <a:ext cx="4881245" cy="2047875"/>
                          </a:xfrm>
                          <a:prstGeom prst="rect">
                            <a:avLst/>
                          </a:prstGeom>
                          <a:noFill/>
                          <a:ln>
                            <a:noFill/>
                          </a:ln>
                        </pic:spPr>
                      </pic:pic>
                    </a:graphicData>
                  </a:graphic>
                </wp:anchor>
              </w:drawing>
            </w:r>
            <w:r>
              <w:rPr>
                <w:rFonts w:ascii="宋体" w:hAnsi="宋体" w:eastAsia="宋体" w:cs="宋体"/>
                <w:spacing w:val="-4"/>
                <w:sz w:val="24"/>
                <w:szCs w:val="24"/>
              </w:rPr>
              <w:t>本项目</w:t>
            </w:r>
            <w:r>
              <w:rPr>
                <w:rFonts w:hint="eastAsia" w:hAnsi="宋体" w:cs="宋体"/>
                <w:spacing w:val="-4"/>
                <w:sz w:val="24"/>
                <w:szCs w:val="24"/>
                <w:lang w:val="en-US" w:eastAsia="zh-CN"/>
              </w:rPr>
              <w:t>在</w:t>
            </w:r>
            <w:r>
              <w:rPr>
                <w:rFonts w:hint="eastAsia" w:cs="Times New Roman"/>
                <w:b w:val="0"/>
                <w:bCs/>
                <w:i w:val="0"/>
                <w:iCs w:val="0"/>
                <w:color w:val="auto"/>
                <w:sz w:val="24"/>
                <w:u w:val="none"/>
                <w:lang w:eastAsia="zh-CN"/>
              </w:rPr>
              <w:t>新乡县市场监督管理局</w:t>
            </w:r>
            <w:r>
              <w:rPr>
                <w:rFonts w:hint="eastAsia" w:cs="Times New Roman"/>
                <w:b w:val="0"/>
                <w:bCs/>
                <w:i w:val="0"/>
                <w:iCs w:val="0"/>
                <w:color w:val="auto"/>
                <w:sz w:val="24"/>
                <w:u w:val="none"/>
                <w:lang w:val="en-US" w:eastAsia="zh-CN"/>
              </w:rPr>
              <w:t>院内北侧新建一座</w:t>
            </w:r>
            <w:r>
              <w:rPr>
                <w:rFonts w:hint="default" w:ascii="Times New Roman" w:hAnsi="Times New Roman" w:cs="Times New Roman"/>
                <w:b w:val="0"/>
                <w:bCs/>
                <w:i w:val="0"/>
                <w:iCs w:val="0"/>
                <w:color w:val="auto"/>
                <w:sz w:val="24"/>
                <w:u w:val="none"/>
                <w:lang w:val="en-US" w:eastAsia="zh-CN"/>
              </w:rPr>
              <w:t>5</w:t>
            </w:r>
            <w:r>
              <w:rPr>
                <w:rFonts w:hint="eastAsia" w:cs="Times New Roman"/>
                <w:b w:val="0"/>
                <w:bCs/>
                <w:i w:val="0"/>
                <w:iCs w:val="0"/>
                <w:color w:val="auto"/>
                <w:sz w:val="24"/>
                <w:u w:val="none"/>
                <w:lang w:val="en-US" w:eastAsia="zh-CN"/>
              </w:rPr>
              <w:t>层实验楼</w:t>
            </w:r>
            <w:r>
              <w:rPr>
                <w:rFonts w:ascii="宋体" w:hAnsi="宋体" w:eastAsia="宋体" w:cs="宋体"/>
                <w:spacing w:val="-4"/>
                <w:sz w:val="24"/>
                <w:szCs w:val="24"/>
              </w:rPr>
              <w:t>，</w:t>
            </w:r>
            <w:r>
              <w:rPr>
                <w:rFonts w:hint="default" w:ascii="Times New Roman" w:hAnsi="Times New Roman" w:eastAsia="宋体" w:cs="Times New Roman"/>
                <w:color w:val="000000"/>
                <w:sz w:val="24"/>
                <w:szCs w:val="24"/>
              </w:rPr>
              <w:t>施工期间的基础工程、主体工程、装修工程、设备安装、工程验收等建设工序将产生噪声、扬尘、固体废弃物、少量污水等污染物</w:t>
            </w:r>
            <w:r>
              <w:rPr>
                <w:rFonts w:hint="default" w:ascii="Times New Roman" w:hAnsi="Times New Roman" w:eastAsia="宋体" w:cs="Times New Roman"/>
                <w:color w:val="000000"/>
                <w:sz w:val="24"/>
                <w:szCs w:val="24"/>
                <w:lang w:eastAsia="zh-CN"/>
              </w:rPr>
              <w:t>，施工期工艺流程及产污环节见下图。</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562" w:firstLineChars="200"/>
              <w:textAlignment w:val="auto"/>
              <w:rPr>
                <w:rFonts w:hint="default" w:ascii="Times New Roman" w:hAnsi="Times New Roman" w:eastAsia="宋体" w:cs="Times New Roman"/>
                <w:b/>
                <w:color w:val="000000"/>
                <w:sz w:val="28"/>
              </w:rPr>
            </w:pPr>
          </w:p>
          <w:p>
            <w:pPr>
              <w:pStyle w:val="2"/>
              <w:keepLines w:val="0"/>
              <w:suppressLineNumbers w:val="0"/>
              <w:spacing w:beforeAutospacing="0" w:afterAutospacing="0"/>
              <w:ind w:right="0"/>
              <w:rPr>
                <w:rFonts w:hint="default" w:ascii="Times New Roman" w:hAnsi="Times New Roman" w:eastAsia="宋体" w:cs="Times New Roman"/>
                <w:color w:val="000000"/>
                <w:sz w:val="24"/>
                <w:szCs w:val="24"/>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4"/>
                <w:szCs w:val="24"/>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                                                                                                                                                                                                                                                                                                                                                                                                                                                                                                                                                                                                                                                                                                                                                                                                                                                                         </w:t>
            </w:r>
          </w:p>
          <w:p>
            <w:pPr>
              <w:pStyle w:val="2"/>
              <w:keepLines w:val="0"/>
              <w:suppressLineNumbers w:val="0"/>
              <w:spacing w:beforeAutospacing="0" w:afterAutospacing="0"/>
              <w:ind w:left="0" w:leftChars="0" w:right="0" w:firstLine="0" w:firstLineChars="0"/>
              <w:rPr>
                <w:rFonts w:hint="default" w:ascii="Times New Roman" w:hAnsi="Times New Roman" w:cs="Times New Roma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2640" w:firstLineChars="1100"/>
              <w:jc w:val="both"/>
              <w:textAlignment w:val="auto"/>
              <w:rPr>
                <w:rFonts w:hint="default" w:ascii="Times New Roman" w:hAnsi="Times New Roman" w:eastAsia="黑体" w:cs="Times New Roman"/>
                <w:color w:val="auto"/>
                <w:sz w:val="24"/>
                <w:lang w:val="en-US" w:eastAsia="zh-CN"/>
              </w:rPr>
            </w:pPr>
          </w:p>
          <w:p>
            <w:pPr>
              <w:keepNext w:val="0"/>
              <w:keepLines w:val="0"/>
              <w:suppressLineNumbers w:val="0"/>
              <w:adjustRightInd w:val="0"/>
              <w:snapToGrid w:val="0"/>
              <w:spacing w:before="0" w:beforeAutospacing="0" w:after="0" w:afterAutospacing="0" w:line="460" w:lineRule="exact"/>
              <w:ind w:left="0" w:right="0"/>
              <w:jc w:val="both"/>
              <w:textAlignment w:val="baseline"/>
              <w:rPr>
                <w:rFonts w:hint="default" w:ascii="Times New Roman" w:hAnsi="Times New Roman" w:eastAsia="黑体" w:cs="Times New Roman"/>
                <w:color w:val="auto"/>
                <w:sz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center"/>
              <w:textAlignment w:val="baseline"/>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color w:val="auto"/>
                <w:sz w:val="24"/>
                <w:lang w:val="en-US" w:eastAsia="zh-CN"/>
              </w:rPr>
              <w:t xml:space="preserve">图2  </w:t>
            </w:r>
            <w:r>
              <w:rPr>
                <w:rFonts w:hint="eastAsia" w:cs="Times New Roman"/>
                <w:b/>
                <w:bCs/>
                <w:color w:val="auto"/>
                <w:sz w:val="24"/>
                <w:lang w:val="en-US" w:eastAsia="zh-CN"/>
              </w:rPr>
              <w:t xml:space="preserve"> </w:t>
            </w:r>
            <w:r>
              <w:rPr>
                <w:rFonts w:hint="default" w:ascii="Times New Roman" w:hAnsi="Times New Roman" w:eastAsia="宋体" w:cs="Times New Roman"/>
                <w:b/>
                <w:bCs/>
                <w:color w:val="auto"/>
                <w:sz w:val="24"/>
                <w:lang w:val="en-US" w:eastAsia="zh-CN"/>
              </w:rPr>
              <w:t>施工期工艺及产污环节图</w:t>
            </w:r>
          </w:p>
          <w:p>
            <w:pPr>
              <w:pStyle w:val="1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eastAsia="zh-CN"/>
              </w:rPr>
              <w:t>营运期</w:t>
            </w:r>
            <w:r>
              <w:rPr>
                <w:rFonts w:hint="default" w:ascii="Times New Roman" w:hAnsi="Times New Roman" w:eastAsia="宋体" w:cs="Times New Roman"/>
                <w:b/>
                <w:bCs/>
                <w:sz w:val="24"/>
                <w:szCs w:val="24"/>
              </w:rPr>
              <w:t>工程分析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eastAsia"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本项目主要为样本监测</w:t>
            </w:r>
            <w:r>
              <w:rPr>
                <w:rFonts w:hint="default" w:ascii="Times New Roman" w:hAnsi="Times New Roman" w:eastAsia="宋体" w:cs="Times New Roman"/>
                <w:b w:val="0"/>
                <w:bCs/>
                <w:color w:val="auto"/>
                <w:sz w:val="24"/>
                <w:szCs w:val="24"/>
                <w:lang w:val="en-US" w:eastAsia="zh-CN"/>
              </w:rPr>
              <w:t>，运营期工艺流程及产污环节见下图。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left"/>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2.1</w:t>
            </w:r>
            <w:r>
              <w:rPr>
                <w:rFonts w:hint="eastAsia" w:cs="Times New Roman"/>
                <w:b/>
                <w:color w:val="auto"/>
                <w:sz w:val="24"/>
                <w:szCs w:val="24"/>
                <w:lang w:val="en-US" w:eastAsia="zh-CN"/>
              </w:rPr>
              <w:t>理化实验</w:t>
            </w:r>
            <w:r>
              <w:rPr>
                <w:rFonts w:hint="eastAsia" w:ascii="Times New Roman" w:hAnsi="Times New Roman" w:eastAsia="宋体" w:cs="Times New Roman"/>
                <w:b/>
                <w:color w:val="auto"/>
                <w:sz w:val="24"/>
                <w:szCs w:val="24"/>
                <w:lang w:val="en-US" w:eastAsia="zh-CN"/>
              </w:rPr>
              <w:t>工艺流程及产污环节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pict>
                <v:shape id="Object 402" o:spid="_x0000_s2450" o:spt="75" type="#_x0000_t75" style="position:absolute;left:0pt;margin-left:35.2pt;margin-top:8.15pt;height:166.5pt;width:319.75pt;z-index:251660288;mso-width-relative:page;mso-height-relative:page;" o:ole="t" filled="f" o:preferrelative="t" stroked="f" coordsize="21600,21600">
                  <v:path/>
                  <v:fill on="f" focussize="0,0"/>
                  <v:stroke on="f"/>
                  <v:imagedata r:id="rId21" croptop="12885f" cropright="-185f" cropbottom="21353f" o:title=""/>
                  <o:lock v:ext="edit" aspectratio="f"/>
                </v:shape>
                <o:OLEObject Type="Embed" ProgID="Visio.Drawing.11" ShapeID="Object 402" DrawAspect="Content" ObjectID="_1468075726" r:id="rId20">
                  <o:LockedField>false</o:LockedField>
                </o:OLEObject>
              </w:pi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jc w:val="left"/>
              <w:textAlignment w:val="auto"/>
              <w:rPr>
                <w:rFonts w:hint="default" w:ascii="Times New Roman" w:hAnsi="Times New Roman" w:eastAsia="黑体" w:cs="Times New Roman"/>
                <w:b w:val="0"/>
                <w:bCs/>
                <w:color w:val="auto"/>
                <w:sz w:val="24"/>
                <w:szCs w:val="24"/>
                <w:lang w:val="en-US" w:eastAsia="zh-CN"/>
              </w:rPr>
            </w:pPr>
          </w:p>
          <w:p>
            <w:pPr>
              <w:pStyle w:val="2"/>
              <w:keepLines w:val="0"/>
              <w:suppressLineNumbers w:val="0"/>
              <w:spacing w:beforeAutospacing="0" w:afterAutospacing="0"/>
              <w:ind w:left="0" w:leftChars="0" w:right="0" w:firstLine="482" w:firstLineChars="200"/>
              <w:jc w:val="center"/>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color w:val="000000"/>
                <w:sz w:val="24"/>
                <w:szCs w:val="22"/>
                <w:lang w:val="en-US" w:eastAsia="zh-CN"/>
              </w:rPr>
              <w:t>图</w:t>
            </w:r>
            <w:r>
              <w:rPr>
                <w:rFonts w:hint="eastAsia" w:eastAsia="宋体" w:cs="Times New Roman"/>
                <w:b/>
                <w:color w:val="000000"/>
                <w:sz w:val="24"/>
                <w:szCs w:val="22"/>
                <w:lang w:val="en-US" w:eastAsia="zh-CN"/>
              </w:rPr>
              <w:t>3</w:t>
            </w:r>
            <w:r>
              <w:rPr>
                <w:rFonts w:hint="eastAsia" w:ascii="Times New Roman" w:hAnsi="Times New Roman" w:eastAsia="宋体" w:cs="Times New Roman"/>
                <w:b/>
                <w:color w:val="000000"/>
                <w:sz w:val="24"/>
                <w:szCs w:val="22"/>
                <w:lang w:val="en-US" w:eastAsia="zh-CN"/>
              </w:rPr>
              <w:t xml:space="preserve">  </w:t>
            </w:r>
            <w:r>
              <w:rPr>
                <w:rFonts w:hint="eastAsia" w:eastAsia="宋体" w:cs="Times New Roman"/>
                <w:b/>
                <w:color w:val="000000"/>
                <w:sz w:val="24"/>
                <w:szCs w:val="22"/>
                <w:lang w:val="en-US" w:eastAsia="zh-CN"/>
              </w:rPr>
              <w:t xml:space="preserve"> 理化实验</w:t>
            </w:r>
            <w:r>
              <w:rPr>
                <w:rFonts w:hint="eastAsia" w:ascii="Times New Roman" w:hAnsi="Times New Roman" w:eastAsia="宋体" w:cs="Times New Roman"/>
                <w:b/>
                <w:color w:val="000000"/>
                <w:sz w:val="24"/>
                <w:szCs w:val="22"/>
                <w:lang w:val="en-US" w:eastAsia="zh-CN"/>
              </w:rPr>
              <w:t>工艺流程及产污环节图</w:t>
            </w:r>
          </w:p>
          <w:p>
            <w:pPr>
              <w:pStyle w:val="2"/>
              <w:keepLines w:val="0"/>
              <w:pageBreakBefore w:val="0"/>
              <w:widowControl w:val="0"/>
              <w:suppressLineNumbers w:val="0"/>
              <w:kinsoku/>
              <w:wordWrap/>
              <w:topLinePunct w:val="0"/>
              <w:autoSpaceDE/>
              <w:autoSpaceDN/>
              <w:bidi w:val="0"/>
              <w:adjustRightInd w:val="0"/>
              <w:snapToGrid w:val="0"/>
              <w:spacing w:before="0" w:beforeAutospacing="0" w:after="0" w:afterAutospacing="0" w:line="520" w:lineRule="exact"/>
              <w:ind w:left="0" w:leftChars="0" w:right="0"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生产工艺流程简述：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（1）</w:t>
            </w:r>
            <w:r>
              <w:rPr>
                <w:rFonts w:hint="eastAsia" w:cs="Times New Roman"/>
                <w:b w:val="0"/>
                <w:bCs/>
                <w:color w:val="auto"/>
                <w:sz w:val="24"/>
                <w:szCs w:val="24"/>
                <w:lang w:val="en-US" w:eastAsia="zh-CN"/>
              </w:rPr>
              <w:t>样品采集：严格按照国家技术标准要求进行样品采集</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（2）</w:t>
            </w:r>
            <w:r>
              <w:rPr>
                <w:rFonts w:hint="eastAsia" w:cs="Times New Roman"/>
                <w:b w:val="0"/>
                <w:bCs/>
                <w:color w:val="auto"/>
                <w:sz w:val="24"/>
                <w:szCs w:val="24"/>
                <w:lang w:val="en-US" w:eastAsia="zh-CN"/>
              </w:rPr>
              <w:t>试剂准备：根据试验方法需要的试剂和配置相应的标准溶液等，该过程产生试验废气、固废</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（3）</w:t>
            </w:r>
            <w:r>
              <w:rPr>
                <w:rFonts w:hint="eastAsia" w:cs="Times New Roman"/>
                <w:b w:val="0"/>
                <w:bCs/>
                <w:color w:val="auto"/>
                <w:sz w:val="24"/>
                <w:szCs w:val="24"/>
                <w:lang w:val="en-US" w:eastAsia="zh-CN"/>
              </w:rPr>
              <w:t>样品处理</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对待测项目的样品进行前期处理，如测定重金属前的消解处理和有机物前的萃取等步骤，该过程产生试验废气、固废</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（4）</w:t>
            </w:r>
            <w:r>
              <w:rPr>
                <w:rFonts w:hint="eastAsia" w:cs="Times New Roman"/>
                <w:b w:val="0"/>
                <w:bCs/>
                <w:color w:val="auto"/>
                <w:sz w:val="24"/>
                <w:szCs w:val="24"/>
                <w:lang w:val="en-US" w:eastAsia="zh-CN"/>
              </w:rPr>
              <w:t>样品实验分析</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根据不同检测项目采用相应的检测方法进行样品测定，样品测定过程产生试验废气、固废</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（5）</w:t>
            </w:r>
            <w:r>
              <w:rPr>
                <w:rFonts w:hint="eastAsia" w:cs="Times New Roman"/>
                <w:b w:val="0"/>
                <w:bCs/>
                <w:color w:val="auto"/>
                <w:sz w:val="24"/>
                <w:szCs w:val="24"/>
                <w:lang w:val="en-US" w:eastAsia="zh-CN"/>
              </w:rPr>
              <w:t>仪器清洗</w:t>
            </w:r>
            <w:r>
              <w:rPr>
                <w:rFonts w:hint="eastAsia"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样品测定结束后，需对仪器进行清洗，该过程会产生清洗废水</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left"/>
              <w:textAlignment w:val="auto"/>
              <w:rPr>
                <w:rFonts w:hint="default"/>
                <w:lang w:val="en-US" w:eastAsia="zh-CN"/>
              </w:rPr>
            </w:pPr>
            <w:r>
              <w:rPr>
                <w:rFonts w:hint="eastAsia" w:ascii="Times New Roman" w:hAnsi="Times New Roman" w:eastAsia="宋体" w:cs="Times New Roman"/>
                <w:b/>
                <w:color w:val="auto"/>
                <w:sz w:val="24"/>
                <w:szCs w:val="24"/>
                <w:lang w:val="en-US" w:eastAsia="zh-CN"/>
              </w:rPr>
              <w:t>2.2</w:t>
            </w:r>
            <w:r>
              <w:rPr>
                <w:rFonts w:hint="eastAsia" w:cs="Times New Roman"/>
                <w:b/>
                <w:color w:val="auto"/>
                <w:sz w:val="24"/>
                <w:szCs w:val="24"/>
                <w:lang w:val="en-US" w:eastAsia="zh-CN"/>
              </w:rPr>
              <w:t>微生物实验</w:t>
            </w:r>
            <w:r>
              <w:rPr>
                <w:rFonts w:hint="eastAsia" w:ascii="Times New Roman" w:hAnsi="Times New Roman" w:eastAsia="宋体" w:cs="Times New Roman"/>
                <w:b/>
                <w:color w:val="auto"/>
                <w:sz w:val="24"/>
                <w:szCs w:val="24"/>
                <w:lang w:val="en-US" w:eastAsia="zh-CN"/>
              </w:rPr>
              <w:t>工艺流程及产污环节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2" w:firstLineChars="200"/>
              <w:jc w:val="left"/>
              <w:textAlignment w:val="auto"/>
              <w:rPr>
                <w:rFonts w:hint="default" w:ascii="Times New Roman" w:hAnsi="Times New Roman" w:eastAsia="黑体" w:cs="Times New Roman"/>
                <w:b w:val="0"/>
                <w:bCs/>
                <w:color w:val="auto"/>
                <w:sz w:val="24"/>
                <w:szCs w:val="24"/>
                <w:lang w:val="en-US" w:eastAsia="zh-CN"/>
              </w:rPr>
            </w:pPr>
            <w:r>
              <w:rPr>
                <w:rFonts w:hint="default" w:ascii="Times New Roman" w:hAnsi="Times New Roman" w:eastAsia="宋体" w:cs="Times New Roman"/>
                <w:b/>
                <w:color w:val="auto"/>
                <w:sz w:val="24"/>
                <w:szCs w:val="24"/>
                <w:lang w:val="en-US" w:eastAsia="zh-CN"/>
              </w:rPr>
              <w:pict>
                <v:shape id="_x0000_s2455" o:spid="_x0000_s2455" o:spt="75" type="#_x0000_t75" style="position:absolute;left:0pt;margin-left:32.2pt;margin-top:-2.35pt;height:166.5pt;width:319.75pt;z-index:251662336;mso-width-relative:page;mso-height-relative:page;" o:ole="t" filled="f" o:preferrelative="t" stroked="f" coordsize="21600,21600">
                  <v:path/>
                  <v:fill on="f" focussize="0,0"/>
                  <v:stroke on="f"/>
                  <v:imagedata r:id="rId23" croptop="12885f" cropright="-185f" cropbottom="21353f" o:title=""/>
                  <o:lock v:ext="edit" aspectratio="f"/>
                </v:shape>
                <o:OLEObject Type="Embed" ProgID="Visio.Drawing.11" ShapeID="_x0000_s2455" DrawAspect="Content" ObjectID="_1468075727" r:id="rId22">
                  <o:LockedField>false</o:LockedField>
                </o:OLEObject>
              </w:pi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eastAsia="黑体" w:cs="Times New Roman"/>
                <w:b w:val="0"/>
                <w:bCs/>
                <w:color w:val="auto"/>
                <w:sz w:val="24"/>
                <w:szCs w:val="24"/>
                <w:lang w:val="en-US" w:eastAsia="zh-CN"/>
              </w:rPr>
            </w:pPr>
          </w:p>
          <w:p>
            <w:pPr>
              <w:pStyle w:val="2"/>
              <w:keepLines w:val="0"/>
              <w:suppressLineNumbers w:val="0"/>
              <w:spacing w:beforeAutospacing="0" w:afterAutospacing="0"/>
              <w:ind w:left="0" w:leftChars="0" w:right="0" w:firstLine="0" w:firstLineChars="0"/>
              <w:rPr>
                <w:rFonts w:hint="eastAsia" w:ascii="Times New Roman" w:hAnsi="Times New Roman" w:eastAsia="宋体" w:cs="Times New Roman"/>
                <w:b/>
                <w:color w:val="000000"/>
                <w:sz w:val="24"/>
                <w:szCs w:val="22"/>
                <w:lang w:val="en-US" w:eastAsia="zh-CN"/>
              </w:rPr>
            </w:pPr>
          </w:p>
          <w:p>
            <w:pPr>
              <w:pStyle w:val="2"/>
              <w:keepLines w:val="0"/>
              <w:suppressLineNumbers w:val="0"/>
              <w:spacing w:beforeAutospacing="0" w:afterAutospacing="0"/>
              <w:ind w:left="434" w:leftChars="202" w:right="0" w:hanging="10" w:hangingChars="4"/>
              <w:jc w:val="center"/>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000000"/>
                <w:sz w:val="24"/>
                <w:szCs w:val="22"/>
                <w:lang w:val="en-US" w:eastAsia="zh-CN"/>
              </w:rPr>
              <w:t>图</w:t>
            </w:r>
            <w:r>
              <w:rPr>
                <w:rFonts w:hint="eastAsia" w:eastAsia="宋体" w:cs="Times New Roman"/>
                <w:b/>
                <w:color w:val="000000"/>
                <w:sz w:val="24"/>
                <w:szCs w:val="22"/>
                <w:lang w:val="en-US" w:eastAsia="zh-CN"/>
              </w:rPr>
              <w:t>4</w:t>
            </w:r>
            <w:r>
              <w:rPr>
                <w:rFonts w:hint="eastAsia" w:ascii="Times New Roman" w:hAnsi="Times New Roman" w:eastAsia="宋体" w:cs="Times New Roman"/>
                <w:b/>
                <w:color w:val="000000"/>
                <w:sz w:val="24"/>
                <w:szCs w:val="22"/>
                <w:lang w:val="en-US" w:eastAsia="zh-CN"/>
              </w:rPr>
              <w:t xml:space="preserve">  </w:t>
            </w:r>
            <w:r>
              <w:rPr>
                <w:rFonts w:hint="eastAsia" w:eastAsia="宋体" w:cs="Times New Roman"/>
                <w:b/>
                <w:color w:val="000000"/>
                <w:sz w:val="24"/>
                <w:szCs w:val="22"/>
                <w:lang w:val="en-US" w:eastAsia="zh-CN"/>
              </w:rPr>
              <w:t>微生物实验</w:t>
            </w:r>
            <w:r>
              <w:rPr>
                <w:rFonts w:hint="eastAsia" w:ascii="Times New Roman" w:hAnsi="Times New Roman" w:eastAsia="宋体" w:cs="Times New Roman"/>
                <w:b/>
                <w:color w:val="000000"/>
                <w:sz w:val="24"/>
                <w:szCs w:val="22"/>
                <w:lang w:val="en-US" w:eastAsia="zh-CN"/>
              </w:rPr>
              <w:t>工艺流程及产污环节图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工艺流程概述：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（1）</w:t>
            </w:r>
            <w:r>
              <w:rPr>
                <w:rFonts w:hint="eastAsia" w:cs="Times New Roman"/>
                <w:b w:val="0"/>
                <w:bCs/>
                <w:color w:val="auto"/>
                <w:sz w:val="24"/>
                <w:szCs w:val="24"/>
                <w:lang w:val="en-US" w:eastAsia="zh-CN"/>
              </w:rPr>
              <w:t>样品采集</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根据客户需要对食品类检测部分样品需进行微生物实验</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（2）</w:t>
            </w:r>
            <w:r>
              <w:rPr>
                <w:rFonts w:hint="eastAsia" w:cs="Times New Roman"/>
                <w:b w:val="0"/>
                <w:bCs/>
                <w:color w:val="auto"/>
                <w:sz w:val="24"/>
                <w:szCs w:val="24"/>
                <w:lang w:val="en-US" w:eastAsia="zh-CN"/>
              </w:rPr>
              <w:t>培养基灭菌</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对培养基进行高温灭菌</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（3）</w:t>
            </w:r>
            <w:r>
              <w:rPr>
                <w:rFonts w:hint="eastAsia" w:cs="Times New Roman"/>
                <w:b w:val="0"/>
                <w:bCs/>
                <w:color w:val="auto"/>
                <w:sz w:val="24"/>
                <w:szCs w:val="24"/>
                <w:lang w:val="en-US" w:eastAsia="zh-CN"/>
              </w:rPr>
              <w:t>接种培养、灭菌</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将采集的样品接种在培养基上在培养室内进行培养，培养完成后对培养基进行高温灭菌处理</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灭菌处理后进行观察，进行结果分析，出具结果报告。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（4）</w:t>
            </w:r>
            <w:r>
              <w:rPr>
                <w:rFonts w:hint="eastAsia" w:cs="Times New Roman"/>
                <w:b w:val="0"/>
                <w:bCs/>
                <w:color w:val="auto"/>
                <w:sz w:val="24"/>
                <w:szCs w:val="24"/>
                <w:lang w:val="en-US" w:eastAsia="zh-CN"/>
              </w:rPr>
              <w:t>仪器清洗：实验后许对玻璃器皿等仪器进行清洗，该过程会产生清洗废水</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实验结束后会产生一次性器具及培养基，均作为危废处理。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rPr>
              <w:t>主要污染工序</w:t>
            </w:r>
          </w:p>
          <w:p>
            <w:pPr>
              <w:pStyle w:val="58"/>
              <w:keepNext w:val="0"/>
              <w:keepLines w:val="0"/>
              <w:suppressLineNumbers w:val="0"/>
              <w:snapToGrid w:val="0"/>
              <w:spacing w:before="0" w:beforeAutospacing="0" w:after="0" w:afterAutospacing="0"/>
              <w:ind w:left="0" w:right="0" w:firstLine="480" w:firstLineChars="200"/>
              <w:rPr>
                <w:rFonts w:ascii="Times New Roman" w:hAnsi="Times New Roman"/>
                <w:sz w:val="24"/>
              </w:rPr>
            </w:pPr>
            <w:r>
              <w:rPr>
                <w:rFonts w:ascii="Times New Roman" w:hAnsi="Times New Roman"/>
                <w:sz w:val="24"/>
              </w:rPr>
              <w:t>通过工艺流程分析，可以看出该项目营运期产污环节见下表。</w:t>
            </w:r>
          </w:p>
          <w:p>
            <w:pPr>
              <w:keepNext w:val="0"/>
              <w:keepLines w:val="0"/>
              <w:suppressLineNumbers w:val="0"/>
              <w:adjustRightInd w:val="0"/>
              <w:snapToGrid w:val="0"/>
              <w:spacing w:before="0" w:beforeAutospacing="0" w:after="0" w:afterAutospacing="0" w:line="460" w:lineRule="exact"/>
              <w:ind w:left="0" w:right="0" w:firstLine="480" w:firstLineChars="200"/>
              <w:jc w:val="center"/>
              <w:rPr>
                <w:rFonts w:hint="default" w:ascii="Times New Roman" w:hAnsi="Times New Roman" w:eastAsia="黑体" w:cs="Times New Roman"/>
                <w:color w:val="000000"/>
                <w:sz w:val="24"/>
                <w:lang w:eastAsia="zh-CN"/>
              </w:rPr>
            </w:pPr>
            <w:r>
              <w:rPr>
                <w:rFonts w:hint="default" w:ascii="Times New Roman" w:hAnsi="Times New Roman" w:eastAsia="黑体" w:cs="Times New Roman"/>
                <w:color w:val="000000"/>
                <w:sz w:val="24"/>
                <w:lang w:eastAsia="zh-CN"/>
              </w:rPr>
              <w:t>表2-</w:t>
            </w:r>
            <w:r>
              <w:rPr>
                <w:rFonts w:hint="eastAsia" w:ascii="Times New Roman" w:hAnsi="Times New Roman" w:eastAsia="黑体" w:cs="Times New Roman"/>
                <w:color w:val="000000"/>
                <w:sz w:val="24"/>
                <w:lang w:eastAsia="zh-CN"/>
              </w:rPr>
              <w:t>6</w:t>
            </w:r>
            <w:r>
              <w:rPr>
                <w:rFonts w:hint="default" w:ascii="Times New Roman" w:hAnsi="Times New Roman" w:eastAsia="黑体" w:cs="Times New Roman"/>
                <w:color w:val="000000"/>
                <w:sz w:val="24"/>
                <w:lang w:eastAsia="zh-CN"/>
              </w:rPr>
              <w:t xml:space="preserve">  项目营运期产污环节一览表</w:t>
            </w:r>
          </w:p>
          <w:tbl>
            <w:tblPr>
              <w:tblStyle w:val="30"/>
              <w:tblW w:w="79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634"/>
              <w:gridCol w:w="1880"/>
              <w:gridCol w:w="38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96"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类别</w:t>
                  </w:r>
                </w:p>
              </w:tc>
              <w:tc>
                <w:tcPr>
                  <w:tcW w:w="1634"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产污环节</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污染物</w:t>
                  </w:r>
                </w:p>
              </w:tc>
              <w:tc>
                <w:tcPr>
                  <w:tcW w:w="3812"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96" w:type="dxa"/>
                  <w:vMerge w:val="restart"/>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r>
                    <w:rPr>
                      <w:sz w:val="21"/>
                      <w:szCs w:val="21"/>
                    </w:rPr>
                    <w:t>废气</w:t>
                  </w:r>
                </w:p>
              </w:tc>
              <w:tc>
                <w:tcPr>
                  <w:tcW w:w="163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z w:val="21"/>
                      <w:szCs w:val="21"/>
                      <w:lang w:val="en-US" w:eastAsia="zh-CN"/>
                    </w:rPr>
                  </w:pPr>
                  <w:r>
                    <w:rPr>
                      <w:rFonts w:hint="eastAsia"/>
                      <w:sz w:val="21"/>
                      <w:szCs w:val="21"/>
                      <w:lang w:val="en-US" w:eastAsia="zh-CN"/>
                    </w:rPr>
                    <w:t>微生物实验过程</w:t>
                  </w:r>
                </w:p>
              </w:tc>
              <w:tc>
                <w:tcPr>
                  <w:tcW w:w="1880"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 w:val="21"/>
                      <w:szCs w:val="21"/>
                    </w:rPr>
                  </w:pPr>
                  <w:r>
                    <w:rPr>
                      <w:rFonts w:hint="eastAsia"/>
                      <w:sz w:val="21"/>
                      <w:szCs w:val="21"/>
                    </w:rPr>
                    <w:t>气溶胶</w:t>
                  </w:r>
                </w:p>
              </w:tc>
              <w:tc>
                <w:tcPr>
                  <w:tcW w:w="381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 w:val="21"/>
                      <w:szCs w:val="21"/>
                    </w:rPr>
                  </w:pPr>
                  <w:r>
                    <w:rPr>
                      <w:rFonts w:hint="eastAsia"/>
                      <w:sz w:val="21"/>
                      <w:szCs w:val="21"/>
                    </w:rPr>
                    <w:t>经生物安全柜</w:t>
                  </w:r>
                  <w:r>
                    <w:rPr>
                      <w:sz w:val="21"/>
                      <w:szCs w:val="21"/>
                    </w:rPr>
                    <w:t>内部</w:t>
                  </w:r>
                  <w:r>
                    <w:rPr>
                      <w:rFonts w:hint="eastAsia"/>
                      <w:sz w:val="21"/>
                      <w:szCs w:val="21"/>
                    </w:rPr>
                    <w:t>“紫外光消毒+高效空气过滤器”</w:t>
                  </w:r>
                  <w:r>
                    <w:rPr>
                      <w:sz w:val="21"/>
                      <w:szCs w:val="21"/>
                    </w:rPr>
                    <w:t>过滤后</w:t>
                  </w:r>
                  <w:r>
                    <w:rPr>
                      <w:rFonts w:hint="eastAsia"/>
                      <w:sz w:val="21"/>
                      <w:szCs w:val="21"/>
                    </w:rPr>
                    <w:t>，在实验室内循环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r>
                    <w:rPr>
                      <w:rFonts w:hint="eastAsia"/>
                      <w:sz w:val="21"/>
                      <w:szCs w:val="21"/>
                      <w:lang w:val="en-US" w:eastAsia="zh-CN"/>
                    </w:rPr>
                    <w:t>理化试验过程</w:t>
                  </w:r>
                </w:p>
              </w:tc>
              <w:tc>
                <w:tcPr>
                  <w:tcW w:w="1880" w:type="dxa"/>
                  <w:noWrap w:val="0"/>
                  <w:vAlign w:val="center"/>
                </w:tcPr>
                <w:p>
                  <w:pPr>
                    <w:keepNext w:val="0"/>
                    <w:keepLines w:val="0"/>
                    <w:suppressLineNumbers w:val="0"/>
                    <w:tabs>
                      <w:tab w:val="left" w:pos="792"/>
                    </w:tabs>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非甲烷总烃</w:t>
                  </w:r>
                </w:p>
              </w:tc>
              <w:tc>
                <w:tcPr>
                  <w:tcW w:w="3812"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eastAsia="宋体"/>
                      <w:sz w:val="21"/>
                      <w:szCs w:val="21"/>
                      <w:lang w:eastAsia="zh-CN"/>
                    </w:rPr>
                  </w:pPr>
                  <w:r>
                    <w:rPr>
                      <w:rFonts w:hint="eastAsia"/>
                      <w:sz w:val="21"/>
                      <w:szCs w:val="21"/>
                      <w:lang w:val="en-US" w:eastAsia="zh-CN"/>
                    </w:rPr>
                    <w:t>通风橱</w:t>
                  </w:r>
                  <w:r>
                    <w:rPr>
                      <w:rFonts w:hint="eastAsia"/>
                      <w:sz w:val="21"/>
                      <w:szCs w:val="21"/>
                    </w:rPr>
                    <w:t>收集</w:t>
                  </w:r>
                  <w:r>
                    <w:rPr>
                      <w:sz w:val="21"/>
                      <w:szCs w:val="21"/>
                    </w:rPr>
                    <w:t>后引至</w:t>
                  </w:r>
                  <w:r>
                    <w:rPr>
                      <w:rFonts w:hint="eastAsia"/>
                      <w:sz w:val="21"/>
                      <w:szCs w:val="21"/>
                      <w:lang w:val="en-US" w:eastAsia="zh-CN"/>
                    </w:rPr>
                    <w:t>碱喷淋塔+</w:t>
                  </w:r>
                  <w:r>
                    <w:rPr>
                      <w:rFonts w:hint="eastAsia"/>
                      <w:sz w:val="21"/>
                      <w:szCs w:val="21"/>
                    </w:rPr>
                    <w:t>UV光氧催化</w:t>
                  </w:r>
                  <w:r>
                    <w:rPr>
                      <w:sz w:val="21"/>
                      <w:szCs w:val="21"/>
                    </w:rPr>
                    <w:t>+活性炭吸附装置治理，尾气经</w:t>
                  </w:r>
                  <w:r>
                    <w:rPr>
                      <w:rFonts w:hint="eastAsia"/>
                      <w:sz w:val="21"/>
                      <w:szCs w:val="21"/>
                      <w:lang w:val="en-US" w:eastAsia="zh-CN"/>
                    </w:rPr>
                    <w:t>20</w:t>
                  </w:r>
                  <w:r>
                    <w:rPr>
                      <w:sz w:val="21"/>
                      <w:szCs w:val="21"/>
                    </w:rPr>
                    <w:t>m排气筒排放</w:t>
                  </w:r>
                  <w:r>
                    <w:rPr>
                      <w:rFonts w:hint="eastAsia"/>
                      <w:sz w:val="21"/>
                      <w:szCs w:val="21"/>
                      <w:lang w:eastAsia="zh-CN"/>
                    </w:rPr>
                    <w:t>（</w:t>
                  </w:r>
                  <w:r>
                    <w:rPr>
                      <w:rFonts w:hint="eastAsia"/>
                      <w:sz w:val="21"/>
                      <w:szCs w:val="21"/>
                      <w:lang w:val="en-US" w:eastAsia="zh-CN"/>
                    </w:rPr>
                    <w:t>高于屋顶2m</w:t>
                  </w:r>
                  <w:r>
                    <w:rPr>
                      <w:rFonts w:hint="eastAsia"/>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HCl</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NOx</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硫酸雾</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苯</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甲苯</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二甲苯</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sz w:val="21"/>
                      <w:szCs w:val="21"/>
                      <w:lang w:eastAsia="zh-CN"/>
                    </w:rPr>
                  </w:pPr>
                  <w:r>
                    <w:rPr>
                      <w:rFonts w:hint="eastAsia" w:cs="Times New Roman"/>
                      <w:color w:val="000000"/>
                      <w:szCs w:val="21"/>
                      <w:lang w:val="en-US" w:eastAsia="zh-CN"/>
                    </w:rPr>
                    <w:t>甲醇</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color w:val="000000"/>
                      <w:szCs w:val="21"/>
                      <w:lang w:val="en-US" w:eastAsia="zh-CN"/>
                    </w:rPr>
                    <w:t>NH</w:t>
                  </w:r>
                  <w:r>
                    <w:rPr>
                      <w:rFonts w:hint="eastAsia" w:cs="Times New Roman"/>
                      <w:color w:val="000000"/>
                      <w:szCs w:val="21"/>
                      <w:vertAlign w:val="subscript"/>
                      <w:lang w:val="en-US" w:eastAsia="zh-CN"/>
                    </w:rPr>
                    <w:t>3</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sz w:val="21"/>
                      <w:szCs w:val="21"/>
                    </w:rPr>
                  </w:pPr>
                </w:p>
              </w:tc>
              <w:tc>
                <w:tcPr>
                  <w:tcW w:w="163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lang w:val="en-US" w:eastAsia="zh-CN"/>
                    </w:rPr>
                  </w:pPr>
                </w:p>
              </w:tc>
              <w:tc>
                <w:tcPr>
                  <w:tcW w:w="188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color w:val="000000"/>
                      <w:szCs w:val="21"/>
                      <w:lang w:val="en-US" w:eastAsia="zh-CN"/>
                    </w:rPr>
                    <w:t>苯乙烯</w:t>
                  </w:r>
                </w:p>
              </w:tc>
              <w:tc>
                <w:tcPr>
                  <w:tcW w:w="381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02" w:hRule="atLeast"/>
              </w:trPr>
              <w:tc>
                <w:tcPr>
                  <w:tcW w:w="596" w:type="dxa"/>
                  <w:vMerge w:val="restart"/>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废水</w:t>
                  </w:r>
                </w:p>
              </w:tc>
              <w:tc>
                <w:tcPr>
                  <w:tcW w:w="1634"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生活污水</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left"/>
                    <w:rPr>
                      <w:rFonts w:ascii="Times New Roman" w:hAnsi="Times New Roman"/>
                      <w:b w:val="0"/>
                      <w:bCs/>
                      <w:sz w:val="21"/>
                      <w:szCs w:val="21"/>
                      <w:lang w:eastAsia="zh-CN"/>
                    </w:rPr>
                  </w:pPr>
                  <w:r>
                    <w:rPr>
                      <w:rFonts w:ascii="Times New Roman" w:hAnsi="Times New Roman"/>
                      <w:b w:val="0"/>
                      <w:bCs/>
                      <w:sz w:val="21"/>
                      <w:szCs w:val="21"/>
                      <w:lang w:eastAsia="zh-CN"/>
                    </w:rPr>
                    <w:t>COD、</w:t>
                  </w:r>
                  <w:r>
                    <w:rPr>
                      <w:rFonts w:hint="eastAsia" w:ascii="Times New Roman" w:hAnsi="Times New Roman"/>
                      <w:b w:val="0"/>
                      <w:bCs/>
                      <w:sz w:val="21"/>
                      <w:szCs w:val="21"/>
                      <w:lang w:eastAsia="zh-CN"/>
                    </w:rPr>
                    <w:t>BOD</w:t>
                  </w:r>
                  <w:r>
                    <w:rPr>
                      <w:rFonts w:hint="eastAsia" w:ascii="Times New Roman" w:hAnsi="Times New Roman"/>
                      <w:b w:val="0"/>
                      <w:bCs/>
                      <w:sz w:val="21"/>
                      <w:szCs w:val="21"/>
                      <w:vertAlign w:val="subscript"/>
                      <w:lang w:eastAsia="zh-CN"/>
                    </w:rPr>
                    <w:t>5</w:t>
                  </w:r>
                  <w:r>
                    <w:rPr>
                      <w:rFonts w:hint="eastAsia" w:ascii="Times New Roman" w:hAnsi="Times New Roman"/>
                      <w:b w:val="0"/>
                      <w:bCs/>
                      <w:sz w:val="21"/>
                      <w:szCs w:val="21"/>
                      <w:lang w:eastAsia="zh-CN"/>
                    </w:rPr>
                    <w:t>、</w:t>
                  </w:r>
                  <w:r>
                    <w:rPr>
                      <w:rFonts w:ascii="Times New Roman" w:hAnsi="Times New Roman"/>
                      <w:b w:val="0"/>
                      <w:bCs/>
                      <w:sz w:val="21"/>
                      <w:szCs w:val="21"/>
                      <w:lang w:eastAsia="zh-CN"/>
                    </w:rPr>
                    <w:t>SS、NH</w:t>
                  </w:r>
                  <w:r>
                    <w:rPr>
                      <w:rFonts w:ascii="Times New Roman" w:hAnsi="Times New Roman"/>
                      <w:b w:val="0"/>
                      <w:bCs/>
                      <w:sz w:val="21"/>
                      <w:szCs w:val="21"/>
                      <w:vertAlign w:val="subscript"/>
                      <w:lang w:eastAsia="zh-CN"/>
                    </w:rPr>
                    <w:t>3</w:t>
                  </w:r>
                  <w:r>
                    <w:rPr>
                      <w:rFonts w:ascii="Times New Roman" w:hAnsi="Times New Roman"/>
                      <w:b w:val="0"/>
                      <w:bCs/>
                      <w:sz w:val="21"/>
                      <w:szCs w:val="21"/>
                      <w:lang w:eastAsia="zh-CN"/>
                    </w:rPr>
                    <w:t>-N、TP、TN</w:t>
                  </w:r>
                </w:p>
              </w:tc>
              <w:tc>
                <w:tcPr>
                  <w:tcW w:w="3812" w:type="dxa"/>
                  <w:vMerge w:val="restart"/>
                  <w:noWrap w:val="0"/>
                  <w:vAlign w:val="center"/>
                </w:tcPr>
                <w:p>
                  <w:pPr>
                    <w:keepNext w:val="0"/>
                    <w:keepLines w:val="0"/>
                    <w:widowControl/>
                    <w:suppressLineNumbers w:val="0"/>
                    <w:adjustRightInd w:val="0"/>
                    <w:snapToGrid w:val="0"/>
                    <w:spacing w:before="0" w:beforeAutospacing="0" w:after="0" w:afterAutospacing="0" w:line="360" w:lineRule="exact"/>
                    <w:ind w:left="0" w:right="0"/>
                    <w:jc w:val="left"/>
                    <w:rPr>
                      <w:rFonts w:hint="eastAsia" w:eastAsia="宋体"/>
                      <w:kern w:val="36"/>
                      <w:sz w:val="21"/>
                      <w:szCs w:val="21"/>
                      <w:lang w:eastAsia="zh-CN"/>
                    </w:rPr>
                  </w:pPr>
                  <w:r>
                    <w:rPr>
                      <w:sz w:val="21"/>
                      <w:szCs w:val="21"/>
                    </w:rPr>
                    <w:t>生活污水经化粪池处理后与经污水处理站“酸碱中和+微电解+沉淀+过滤吸附+消毒”处理后的生产废水、</w:t>
                  </w:r>
                  <w:r>
                    <w:rPr>
                      <w:rFonts w:hint="eastAsia"/>
                      <w:sz w:val="21"/>
                      <w:szCs w:val="21"/>
                    </w:rPr>
                    <w:t>纯水制备产生的</w:t>
                  </w:r>
                  <w:r>
                    <w:rPr>
                      <w:sz w:val="21"/>
                      <w:szCs w:val="21"/>
                    </w:rPr>
                    <w:t>浓水一同经</w:t>
                  </w:r>
                  <w:r>
                    <w:rPr>
                      <w:rFonts w:hint="eastAsia"/>
                      <w:sz w:val="21"/>
                      <w:szCs w:val="21"/>
                    </w:rPr>
                    <w:t>污水</w:t>
                  </w:r>
                  <w:r>
                    <w:rPr>
                      <w:sz w:val="21"/>
                      <w:szCs w:val="21"/>
                    </w:rPr>
                    <w:t>管网排入</w:t>
                  </w:r>
                  <w:r>
                    <w:rPr>
                      <w:rFonts w:hint="eastAsia"/>
                      <w:sz w:val="21"/>
                      <w:szCs w:val="21"/>
                      <w:lang w:eastAsia="zh-CN"/>
                    </w:rPr>
                    <w:t>新乡县综合污水处理厂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bCs/>
                      <w:sz w:val="21"/>
                      <w:szCs w:val="21"/>
                    </w:rPr>
                  </w:pPr>
                </w:p>
              </w:tc>
              <w:tc>
                <w:tcPr>
                  <w:tcW w:w="1634"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生产废水</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pH、COD、</w:t>
                  </w:r>
                  <w:r>
                    <w:rPr>
                      <w:rFonts w:hint="eastAsia" w:ascii="Times New Roman" w:hAnsi="Times New Roman"/>
                      <w:b w:val="0"/>
                      <w:bCs/>
                      <w:sz w:val="21"/>
                      <w:szCs w:val="21"/>
                      <w:lang w:eastAsia="zh-CN"/>
                    </w:rPr>
                    <w:t>BOD</w:t>
                  </w:r>
                  <w:r>
                    <w:rPr>
                      <w:rFonts w:hint="eastAsia" w:ascii="Times New Roman" w:hAnsi="Times New Roman"/>
                      <w:b w:val="0"/>
                      <w:bCs/>
                      <w:sz w:val="21"/>
                      <w:szCs w:val="21"/>
                      <w:vertAlign w:val="subscript"/>
                      <w:lang w:eastAsia="zh-CN"/>
                    </w:rPr>
                    <w:t>5</w:t>
                  </w:r>
                  <w:r>
                    <w:rPr>
                      <w:rFonts w:hint="eastAsia" w:ascii="Times New Roman" w:hAnsi="Times New Roman"/>
                      <w:b w:val="0"/>
                      <w:bCs/>
                      <w:sz w:val="21"/>
                      <w:szCs w:val="21"/>
                      <w:lang w:eastAsia="zh-CN"/>
                    </w:rPr>
                    <w:t>、</w:t>
                  </w:r>
                  <w:r>
                    <w:rPr>
                      <w:rFonts w:ascii="Times New Roman" w:hAnsi="Times New Roman"/>
                      <w:b w:val="0"/>
                      <w:bCs/>
                      <w:sz w:val="21"/>
                      <w:szCs w:val="21"/>
                      <w:lang w:eastAsia="zh-CN"/>
                    </w:rPr>
                    <w:t>SS</w:t>
                  </w:r>
                  <w:r>
                    <w:rPr>
                      <w:rFonts w:hint="eastAsia" w:ascii="Times New Roman" w:hAnsi="Times New Roman"/>
                      <w:b w:val="0"/>
                      <w:bCs/>
                      <w:sz w:val="21"/>
                      <w:szCs w:val="21"/>
                      <w:lang w:eastAsia="zh-CN"/>
                    </w:rPr>
                    <w:t>、</w:t>
                  </w:r>
                  <w:r>
                    <w:rPr>
                      <w:rFonts w:ascii="Times New Roman" w:hAnsi="Times New Roman"/>
                      <w:b w:val="0"/>
                      <w:bCs/>
                      <w:sz w:val="21"/>
                      <w:szCs w:val="21"/>
                      <w:lang w:eastAsia="zh-CN"/>
                    </w:rPr>
                    <w:t>NH</w:t>
                  </w:r>
                  <w:r>
                    <w:rPr>
                      <w:rFonts w:ascii="Times New Roman" w:hAnsi="Times New Roman"/>
                      <w:b w:val="0"/>
                      <w:bCs/>
                      <w:sz w:val="21"/>
                      <w:szCs w:val="21"/>
                      <w:vertAlign w:val="subscript"/>
                      <w:lang w:eastAsia="zh-CN"/>
                    </w:rPr>
                    <w:t>3</w:t>
                  </w:r>
                  <w:r>
                    <w:rPr>
                      <w:rFonts w:ascii="Times New Roman" w:hAnsi="Times New Roman"/>
                      <w:b w:val="0"/>
                      <w:bCs/>
                      <w:sz w:val="21"/>
                      <w:szCs w:val="21"/>
                      <w:lang w:eastAsia="zh-CN"/>
                    </w:rPr>
                    <w:t>-N、TP、TN</w:t>
                  </w:r>
                </w:p>
              </w:tc>
              <w:tc>
                <w:tcPr>
                  <w:tcW w:w="3812" w:type="dxa"/>
                  <w:vMerge w:val="continue"/>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kern w:val="36"/>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96" w:type="dxa"/>
                  <w:vMerge w:val="restart"/>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固体</w:t>
                  </w:r>
                </w:p>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废物</w:t>
                  </w:r>
                </w:p>
              </w:tc>
              <w:tc>
                <w:tcPr>
                  <w:tcW w:w="1634" w:type="dxa"/>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r>
                    <w:rPr>
                      <w:rFonts w:hint="eastAsia"/>
                      <w:sz w:val="21"/>
                      <w:szCs w:val="21"/>
                    </w:rPr>
                    <w:t>实验</w:t>
                  </w:r>
                  <w:r>
                    <w:rPr>
                      <w:sz w:val="21"/>
                      <w:szCs w:val="21"/>
                    </w:rPr>
                    <w:t>过程</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left"/>
                    <w:rPr>
                      <w:rFonts w:hint="default" w:ascii="Times New Roman" w:hAnsi="Times New Roman"/>
                      <w:b w:val="0"/>
                      <w:bCs/>
                      <w:sz w:val="21"/>
                      <w:szCs w:val="21"/>
                      <w:lang w:val="en-US" w:eastAsia="zh-CN"/>
                    </w:rPr>
                  </w:pPr>
                  <w:r>
                    <w:rPr>
                      <w:rFonts w:hint="eastAsia"/>
                      <w:b w:val="0"/>
                      <w:bCs/>
                      <w:sz w:val="21"/>
                      <w:szCs w:val="21"/>
                      <w:lang w:val="en-US" w:eastAsia="zh-CN"/>
                    </w:rPr>
                    <w:t>废实验材料、实验</w:t>
                  </w:r>
                  <w:r>
                    <w:rPr>
                      <w:rFonts w:ascii="Times New Roman" w:hAnsi="Times New Roman"/>
                      <w:b w:val="0"/>
                      <w:bCs/>
                      <w:sz w:val="21"/>
                      <w:szCs w:val="21"/>
                      <w:lang w:eastAsia="zh-CN"/>
                    </w:rPr>
                    <w:t>废液、</w:t>
                  </w:r>
                  <w:r>
                    <w:rPr>
                      <w:rFonts w:hint="eastAsia"/>
                      <w:b w:val="0"/>
                      <w:bCs/>
                      <w:sz w:val="21"/>
                      <w:szCs w:val="21"/>
                      <w:lang w:val="en-US" w:eastAsia="zh-CN"/>
                    </w:rPr>
                    <w:t>报废化学试剂、化学品废弃容器</w:t>
                  </w:r>
                </w:p>
              </w:tc>
              <w:tc>
                <w:tcPr>
                  <w:tcW w:w="3812" w:type="dxa"/>
                  <w:vMerge w:val="restart"/>
                  <w:noWrap w:val="0"/>
                  <w:vAlign w:val="center"/>
                </w:tcPr>
                <w:p>
                  <w:pPr>
                    <w:pStyle w:val="7"/>
                    <w:keepNext w:val="0"/>
                    <w:keepLines w:val="0"/>
                    <w:suppressLineNumbers w:val="0"/>
                    <w:adjustRightInd w:val="0"/>
                    <w:snapToGrid w:val="0"/>
                    <w:spacing w:before="0" w:beforeAutospacing="0" w:after="0" w:afterAutospacing="0" w:line="360" w:lineRule="exact"/>
                    <w:ind w:left="0" w:right="0"/>
                    <w:jc w:val="left"/>
                    <w:rPr>
                      <w:rFonts w:ascii="Times New Roman" w:hAnsi="Times New Roman"/>
                      <w:b w:val="0"/>
                      <w:bCs/>
                      <w:sz w:val="21"/>
                      <w:szCs w:val="21"/>
                      <w:lang w:eastAsia="zh-CN"/>
                    </w:rPr>
                  </w:pPr>
                  <w:r>
                    <w:rPr>
                      <w:rFonts w:ascii="Times New Roman" w:hAnsi="Times New Roman"/>
                      <w:b w:val="0"/>
                      <w:bCs/>
                      <w:sz w:val="21"/>
                      <w:szCs w:val="21"/>
                      <w:lang w:eastAsia="zh-CN"/>
                    </w:rPr>
                    <w:t>危废暂存间暂存后定期交由有资质的危废单位处置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39"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eastAsia="宋体"/>
                      <w:sz w:val="21"/>
                      <w:szCs w:val="21"/>
                      <w:lang w:val="en-US" w:eastAsia="zh-CN"/>
                    </w:rPr>
                  </w:pPr>
                  <w:r>
                    <w:rPr>
                      <w:rFonts w:hint="eastAsia"/>
                      <w:sz w:val="21"/>
                      <w:szCs w:val="21"/>
                      <w:lang w:val="en-US" w:eastAsia="zh-CN"/>
                    </w:rPr>
                    <w:t>生物安全柜</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hint="default"/>
                      <w:b w:val="0"/>
                      <w:bCs/>
                      <w:sz w:val="21"/>
                      <w:szCs w:val="21"/>
                      <w:lang w:val="en-US" w:eastAsia="zh-CN"/>
                    </w:rPr>
                  </w:pPr>
                  <w:r>
                    <w:rPr>
                      <w:rFonts w:hint="eastAsia"/>
                      <w:b w:val="0"/>
                      <w:bCs/>
                      <w:sz w:val="21"/>
                      <w:szCs w:val="21"/>
                      <w:lang w:val="en-US" w:eastAsia="zh-CN"/>
                    </w:rPr>
                    <w:t>废过滤器</w:t>
                  </w:r>
                </w:p>
              </w:tc>
              <w:tc>
                <w:tcPr>
                  <w:tcW w:w="3812"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left"/>
                    <w:rPr>
                      <w:rFonts w:ascii="Times New Roman" w:hAnsi="Times New Roman"/>
                      <w:b w:val="0"/>
                      <w:bCs/>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r>
                    <w:rPr>
                      <w:sz w:val="21"/>
                      <w:szCs w:val="21"/>
                    </w:rPr>
                    <w:t>污水处理站</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污泥</w:t>
                  </w:r>
                </w:p>
              </w:tc>
              <w:tc>
                <w:tcPr>
                  <w:tcW w:w="3812"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vMerge w:val="restart"/>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r>
                    <w:rPr>
                      <w:sz w:val="21"/>
                      <w:szCs w:val="21"/>
                    </w:rPr>
                    <w:t>废气治理设施</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hint="eastAsia" w:ascii="Times New Roman" w:hAnsi="Times New Roman"/>
                      <w:b w:val="0"/>
                      <w:bCs/>
                      <w:sz w:val="21"/>
                      <w:szCs w:val="21"/>
                      <w:lang w:eastAsia="zh-CN"/>
                    </w:rPr>
                    <w:t>废紫外灯管</w:t>
                  </w:r>
                </w:p>
              </w:tc>
              <w:tc>
                <w:tcPr>
                  <w:tcW w:w="3812"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vMerge w:val="continue"/>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b w:val="0"/>
                      <w:bCs/>
                      <w:sz w:val="21"/>
                      <w:szCs w:val="21"/>
                      <w:lang w:eastAsia="zh-CN"/>
                    </w:rPr>
                  </w:pPr>
                  <w:r>
                    <w:rPr>
                      <w:rFonts w:ascii="Times New Roman" w:hAnsi="Times New Roman"/>
                      <w:b w:val="0"/>
                      <w:bCs/>
                      <w:sz w:val="21"/>
                      <w:szCs w:val="21"/>
                      <w:lang w:eastAsia="zh-CN"/>
                    </w:rPr>
                    <w:t>废活性炭</w:t>
                  </w:r>
                </w:p>
              </w:tc>
              <w:tc>
                <w:tcPr>
                  <w:tcW w:w="3812"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vMerge w:val="continue"/>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val="0"/>
                      <w:bCs/>
                      <w:sz w:val="21"/>
                      <w:szCs w:val="21"/>
                      <w:lang w:val="en-US" w:eastAsia="zh-CN"/>
                    </w:rPr>
                  </w:pPr>
                  <w:r>
                    <w:rPr>
                      <w:rFonts w:hint="eastAsia"/>
                      <w:b w:val="0"/>
                      <w:bCs/>
                      <w:sz w:val="21"/>
                      <w:szCs w:val="21"/>
                      <w:lang w:val="en-US" w:eastAsia="zh-CN"/>
                    </w:rPr>
                    <w:t>碱喷淋废液</w:t>
                  </w:r>
                </w:p>
              </w:tc>
              <w:tc>
                <w:tcPr>
                  <w:tcW w:w="3812"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vMerge w:val="restart"/>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r>
                    <w:rPr>
                      <w:sz w:val="21"/>
                      <w:szCs w:val="21"/>
                    </w:rPr>
                    <w:t>纯水制备过程</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废离子交换树脂</w:t>
                  </w:r>
                </w:p>
              </w:tc>
              <w:tc>
                <w:tcPr>
                  <w:tcW w:w="3812" w:type="dxa"/>
                  <w:vMerge w:val="restart"/>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收集后厂家回收再利用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vMerge w:val="continue"/>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废</w:t>
                  </w:r>
                  <w:r>
                    <w:rPr>
                      <w:rFonts w:hint="eastAsia"/>
                      <w:b w:val="0"/>
                      <w:bCs/>
                      <w:sz w:val="21"/>
                      <w:szCs w:val="21"/>
                      <w:lang w:val="en-US" w:eastAsia="zh-CN"/>
                    </w:rPr>
                    <w:t>滤芯</w:t>
                  </w:r>
                </w:p>
              </w:tc>
              <w:tc>
                <w:tcPr>
                  <w:tcW w:w="3812"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vMerge w:val="continue"/>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废反渗透膜</w:t>
                  </w:r>
                </w:p>
              </w:tc>
              <w:tc>
                <w:tcPr>
                  <w:tcW w:w="3812"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96" w:type="dxa"/>
                  <w:vMerge w:val="continue"/>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p>
              </w:tc>
              <w:tc>
                <w:tcPr>
                  <w:tcW w:w="1634" w:type="dxa"/>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eastAsia="宋体"/>
                      <w:sz w:val="21"/>
                      <w:szCs w:val="21"/>
                      <w:lang w:val="en-US" w:eastAsia="zh-CN"/>
                    </w:rPr>
                  </w:pPr>
                  <w:r>
                    <w:rPr>
                      <w:rFonts w:hint="eastAsia"/>
                      <w:sz w:val="21"/>
                      <w:szCs w:val="21"/>
                      <w:lang w:val="en-US" w:eastAsia="zh-CN"/>
                    </w:rPr>
                    <w:t>实验过程</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val="0"/>
                      <w:bCs/>
                      <w:sz w:val="21"/>
                      <w:szCs w:val="21"/>
                      <w:lang w:val="en-US" w:eastAsia="zh-CN"/>
                    </w:rPr>
                  </w:pPr>
                  <w:r>
                    <w:rPr>
                      <w:rFonts w:hint="eastAsia"/>
                      <w:b w:val="0"/>
                      <w:bCs/>
                      <w:sz w:val="21"/>
                      <w:szCs w:val="21"/>
                      <w:lang w:val="en-US" w:eastAsia="zh-CN"/>
                    </w:rPr>
                    <w:t>废包装</w:t>
                  </w:r>
                </w:p>
              </w:tc>
              <w:tc>
                <w:tcPr>
                  <w:tcW w:w="3812"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b w:val="0"/>
                      <w:bCs/>
                      <w:sz w:val="21"/>
                      <w:szCs w:val="21"/>
                      <w:lang w:val="en-US" w:eastAsia="zh-CN"/>
                    </w:rPr>
                  </w:pPr>
                  <w:r>
                    <w:rPr>
                      <w:rFonts w:hint="eastAsia"/>
                      <w:b w:val="0"/>
                      <w:bCs/>
                      <w:sz w:val="21"/>
                      <w:szCs w:val="21"/>
                      <w:lang w:val="en-US" w:eastAsia="zh-CN"/>
                    </w:rPr>
                    <w:t>收集后外售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7" w:hRule="atLeast"/>
              </w:trPr>
              <w:tc>
                <w:tcPr>
                  <w:tcW w:w="596"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bCs/>
                      <w:sz w:val="21"/>
                      <w:szCs w:val="21"/>
                    </w:rPr>
                  </w:pPr>
                </w:p>
              </w:tc>
              <w:tc>
                <w:tcPr>
                  <w:tcW w:w="1634" w:type="dxa"/>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sz w:val="21"/>
                      <w:szCs w:val="21"/>
                    </w:rPr>
                  </w:pPr>
                  <w:r>
                    <w:rPr>
                      <w:sz w:val="21"/>
                      <w:szCs w:val="21"/>
                    </w:rPr>
                    <w:t>职工生活</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生活垃圾</w:t>
                  </w:r>
                </w:p>
              </w:tc>
              <w:tc>
                <w:tcPr>
                  <w:tcW w:w="3812"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交环卫部门处置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96"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噪声</w:t>
                  </w:r>
                </w:p>
              </w:tc>
              <w:tc>
                <w:tcPr>
                  <w:tcW w:w="163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 w:val="21"/>
                      <w:szCs w:val="21"/>
                    </w:rPr>
                  </w:pPr>
                  <w:r>
                    <w:rPr>
                      <w:rFonts w:hint="eastAsia"/>
                      <w:sz w:val="21"/>
                      <w:szCs w:val="21"/>
                    </w:rPr>
                    <w:t>生物安全柜</w:t>
                  </w:r>
                  <w:r>
                    <w:rPr>
                      <w:sz w:val="21"/>
                      <w:szCs w:val="21"/>
                    </w:rPr>
                    <w:t>、</w:t>
                  </w:r>
                  <w:r>
                    <w:rPr>
                      <w:rFonts w:hint="eastAsia"/>
                      <w:sz w:val="21"/>
                      <w:szCs w:val="21"/>
                      <w:lang w:val="en-US" w:eastAsia="zh-CN"/>
                    </w:rPr>
                    <w:t>通风橱</w:t>
                  </w:r>
                  <w:r>
                    <w:rPr>
                      <w:sz w:val="21"/>
                      <w:szCs w:val="21"/>
                    </w:rPr>
                    <w:t>风机等设备</w:t>
                  </w:r>
                </w:p>
              </w:tc>
              <w:tc>
                <w:tcPr>
                  <w:tcW w:w="1880" w:type="dxa"/>
                  <w:noWrap w:val="0"/>
                  <w:vAlign w:val="center"/>
                </w:tcPr>
                <w:p>
                  <w:pPr>
                    <w:pStyle w:val="7"/>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sz w:val="21"/>
                      <w:szCs w:val="21"/>
                      <w:lang w:eastAsia="zh-CN"/>
                    </w:rPr>
                  </w:pPr>
                  <w:r>
                    <w:rPr>
                      <w:rFonts w:ascii="Times New Roman" w:hAnsi="Times New Roman"/>
                      <w:b w:val="0"/>
                      <w:bCs/>
                      <w:sz w:val="21"/>
                      <w:szCs w:val="21"/>
                      <w:lang w:eastAsia="zh-CN"/>
                    </w:rPr>
                    <w:t>设备噪声</w:t>
                  </w:r>
                </w:p>
              </w:tc>
              <w:tc>
                <w:tcPr>
                  <w:tcW w:w="381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bCs/>
                      <w:sz w:val="21"/>
                      <w:szCs w:val="21"/>
                    </w:rPr>
                  </w:pPr>
                  <w:r>
                    <w:rPr>
                      <w:bCs/>
                      <w:sz w:val="21"/>
                      <w:szCs w:val="21"/>
                    </w:rPr>
                    <w:t>消声、厂房隔声、距离衰减等</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sz w:val="52"/>
                <w:szCs w:val="5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9" w:hRule="atLeast"/>
          <w:jc w:val="center"/>
        </w:trPr>
        <w:tc>
          <w:tcPr>
            <w:tcW w:w="823" w:type="dxa"/>
            <w:noWrap w:val="0"/>
            <w:vAlign w:val="center"/>
          </w:tcPr>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Cs/>
                <w:kern w:val="2"/>
                <w:sz w:val="21"/>
                <w:szCs w:val="21"/>
              </w:rPr>
              <w:t>与项目有关的原有环境污染问题</w:t>
            </w:r>
          </w:p>
        </w:tc>
        <w:tc>
          <w:tcPr>
            <w:tcW w:w="81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本项目为新建项目，不涉及与项目有关的原有环境污染问题。</w:t>
            </w:r>
          </w:p>
          <w:p>
            <w:pPr>
              <w:keepNext w:val="0"/>
              <w:keepLines w:val="0"/>
              <w:suppressLineNumbers w:val="0"/>
              <w:spacing w:before="0" w:beforeAutospacing="0" w:after="0" w:afterAutospacing="0" w:line="520" w:lineRule="exact"/>
              <w:ind w:left="0" w:right="0" w:firstLine="482" w:firstLineChars="200"/>
              <w:rPr>
                <w:rFonts w:ascii="Times New Roman" w:hAnsi="Times New Roman" w:eastAsia="宋体" w:cs="Times New Roman"/>
                <w:b/>
                <w:bCs/>
                <w:sz w:val="24"/>
              </w:rPr>
            </w:pPr>
          </w:p>
          <w:p>
            <w:pPr>
              <w:keepNext w:val="0"/>
              <w:keepLines w:val="0"/>
              <w:suppressLineNumbers w:val="0"/>
              <w:spacing w:before="0" w:beforeAutospacing="0" w:after="0" w:afterAutospacing="0" w:line="520" w:lineRule="exact"/>
              <w:ind w:left="0" w:right="0" w:firstLine="482" w:firstLineChars="200"/>
              <w:rPr>
                <w:rFonts w:ascii="Times New Roman" w:hAnsi="Times New Roman" w:eastAsia="宋体" w:cs="Times New Roman"/>
                <w:b/>
                <w:bCs/>
                <w:sz w:val="24"/>
              </w:rPr>
            </w:pPr>
          </w:p>
          <w:p>
            <w:pPr>
              <w:keepNext w:val="0"/>
              <w:keepLines w:val="0"/>
              <w:suppressLineNumbers w:val="0"/>
              <w:spacing w:before="0" w:beforeAutospacing="0" w:after="0" w:afterAutospacing="0" w:line="520" w:lineRule="exact"/>
              <w:ind w:left="0" w:right="0" w:firstLine="482" w:firstLineChars="200"/>
              <w:rPr>
                <w:rFonts w:ascii="Times New Roman" w:hAnsi="Times New Roman" w:eastAsia="宋体" w:cs="Times New Roman"/>
                <w:b/>
                <w:bCs/>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default" w:ascii="Calibri" w:hAnsi="Calibri" w:eastAsia="宋体" w:cs="Times New Roman"/>
                <w:lang w:val="en-US" w:eastAsia="zh-CN"/>
              </w:rPr>
            </w:pPr>
          </w:p>
        </w:tc>
      </w:tr>
    </w:tbl>
    <w:p>
      <w:pPr>
        <w:pStyle w:val="26"/>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sz w:val="30"/>
          <w:szCs w:val="30"/>
        </w:rPr>
      </w:pPr>
    </w:p>
    <w:p>
      <w:pPr>
        <w:pStyle w:val="26"/>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三、区域环境质量现状、环境保护目标及评价标准</w:t>
      </w:r>
    </w:p>
    <w:tbl>
      <w:tblPr>
        <w:tblStyle w:val="30"/>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5"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现状</w:t>
            </w:r>
          </w:p>
        </w:tc>
        <w:tc>
          <w:tcPr>
            <w:tcW w:w="819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atLeast"/>
              <w:ind w:left="0" w:right="0" w:firstLine="482" w:firstLineChars="200"/>
              <w:jc w:val="left"/>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大气功能区划分原则，建设项目所在地为二类功能区，环境空气质量应执行《环境空气质量标准》（GB3095-2012）二级标准。根据新乡市生态环境局发布的《新乡市2021年环境质量年报》，区域空气质量现状数据如下表所示。</w:t>
            </w:r>
          </w:p>
          <w:p>
            <w:pPr>
              <w:keepNext w:val="0"/>
              <w:keepLines w:val="0"/>
              <w:suppressLineNumbers w:val="0"/>
              <w:adjustRightInd w:val="0"/>
              <w:snapToGrid w:val="0"/>
              <w:spacing w:before="0" w:beforeAutospacing="0" w:after="0" w:afterAutospacing="0" w:line="460" w:lineRule="exact"/>
              <w:ind w:left="0" w:right="0" w:firstLine="480" w:firstLineChars="200"/>
              <w:rPr>
                <w:rFonts w:ascii="Calibri" w:hAnsi="Calibri" w:eastAsia="黑体" w:cs="Times New Roman"/>
                <w:color w:val="000000"/>
                <w:sz w:val="24"/>
              </w:rPr>
            </w:pPr>
            <w:r>
              <w:rPr>
                <w:rFonts w:hint="default" w:ascii="Times New Roman" w:hAnsi="Times New Roman" w:eastAsia="黑体" w:cs="Times New Roman"/>
                <w:color w:val="000000"/>
                <w:sz w:val="24"/>
              </w:rPr>
              <w:t>表</w:t>
            </w:r>
            <w:r>
              <w:rPr>
                <w:rFonts w:hint="default" w:ascii="Times New Roman" w:hAnsi="Times New Roman" w:eastAsia="黑体" w:cs="Times New Roman"/>
                <w:color w:val="000000"/>
                <w:sz w:val="24"/>
                <w:lang w:val="en-US" w:eastAsia="zh-CN"/>
              </w:rPr>
              <w:t>3-1</w:t>
            </w:r>
            <w:r>
              <w:rPr>
                <w:rFonts w:hint="default" w:ascii="Times New Roman" w:hAnsi="Times New Roman" w:eastAsia="黑体" w:cs="Times New Roman"/>
                <w:color w:val="000000"/>
                <w:sz w:val="24"/>
              </w:rPr>
              <w:t xml:space="preserve"> </w:t>
            </w:r>
            <w:r>
              <w:rPr>
                <w:rFonts w:ascii="Calibri" w:hAnsi="Calibri" w:eastAsia="黑体" w:cs="Times New Roman"/>
                <w:color w:val="000000"/>
                <w:sz w:val="24"/>
              </w:rPr>
              <w:t xml:space="preserve">           区域空气质量现状评价表</w:t>
            </w:r>
          </w:p>
          <w:tbl>
            <w:tblPr>
              <w:tblStyle w:val="30"/>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5"/>
              <w:gridCol w:w="1758"/>
              <w:gridCol w:w="1699"/>
              <w:gridCol w:w="1569"/>
              <w:gridCol w:w="1132"/>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5"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b w:val="0"/>
                      <w:bCs/>
                      <w:color w:val="000000"/>
                      <w:szCs w:val="21"/>
                    </w:rPr>
                  </w:pPr>
                  <w:r>
                    <w:rPr>
                      <w:rFonts w:hint="default" w:ascii="Times New Roman" w:hAnsi="Times New Roman" w:eastAsia="宋体" w:cs="Times New Roman"/>
                      <w:b w:val="0"/>
                      <w:bCs/>
                      <w:color w:val="000000"/>
                      <w:szCs w:val="21"/>
                    </w:rPr>
                    <w:t>污染物</w:t>
                  </w:r>
                </w:p>
              </w:tc>
              <w:tc>
                <w:tcPr>
                  <w:tcW w:w="1758"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b w:val="0"/>
                      <w:bCs/>
                      <w:color w:val="000000"/>
                      <w:szCs w:val="21"/>
                    </w:rPr>
                  </w:pPr>
                  <w:r>
                    <w:rPr>
                      <w:rFonts w:hint="default" w:ascii="Times New Roman" w:hAnsi="Times New Roman" w:eastAsia="宋体" w:cs="Times New Roman"/>
                      <w:b w:val="0"/>
                      <w:bCs/>
                      <w:color w:val="000000"/>
                      <w:szCs w:val="21"/>
                    </w:rPr>
                    <w:t>年评价指标</w:t>
                  </w:r>
                </w:p>
              </w:tc>
              <w:tc>
                <w:tcPr>
                  <w:tcW w:w="169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b w:val="0"/>
                      <w:bCs/>
                      <w:color w:val="000000"/>
                      <w:szCs w:val="21"/>
                    </w:rPr>
                  </w:pPr>
                  <w:r>
                    <w:rPr>
                      <w:rFonts w:hint="default" w:ascii="Times New Roman" w:hAnsi="Times New Roman" w:eastAsia="宋体" w:cs="Times New Roman"/>
                      <w:b w:val="0"/>
                      <w:bCs/>
                      <w:color w:val="000000"/>
                      <w:szCs w:val="21"/>
                    </w:rPr>
                    <w:t>现状浓度/（μg/m</w:t>
                  </w:r>
                  <w:r>
                    <w:rPr>
                      <w:rFonts w:hint="default" w:ascii="Times New Roman" w:hAnsi="Times New Roman" w:eastAsia="宋体" w:cs="Times New Roman"/>
                      <w:b w:val="0"/>
                      <w:bCs/>
                      <w:color w:val="000000"/>
                      <w:szCs w:val="21"/>
                      <w:vertAlign w:val="superscript"/>
                    </w:rPr>
                    <w:t>3</w:t>
                  </w:r>
                  <w:r>
                    <w:rPr>
                      <w:rFonts w:hint="default" w:ascii="Times New Roman" w:hAnsi="Times New Roman" w:eastAsia="宋体" w:cs="Times New Roman"/>
                      <w:b w:val="0"/>
                      <w:bCs/>
                      <w:color w:val="000000"/>
                      <w:szCs w:val="21"/>
                    </w:rPr>
                    <w:t>）</w:t>
                  </w:r>
                </w:p>
              </w:tc>
              <w:tc>
                <w:tcPr>
                  <w:tcW w:w="156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b w:val="0"/>
                      <w:bCs/>
                      <w:color w:val="000000"/>
                      <w:szCs w:val="21"/>
                    </w:rPr>
                  </w:pPr>
                  <w:r>
                    <w:rPr>
                      <w:rFonts w:hint="default" w:ascii="Times New Roman" w:hAnsi="Times New Roman" w:eastAsia="宋体" w:cs="Times New Roman"/>
                      <w:b w:val="0"/>
                      <w:bCs/>
                      <w:color w:val="000000"/>
                      <w:szCs w:val="21"/>
                    </w:rPr>
                    <w:t>标准值/（μg/m</w:t>
                  </w:r>
                  <w:r>
                    <w:rPr>
                      <w:rFonts w:hint="default" w:ascii="Times New Roman" w:hAnsi="Times New Roman" w:eastAsia="宋体" w:cs="Times New Roman"/>
                      <w:b w:val="0"/>
                      <w:bCs/>
                      <w:color w:val="000000"/>
                      <w:szCs w:val="21"/>
                      <w:vertAlign w:val="superscript"/>
                    </w:rPr>
                    <w:t>3</w:t>
                  </w:r>
                  <w:r>
                    <w:rPr>
                      <w:rFonts w:hint="default" w:ascii="Times New Roman" w:hAnsi="Times New Roman" w:eastAsia="宋体" w:cs="Times New Roman"/>
                      <w:b w:val="0"/>
                      <w:bCs/>
                      <w:color w:val="000000"/>
                      <w:szCs w:val="21"/>
                    </w:rPr>
                    <w:t>）</w:t>
                  </w:r>
                </w:p>
              </w:tc>
              <w:tc>
                <w:tcPr>
                  <w:tcW w:w="1132"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b w:val="0"/>
                      <w:bCs/>
                      <w:color w:val="000000"/>
                      <w:szCs w:val="21"/>
                    </w:rPr>
                  </w:pPr>
                  <w:r>
                    <w:rPr>
                      <w:rFonts w:hint="default" w:ascii="Times New Roman" w:hAnsi="Times New Roman" w:eastAsia="宋体" w:cs="Times New Roman"/>
                      <w:b w:val="0"/>
                      <w:bCs/>
                      <w:color w:val="000000"/>
                      <w:szCs w:val="21"/>
                    </w:rPr>
                    <w:t>占标率/%</w:t>
                  </w:r>
                </w:p>
              </w:tc>
              <w:tc>
                <w:tcPr>
                  <w:tcW w:w="1001"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b w:val="0"/>
                      <w:bCs/>
                      <w:color w:val="000000"/>
                      <w:szCs w:val="21"/>
                    </w:rPr>
                  </w:pPr>
                  <w:r>
                    <w:rPr>
                      <w:rFonts w:hint="default" w:ascii="Times New Roman" w:hAnsi="Times New Roman" w:eastAsia="宋体" w:cs="Times New Roman"/>
                      <w:b w:val="0"/>
                      <w:bCs/>
                      <w:color w:val="00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5"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PM</w:t>
                  </w:r>
                  <w:r>
                    <w:rPr>
                      <w:rFonts w:hint="default" w:ascii="Times New Roman" w:hAnsi="Times New Roman" w:eastAsia="宋体" w:cs="Times New Roman"/>
                      <w:color w:val="000000"/>
                      <w:szCs w:val="21"/>
                      <w:vertAlign w:val="subscript"/>
                    </w:rPr>
                    <w:t>10</w:t>
                  </w:r>
                </w:p>
              </w:tc>
              <w:tc>
                <w:tcPr>
                  <w:tcW w:w="1758" w:type="dxa"/>
                  <w:noWrap w:val="0"/>
                  <w:tcMar>
                    <w:top w:w="0" w:type="dxa"/>
                    <w:left w:w="28" w:type="dxa"/>
                    <w:bottom w:w="0" w:type="dxa"/>
                    <w:right w:w="28" w:type="dxa"/>
                  </w:tcMar>
                  <w:vAlign w:val="center"/>
                </w:tcPr>
                <w:p>
                  <w:pPr>
                    <w:keepNext w:val="0"/>
                    <w:keepLines w:val="0"/>
                    <w:suppressLineNumbers w:val="0"/>
                    <w:overflowPunct w:val="0"/>
                    <w:autoSpaceDE w:val="0"/>
                    <w:autoSpaceDN w:val="0"/>
                    <w:adjustRightIn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年平均质量浓度</w:t>
                  </w:r>
                </w:p>
              </w:tc>
              <w:tc>
                <w:tcPr>
                  <w:tcW w:w="169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93</w:t>
                  </w:r>
                </w:p>
              </w:tc>
              <w:tc>
                <w:tcPr>
                  <w:tcW w:w="156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70</w:t>
                  </w:r>
                </w:p>
              </w:tc>
              <w:tc>
                <w:tcPr>
                  <w:tcW w:w="1132"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133</w:t>
                  </w:r>
                </w:p>
              </w:tc>
              <w:tc>
                <w:tcPr>
                  <w:tcW w:w="1001"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5"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PM</w:t>
                  </w:r>
                  <w:r>
                    <w:rPr>
                      <w:rFonts w:hint="default" w:ascii="Times New Roman" w:hAnsi="Times New Roman" w:eastAsia="宋体" w:cs="Times New Roman"/>
                      <w:color w:val="000000"/>
                      <w:szCs w:val="21"/>
                      <w:vertAlign w:val="subscript"/>
                    </w:rPr>
                    <w:t>2.5</w:t>
                  </w:r>
                </w:p>
              </w:tc>
              <w:tc>
                <w:tcPr>
                  <w:tcW w:w="1758"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年平均质量浓度</w:t>
                  </w:r>
                </w:p>
              </w:tc>
              <w:tc>
                <w:tcPr>
                  <w:tcW w:w="169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47</w:t>
                  </w:r>
                </w:p>
              </w:tc>
              <w:tc>
                <w:tcPr>
                  <w:tcW w:w="156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35</w:t>
                  </w:r>
                </w:p>
              </w:tc>
              <w:tc>
                <w:tcPr>
                  <w:tcW w:w="1132"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134</w:t>
                  </w:r>
                </w:p>
              </w:tc>
              <w:tc>
                <w:tcPr>
                  <w:tcW w:w="1001"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5"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SO</w:t>
                  </w:r>
                  <w:r>
                    <w:rPr>
                      <w:rFonts w:hint="default" w:ascii="Times New Roman" w:hAnsi="Times New Roman" w:eastAsia="宋体" w:cs="Times New Roman"/>
                      <w:color w:val="000000"/>
                      <w:szCs w:val="21"/>
                      <w:vertAlign w:val="subscript"/>
                    </w:rPr>
                    <w:t>2</w:t>
                  </w:r>
                </w:p>
              </w:tc>
              <w:tc>
                <w:tcPr>
                  <w:tcW w:w="1758"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年平均质量浓度</w:t>
                  </w:r>
                </w:p>
              </w:tc>
              <w:tc>
                <w:tcPr>
                  <w:tcW w:w="169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11</w:t>
                  </w:r>
                </w:p>
              </w:tc>
              <w:tc>
                <w:tcPr>
                  <w:tcW w:w="156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60</w:t>
                  </w:r>
                </w:p>
              </w:tc>
              <w:tc>
                <w:tcPr>
                  <w:tcW w:w="1132"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18.3</w:t>
                  </w:r>
                </w:p>
              </w:tc>
              <w:tc>
                <w:tcPr>
                  <w:tcW w:w="1001"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5"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NO</w:t>
                  </w:r>
                  <w:r>
                    <w:rPr>
                      <w:rFonts w:hint="default" w:ascii="Times New Roman" w:hAnsi="Times New Roman" w:eastAsia="宋体" w:cs="Times New Roman"/>
                      <w:color w:val="000000"/>
                      <w:szCs w:val="21"/>
                      <w:vertAlign w:val="subscript"/>
                    </w:rPr>
                    <w:t>2</w:t>
                  </w:r>
                </w:p>
              </w:tc>
              <w:tc>
                <w:tcPr>
                  <w:tcW w:w="1758"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年平均质量浓度</w:t>
                  </w:r>
                </w:p>
              </w:tc>
              <w:tc>
                <w:tcPr>
                  <w:tcW w:w="169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32</w:t>
                  </w:r>
                </w:p>
              </w:tc>
              <w:tc>
                <w:tcPr>
                  <w:tcW w:w="156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40</w:t>
                  </w:r>
                </w:p>
              </w:tc>
              <w:tc>
                <w:tcPr>
                  <w:tcW w:w="1132"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80</w:t>
                  </w:r>
                </w:p>
              </w:tc>
              <w:tc>
                <w:tcPr>
                  <w:tcW w:w="1001"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5"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CO</w:t>
                  </w:r>
                </w:p>
              </w:tc>
              <w:tc>
                <w:tcPr>
                  <w:tcW w:w="1758"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第95百分位浓度</w:t>
                  </w:r>
                </w:p>
              </w:tc>
              <w:tc>
                <w:tcPr>
                  <w:tcW w:w="169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1.6mg/m</w:t>
                  </w:r>
                  <w:r>
                    <w:rPr>
                      <w:rFonts w:hint="default" w:ascii="Times New Roman" w:hAnsi="Times New Roman" w:eastAsia="宋体" w:cs="Times New Roman"/>
                      <w:color w:val="000000"/>
                      <w:szCs w:val="21"/>
                      <w:vertAlign w:val="superscript"/>
                    </w:rPr>
                    <w:t>3</w:t>
                  </w:r>
                </w:p>
              </w:tc>
              <w:tc>
                <w:tcPr>
                  <w:tcW w:w="156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4mg/m</w:t>
                  </w:r>
                  <w:r>
                    <w:rPr>
                      <w:rFonts w:hint="default" w:ascii="Times New Roman" w:hAnsi="Times New Roman" w:eastAsia="宋体" w:cs="Times New Roman"/>
                      <w:color w:val="000000"/>
                      <w:szCs w:val="21"/>
                      <w:vertAlign w:val="superscript"/>
                    </w:rPr>
                    <w:t>3</w:t>
                  </w:r>
                </w:p>
              </w:tc>
              <w:tc>
                <w:tcPr>
                  <w:tcW w:w="1132"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40</w:t>
                  </w:r>
                </w:p>
              </w:tc>
              <w:tc>
                <w:tcPr>
                  <w:tcW w:w="1001"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5"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O</w:t>
                  </w:r>
                  <w:r>
                    <w:rPr>
                      <w:rFonts w:hint="default" w:ascii="Times New Roman" w:hAnsi="Times New Roman" w:eastAsia="宋体" w:cs="Times New Roman"/>
                      <w:color w:val="000000"/>
                      <w:szCs w:val="21"/>
                      <w:vertAlign w:val="subscript"/>
                    </w:rPr>
                    <w:t>3</w:t>
                  </w:r>
                </w:p>
              </w:tc>
              <w:tc>
                <w:tcPr>
                  <w:tcW w:w="1758"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第90百分位浓度</w:t>
                  </w:r>
                </w:p>
              </w:tc>
              <w:tc>
                <w:tcPr>
                  <w:tcW w:w="169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173</w:t>
                  </w:r>
                </w:p>
              </w:tc>
              <w:tc>
                <w:tcPr>
                  <w:tcW w:w="1569"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160</w:t>
                  </w:r>
                </w:p>
              </w:tc>
              <w:tc>
                <w:tcPr>
                  <w:tcW w:w="1132"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108</w:t>
                  </w:r>
                </w:p>
              </w:tc>
              <w:tc>
                <w:tcPr>
                  <w:tcW w:w="1001" w:type="dxa"/>
                  <w:noWrap w:val="0"/>
                  <w:tcMar>
                    <w:top w:w="0" w:type="dxa"/>
                    <w:left w:w="28" w:type="dxa"/>
                    <w:bottom w:w="0" w:type="dxa"/>
                    <w:right w:w="28" w:type="dxa"/>
                  </w:tcMar>
                  <w:vAlign w:val="center"/>
                </w:tcPr>
                <w:p>
                  <w:pPr>
                    <w:keepNext w:val="0"/>
                    <w:keepLines w:val="0"/>
                    <w:suppressLineNumbers w:val="0"/>
                    <w:autoSpaceDE w:val="0"/>
                    <w:autoSpaceDN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超标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由上表可知，SO</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、NO</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、CO能够满足《环境空气质量标准》（GB3095-2012）二级标准；其中PM</w:t>
            </w:r>
            <w:r>
              <w:rPr>
                <w:rFonts w:hint="default" w:ascii="Times New Roman" w:hAnsi="Times New Roman" w:eastAsia="宋体" w:cs="Times New Roman"/>
                <w:color w:val="000000"/>
                <w:sz w:val="24"/>
                <w:vertAlign w:val="subscript"/>
              </w:rPr>
              <w:t>10</w:t>
            </w:r>
            <w:r>
              <w:rPr>
                <w:rFonts w:hint="default" w:ascii="Times New Roman" w:hAnsi="Times New Roman" w:eastAsia="宋体" w:cs="Times New Roman"/>
                <w:color w:val="000000"/>
                <w:sz w:val="24"/>
              </w:rPr>
              <w:t>、PM</w:t>
            </w:r>
            <w:r>
              <w:rPr>
                <w:rFonts w:hint="default" w:ascii="Times New Roman" w:hAnsi="Times New Roman" w:eastAsia="宋体" w:cs="Times New Roman"/>
                <w:color w:val="000000"/>
                <w:sz w:val="24"/>
                <w:vertAlign w:val="subscript"/>
              </w:rPr>
              <w:t>2.5</w:t>
            </w:r>
            <w:r>
              <w:rPr>
                <w:rFonts w:hint="default" w:ascii="Times New Roman" w:hAnsi="Times New Roman" w:eastAsia="宋体" w:cs="Times New Roman"/>
                <w:color w:val="000000"/>
                <w:sz w:val="24"/>
              </w:rPr>
              <w:t>和O</w:t>
            </w:r>
            <w:r>
              <w:rPr>
                <w:rFonts w:hint="default" w:ascii="Times New Roman" w:hAnsi="Times New Roman" w:eastAsia="宋体" w:cs="Times New Roman"/>
                <w:color w:val="000000"/>
                <w:sz w:val="24"/>
                <w:vertAlign w:val="subscript"/>
              </w:rPr>
              <w:t>3</w:t>
            </w:r>
            <w:r>
              <w:rPr>
                <w:rFonts w:hint="default" w:ascii="Times New Roman" w:hAnsi="Times New Roman" w:eastAsia="宋体" w:cs="Times New Roman"/>
                <w:color w:val="000000"/>
                <w:sz w:val="24"/>
              </w:rPr>
              <w:t>均不能够满足《环境空气质量标准》（GB3095-2012）二级标准要求。根据《环境影响评价技术导则大气环境》(HJ2.2-2018)，本项目所在区域属于未达标区。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baseline"/>
              <w:rPr>
                <w:rFonts w:hint="default" w:ascii="Times New Roman" w:hAnsi="Times New Roman" w:eastAsia="宋体" w:cs="Times New Roman"/>
                <w:sz w:val="24"/>
              </w:rPr>
            </w:pPr>
            <w:r>
              <w:rPr>
                <w:rFonts w:hint="default" w:ascii="Times New Roman" w:hAnsi="Times New Roman" w:eastAsia="宋体" w:cs="Times New Roman"/>
                <w:color w:val="000000"/>
                <w:sz w:val="24"/>
              </w:rPr>
              <w:t>目前，</w:t>
            </w:r>
            <w:r>
              <w:rPr>
                <w:rFonts w:hint="default" w:ascii="Times New Roman" w:hAnsi="Times New Roman" w:eastAsia="宋体" w:cs="Times New Roman"/>
                <w:sz w:val="24"/>
              </w:rPr>
              <w:t>新乡市正在实施《河南省生态环境保护委员会办公室关于印发河南省2022年大气、水、土壤污染防治攻坚战及农业农村污染治理攻坚战实施方案的通知》（豫环委办〔2022〕9号）、《新乡市环境污染防治攻坚指挥部办公室关于印发新乡市2022年大气、水、土壤污染防治攻坚战及农业农村污染治理攻坚战实施方案的通知》（新环攻坚办〔2022〕60号）等一系列措施，实施这些方案将不断改善区域大气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rPr>
                <w:rFonts w:hint="default" w:ascii="Times New Roman" w:hAnsi="Times New Roman" w:eastAsia="宋体" w:cs="Times New Roman"/>
                <w:b w:val="0"/>
                <w:bCs/>
                <w:iCs/>
                <w:color w:val="auto"/>
                <w:sz w:val="24"/>
                <w:szCs w:val="24"/>
                <w:u w:val="none"/>
              </w:rPr>
            </w:pPr>
            <w:r>
              <w:rPr>
                <w:rFonts w:hint="default" w:ascii="Times New Roman" w:hAnsi="Times New Roman" w:eastAsia="宋体" w:cs="Times New Roman"/>
                <w:b w:val="0"/>
                <w:bCs/>
                <w:kern w:val="2"/>
                <w:sz w:val="24"/>
                <w:szCs w:val="24"/>
                <w:u w:val="none"/>
                <w:lang w:val="en-US" w:eastAsia="zh-CN" w:bidi="ar"/>
              </w:rPr>
              <w:t>本项目</w:t>
            </w:r>
            <w:r>
              <w:rPr>
                <w:rFonts w:hint="eastAsia" w:cs="Times New Roman"/>
                <w:b w:val="0"/>
                <w:bCs/>
                <w:kern w:val="2"/>
                <w:sz w:val="24"/>
                <w:szCs w:val="24"/>
                <w:u w:val="none"/>
                <w:lang w:val="en-US" w:eastAsia="zh-CN" w:bidi="ar"/>
              </w:rPr>
              <w:t>实验废气经治理后能够达标排放</w:t>
            </w:r>
            <w:r>
              <w:rPr>
                <w:rFonts w:hint="default" w:ascii="Times New Roman" w:hAnsi="Times New Roman" w:eastAsia="宋体" w:cs="Times New Roman"/>
                <w:b w:val="0"/>
                <w:bCs/>
                <w:kern w:val="2"/>
                <w:sz w:val="24"/>
                <w:szCs w:val="24"/>
                <w:u w:val="none"/>
                <w:lang w:val="en-US" w:eastAsia="zh-CN" w:bidi="ar"/>
              </w:rPr>
              <w:t>，对项目周边环境影响</w:t>
            </w:r>
            <w:r>
              <w:rPr>
                <w:rFonts w:hint="eastAsia" w:cs="Times New Roman"/>
                <w:b w:val="0"/>
                <w:bCs/>
                <w:kern w:val="2"/>
                <w:sz w:val="24"/>
                <w:szCs w:val="24"/>
                <w:u w:val="none"/>
                <w:lang w:val="en-US" w:eastAsia="zh-CN" w:bidi="ar"/>
              </w:rPr>
              <w:t>可以接受</w:t>
            </w:r>
            <w:r>
              <w:rPr>
                <w:rFonts w:hint="default" w:ascii="Times New Roman" w:hAnsi="Times New Roman" w:eastAsia="宋体" w:cs="Times New Roman"/>
                <w:b w:val="0"/>
                <w:bCs/>
                <w:kern w:val="2"/>
                <w:sz w:val="24"/>
                <w:szCs w:val="24"/>
                <w:u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bCs/>
                <w:iCs/>
                <w:color w:val="auto"/>
                <w:sz w:val="24"/>
                <w:szCs w:val="24"/>
              </w:rPr>
              <w:t>2.水环境质量现状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宋体" w:cs="Times New Roman"/>
                <w:b w:val="0"/>
                <w:bCs w:val="0"/>
                <w:color w:val="000000"/>
                <w:kern w:val="0"/>
                <w:sz w:val="24"/>
                <w:u w:val="none"/>
              </w:rPr>
              <w:t>距离本项目最近的地表水体为</w:t>
            </w:r>
            <w:r>
              <w:rPr>
                <w:rFonts w:hint="eastAsia" w:cs="Times New Roman"/>
                <w:b w:val="0"/>
                <w:bCs/>
                <w:i w:val="0"/>
                <w:iCs w:val="0"/>
                <w:color w:val="auto"/>
                <w:sz w:val="24"/>
                <w:u w:val="none"/>
                <w:lang w:val="en-US" w:eastAsia="zh-CN"/>
              </w:rPr>
              <w:t>东3.5km处的东孟姜女河</w:t>
            </w:r>
            <w:r>
              <w:rPr>
                <w:rFonts w:hint="default" w:ascii="Times New Roman" w:hAnsi="Times New Roman" w:eastAsia="宋体" w:cs="Times New Roman"/>
                <w:b w:val="0"/>
                <w:bCs w:val="0"/>
                <w:color w:val="auto"/>
                <w:sz w:val="24"/>
                <w:szCs w:val="20"/>
                <w:u w:val="none"/>
              </w:rPr>
              <w:t>，</w:t>
            </w:r>
            <w:r>
              <w:rPr>
                <w:rFonts w:hint="default" w:ascii="Times New Roman" w:hAnsi="Times New Roman" w:eastAsia="宋体" w:cs="Times New Roman"/>
                <w:b w:val="0"/>
                <w:bCs w:val="0"/>
                <w:sz w:val="24"/>
                <w:szCs w:val="24"/>
                <w:u w:val="none"/>
              </w:rPr>
              <w:t>东孟姜女河自新乡县，沿故黄河堤下，东北行经关堤，南辛庄到吕公堂入卫河。</w:t>
            </w:r>
            <w:r>
              <w:rPr>
                <w:rFonts w:hint="default" w:ascii="Times New Roman" w:hAnsi="Times New Roman" w:eastAsia="宋体" w:cs="Times New Roman"/>
                <w:color w:val="000000"/>
                <w:sz w:val="24"/>
                <w:lang w:val="en-US" w:eastAsia="zh-CN"/>
              </w:rPr>
              <w:t>根据《新乡市生态环境局关于下达2022年地表水环境质量暂定目标的函》，东孟姜女河属于Ⅳ类水体，执行《地表水环境质量标准》（GB 3838-2002）Ⅳ类水质标准要求。</w:t>
            </w:r>
            <w:r>
              <w:rPr>
                <w:rFonts w:hint="default" w:ascii="Times New Roman" w:hAnsi="Times New Roman" w:eastAsia="宋体" w:cs="Times New Roman"/>
                <w:b w:val="0"/>
                <w:bCs/>
                <w:sz w:val="24"/>
                <w:lang w:val="en-US" w:eastAsia="zh-CN"/>
              </w:rPr>
              <w:t>本项目引用</w:t>
            </w:r>
            <w:r>
              <w:rPr>
                <w:rFonts w:hint="eastAsia" w:ascii="Times New Roman" w:hAnsi="Times New Roman" w:eastAsia="宋体" w:cs="Times New Roman"/>
                <w:color w:val="auto"/>
                <w:sz w:val="24"/>
                <w:szCs w:val="24"/>
              </w:rPr>
              <w:t>2022年3月份各县（市、区）出境断面水质情况</w:t>
            </w:r>
            <w:r>
              <w:rPr>
                <w:rFonts w:hint="eastAsia" w:cs="Times New Roman"/>
                <w:color w:val="auto"/>
                <w:sz w:val="24"/>
                <w:szCs w:val="24"/>
                <w:lang w:eastAsia="zh-CN"/>
              </w:rPr>
              <w:t>中</w:t>
            </w:r>
            <w:r>
              <w:rPr>
                <w:rFonts w:hint="default" w:ascii="Times New Roman" w:hAnsi="Times New Roman" w:eastAsia="宋体" w:cs="Times New Roman"/>
                <w:b w:val="0"/>
                <w:bCs/>
                <w:sz w:val="24"/>
                <w:lang w:val="en-US" w:eastAsia="zh-CN"/>
              </w:rPr>
              <w:t>东孟姜女河青龙路化肥厂东断面监测数据，东孟姜女河青龙路化肥厂东断面监测结果见下表。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default" w:ascii="Times New Roman" w:hAnsi="Times New Roman" w:eastAsia="黑体" w:cs="Times New Roman"/>
                <w:b w:val="0"/>
                <w:bCs w:val="0"/>
                <w:color w:val="000000"/>
                <w:sz w:val="24"/>
                <w:szCs w:val="22"/>
                <w:lang w:val="en-US" w:eastAsia="zh-CN"/>
              </w:rPr>
            </w:pPr>
            <w:r>
              <w:rPr>
                <w:rFonts w:hint="default" w:ascii="Times New Roman" w:hAnsi="Times New Roman" w:eastAsia="黑体" w:cs="Times New Roman"/>
                <w:b w:val="0"/>
                <w:bCs w:val="0"/>
                <w:color w:val="auto"/>
                <w:sz w:val="24"/>
                <w:szCs w:val="24"/>
                <w:lang w:val="en-US" w:eastAsia="zh-CN"/>
              </w:rPr>
              <w:t>表3-2  东孟姜女河青龙路化肥厂东断面水质监测结果一览表</w:t>
            </w:r>
          </w:p>
          <w:tbl>
            <w:tblPr>
              <w:tblStyle w:val="30"/>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1597"/>
              <w:gridCol w:w="1989"/>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监测因子</w:t>
                  </w:r>
                </w:p>
              </w:tc>
              <w:tc>
                <w:tcPr>
                  <w:tcW w:w="15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COD</w:t>
                  </w:r>
                </w:p>
              </w:tc>
              <w:tc>
                <w:tcPr>
                  <w:tcW w:w="19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NH</w:t>
                  </w:r>
                  <w:r>
                    <w:rPr>
                      <w:rFonts w:hint="default" w:ascii="Times New Roman" w:hAnsi="Times New Roman" w:eastAsia="宋体" w:cs="Times New Roman"/>
                      <w:b w:val="0"/>
                      <w:bCs w:val="0"/>
                      <w:sz w:val="21"/>
                      <w:szCs w:val="21"/>
                      <w:vertAlign w:val="subscript"/>
                      <w:lang w:val="en-US" w:eastAsia="zh-CN"/>
                    </w:rPr>
                    <w:t>3</w:t>
                  </w:r>
                  <w:r>
                    <w:rPr>
                      <w:rFonts w:hint="default" w:ascii="Times New Roman" w:hAnsi="Times New Roman" w:eastAsia="宋体" w:cs="Times New Roman"/>
                      <w:b w:val="0"/>
                      <w:bCs w:val="0"/>
                      <w:sz w:val="21"/>
                      <w:szCs w:val="21"/>
                      <w:lang w:val="en-US" w:eastAsia="zh-CN"/>
                    </w:rPr>
                    <w:t>-N</w:t>
                  </w:r>
                </w:p>
              </w:tc>
              <w:tc>
                <w:tcPr>
                  <w:tcW w:w="19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2022年3月份监测数据</w:t>
                  </w:r>
                </w:p>
              </w:tc>
              <w:tc>
                <w:tcPr>
                  <w:tcW w:w="159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24.7</w:t>
                  </w:r>
                </w:p>
              </w:tc>
              <w:tc>
                <w:tcPr>
                  <w:tcW w:w="1989"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0.46</w:t>
                  </w:r>
                </w:p>
              </w:tc>
              <w:tc>
                <w:tcPr>
                  <w:tcW w:w="199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执行标准</w:t>
                  </w:r>
                </w:p>
              </w:tc>
              <w:tc>
                <w:tcPr>
                  <w:tcW w:w="15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30</w:t>
                  </w:r>
                </w:p>
              </w:tc>
              <w:tc>
                <w:tcPr>
                  <w:tcW w:w="19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1.5</w:t>
                  </w:r>
                </w:p>
              </w:tc>
              <w:tc>
                <w:tcPr>
                  <w:tcW w:w="19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达标情况</w:t>
                  </w:r>
                </w:p>
              </w:tc>
              <w:tc>
                <w:tcPr>
                  <w:tcW w:w="15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c>
                <w:tcPr>
                  <w:tcW w:w="19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c>
                <w:tcPr>
                  <w:tcW w:w="199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default" w:ascii="Times New Roman" w:hAnsi="Times New Roman" w:eastAsia="宋体" w:cs="Times New Roman"/>
                <w:b w:val="0"/>
                <w:bCs/>
                <w:sz w:val="24"/>
                <w:lang w:val="en-US" w:eastAsia="zh-CN"/>
              </w:rPr>
            </w:pPr>
            <w:r>
              <w:rPr>
                <w:rFonts w:hint="default" w:ascii="Times New Roman" w:hAnsi="Times New Roman" w:eastAsia="宋体" w:cs="Times New Roman"/>
                <w:b w:val="0"/>
                <w:bCs/>
                <w:sz w:val="24"/>
                <w:lang w:val="en-US" w:eastAsia="zh-CN"/>
              </w:rPr>
              <w:t>由上表可知，2022年3月东孟姜女河青龙路化肥厂东断面COD、NH</w:t>
            </w:r>
            <w:r>
              <w:rPr>
                <w:rFonts w:hint="default" w:ascii="Times New Roman" w:hAnsi="Times New Roman" w:eastAsia="宋体" w:cs="Times New Roman"/>
                <w:b w:val="0"/>
                <w:bCs/>
                <w:sz w:val="24"/>
                <w:vertAlign w:val="subscript"/>
                <w:lang w:val="en-US" w:eastAsia="zh-CN"/>
              </w:rPr>
              <w:t>3</w:t>
            </w:r>
            <w:r>
              <w:rPr>
                <w:rFonts w:hint="default" w:ascii="Times New Roman" w:hAnsi="Times New Roman" w:eastAsia="宋体" w:cs="Times New Roman"/>
                <w:b w:val="0"/>
                <w:bCs/>
                <w:sz w:val="24"/>
                <w:lang w:val="en-US" w:eastAsia="zh-CN"/>
              </w:rPr>
              <w:t>-N、TP</w:t>
            </w:r>
            <w:r>
              <w:rPr>
                <w:rFonts w:hint="default" w:ascii="Times New Roman" w:hAnsi="Times New Roman" w:eastAsia="宋体" w:cs="Times New Roman"/>
                <w:color w:val="000000"/>
                <w:sz w:val="24"/>
                <w:lang w:val="en-US" w:eastAsia="zh-CN"/>
              </w:rPr>
              <w:t>浓度均能够满足《地表水环境质量标准》（GB3838-2002）Ⅳ类水质标准。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default" w:ascii="Times New Roman" w:hAnsi="Times New Roman" w:eastAsia="宋体" w:cs="Times New Roman"/>
                <w:b/>
                <w:bCs/>
                <w:iCs/>
                <w:color w:val="auto"/>
                <w:sz w:val="24"/>
                <w:szCs w:val="24"/>
                <w:u w:val="single"/>
                <w:lang w:eastAsia="zh-CN"/>
              </w:rPr>
            </w:pPr>
            <w:r>
              <w:rPr>
                <w:rFonts w:hint="default" w:ascii="Times New Roman" w:hAnsi="Times New Roman" w:eastAsia="宋体" w:cs="Times New Roman"/>
                <w:b w:val="0"/>
                <w:bCs/>
                <w:sz w:val="24"/>
                <w:lang w:val="en-US" w:eastAsia="zh-CN"/>
              </w:rPr>
              <w:t>本项目</w:t>
            </w:r>
            <w:r>
              <w:rPr>
                <w:rFonts w:hint="eastAsia" w:cs="Times New Roman"/>
                <w:b w:val="0"/>
                <w:bCs/>
                <w:sz w:val="24"/>
                <w:lang w:val="en-US" w:eastAsia="zh-CN"/>
              </w:rPr>
              <w:t>生产</w:t>
            </w:r>
            <w:r>
              <w:rPr>
                <w:rFonts w:hint="default" w:ascii="Times New Roman" w:hAnsi="Times New Roman" w:eastAsia="宋体" w:cs="Times New Roman"/>
                <w:b w:val="0"/>
                <w:bCs/>
                <w:sz w:val="24"/>
                <w:lang w:val="en-US" w:eastAsia="zh-CN"/>
              </w:rPr>
              <w:t>废水经厂区污水处理站处理后</w:t>
            </w:r>
            <w:r>
              <w:rPr>
                <w:rFonts w:hint="eastAsia" w:cs="Times New Roman"/>
                <w:b w:val="0"/>
                <w:bCs/>
                <w:sz w:val="24"/>
                <w:lang w:val="en-US" w:eastAsia="zh-CN"/>
              </w:rPr>
              <w:t>排入新乡县综合污水处理厂</w:t>
            </w:r>
            <w:r>
              <w:rPr>
                <w:rFonts w:hint="default" w:ascii="Times New Roman" w:hAnsi="Times New Roman" w:eastAsia="宋体" w:cs="Times New Roman"/>
                <w:b w:val="0"/>
                <w:bCs/>
                <w:sz w:val="24"/>
                <w:lang w:val="en-US" w:eastAsia="zh-CN"/>
              </w:rPr>
              <w:t>，对周边地表水环境产生</w:t>
            </w:r>
            <w:r>
              <w:rPr>
                <w:rFonts w:hint="eastAsia" w:cs="Times New Roman"/>
                <w:b w:val="0"/>
                <w:bCs/>
                <w:sz w:val="24"/>
                <w:lang w:val="en-US" w:eastAsia="zh-CN"/>
              </w:rPr>
              <w:t>可以接受</w:t>
            </w:r>
            <w:r>
              <w:rPr>
                <w:rFonts w:hint="default" w:ascii="Times New Roman" w:hAnsi="Times New Roman" w:eastAsia="宋体" w:cs="Times New Roman"/>
                <w:b w:val="0"/>
                <w:bCs/>
                <w:sz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iCs/>
                <w:color w:val="auto"/>
                <w:sz w:val="24"/>
                <w:szCs w:val="24"/>
              </w:rPr>
              <w:t>3</w:t>
            </w:r>
            <w:r>
              <w:rPr>
                <w:rFonts w:hint="default" w:ascii="Times New Roman" w:hAnsi="Times New Roman" w:eastAsia="宋体" w:cs="Times New Roman"/>
                <w:b/>
                <w:bCs/>
                <w:iCs/>
                <w:color w:val="auto"/>
                <w:sz w:val="24"/>
                <w:szCs w:val="24"/>
                <w:lang w:eastAsia="zh-CN"/>
              </w:rPr>
              <w:t>、</w:t>
            </w:r>
            <w:r>
              <w:rPr>
                <w:rFonts w:hint="default" w:ascii="Times New Roman" w:hAnsi="Times New Roman" w:eastAsia="宋体" w:cs="Times New Roman"/>
                <w:b/>
                <w:bCs/>
                <w:iCs/>
                <w:color w:val="auto"/>
                <w:sz w:val="24"/>
                <w:szCs w:val="24"/>
              </w:rPr>
              <w:t>声环境现状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根据环境噪声划分规定，建设项目所在地属2类区，环境噪声执行《声环境质量标准》（GB3096-2008）2类标准的要求。根据202</w:t>
            </w:r>
            <w:r>
              <w:rPr>
                <w:rFonts w:hint="eastAsia" w:ascii="Times New Roman" w:hAnsi="Times New Roman" w:cs="Times New Roman"/>
                <w:color w:val="000000"/>
                <w:sz w:val="24"/>
                <w:lang w:val="en-US" w:eastAsia="zh-CN"/>
              </w:rPr>
              <w:t>2</w:t>
            </w:r>
            <w:r>
              <w:rPr>
                <w:rFonts w:hint="default" w:ascii="Times New Roman" w:hAnsi="Times New Roman" w:eastAsia="宋体" w:cs="Times New Roman"/>
                <w:color w:val="000000"/>
                <w:sz w:val="24"/>
                <w:lang w:val="en-US" w:eastAsia="zh-CN"/>
              </w:rPr>
              <w:t>年</w:t>
            </w:r>
            <w:r>
              <w:rPr>
                <w:rFonts w:hint="eastAsia" w:ascii="Times New Roman" w:hAnsi="Times New Roman" w:eastAsia="宋体" w:cs="Times New Roman"/>
                <w:color w:val="000000"/>
                <w:sz w:val="24"/>
                <w:lang w:val="en-US" w:eastAsia="zh-CN"/>
              </w:rPr>
              <w:t>11</w:t>
            </w:r>
            <w:r>
              <w:rPr>
                <w:rFonts w:hint="default" w:ascii="Times New Roman" w:hAnsi="Times New Roman" w:eastAsia="宋体" w:cs="Times New Roman"/>
                <w:color w:val="000000"/>
                <w:sz w:val="24"/>
                <w:lang w:val="en-US" w:eastAsia="zh-CN"/>
              </w:rPr>
              <w:t>月</w:t>
            </w:r>
            <w:r>
              <w:rPr>
                <w:rFonts w:hint="eastAsia" w:ascii="Times New Roman" w:hAnsi="Times New Roman" w:cs="Times New Roman"/>
                <w:color w:val="000000"/>
                <w:sz w:val="24"/>
                <w:lang w:val="en-US" w:eastAsia="zh-CN"/>
              </w:rPr>
              <w:t>2</w:t>
            </w:r>
            <w:r>
              <w:rPr>
                <w:rFonts w:hint="default" w:ascii="Times New Roman" w:hAnsi="Times New Roman" w:eastAsia="宋体" w:cs="Times New Roman"/>
                <w:color w:val="000000"/>
                <w:sz w:val="24"/>
                <w:lang w:val="en-US" w:eastAsia="zh-CN"/>
              </w:rPr>
              <w:t>日-</w:t>
            </w:r>
            <w:r>
              <w:rPr>
                <w:rFonts w:hint="eastAsia" w:ascii="Times New Roman" w:hAnsi="Times New Roman" w:cs="Times New Roman"/>
                <w:color w:val="000000"/>
                <w:sz w:val="24"/>
                <w:lang w:val="en-US" w:eastAsia="zh-CN"/>
              </w:rPr>
              <w:t>3</w:t>
            </w:r>
            <w:r>
              <w:rPr>
                <w:rFonts w:hint="default" w:ascii="Times New Roman" w:hAnsi="Times New Roman" w:eastAsia="宋体" w:cs="Times New Roman"/>
                <w:color w:val="000000"/>
                <w:sz w:val="24"/>
                <w:lang w:val="en-US" w:eastAsia="zh-CN"/>
              </w:rPr>
              <w:t>日两天的现场实测，项目四周厂界</w:t>
            </w:r>
            <w:r>
              <w:rPr>
                <w:rFonts w:hint="eastAsia" w:ascii="Times New Roman" w:hAnsi="Times New Roman" w:eastAsia="宋体" w:cs="Times New Roman"/>
                <w:color w:val="000000"/>
                <w:sz w:val="24"/>
                <w:lang w:val="en-US" w:eastAsia="zh-CN"/>
              </w:rPr>
              <w:t>及敏感点</w:t>
            </w:r>
            <w:r>
              <w:rPr>
                <w:rFonts w:hint="default" w:ascii="Times New Roman" w:hAnsi="Times New Roman" w:eastAsia="宋体" w:cs="Times New Roman"/>
                <w:color w:val="000000"/>
                <w:sz w:val="24"/>
                <w:lang w:val="en-US" w:eastAsia="zh-CN"/>
              </w:rPr>
              <w:t>噪声监测值见表</w:t>
            </w:r>
            <w:r>
              <w:rPr>
                <w:rFonts w:hint="eastAsia"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lang w:val="en-US" w:eastAsia="zh-CN"/>
              </w:rPr>
              <w:t>-3。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w:t>
            </w:r>
            <w:r>
              <w:rPr>
                <w:rFonts w:hint="eastAsia" w:ascii="Times New Roman" w:hAnsi="Times New Roman" w:eastAsia="黑体" w:cs="Times New Roman"/>
                <w:b w:val="0"/>
                <w:bCs w:val="0"/>
                <w:color w:val="auto"/>
                <w:sz w:val="24"/>
                <w:szCs w:val="24"/>
                <w:lang w:val="en-US" w:eastAsia="zh-CN"/>
              </w:rPr>
              <w:t>3</w:t>
            </w:r>
            <w:r>
              <w:rPr>
                <w:rFonts w:hint="default" w:ascii="Times New Roman" w:hAnsi="Times New Roman" w:eastAsia="黑体" w:cs="Times New Roman"/>
                <w:b w:val="0"/>
                <w:bCs w:val="0"/>
                <w:color w:val="auto"/>
                <w:sz w:val="24"/>
                <w:szCs w:val="24"/>
                <w:lang w:val="en-US" w:eastAsia="zh-CN"/>
              </w:rPr>
              <w:t>-3      项目</w:t>
            </w:r>
            <w:r>
              <w:rPr>
                <w:rFonts w:hint="eastAsia" w:ascii="Times New Roman" w:hAnsi="Times New Roman" w:eastAsia="黑体" w:cs="Times New Roman"/>
                <w:b w:val="0"/>
                <w:bCs w:val="0"/>
                <w:color w:val="auto"/>
                <w:sz w:val="24"/>
                <w:szCs w:val="24"/>
                <w:lang w:val="en-US" w:eastAsia="zh-CN"/>
              </w:rPr>
              <w:t>四周</w:t>
            </w:r>
            <w:r>
              <w:rPr>
                <w:rFonts w:hint="default" w:ascii="Times New Roman" w:hAnsi="Times New Roman" w:eastAsia="黑体" w:cs="Times New Roman"/>
                <w:b w:val="0"/>
                <w:bCs w:val="0"/>
                <w:color w:val="auto"/>
                <w:sz w:val="24"/>
                <w:szCs w:val="24"/>
                <w:lang w:val="en-US" w:eastAsia="zh-CN"/>
              </w:rPr>
              <w:t>厂界</w:t>
            </w:r>
            <w:r>
              <w:rPr>
                <w:rFonts w:hint="eastAsia" w:ascii="Times New Roman" w:hAnsi="Times New Roman" w:eastAsia="黑体" w:cs="Times New Roman"/>
                <w:b w:val="0"/>
                <w:bCs w:val="0"/>
                <w:color w:val="auto"/>
                <w:sz w:val="24"/>
                <w:szCs w:val="24"/>
                <w:lang w:val="en-US" w:eastAsia="zh-CN"/>
              </w:rPr>
              <w:t>及敏感点</w:t>
            </w:r>
            <w:r>
              <w:rPr>
                <w:rFonts w:hint="default" w:ascii="Times New Roman" w:hAnsi="Times New Roman" w:eastAsia="黑体" w:cs="Times New Roman"/>
                <w:b w:val="0"/>
                <w:bCs w:val="0"/>
                <w:color w:val="auto"/>
                <w:sz w:val="24"/>
                <w:szCs w:val="24"/>
                <w:lang w:val="en-US" w:eastAsia="zh-CN"/>
              </w:rPr>
              <w:t>噪声实测结果一览表   单位：dB(A)</w:t>
            </w:r>
          </w:p>
          <w:tbl>
            <w:tblPr>
              <w:tblStyle w:val="30"/>
              <w:tblW w:w="795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3102"/>
              <w:gridCol w:w="30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53"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监测方位</w:t>
                  </w:r>
                </w:p>
              </w:tc>
              <w:tc>
                <w:tcPr>
                  <w:tcW w:w="3102"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昼间</w:t>
                  </w:r>
                </w:p>
              </w:tc>
              <w:tc>
                <w:tcPr>
                  <w:tcW w:w="3096"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53"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东厂界</w:t>
                  </w:r>
                </w:p>
              </w:tc>
              <w:tc>
                <w:tcPr>
                  <w:tcW w:w="310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52.3-53.4</w:t>
                  </w:r>
                </w:p>
              </w:tc>
              <w:tc>
                <w:tcPr>
                  <w:tcW w:w="30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45.</w:t>
                  </w:r>
                  <w:r>
                    <w:rPr>
                      <w:rFonts w:hint="eastAsia" w:ascii="Times New Roman" w:hAnsi="Times New Roman" w:eastAsia="宋体" w:cs="Times New Roman"/>
                      <w:b w:val="0"/>
                      <w:bCs w:val="0"/>
                      <w:szCs w:val="21"/>
                      <w:lang w:val="en-US" w:eastAsia="zh-CN"/>
                    </w:rPr>
                    <w:t>1</w:t>
                  </w:r>
                  <w:r>
                    <w:rPr>
                      <w:rFonts w:hint="default" w:ascii="Times New Roman" w:hAnsi="Times New Roman" w:eastAsia="宋体" w:cs="Times New Roman"/>
                      <w:b w:val="0"/>
                      <w:bCs w:val="0"/>
                      <w:szCs w:val="21"/>
                      <w:lang w:val="en-US" w:eastAsia="zh-CN"/>
                    </w:rPr>
                    <w:t>-46.</w:t>
                  </w:r>
                  <w:r>
                    <w:rPr>
                      <w:rFonts w:hint="eastAsia" w:cs="Times New Roman"/>
                      <w:b w:val="0"/>
                      <w:bCs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53"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南厂界</w:t>
                  </w:r>
                </w:p>
              </w:tc>
              <w:tc>
                <w:tcPr>
                  <w:tcW w:w="310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53.8-54.1</w:t>
                  </w:r>
                </w:p>
              </w:tc>
              <w:tc>
                <w:tcPr>
                  <w:tcW w:w="30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rPr>
                    <w:t>4</w:t>
                  </w:r>
                  <w:r>
                    <w:rPr>
                      <w:rFonts w:hint="default" w:ascii="Times New Roman" w:hAnsi="Times New Roman" w:eastAsia="宋体" w:cs="Times New Roman"/>
                      <w:b w:val="0"/>
                      <w:bCs w:val="0"/>
                      <w:szCs w:val="21"/>
                      <w:lang w:val="en-US" w:eastAsia="zh-CN"/>
                    </w:rPr>
                    <w:t>4.</w:t>
                  </w:r>
                  <w:r>
                    <w:rPr>
                      <w:rFonts w:hint="eastAsia" w:cs="Times New Roman"/>
                      <w:b w:val="0"/>
                      <w:bCs w:val="0"/>
                      <w:szCs w:val="21"/>
                      <w:lang w:val="en-US" w:eastAsia="zh-CN"/>
                    </w:rPr>
                    <w:t>2</w:t>
                  </w:r>
                  <w:r>
                    <w:rPr>
                      <w:rFonts w:hint="default" w:ascii="Times New Roman" w:hAnsi="Times New Roman" w:eastAsia="宋体" w:cs="Times New Roman"/>
                      <w:b w:val="0"/>
                      <w:bCs w:val="0"/>
                      <w:szCs w:val="21"/>
                      <w:lang w:val="en-US" w:eastAsia="zh-CN"/>
                    </w:rPr>
                    <w:t>-44.</w:t>
                  </w:r>
                  <w:r>
                    <w:rPr>
                      <w:rFonts w:hint="eastAsia" w:ascii="Times New Roman" w:hAnsi="Times New Roman" w:eastAsia="宋体" w:cs="Times New Roman"/>
                      <w:b w:val="0"/>
                      <w:bCs w:val="0"/>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53"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西厂界</w:t>
                  </w:r>
                </w:p>
              </w:tc>
              <w:tc>
                <w:tcPr>
                  <w:tcW w:w="310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54.0-54.5</w:t>
                  </w:r>
                </w:p>
              </w:tc>
              <w:tc>
                <w:tcPr>
                  <w:tcW w:w="3096" w:type="dxa"/>
                  <w:tcBorders>
                    <w:tl2br w:val="nil"/>
                    <w:tr2bl w:val="nil"/>
                  </w:tcBorders>
                  <w:noWrap w:val="0"/>
                  <w:vAlign w:val="center"/>
                </w:tcPr>
                <w:p>
                  <w:pPr>
                    <w:keepNext w:val="0"/>
                    <w:keepLines w:val="0"/>
                    <w:widowControl/>
                    <w:numPr>
                      <w:ilvl w:val="0"/>
                      <w:numId w:val="0"/>
                    </w:numPr>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Cs w:val="21"/>
                      <w:lang w:val="en-US" w:eastAsia="zh-CN"/>
                    </w:rPr>
                    <w:t>45.0</w:t>
                  </w:r>
                  <w:r>
                    <w:rPr>
                      <w:rFonts w:hint="default" w:ascii="Times New Roman" w:hAnsi="Times New Roman" w:eastAsia="宋体" w:cs="Times New Roman"/>
                      <w:b w:val="0"/>
                      <w:bCs w:val="0"/>
                      <w:szCs w:val="21"/>
                      <w:lang w:val="en-US" w:eastAsia="zh-CN"/>
                    </w:rPr>
                    <w:t>-45.</w:t>
                  </w:r>
                  <w:r>
                    <w:rPr>
                      <w:rFonts w:hint="eastAsia" w:cs="Times New Roman"/>
                      <w:b w:val="0"/>
                      <w:bCs w:val="0"/>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53"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北厂界</w:t>
                  </w:r>
                </w:p>
              </w:tc>
              <w:tc>
                <w:tcPr>
                  <w:tcW w:w="310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eastAsia" w:ascii="Times New Roman" w:hAnsi="Times New Roman" w:eastAsia="宋体" w:cs="Times New Roman"/>
                      <w:b w:val="0"/>
                      <w:bCs w:val="0"/>
                      <w:sz w:val="21"/>
                      <w:szCs w:val="21"/>
                      <w:lang w:val="en-US" w:eastAsia="zh-CN"/>
                    </w:rPr>
                    <w:t>54.9-55.6</w:t>
                  </w:r>
                </w:p>
              </w:tc>
              <w:tc>
                <w:tcPr>
                  <w:tcW w:w="309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44.</w:t>
                  </w:r>
                  <w:r>
                    <w:rPr>
                      <w:rFonts w:hint="eastAsia" w:ascii="Times New Roman" w:hAnsi="Times New Roman" w:eastAsia="宋体" w:cs="Times New Roman"/>
                      <w:b w:val="0"/>
                      <w:bCs w:val="0"/>
                      <w:szCs w:val="21"/>
                      <w:lang w:val="en-US" w:eastAsia="zh-CN"/>
                    </w:rPr>
                    <w:t>6</w:t>
                  </w:r>
                  <w:r>
                    <w:rPr>
                      <w:rFonts w:hint="default" w:ascii="Times New Roman" w:hAnsi="Times New Roman" w:eastAsia="宋体" w:cs="Times New Roman"/>
                      <w:b w:val="0"/>
                      <w:bCs w:val="0"/>
                      <w:szCs w:val="21"/>
                      <w:lang w:val="en-US" w:eastAsia="zh-CN"/>
                    </w:rPr>
                    <w:t>-45.</w:t>
                  </w:r>
                  <w:r>
                    <w:rPr>
                      <w:rFonts w:hint="eastAsia" w:cs="Times New Roman"/>
                      <w:b w:val="0"/>
                      <w:bCs w:val="0"/>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53"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lang w:val="en-US" w:eastAsia="zh-CN"/>
                    </w:rPr>
                  </w:pPr>
                  <w:r>
                    <w:rPr>
                      <w:rFonts w:hint="eastAsia" w:cs="Times New Roman"/>
                      <w:b w:val="0"/>
                      <w:bCs w:val="0"/>
                      <w:szCs w:val="21"/>
                      <w:lang w:val="en-US" w:eastAsia="zh-CN"/>
                    </w:rPr>
                    <w:t>新乡县税务局</w:t>
                  </w:r>
                </w:p>
              </w:tc>
              <w:tc>
                <w:tcPr>
                  <w:tcW w:w="310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54.4-55.2</w:t>
                  </w:r>
                </w:p>
              </w:tc>
              <w:tc>
                <w:tcPr>
                  <w:tcW w:w="309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44.</w:t>
                  </w:r>
                  <w:r>
                    <w:rPr>
                      <w:rFonts w:hint="eastAsia" w:ascii="Times New Roman" w:hAnsi="Times New Roman" w:eastAsia="宋体" w:cs="Times New Roman"/>
                      <w:b w:val="0"/>
                      <w:bCs w:val="0"/>
                      <w:szCs w:val="21"/>
                      <w:lang w:val="en-US" w:eastAsia="zh-CN"/>
                    </w:rPr>
                    <w:t>3</w:t>
                  </w:r>
                  <w:r>
                    <w:rPr>
                      <w:rFonts w:hint="default" w:ascii="Times New Roman" w:hAnsi="Times New Roman" w:eastAsia="宋体" w:cs="Times New Roman"/>
                      <w:b w:val="0"/>
                      <w:bCs w:val="0"/>
                      <w:szCs w:val="21"/>
                      <w:lang w:val="en-US" w:eastAsia="zh-CN"/>
                    </w:rPr>
                    <w:t>-45.</w:t>
                  </w:r>
                  <w:r>
                    <w:rPr>
                      <w:rFonts w:hint="eastAsia" w:cs="Times New Roman"/>
                      <w:b w:val="0"/>
                      <w:bCs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53" w:type="dxa"/>
                  <w:tcBorders>
                    <w:tl2br w:val="nil"/>
                    <w:tr2bl w:val="nil"/>
                  </w:tcBorders>
                  <w:noWrap w:val="0"/>
                  <w:vAlign w:val="center"/>
                </w:tcPr>
                <w:p>
                  <w:pPr>
                    <w:keepNext w:val="0"/>
                    <w:keepLines w:val="0"/>
                    <w:widowControl/>
                    <w:suppressLineNumbers w:val="0"/>
                    <w:tabs>
                      <w:tab w:val="left" w:pos="761"/>
                    </w:tabs>
                    <w:spacing w:before="0" w:beforeAutospacing="0" w:after="0" w:afterAutospacing="0"/>
                    <w:ind w:left="0" w:right="0"/>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标准限值</w:t>
                  </w:r>
                </w:p>
              </w:tc>
              <w:tc>
                <w:tcPr>
                  <w:tcW w:w="310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zCs w:val="21"/>
                      <w:lang w:eastAsia="zh-CN"/>
                    </w:rPr>
                  </w:pPr>
                  <w:r>
                    <w:rPr>
                      <w:rFonts w:hint="default" w:ascii="Times New Roman" w:hAnsi="Times New Roman" w:eastAsia="宋体" w:cs="Times New Roman"/>
                      <w:b w:val="0"/>
                      <w:bCs w:val="0"/>
                      <w:szCs w:val="21"/>
                    </w:rPr>
                    <w:t>6</w:t>
                  </w:r>
                  <w:r>
                    <w:rPr>
                      <w:rFonts w:hint="default" w:ascii="Times New Roman" w:hAnsi="Times New Roman" w:eastAsia="宋体" w:cs="Times New Roman"/>
                      <w:b w:val="0"/>
                      <w:bCs w:val="0"/>
                      <w:szCs w:val="21"/>
                      <w:lang w:val="en-US" w:eastAsia="zh-CN"/>
                    </w:rPr>
                    <w:t>0</w:t>
                  </w:r>
                </w:p>
              </w:tc>
              <w:tc>
                <w:tcPr>
                  <w:tcW w:w="309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zCs w:val="21"/>
                      <w:lang w:eastAsia="zh-CN"/>
                    </w:rPr>
                  </w:pPr>
                  <w:r>
                    <w:rPr>
                      <w:rFonts w:hint="default" w:ascii="Times New Roman" w:hAnsi="Times New Roman" w:eastAsia="宋体" w:cs="Times New Roman"/>
                      <w:b w:val="0"/>
                      <w:bCs w:val="0"/>
                      <w:szCs w:val="21"/>
                    </w:rPr>
                    <w:t>5</w:t>
                  </w:r>
                  <w:r>
                    <w:rPr>
                      <w:rFonts w:hint="default" w:ascii="Times New Roman" w:hAnsi="Times New Roman" w:eastAsia="宋体" w:cs="Times New Roman"/>
                      <w:b w:val="0"/>
                      <w:bCs w:val="0"/>
                      <w:szCs w:val="21"/>
                      <w:lang w:val="en-US" w:eastAsia="zh-CN"/>
                    </w:rPr>
                    <w:t>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b w:val="0"/>
                <w:bCs/>
                <w:sz w:val="24"/>
              </w:rPr>
            </w:pPr>
            <w:r>
              <w:rPr>
                <w:rFonts w:hint="default" w:ascii="Times New Roman" w:hAnsi="Times New Roman" w:eastAsia="宋体" w:cs="Times New Roman"/>
                <w:sz w:val="24"/>
              </w:rPr>
              <w:t>由上表可知，项目所在区域声环境质量现状能够满足《声环境质量标准》（GB3096-2008）</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类标准。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4、地下水、土壤环境质量现状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根据《建设项目环境影响报告表编制技术指南（污染影响类）（试行）》，原则上不开展地下水和土壤环境质量现状调查，且本项目不存在地下水、土壤污染途径，因此不进行地下水、土壤质量现状调查。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5、生态环境现状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根据《建设项目环境影响报告表编制技术指南（污染影响类）（试行）》，</w:t>
            </w:r>
            <w:r>
              <w:rPr>
                <w:rFonts w:hint="default" w:ascii="Times New Roman" w:hAnsi="Times New Roman" w:eastAsia="宋体" w:cs="Times New Roman"/>
                <w:kern w:val="0"/>
                <w:sz w:val="24"/>
                <w:lang w:eastAsia="zh-CN"/>
              </w:rPr>
              <w:t>本项目位于</w:t>
            </w:r>
            <w:r>
              <w:rPr>
                <w:rFonts w:hint="eastAsia" w:cs="Times New Roman"/>
                <w:sz w:val="24"/>
                <w:szCs w:val="24"/>
                <w:lang w:val="en-US" w:eastAsia="zh-CN"/>
              </w:rPr>
              <w:t>新乡县中央大道与民乐路交叉口东北角民乐路一号（新乡县市场监督管理局院内）</w:t>
            </w:r>
            <w:r>
              <w:rPr>
                <w:rFonts w:hint="default" w:ascii="Times New Roman" w:hAnsi="Times New Roman" w:eastAsia="宋体" w:cs="Times New Roman"/>
                <w:kern w:val="0"/>
                <w:sz w:val="24"/>
                <w:lang w:eastAsia="zh-CN"/>
              </w:rPr>
              <w:t>，</w:t>
            </w:r>
            <w:r>
              <w:rPr>
                <w:rFonts w:hint="default" w:ascii="Times New Roman" w:hAnsi="Times New Roman" w:eastAsia="宋体" w:cs="Times New Roman"/>
                <w:sz w:val="24"/>
              </w:rPr>
              <w:t>用地范围内不含有生态环境保护目标，因此不进行生态环境现状调查。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textAlignment w:val="auto"/>
              <w:rPr>
                <w:rFonts w:hint="default" w:ascii="Times New Roman" w:hAnsi="Times New Roman" w:eastAsia="宋体" w:cs="Times New Roman"/>
                <w:sz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20" w:firstLineChars="200"/>
              <w:textAlignment w:val="auto"/>
              <w:rPr>
                <w:rFonts w:hint="eastAsia" w:cs="Times New Roman"/>
                <w:kern w:val="0"/>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20" w:firstLineChars="200"/>
              <w:textAlignment w:val="auto"/>
              <w:rPr>
                <w:rFonts w:hint="eastAsia" w:cs="Times New Roman"/>
                <w:kern w:val="0"/>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textAlignment w:val="auto"/>
              <w:rPr>
                <w:rFonts w:hint="eastAsia" w:ascii="Times New Roman" w:hAnsi="Times New Roman" w:eastAsia="宋体" w:cs="Times New Roman"/>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1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auto"/>
                <w:kern w:val="0"/>
                <w:szCs w:val="21"/>
              </w:rPr>
              <w:t>目标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1、大气环境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根据调查，项目厂界外500米范围内大气环境保护目标</w:t>
            </w:r>
            <w:r>
              <w:rPr>
                <w:rFonts w:hint="default" w:ascii="Times New Roman" w:hAnsi="Times New Roman" w:eastAsia="宋体" w:cs="Times New Roman"/>
                <w:bCs/>
                <w:sz w:val="24"/>
              </w:rPr>
              <w:t>见</w:t>
            </w:r>
            <w:r>
              <w:rPr>
                <w:rFonts w:hint="eastAsia" w:cs="Times New Roman"/>
                <w:bCs/>
                <w:sz w:val="24"/>
                <w:lang w:val="en-US" w:eastAsia="zh-CN"/>
              </w:rPr>
              <w:t>下表</w:t>
            </w:r>
            <w:r>
              <w:rPr>
                <w:rFonts w:hint="default" w:ascii="Times New Roman" w:hAnsi="Times New Roman" w:eastAsia="宋体" w:cs="Times New Roman"/>
                <w:bCs/>
                <w:sz w:val="24"/>
              </w:rPr>
              <w:t>。</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黑体" w:cs="Times New Roman"/>
                <w:b w:val="0"/>
                <w:bCs/>
                <w:sz w:val="24"/>
                <w:szCs w:val="24"/>
                <w:lang w:val="en-US" w:eastAsia="zh-CN"/>
              </w:rPr>
            </w:pPr>
            <w:r>
              <w:rPr>
                <w:rFonts w:hint="default" w:ascii="Times New Roman" w:hAnsi="Times New Roman" w:eastAsia="黑体" w:cs="Times New Roman"/>
                <w:b w:val="0"/>
                <w:bCs/>
                <w:sz w:val="24"/>
                <w:szCs w:val="24"/>
              </w:rPr>
              <w:t>表</w:t>
            </w:r>
            <w:r>
              <w:rPr>
                <w:rFonts w:hint="default" w:ascii="Times New Roman" w:hAnsi="Times New Roman" w:eastAsia="宋体" w:cs="Times New Roman"/>
                <w:b w:val="0"/>
                <w:bCs/>
                <w:sz w:val="24"/>
                <w:szCs w:val="24"/>
                <w:lang w:val="en-US" w:eastAsia="zh-CN"/>
              </w:rPr>
              <w:t>3-</w:t>
            </w:r>
            <w:r>
              <w:rPr>
                <w:rFonts w:hint="eastAsia" w:cs="Times New Roman"/>
                <w:b w:val="0"/>
                <w:bCs/>
                <w:sz w:val="24"/>
                <w:szCs w:val="24"/>
                <w:lang w:val="en-US" w:eastAsia="zh-CN"/>
              </w:rPr>
              <w:t>4</w:t>
            </w:r>
            <w:r>
              <w:rPr>
                <w:rFonts w:hint="default" w:ascii="Times New Roman" w:hAnsi="Times New Roman" w:eastAsia="宋体" w:cs="Times New Roman"/>
                <w:b w:val="0"/>
                <w:bCs/>
                <w:sz w:val="24"/>
                <w:szCs w:val="24"/>
              </w:rPr>
              <w:t xml:space="preserve">    </w:t>
            </w:r>
            <w:r>
              <w:rPr>
                <w:rFonts w:hint="default" w:ascii="Times New Roman" w:hAnsi="Times New Roman" w:eastAsia="宋体" w:cs="Times New Roman"/>
                <w:b w:val="0"/>
                <w:bCs/>
                <w:sz w:val="24"/>
                <w:szCs w:val="24"/>
                <w:lang w:val="en-US" w:eastAsia="zh-CN"/>
              </w:rPr>
              <w:t xml:space="preserve">     </w:t>
            </w:r>
            <w:r>
              <w:rPr>
                <w:rFonts w:hint="default" w:ascii="Times New Roman" w:hAnsi="Times New Roman" w:eastAsia="黑体" w:cs="Times New Roman"/>
                <w:b w:val="0"/>
                <w:bCs/>
                <w:sz w:val="24"/>
                <w:szCs w:val="24"/>
              </w:rPr>
              <w:t xml:space="preserve"> 本项目周围</w:t>
            </w:r>
            <w:r>
              <w:rPr>
                <w:rFonts w:hint="default" w:ascii="Times New Roman" w:hAnsi="Times New Roman" w:eastAsia="黑体" w:cs="Times New Roman"/>
                <w:b w:val="0"/>
                <w:bCs/>
                <w:sz w:val="24"/>
                <w:szCs w:val="24"/>
                <w:lang w:eastAsia="zh-CN"/>
              </w:rPr>
              <w:t>大气</w:t>
            </w:r>
            <w:r>
              <w:rPr>
                <w:rFonts w:hint="default" w:ascii="Times New Roman" w:hAnsi="Times New Roman" w:eastAsia="黑体" w:cs="Times New Roman"/>
                <w:b w:val="0"/>
                <w:bCs/>
                <w:sz w:val="24"/>
                <w:szCs w:val="24"/>
              </w:rPr>
              <w:t>环境保护目标</w:t>
            </w:r>
            <w:r>
              <w:rPr>
                <w:rFonts w:hint="default" w:ascii="Times New Roman" w:hAnsi="Times New Roman" w:eastAsia="黑体" w:cs="Times New Roman"/>
                <w:b w:val="0"/>
                <w:bCs/>
                <w:sz w:val="24"/>
                <w:szCs w:val="24"/>
                <w:lang w:eastAsia="zh-CN"/>
              </w:rPr>
              <w:t>一览表</w:t>
            </w:r>
          </w:p>
          <w:tbl>
            <w:tblPr>
              <w:tblStyle w:val="31"/>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123"/>
              <w:gridCol w:w="708"/>
              <w:gridCol w:w="829"/>
              <w:gridCol w:w="899"/>
              <w:gridCol w:w="730"/>
              <w:gridCol w:w="801"/>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rPr>
                    <w:t>保护类别</w:t>
                  </w:r>
                </w:p>
              </w:tc>
              <w:tc>
                <w:tcPr>
                  <w:tcW w:w="112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rPr>
                    <w:t>环境保护目标</w:t>
                  </w:r>
                </w:p>
              </w:tc>
              <w:tc>
                <w:tcPr>
                  <w:tcW w:w="1537"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相对坐标</w:t>
                  </w:r>
                </w:p>
              </w:tc>
              <w:tc>
                <w:tcPr>
                  <w:tcW w:w="89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保护内容</w:t>
                  </w:r>
                </w:p>
              </w:tc>
              <w:tc>
                <w:tcPr>
                  <w:tcW w:w="73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rPr>
                    <w:t>方位</w:t>
                  </w:r>
                </w:p>
              </w:tc>
              <w:tc>
                <w:tcPr>
                  <w:tcW w:w="80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距离</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m</w:t>
                  </w:r>
                  <w:r>
                    <w:rPr>
                      <w:rFonts w:hint="default" w:ascii="Times New Roman" w:hAnsi="Times New Roman" w:eastAsia="宋体" w:cs="Times New Roman"/>
                      <w:b w:val="0"/>
                      <w:bCs w:val="0"/>
                      <w:sz w:val="21"/>
                      <w:szCs w:val="21"/>
                      <w:lang w:eastAsia="zh-CN"/>
                    </w:rPr>
                    <w:t>）</w:t>
                  </w:r>
                </w:p>
              </w:tc>
              <w:tc>
                <w:tcPr>
                  <w:tcW w:w="2048"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2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112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X(m)</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Y(m)</w:t>
                  </w:r>
                </w:p>
              </w:tc>
              <w:tc>
                <w:tcPr>
                  <w:tcW w:w="89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73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kern w:val="2"/>
                      <w:sz w:val="21"/>
                      <w:szCs w:val="21"/>
                      <w:lang w:val="en-US" w:eastAsia="zh-CN" w:bidi="ar-SA"/>
                    </w:rPr>
                  </w:pPr>
                </w:p>
              </w:tc>
              <w:tc>
                <w:tcPr>
                  <w:tcW w:w="80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2048"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大气环境</w:t>
                  </w: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vertAlign w:val="baseline"/>
                      <w:lang w:eastAsia="zh-CN"/>
                    </w:rPr>
                  </w:pPr>
                  <w:r>
                    <w:rPr>
                      <w:rFonts w:hint="eastAsia" w:cs="Times New Roman"/>
                      <w:b w:val="0"/>
                      <w:bCs/>
                      <w:i w:val="0"/>
                      <w:iCs w:val="0"/>
                      <w:color w:val="auto"/>
                      <w:sz w:val="21"/>
                      <w:szCs w:val="21"/>
                      <w:u w:val="none"/>
                      <w:lang w:val="en-US" w:eastAsia="zh-CN"/>
                    </w:rPr>
                    <w:t>新乡县税务局</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10</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办公人员</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lang w:eastAsia="zh-CN"/>
                    </w:rPr>
                    <w:t>东</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none"/>
                      <w:lang w:val="en-US" w:eastAsia="zh-CN"/>
                    </w:rPr>
                    <w:t>10</w:t>
                  </w:r>
                </w:p>
              </w:tc>
              <w:tc>
                <w:tcPr>
                  <w:tcW w:w="204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i w:val="0"/>
                      <w:iCs w:val="0"/>
                      <w:color w:val="auto"/>
                      <w:sz w:val="21"/>
                      <w:szCs w:val="21"/>
                      <w:u w:val="none"/>
                      <w:lang w:val="en-US" w:eastAsia="zh-CN"/>
                    </w:rPr>
                    <w:t>新乡县电业局</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0</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115</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办公人员</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南</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115</w:t>
                  </w:r>
                </w:p>
              </w:tc>
              <w:tc>
                <w:tcPr>
                  <w:tcW w:w="20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i w:val="0"/>
                      <w:iCs w:val="0"/>
                      <w:color w:val="auto"/>
                      <w:sz w:val="21"/>
                      <w:szCs w:val="21"/>
                      <w:u w:val="none"/>
                      <w:lang w:val="en-US" w:eastAsia="zh-CN"/>
                    </w:rPr>
                    <w:t>新乡县交通局</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164</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0</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办公人员</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东</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164</w:t>
                  </w:r>
                </w:p>
              </w:tc>
              <w:tc>
                <w:tcPr>
                  <w:tcW w:w="20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新乡县药监局</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174</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0</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办公人员</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东</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174</w:t>
                  </w:r>
                </w:p>
              </w:tc>
              <w:tc>
                <w:tcPr>
                  <w:tcW w:w="20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新乡县国家税务局</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273</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60</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办公人员</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东北</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286</w:t>
                  </w:r>
                </w:p>
              </w:tc>
              <w:tc>
                <w:tcPr>
                  <w:tcW w:w="20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新乡县</w:t>
                  </w:r>
                  <w:r>
                    <w:rPr>
                      <w:rFonts w:hint="eastAsia" w:cs="Times New Roman"/>
                      <w:b w:val="0"/>
                      <w:bCs w:val="0"/>
                      <w:sz w:val="21"/>
                      <w:szCs w:val="21"/>
                      <w:lang w:val="en-US" w:eastAsia="zh-CN"/>
                    </w:rPr>
                    <w:t>人民</w:t>
                  </w:r>
                  <w:r>
                    <w:rPr>
                      <w:rFonts w:hint="default" w:ascii="Times New Roman" w:hAnsi="Times New Roman" w:eastAsia="宋体" w:cs="Times New Roman"/>
                      <w:b w:val="0"/>
                      <w:bCs w:val="0"/>
                      <w:sz w:val="21"/>
                      <w:szCs w:val="21"/>
                      <w:lang w:val="en-US" w:eastAsia="zh-CN"/>
                    </w:rPr>
                    <w:t>政府</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0</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301</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办公人员</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北</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301</w:t>
                  </w:r>
                </w:p>
              </w:tc>
              <w:tc>
                <w:tcPr>
                  <w:tcW w:w="20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新城世纪花园</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-120</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134</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居民</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西北</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190</w:t>
                  </w:r>
                </w:p>
              </w:tc>
              <w:tc>
                <w:tcPr>
                  <w:tcW w:w="20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p>
              </w:tc>
              <w:tc>
                <w:tcPr>
                  <w:tcW w:w="112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杨屯村</w:t>
                  </w:r>
                </w:p>
              </w:tc>
              <w:tc>
                <w:tcPr>
                  <w:tcW w:w="70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160</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-401</w:t>
                  </w:r>
                </w:p>
              </w:tc>
              <w:tc>
                <w:tcPr>
                  <w:tcW w:w="8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居民</w:t>
                  </w:r>
                </w:p>
              </w:tc>
              <w:tc>
                <w:tcPr>
                  <w:tcW w:w="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东南</w:t>
                  </w:r>
                </w:p>
              </w:tc>
              <w:tc>
                <w:tcPr>
                  <w:tcW w:w="80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453</w:t>
                  </w:r>
                </w:p>
              </w:tc>
              <w:tc>
                <w:tcPr>
                  <w:tcW w:w="204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2、声环境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eastAsia="zh-CN"/>
              </w:rPr>
              <w:t>根据调查，项目厂界外</w:t>
            </w:r>
            <w:r>
              <w:rPr>
                <w:rFonts w:hint="default" w:ascii="Times New Roman" w:hAnsi="Times New Roman" w:eastAsia="宋体" w:cs="Times New Roman"/>
                <w:sz w:val="24"/>
                <w:lang w:val="en-US" w:eastAsia="zh-CN"/>
              </w:rPr>
              <w:t>50米范围内</w:t>
            </w:r>
            <w:r>
              <w:rPr>
                <w:rFonts w:hint="eastAsia" w:cs="Times New Roman"/>
                <w:sz w:val="24"/>
                <w:lang w:val="en-US" w:eastAsia="zh-CN"/>
              </w:rPr>
              <w:t>的</w:t>
            </w:r>
            <w:r>
              <w:rPr>
                <w:rFonts w:hint="default" w:ascii="Times New Roman" w:hAnsi="Times New Roman" w:eastAsia="宋体" w:cs="Times New Roman"/>
                <w:sz w:val="24"/>
                <w:lang w:val="en-US" w:eastAsia="zh-CN"/>
              </w:rPr>
              <w:t>声环境保护目标</w:t>
            </w:r>
            <w:r>
              <w:rPr>
                <w:rFonts w:hint="eastAsia" w:cs="Times New Roman"/>
                <w:sz w:val="24"/>
                <w:lang w:val="en-US" w:eastAsia="zh-CN"/>
              </w:rPr>
              <w:t>见下表</w:t>
            </w:r>
            <w:r>
              <w:rPr>
                <w:rFonts w:hint="default" w:ascii="Times New Roman" w:hAnsi="Times New Roman" w:eastAsia="宋体" w:cs="Times New Roman"/>
                <w:sz w:val="24"/>
                <w:lang w:val="en-US" w:eastAsia="zh-CN"/>
              </w:rPr>
              <w:t>。</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firstLine="480" w:firstLineChars="200"/>
              <w:jc w:val="both"/>
              <w:textAlignment w:val="auto"/>
              <w:rPr>
                <w:rFonts w:hint="default" w:ascii="Times New Roman" w:hAnsi="Times New Roman" w:eastAsia="黑体" w:cs="Times New Roman"/>
                <w:b w:val="0"/>
                <w:bCs/>
                <w:sz w:val="24"/>
                <w:szCs w:val="24"/>
                <w:lang w:val="en-US" w:eastAsia="zh-CN"/>
              </w:rPr>
            </w:pPr>
            <w:r>
              <w:rPr>
                <w:rFonts w:hint="default" w:ascii="Times New Roman" w:hAnsi="Times New Roman" w:eastAsia="黑体" w:cs="Times New Roman"/>
                <w:b w:val="0"/>
                <w:bCs/>
                <w:sz w:val="24"/>
                <w:szCs w:val="24"/>
              </w:rPr>
              <w:t>表</w:t>
            </w:r>
            <w:r>
              <w:rPr>
                <w:rFonts w:hint="default" w:ascii="Times New Roman" w:hAnsi="Times New Roman" w:eastAsia="宋体" w:cs="Times New Roman"/>
                <w:b w:val="0"/>
                <w:bCs/>
                <w:sz w:val="24"/>
                <w:szCs w:val="24"/>
                <w:lang w:val="en-US" w:eastAsia="zh-CN"/>
              </w:rPr>
              <w:t>3-</w:t>
            </w:r>
            <w:r>
              <w:rPr>
                <w:rFonts w:hint="eastAsia" w:cs="Times New Roman"/>
                <w:b w:val="0"/>
                <w:bCs/>
                <w:sz w:val="24"/>
                <w:szCs w:val="24"/>
                <w:lang w:val="en-US" w:eastAsia="zh-CN"/>
              </w:rPr>
              <w:t>5</w:t>
            </w:r>
            <w:r>
              <w:rPr>
                <w:rFonts w:hint="default" w:ascii="Times New Roman" w:hAnsi="Times New Roman" w:eastAsia="宋体" w:cs="Times New Roman"/>
                <w:b w:val="0"/>
                <w:bCs/>
                <w:sz w:val="24"/>
                <w:szCs w:val="24"/>
              </w:rPr>
              <w:t xml:space="preserve">    </w:t>
            </w:r>
            <w:r>
              <w:rPr>
                <w:rFonts w:hint="default" w:ascii="Times New Roman" w:hAnsi="Times New Roman" w:eastAsia="宋体" w:cs="Times New Roman"/>
                <w:b w:val="0"/>
                <w:bCs/>
                <w:sz w:val="24"/>
                <w:szCs w:val="24"/>
                <w:lang w:val="en-US" w:eastAsia="zh-CN"/>
              </w:rPr>
              <w:t xml:space="preserve">     </w:t>
            </w:r>
            <w:r>
              <w:rPr>
                <w:rFonts w:hint="default" w:ascii="Times New Roman" w:hAnsi="Times New Roman" w:eastAsia="黑体" w:cs="Times New Roman"/>
                <w:b w:val="0"/>
                <w:bCs/>
                <w:sz w:val="24"/>
                <w:szCs w:val="24"/>
              </w:rPr>
              <w:t xml:space="preserve"> 本项目周围</w:t>
            </w:r>
            <w:r>
              <w:rPr>
                <w:rFonts w:hint="default" w:ascii="Times New Roman" w:hAnsi="Times New Roman" w:eastAsia="黑体" w:cs="Times New Roman"/>
                <w:b w:val="0"/>
                <w:bCs/>
                <w:sz w:val="24"/>
                <w:szCs w:val="24"/>
                <w:lang w:eastAsia="zh-CN"/>
              </w:rPr>
              <w:t>大气</w:t>
            </w:r>
            <w:r>
              <w:rPr>
                <w:rFonts w:hint="default" w:ascii="Times New Roman" w:hAnsi="Times New Roman" w:eastAsia="黑体" w:cs="Times New Roman"/>
                <w:b w:val="0"/>
                <w:bCs/>
                <w:sz w:val="24"/>
                <w:szCs w:val="24"/>
              </w:rPr>
              <w:t>环境保护目标</w:t>
            </w:r>
            <w:r>
              <w:rPr>
                <w:rFonts w:hint="default" w:ascii="Times New Roman" w:hAnsi="Times New Roman" w:eastAsia="黑体" w:cs="Times New Roman"/>
                <w:b w:val="0"/>
                <w:bCs/>
                <w:sz w:val="24"/>
                <w:szCs w:val="24"/>
                <w:lang w:eastAsia="zh-CN"/>
              </w:rPr>
              <w:t>一览表</w:t>
            </w:r>
          </w:p>
          <w:tbl>
            <w:tblPr>
              <w:tblStyle w:val="31"/>
              <w:tblW w:w="79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121"/>
              <w:gridCol w:w="710"/>
              <w:gridCol w:w="829"/>
              <w:gridCol w:w="735"/>
              <w:gridCol w:w="670"/>
              <w:gridCol w:w="888"/>
              <w:gridCol w:w="21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rPr>
                    <w:t>保护类别</w:t>
                  </w:r>
                </w:p>
              </w:tc>
              <w:tc>
                <w:tcPr>
                  <w:tcW w:w="112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rPr>
                    <w:t>环境保护目标</w:t>
                  </w:r>
                </w:p>
              </w:tc>
              <w:tc>
                <w:tcPr>
                  <w:tcW w:w="1539"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相对坐标</w:t>
                  </w:r>
                </w:p>
              </w:tc>
              <w:tc>
                <w:tcPr>
                  <w:tcW w:w="735"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保护内容</w:t>
                  </w:r>
                </w:p>
              </w:tc>
              <w:tc>
                <w:tcPr>
                  <w:tcW w:w="67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rPr>
                    <w:t>方位</w:t>
                  </w:r>
                </w:p>
              </w:tc>
              <w:tc>
                <w:tcPr>
                  <w:tcW w:w="888"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距离</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m</w:t>
                  </w:r>
                  <w:r>
                    <w:rPr>
                      <w:rFonts w:hint="default" w:ascii="Times New Roman" w:hAnsi="Times New Roman" w:eastAsia="宋体" w:cs="Times New Roman"/>
                      <w:b w:val="0"/>
                      <w:bCs w:val="0"/>
                      <w:sz w:val="21"/>
                      <w:szCs w:val="21"/>
                      <w:lang w:eastAsia="zh-CN"/>
                    </w:rPr>
                    <w:t>）</w:t>
                  </w:r>
                </w:p>
              </w:tc>
              <w:tc>
                <w:tcPr>
                  <w:tcW w:w="2168"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rPr>
                    <w:t>保护级别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112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71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X(m)</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Y(m)</w:t>
                  </w:r>
                </w:p>
              </w:tc>
              <w:tc>
                <w:tcPr>
                  <w:tcW w:w="735"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67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kern w:val="2"/>
                      <w:sz w:val="21"/>
                      <w:szCs w:val="21"/>
                      <w:lang w:val="en-US" w:eastAsia="zh-CN" w:bidi="ar-SA"/>
                    </w:rPr>
                  </w:pPr>
                </w:p>
              </w:tc>
              <w:tc>
                <w:tcPr>
                  <w:tcW w:w="888"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c>
                <w:tcPr>
                  <w:tcW w:w="2168"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exact"/>
                <w:jc w:val="center"/>
              </w:trPr>
              <w:tc>
                <w:tcPr>
                  <w:tcW w:w="83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声</w:t>
                  </w:r>
                  <w:r>
                    <w:rPr>
                      <w:rFonts w:hint="default" w:ascii="Times New Roman" w:hAnsi="Times New Roman" w:eastAsia="宋体" w:cs="Times New Roman"/>
                      <w:b w:val="0"/>
                      <w:bCs w:val="0"/>
                      <w:sz w:val="21"/>
                      <w:szCs w:val="21"/>
                      <w:vertAlign w:val="baseline"/>
                      <w:lang w:eastAsia="zh-CN"/>
                    </w:rPr>
                    <w:t>环境</w:t>
                  </w:r>
                </w:p>
              </w:tc>
              <w:tc>
                <w:tcPr>
                  <w:tcW w:w="112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val="0"/>
                      <w:sz w:val="21"/>
                      <w:szCs w:val="21"/>
                      <w:u w:val="none"/>
                      <w:vertAlign w:val="baseline"/>
                      <w:lang w:eastAsia="zh-CN"/>
                    </w:rPr>
                  </w:pPr>
                  <w:r>
                    <w:rPr>
                      <w:rFonts w:hint="default" w:ascii="Times New Roman" w:hAnsi="Times New Roman" w:eastAsia="宋体" w:cs="Times New Roman"/>
                      <w:b w:val="0"/>
                      <w:bCs w:val="0"/>
                      <w:sz w:val="21"/>
                      <w:szCs w:val="21"/>
                      <w:u w:val="none"/>
                      <w:vertAlign w:val="baseline"/>
                      <w:lang w:val="en-US" w:eastAsia="zh-CN"/>
                    </w:rPr>
                    <w:t>新乡县税务局</w:t>
                  </w:r>
                </w:p>
              </w:tc>
              <w:tc>
                <w:tcPr>
                  <w:tcW w:w="71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sz w:val="21"/>
                      <w:szCs w:val="21"/>
                      <w:lang w:val="en-US" w:eastAsia="zh-CN"/>
                    </w:rPr>
                    <w:t>10</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0</w:t>
                  </w:r>
                </w:p>
              </w:tc>
              <w:tc>
                <w:tcPr>
                  <w:tcW w:w="73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sz w:val="21"/>
                      <w:szCs w:val="21"/>
                      <w:lang w:val="en-US" w:eastAsia="zh-CN"/>
                    </w:rPr>
                    <w:t>办公人员</w:t>
                  </w:r>
                </w:p>
              </w:tc>
              <w:tc>
                <w:tcPr>
                  <w:tcW w:w="67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sz w:val="21"/>
                      <w:szCs w:val="21"/>
                      <w:lang w:eastAsia="zh-CN"/>
                    </w:rPr>
                    <w:t>东</w:t>
                  </w:r>
                </w:p>
              </w:tc>
              <w:tc>
                <w:tcPr>
                  <w:tcW w:w="88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sz w:val="21"/>
                      <w:szCs w:val="21"/>
                      <w:u w:val="none"/>
                      <w:lang w:val="en-US" w:eastAsia="zh-CN"/>
                    </w:rPr>
                    <w:t>10</w:t>
                  </w:r>
                </w:p>
              </w:tc>
              <w:tc>
                <w:tcPr>
                  <w:tcW w:w="21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《声环境质量标准》（GB3096-2008）2类标准</w:t>
                  </w:r>
                </w:p>
              </w:tc>
            </w:tr>
          </w:tbl>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3、地下水环境</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eastAsia="zh-CN"/>
              </w:rPr>
              <w:t>本项目厂界外</w:t>
            </w:r>
            <w:r>
              <w:rPr>
                <w:rFonts w:hint="default" w:ascii="Times New Roman" w:hAnsi="Times New Roman" w:eastAsia="宋体" w:cs="Times New Roman"/>
                <w:sz w:val="24"/>
                <w:lang w:val="en-US" w:eastAsia="zh-CN"/>
              </w:rPr>
              <w:t>500米范围内无地下水集中式饮用水水源和热水、矿泉水、温泉等特殊地下水资源。</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4、生态环境</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80" w:firstLineChars="200"/>
              <w:textAlignment w:val="auto"/>
              <w:rPr>
                <w:rFonts w:hint="default" w:ascii="Times New Roman" w:hAnsi="Times New Roman" w:eastAsia="宋体" w:cs="Times New Roman"/>
                <w:kern w:val="0"/>
                <w:szCs w:val="21"/>
                <w:lang w:val="en-US"/>
              </w:rPr>
            </w:pPr>
            <w:r>
              <w:rPr>
                <w:rFonts w:hint="default" w:ascii="Times New Roman" w:hAnsi="Times New Roman" w:eastAsia="宋体" w:cs="Times New Roman"/>
                <w:sz w:val="24"/>
                <w:lang w:val="en-US" w:eastAsia="zh-CN"/>
              </w:rPr>
              <w:t>本项目厂区范围内无生态环境保护目标。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0"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准</w:t>
            </w:r>
          </w:p>
        </w:tc>
        <w:tc>
          <w:tcPr>
            <w:tcW w:w="8190"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right="0" w:firstLine="482" w:firstLineChars="200"/>
              <w:jc w:val="both"/>
              <w:textAlignment w:val="auto"/>
              <w:rPr>
                <w:rFonts w:hint="default" w:ascii="Times New Roman" w:hAnsi="Times New Roman" w:eastAsia="宋体" w:cs="Times New Roman"/>
                <w:b/>
                <w:bCs w:val="0"/>
                <w:color w:val="auto"/>
                <w:sz w:val="24"/>
                <w:szCs w:val="24"/>
                <w:lang w:val="zh-CN" w:eastAsia="zh-CN"/>
              </w:rPr>
            </w:pPr>
            <w:r>
              <w:rPr>
                <w:rFonts w:hint="default" w:ascii="Times New Roman" w:hAnsi="Times New Roman" w:eastAsia="宋体" w:cs="Times New Roman"/>
                <w:b/>
                <w:bCs w:val="0"/>
                <w:color w:val="auto"/>
                <w:sz w:val="24"/>
                <w:lang w:val="en-US" w:eastAsia="zh-CN"/>
              </w:rPr>
              <w:t>1、</w:t>
            </w:r>
            <w:r>
              <w:rPr>
                <w:rFonts w:hint="default" w:ascii="Times New Roman" w:hAnsi="Times New Roman" w:eastAsia="宋体" w:cs="Times New Roman"/>
                <w:b/>
                <w:bCs w:val="0"/>
                <w:color w:val="auto"/>
                <w:sz w:val="24"/>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zh-CN" w:eastAsia="zh-CN"/>
              </w:rPr>
              <w:t>表</w:t>
            </w:r>
            <w:r>
              <w:rPr>
                <w:rFonts w:hint="default" w:ascii="Times New Roman" w:hAnsi="Times New Roman" w:eastAsia="黑体" w:cs="Times New Roman"/>
                <w:b w:val="0"/>
                <w:bCs w:val="0"/>
                <w:color w:val="auto"/>
                <w:sz w:val="24"/>
                <w:szCs w:val="24"/>
                <w:lang w:val="en-US" w:eastAsia="zh-CN"/>
              </w:rPr>
              <w:t>3-</w:t>
            </w:r>
            <w:r>
              <w:rPr>
                <w:rFonts w:hint="eastAsia" w:eastAsia="黑体" w:cs="Times New Roman"/>
                <w:b w:val="0"/>
                <w:bCs w:val="0"/>
                <w:color w:val="auto"/>
                <w:sz w:val="24"/>
                <w:szCs w:val="24"/>
                <w:lang w:val="en-US" w:eastAsia="zh-CN"/>
              </w:rPr>
              <w:t>5</w:t>
            </w:r>
            <w:r>
              <w:rPr>
                <w:rFonts w:hint="default" w:ascii="Times New Roman" w:hAnsi="Times New Roman" w:eastAsia="黑体" w:cs="Times New Roman"/>
                <w:b w:val="0"/>
                <w:bCs w:val="0"/>
                <w:color w:val="auto"/>
                <w:sz w:val="24"/>
                <w:szCs w:val="24"/>
                <w:lang w:val="en-US" w:eastAsia="zh-CN"/>
              </w:rPr>
              <w:t xml:space="preserve">             废气</w:t>
            </w:r>
            <w:r>
              <w:rPr>
                <w:rFonts w:hint="default" w:ascii="Times New Roman" w:hAnsi="Times New Roman" w:eastAsia="黑体" w:cs="Times New Roman"/>
                <w:b w:val="0"/>
                <w:bCs w:val="0"/>
                <w:color w:val="auto"/>
                <w:sz w:val="24"/>
                <w:szCs w:val="24"/>
                <w:lang w:val="zh-CN" w:eastAsia="zh-CN"/>
              </w:rPr>
              <w:t>污染物排放标准一览表</w:t>
            </w:r>
          </w:p>
          <w:tbl>
            <w:tblPr>
              <w:tblStyle w:val="30"/>
              <w:tblW w:w="7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3037"/>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污染物名称</w:t>
                  </w:r>
                </w:p>
              </w:tc>
              <w:tc>
                <w:tcPr>
                  <w:tcW w:w="3037"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执行标准及级别</w:t>
                  </w:r>
                </w:p>
              </w:tc>
              <w:tc>
                <w:tcPr>
                  <w:tcW w:w="3618"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restart"/>
                  <w:tcBorders>
                    <w:tl2br w:val="nil"/>
                    <w:tr2bl w:val="nil"/>
                  </w:tcBorders>
                  <w:noWrap w:val="0"/>
                  <w:vAlign w:val="center"/>
                </w:tcPr>
                <w:p>
                  <w:pPr>
                    <w:keepNext w:val="0"/>
                    <w:keepLines w:val="0"/>
                    <w:suppressLineNumbers w:val="0"/>
                    <w:tabs>
                      <w:tab w:val="left" w:pos="792"/>
                    </w:tabs>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非甲烷总烃</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120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8.5</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4.0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continue"/>
                  <w:tcBorders>
                    <w:tl2br w:val="nil"/>
                    <w:tr2bl w:val="nil"/>
                  </w:tcBorders>
                  <w:noWrap w:val="0"/>
                  <w:vAlign w:val="center"/>
                </w:tcPr>
                <w:p>
                  <w:pPr>
                    <w:keepNext w:val="0"/>
                    <w:keepLines w:val="0"/>
                    <w:suppressLineNumbers w:val="0"/>
                    <w:tabs>
                      <w:tab w:val="left" w:pos="792"/>
                    </w:tabs>
                    <w:adjustRightInd w:val="0"/>
                    <w:snapToGrid w:val="0"/>
                    <w:spacing w:before="0" w:beforeAutospacing="0" w:after="0" w:afterAutospacing="0"/>
                    <w:ind w:left="0" w:right="0"/>
                    <w:jc w:val="center"/>
                    <w:rPr>
                      <w:rFonts w:hint="eastAsia" w:cs="Times New Roman"/>
                      <w:color w:val="000000"/>
                      <w:szCs w:val="21"/>
                      <w:lang w:val="en-US" w:eastAsia="zh-CN"/>
                    </w:rPr>
                  </w:pP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关于全省开展工业企业挥发性有机物 专项治理工作中排放建议值的通知 豫环攻坚办〔2017〕162号</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rPr>
                    <w:t>工业企业挥发性有机物排放建议值</w:t>
                  </w:r>
                  <w:r>
                    <w:rPr>
                      <w:rFonts w:hint="eastAsia" w:cs="Times New Roman"/>
                      <w:color w:val="000000"/>
                      <w:szCs w:val="21"/>
                      <w:lang w:val="en-US" w:eastAsia="zh-CN"/>
                    </w:rPr>
                    <w:t>80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w:t>
                  </w:r>
                  <w:r>
                    <w:rPr>
                      <w:rFonts w:hint="eastAsia" w:cs="Times New Roman"/>
                      <w:color w:val="000000"/>
                      <w:szCs w:val="21"/>
                      <w:lang w:val="en-US" w:eastAsia="zh-CN"/>
                    </w:rPr>
                    <w:t>建议去除效率70%；工业企业边界排放建议值2.0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HCl</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Cs w:val="21"/>
                      <w:lang w:val="en-US" w:eastAsia="zh-CN"/>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100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0.215</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0.2</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NOx</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Cs w:val="21"/>
                      <w:lang w:val="en-US" w:eastAsia="zh-CN"/>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240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0.65</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0.12</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硫酸雾</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Cs w:val="21"/>
                      <w:lang w:val="en-US" w:eastAsia="zh-CN"/>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45</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1.3</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1.2</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苯</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12</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0.45</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0.4</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000000"/>
                      <w:szCs w:val="21"/>
                      <w:lang w:val="en-US" w:eastAsia="zh-CN"/>
                    </w:rPr>
                  </w:pP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关于全省开展工业企业挥发性有机物 专项治理工作中排放建议值的通知 豫环攻坚办〔2017〕162号</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工业企业挥发性有机物排放建议值</w:t>
                  </w:r>
                  <w:r>
                    <w:rPr>
                      <w:rFonts w:hint="eastAsia" w:cs="Times New Roman"/>
                      <w:color w:val="000000"/>
                      <w:szCs w:val="21"/>
                      <w:lang w:val="en-US" w:eastAsia="zh-CN"/>
                    </w:rPr>
                    <w:t>1</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eastAsia" w:cs="Times New Roman"/>
                      <w:color w:val="000000"/>
                      <w:szCs w:val="21"/>
                      <w:lang w:val="en-US" w:eastAsia="zh-CN"/>
                    </w:rPr>
                    <w:t>；工业企业边界排放建议值0.1</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甲苯</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40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2.6</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2.4</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000000"/>
                      <w:szCs w:val="21"/>
                      <w:lang w:val="en-US" w:eastAsia="zh-CN"/>
                    </w:rPr>
                  </w:pP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关于全省开展工业企业挥发性有机物 专项治理工作中排放建议值的通知 豫环攻坚办〔2017〕162号</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工业企业挥发性有机物排放建议值</w:t>
                  </w:r>
                  <w:r>
                    <w:rPr>
                      <w:rFonts w:hint="eastAsia" w:cs="Times New Roman"/>
                      <w:color w:val="000000"/>
                      <w:szCs w:val="21"/>
                      <w:lang w:val="en-US" w:eastAsia="zh-CN"/>
                    </w:rPr>
                    <w:t>40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eastAsia" w:cs="Times New Roman"/>
                      <w:color w:val="000000"/>
                      <w:szCs w:val="21"/>
                      <w:lang w:val="en-US" w:eastAsia="zh-CN"/>
                    </w:rPr>
                    <w:t>；工业企业边界排放建议值0.6</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二甲苯</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Cs w:val="21"/>
                      <w:lang w:val="en-US" w:eastAsia="zh-CN"/>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70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0.85</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1.2</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000000"/>
                      <w:szCs w:val="21"/>
                      <w:lang w:val="en-US" w:eastAsia="zh-CN"/>
                    </w:rPr>
                  </w:pP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关于全省开展工业企业挥发性有机物 专项治理工作中排放建议值的通知 豫环攻坚办〔2017〕162号</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工业企业挥发性有机物排放建议值</w:t>
                  </w:r>
                  <w:r>
                    <w:rPr>
                      <w:rFonts w:hint="eastAsia" w:cs="Times New Roman"/>
                      <w:color w:val="000000"/>
                      <w:szCs w:val="21"/>
                      <w:lang w:val="en-US" w:eastAsia="zh-CN"/>
                    </w:rPr>
                    <w:t>40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eastAsia" w:cs="Times New Roman"/>
                      <w:color w:val="000000"/>
                      <w:szCs w:val="21"/>
                      <w:lang w:val="en-US" w:eastAsia="zh-CN"/>
                    </w:rPr>
                    <w:t>；工业企业边界排放建议值0.2</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000000"/>
                      <w:szCs w:val="21"/>
                      <w:lang w:val="en-US" w:eastAsia="zh-CN"/>
                    </w:rPr>
                  </w:pPr>
                  <w:r>
                    <w:rPr>
                      <w:rFonts w:hint="eastAsia" w:cs="Times New Roman"/>
                      <w:color w:val="000000"/>
                      <w:szCs w:val="21"/>
                      <w:lang w:val="en-US" w:eastAsia="zh-CN"/>
                    </w:rPr>
                    <w:t>甲醇</w:t>
                  </w: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Cs w:val="21"/>
                      <w:lang w:val="en-US" w:eastAsia="zh-CN"/>
                    </w:rPr>
                  </w:pPr>
                  <w:r>
                    <w:rPr>
                      <w:rFonts w:hint="default" w:ascii="Times New Roman" w:hAnsi="Times New Roman" w:eastAsia="宋体" w:cs="Times New Roman"/>
                      <w:color w:val="000000"/>
                      <w:szCs w:val="21"/>
                    </w:rPr>
                    <w:t>《大气污染物综合排放标准》（GB16297-1996）表2二级</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排放浓度</w:t>
                  </w:r>
                  <w:r>
                    <w:rPr>
                      <w:rFonts w:hint="eastAsia" w:cs="Times New Roman"/>
                      <w:color w:val="000000"/>
                      <w:szCs w:val="21"/>
                      <w:lang w:val="en-US" w:eastAsia="zh-CN"/>
                    </w:rPr>
                    <w:t>190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、排放速率</w:t>
                  </w:r>
                  <w:r>
                    <w:rPr>
                      <w:rFonts w:hint="eastAsia" w:cs="Times New Roman"/>
                      <w:color w:val="000000"/>
                      <w:szCs w:val="21"/>
                      <w:lang w:val="en-US" w:eastAsia="zh-CN"/>
                    </w:rPr>
                    <w:t>4.3</w:t>
                  </w:r>
                  <w:r>
                    <w:rPr>
                      <w:rFonts w:hint="default" w:ascii="Times New Roman" w:hAnsi="Times New Roman" w:eastAsia="宋体" w:cs="Times New Roman"/>
                      <w:color w:val="000000"/>
                      <w:szCs w:val="21"/>
                    </w:rPr>
                    <w:t>kg/h</w:t>
                  </w:r>
                  <w:r>
                    <w:rPr>
                      <w:rFonts w:hint="eastAsia" w:cs="Times New Roman"/>
                      <w:color w:val="000000"/>
                      <w:szCs w:val="21"/>
                      <w:lang w:eastAsia="zh-CN"/>
                    </w:rPr>
                    <w:t>（</w:t>
                  </w:r>
                  <w:r>
                    <w:rPr>
                      <w:rFonts w:hint="eastAsia" w:cs="Times New Roman"/>
                      <w:color w:val="000000"/>
                      <w:szCs w:val="21"/>
                      <w:lang w:val="en-US" w:eastAsia="zh-CN"/>
                    </w:rPr>
                    <w:t>20</w:t>
                  </w:r>
                  <w:r>
                    <w:rPr>
                      <w:rFonts w:hint="default" w:ascii="Times New Roman" w:hAnsi="Times New Roman" w:eastAsia="宋体" w:cs="Times New Roman"/>
                      <w:color w:val="000000"/>
                      <w:szCs w:val="21"/>
                    </w:rPr>
                    <w:t>m高排气筒</w:t>
                  </w:r>
                  <w:r>
                    <w:rPr>
                      <w:rFonts w:hint="eastAsia" w:cs="Times New Roman"/>
                      <w:color w:val="000000"/>
                      <w:szCs w:val="21"/>
                      <w:lang w:eastAsia="zh-CN"/>
                    </w:rPr>
                    <w:t>）；</w:t>
                  </w:r>
                  <w:r>
                    <w:rPr>
                      <w:rFonts w:hint="default" w:ascii="Times New Roman" w:hAnsi="Times New Roman" w:eastAsia="宋体" w:cs="Times New Roman"/>
                      <w:color w:val="000000"/>
                      <w:szCs w:val="21"/>
                    </w:rPr>
                    <w:t>厂界最高浓度</w:t>
                  </w:r>
                  <w:r>
                    <w:rPr>
                      <w:rFonts w:hint="eastAsia" w:cs="Times New Roman"/>
                      <w:color w:val="000000"/>
                      <w:szCs w:val="21"/>
                      <w:lang w:val="en-US" w:eastAsia="zh-CN"/>
                    </w:rPr>
                    <w:t>12</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000000"/>
                      <w:szCs w:val="21"/>
                      <w:lang w:val="en-US" w:eastAsia="zh-CN"/>
                    </w:rPr>
                  </w:pPr>
                </w:p>
              </w:tc>
              <w:tc>
                <w:tcPr>
                  <w:tcW w:w="30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关于全省开展工业企业挥发性有机物 专项治理工作中排放建议值的通知 豫环攻坚办〔2017〕162号</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工业企业边界排放建议值1.0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000000"/>
                      <w:szCs w:val="21"/>
                      <w:lang w:val="en-US" w:eastAsia="zh-CN"/>
                    </w:rPr>
                  </w:pPr>
                  <w:r>
                    <w:rPr>
                      <w:rFonts w:hint="eastAsia" w:cs="Times New Roman"/>
                      <w:color w:val="000000"/>
                      <w:szCs w:val="21"/>
                      <w:lang w:val="en-US" w:eastAsia="zh-CN"/>
                    </w:rPr>
                    <w:t>NH</w:t>
                  </w:r>
                  <w:r>
                    <w:rPr>
                      <w:rFonts w:hint="eastAsia" w:cs="Times New Roman"/>
                      <w:color w:val="000000"/>
                      <w:szCs w:val="21"/>
                      <w:vertAlign w:val="subscript"/>
                      <w:lang w:val="en-US" w:eastAsia="zh-CN"/>
                    </w:rPr>
                    <w:t>3</w:t>
                  </w:r>
                </w:p>
              </w:tc>
              <w:tc>
                <w:tcPr>
                  <w:tcW w:w="3037"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Cs w:val="21"/>
                      <w:lang w:val="en-US" w:eastAsia="zh-CN"/>
                    </w:rPr>
                  </w:pPr>
                  <w:r>
                    <w:rPr>
                      <w:rFonts w:hint="default" w:ascii="Times New Roman" w:hAnsi="Times New Roman" w:eastAsia="宋体" w:cs="Times New Roman"/>
                      <w:color w:val="000000"/>
                      <w:szCs w:val="21"/>
                    </w:rPr>
                    <w:t>《恶臭污染物排放标准》（GB14554-93）表2</w:t>
                  </w: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排放速率4.35kg/h（20m排气筒），厂界1.5mg/m</w:t>
                  </w:r>
                  <w:r>
                    <w:rPr>
                      <w:rFonts w:hint="eastAsia" w:cs="Times New Roman"/>
                      <w:color w:val="000000"/>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000000"/>
                      <w:szCs w:val="21"/>
                      <w:lang w:val="en-US" w:eastAsia="zh-CN"/>
                    </w:rPr>
                  </w:pPr>
                  <w:r>
                    <w:rPr>
                      <w:rFonts w:hint="eastAsia" w:cs="Times New Roman"/>
                      <w:color w:val="000000"/>
                      <w:szCs w:val="21"/>
                      <w:lang w:val="en-US" w:eastAsia="zh-CN"/>
                    </w:rPr>
                    <w:t>苯乙烯</w:t>
                  </w:r>
                </w:p>
              </w:tc>
              <w:tc>
                <w:tcPr>
                  <w:tcW w:w="3037"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p>
              </w:tc>
              <w:tc>
                <w:tcPr>
                  <w:tcW w:w="361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szCs w:val="21"/>
                      <w:lang w:val="en-US" w:eastAsia="zh-CN"/>
                    </w:rPr>
                  </w:pPr>
                  <w:r>
                    <w:rPr>
                      <w:rFonts w:hint="eastAsia" w:cs="Times New Roman"/>
                      <w:color w:val="000000"/>
                      <w:szCs w:val="21"/>
                      <w:lang w:val="en-US" w:eastAsia="zh-CN"/>
                    </w:rPr>
                    <w:t>排放速率6kg/h（20m排气筒），厂界5.0mg/m</w:t>
                  </w:r>
                  <w:r>
                    <w:rPr>
                      <w:rFonts w:hint="eastAsia" w:cs="Times New Roman"/>
                      <w:color w:val="000000"/>
                      <w:szCs w:val="21"/>
                      <w:vertAlign w:val="superscript"/>
                      <w:lang w:val="en-US" w:eastAsia="zh-CN"/>
                    </w:rPr>
                    <w:t>3</w:t>
                  </w:r>
                </w:p>
              </w:tc>
            </w:tr>
          </w:tbl>
          <w:p>
            <w:pPr>
              <w:pStyle w:val="8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06" w:firstLineChars="200"/>
              <w:textAlignment w:val="auto"/>
              <w:rPr>
                <w:rFonts w:hint="default" w:hAnsi="Times New Roman" w:cs="Times New Roman"/>
                <w:b/>
                <w:bCs/>
                <w:color w:val="auto"/>
                <w:sz w:val="21"/>
                <w:szCs w:val="21"/>
                <w:lang w:val="en-US" w:eastAsia="zh-CN"/>
              </w:rPr>
            </w:pPr>
            <w:r>
              <w:rPr>
                <w:rFonts w:hint="eastAsia" w:hAnsi="Times New Roman" w:cs="Times New Roman"/>
                <w:b/>
                <w:bCs/>
                <w:color w:val="auto"/>
                <w:sz w:val="21"/>
                <w:szCs w:val="21"/>
                <w:lang w:val="en-US" w:eastAsia="zh-CN"/>
              </w:rPr>
              <w:t>备注：（1）上述涉及相同污染物则执行最严限值。</w:t>
            </w:r>
          </w:p>
          <w:p>
            <w:pPr>
              <w:pStyle w:val="8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06" w:firstLineChars="200"/>
              <w:textAlignment w:val="auto"/>
              <w:rPr>
                <w:rFonts w:hint="default" w:ascii="Times New Roman" w:hAnsi="Times New Roman" w:cs="Times New Roman"/>
                <w:b/>
                <w:bCs/>
                <w:color w:val="auto"/>
                <w:sz w:val="24"/>
                <w:szCs w:val="24"/>
                <w:lang w:val="en-US" w:eastAsia="zh-CN"/>
              </w:rPr>
            </w:pPr>
            <w:r>
              <w:rPr>
                <w:rFonts w:hint="eastAsia" w:hAnsi="Times New Roman" w:cs="Times New Roman"/>
                <w:b/>
                <w:bCs/>
                <w:color w:val="auto"/>
                <w:sz w:val="21"/>
                <w:szCs w:val="21"/>
                <w:lang w:val="en-US" w:eastAsia="zh-CN"/>
              </w:rPr>
              <w:t>（2）本项目废气经通风橱收集后经碱喷淋+UV光氧催化+活性炭装置治理后经高于屋顶2m排放（距地面20m），项目周边200m范围内最高建筑物高度为45m，排气筒高度无法满足高出周边200半径建筑物5m高度要求，故本项目有组织排放的污染物应按其高度对应的表列排放速率标准值严格50%执行。</w:t>
            </w:r>
          </w:p>
          <w:p>
            <w:pPr>
              <w:pStyle w:val="8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66"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baseline"/>
              <w:rPr>
                <w:rFonts w:hint="default" w:eastAsia="宋体"/>
                <w:bCs/>
                <w:sz w:val="24"/>
                <w:szCs w:val="24"/>
                <w:lang w:val="en-US" w:eastAsia="zh-CN"/>
              </w:rPr>
            </w:pPr>
            <w:r>
              <w:rPr>
                <w:rFonts w:hint="eastAsia"/>
                <w:bCs/>
                <w:sz w:val="24"/>
                <w:szCs w:val="24"/>
                <w:lang w:val="en-US" w:eastAsia="zh-CN"/>
              </w:rPr>
              <w:t>本项目废水外排废水执行</w:t>
            </w:r>
            <w:r>
              <w:rPr>
                <w:rFonts w:hint="eastAsia"/>
                <w:bCs/>
                <w:sz w:val="24"/>
                <w:szCs w:val="24"/>
                <w:lang w:eastAsia="zh-CN"/>
              </w:rPr>
              <w:t>《污水排入城镇下水道水质标准》（GB/T31962-2015）表1</w:t>
            </w:r>
            <w:r>
              <w:rPr>
                <w:rFonts w:hint="eastAsia"/>
                <w:bCs/>
                <w:sz w:val="24"/>
                <w:szCs w:val="24"/>
                <w:lang w:val="en-US" w:eastAsia="zh-CN"/>
              </w:rPr>
              <w:t xml:space="preserve"> </w:t>
            </w:r>
            <w:r>
              <w:rPr>
                <w:rFonts w:hint="eastAsia"/>
                <w:bCs/>
                <w:sz w:val="24"/>
                <w:szCs w:val="24"/>
                <w:lang w:eastAsia="zh-CN"/>
              </w:rPr>
              <w:t>C级标准</w:t>
            </w:r>
            <w:r>
              <w:rPr>
                <w:rFonts w:hint="eastAsia"/>
                <w:bCs/>
                <w:sz w:val="24"/>
                <w:szCs w:val="24"/>
                <w:lang w:val="en-US" w:eastAsia="zh-CN"/>
              </w:rPr>
              <w:t>及</w:t>
            </w:r>
            <w:r>
              <w:rPr>
                <w:rFonts w:hint="eastAsia"/>
                <w:bCs/>
                <w:sz w:val="24"/>
                <w:szCs w:val="24"/>
                <w:lang w:eastAsia="zh-CN"/>
              </w:rPr>
              <w:t>新乡县综合污水处理厂收水标准</w:t>
            </w:r>
            <w:r>
              <w:rPr>
                <w:bCs/>
                <w:sz w:val="24"/>
                <w:szCs w:val="24"/>
              </w:rPr>
              <w:t>。</w:t>
            </w:r>
            <w:r>
              <w:rPr>
                <w:rFonts w:hint="eastAsia"/>
                <w:bCs/>
                <w:sz w:val="24"/>
                <w:szCs w:val="24"/>
                <w:lang w:val="en-US" w:eastAsia="zh-CN"/>
              </w:rPr>
              <w:t>具体标准值见下表</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leftChars="0" w:right="0" w:firstLine="480" w:firstLineChars="200"/>
              <w:textAlignment w:val="auto"/>
              <w:rPr>
                <w:rFonts w:hint="default" w:ascii="Times New Roman" w:hAnsi="Times New Roman" w:eastAsia="宋体" w:cs="Times New Roman"/>
                <w:b/>
                <w:bCs w:val="0"/>
                <w:color w:val="000000"/>
                <w:kern w:val="0"/>
                <w:sz w:val="24"/>
                <w:szCs w:val="21"/>
              </w:rPr>
            </w:pPr>
            <w:r>
              <w:rPr>
                <w:rFonts w:hint="default" w:ascii="Times New Roman" w:hAnsi="Times New Roman" w:eastAsia="黑体" w:cs="Times New Roman"/>
                <w:b w:val="0"/>
                <w:bCs w:val="0"/>
                <w:color w:val="auto"/>
                <w:sz w:val="24"/>
                <w:szCs w:val="24"/>
                <w:lang w:val="zh-CN" w:eastAsia="zh-CN"/>
              </w:rPr>
              <w:t>表</w:t>
            </w:r>
            <w:r>
              <w:rPr>
                <w:rFonts w:hint="default" w:ascii="Times New Roman" w:hAnsi="Times New Roman" w:eastAsia="黑体" w:cs="Times New Roman"/>
                <w:b w:val="0"/>
                <w:bCs w:val="0"/>
                <w:color w:val="auto"/>
                <w:sz w:val="24"/>
                <w:szCs w:val="24"/>
                <w:lang w:val="en-US" w:eastAsia="zh-CN"/>
              </w:rPr>
              <w:t>3-</w:t>
            </w:r>
            <w:r>
              <w:rPr>
                <w:rFonts w:hint="eastAsia" w:eastAsia="黑体" w:cs="Times New Roman"/>
                <w:b w:val="0"/>
                <w:bCs w:val="0"/>
                <w:color w:val="auto"/>
                <w:sz w:val="24"/>
                <w:szCs w:val="24"/>
                <w:lang w:val="en-US" w:eastAsia="zh-CN"/>
              </w:rPr>
              <w:t>6</w:t>
            </w:r>
            <w:r>
              <w:rPr>
                <w:rFonts w:hint="default" w:ascii="Times New Roman" w:hAnsi="Times New Roman" w:eastAsia="黑体" w:cs="Times New Roman"/>
                <w:b w:val="0"/>
                <w:bCs w:val="0"/>
                <w:color w:val="auto"/>
                <w:sz w:val="24"/>
                <w:szCs w:val="24"/>
                <w:lang w:val="zh-CN" w:eastAsia="zh-CN"/>
              </w:rPr>
              <w:t xml:space="preserve">         </w:t>
            </w:r>
            <w:r>
              <w:rPr>
                <w:rFonts w:hint="default" w:ascii="Times New Roman" w:hAnsi="Times New Roman" w:eastAsia="黑体" w:cs="Times New Roman"/>
                <w:b w:val="0"/>
                <w:bCs w:val="0"/>
                <w:color w:val="auto"/>
                <w:sz w:val="24"/>
                <w:szCs w:val="24"/>
                <w:lang w:val="en-US" w:eastAsia="zh-CN"/>
              </w:rPr>
              <w:t xml:space="preserve">   </w:t>
            </w:r>
            <w:r>
              <w:rPr>
                <w:rFonts w:hint="eastAsia" w:eastAsia="黑体" w:cs="Times New Roman"/>
                <w:b w:val="0"/>
                <w:bCs w:val="0"/>
                <w:color w:val="auto"/>
                <w:sz w:val="24"/>
                <w:szCs w:val="24"/>
                <w:lang w:val="en-US" w:eastAsia="zh-CN"/>
              </w:rPr>
              <w:t>废水排放标准</w:t>
            </w:r>
            <w:r>
              <w:rPr>
                <w:rFonts w:hint="default"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zh-CN" w:eastAsia="zh-CN"/>
              </w:rPr>
              <w:t>单位：dB（A）</w:t>
            </w:r>
          </w:p>
          <w:tbl>
            <w:tblPr>
              <w:tblStyle w:val="3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6"/>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646"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标准名称</w:t>
                  </w:r>
                </w:p>
              </w:tc>
              <w:tc>
                <w:tcPr>
                  <w:tcW w:w="2646"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sz w:val="21"/>
                      <w:szCs w:val="21"/>
                      <w:lang w:eastAsia="zh-CN"/>
                    </w:rPr>
                  </w:pPr>
                  <w:r>
                    <w:rPr>
                      <w:rFonts w:hint="eastAsia" w:cs="Times New Roman"/>
                      <w:b w:val="0"/>
                      <w:bCs/>
                      <w:sz w:val="21"/>
                      <w:szCs w:val="21"/>
                      <w:lang w:val="en-US" w:eastAsia="zh-CN"/>
                    </w:rPr>
                    <w:t>污染物</w:t>
                  </w:r>
                </w:p>
              </w:tc>
              <w:tc>
                <w:tcPr>
                  <w:tcW w:w="2646"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sz w:val="21"/>
                      <w:szCs w:val="21"/>
                      <w:lang w:eastAsia="zh-CN"/>
                    </w:rPr>
                  </w:pPr>
                  <w:r>
                    <w:rPr>
                      <w:rFonts w:hint="eastAsia" w:cs="Times New Roman"/>
                      <w:b w:val="0"/>
                      <w:bCs/>
                      <w:sz w:val="21"/>
                      <w:szCs w:val="21"/>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eastAsia="zh-CN"/>
                    </w:rPr>
                    <w:t>《污水排入城镇下水道水质标准》（GB/T31962-2015）表1</w:t>
                  </w:r>
                  <w:r>
                    <w:rPr>
                      <w:rFonts w:hint="default" w:ascii="Times New Roman" w:hAnsi="Times New Roman" w:eastAsia="宋体" w:cs="Times New Roman"/>
                      <w:b w:val="0"/>
                      <w:bCs/>
                      <w:sz w:val="21"/>
                      <w:szCs w:val="21"/>
                      <w:lang w:val="en-US" w:eastAsia="zh-CN"/>
                    </w:rPr>
                    <w:t xml:space="preserve"> </w:t>
                  </w:r>
                  <w:r>
                    <w:rPr>
                      <w:rFonts w:hint="default" w:ascii="Times New Roman" w:hAnsi="Times New Roman" w:eastAsia="宋体" w:cs="Times New Roman"/>
                      <w:b w:val="0"/>
                      <w:bCs/>
                      <w:sz w:val="21"/>
                      <w:szCs w:val="21"/>
                      <w:lang w:eastAsia="zh-CN"/>
                    </w:rPr>
                    <w:t>C级标准</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r>
                    <w:rPr>
                      <w:rFonts w:hint="eastAsia"/>
                      <w:bCs/>
                      <w:sz w:val="21"/>
                      <w:szCs w:val="21"/>
                      <w:lang w:eastAsia="zh-CN"/>
                    </w:rPr>
                    <w:t>COD</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r>
                    <w:rPr>
                      <w:rFonts w:hint="eastAsia"/>
                      <w:bCs/>
                      <w:sz w:val="21"/>
                      <w:szCs w:val="21"/>
                      <w:lang w:eastAsia="zh-CN"/>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val="en-US" w:eastAsia="zh-CN"/>
                    </w:rPr>
                    <w:t>BOD</w:t>
                  </w:r>
                  <w:r>
                    <w:rPr>
                      <w:rFonts w:hint="eastAsia"/>
                      <w:bCs/>
                      <w:sz w:val="21"/>
                      <w:szCs w:val="21"/>
                      <w:vertAlign w:val="subscript"/>
                      <w:lang w:val="en-US" w:eastAsia="zh-CN"/>
                    </w:rPr>
                    <w:t>5</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val="en-US" w:eastAsia="zh-CN"/>
                    </w:rPr>
                    <w:t>150</w:t>
                  </w:r>
                  <w:r>
                    <w:rPr>
                      <w:rFonts w:hint="eastAsia"/>
                      <w:bCs/>
                      <w:sz w:val="21"/>
                      <w:szCs w:val="21"/>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val="en-US" w:eastAsia="zh-CN"/>
                    </w:rPr>
                  </w:pPr>
                  <w:r>
                    <w:rPr>
                      <w:rFonts w:hint="eastAsia"/>
                      <w:bCs/>
                      <w:sz w:val="21"/>
                      <w:szCs w:val="21"/>
                      <w:lang w:eastAsia="zh-CN"/>
                    </w:rPr>
                    <w:t>NH</w:t>
                  </w:r>
                  <w:r>
                    <w:rPr>
                      <w:rFonts w:hint="eastAsia"/>
                      <w:bCs/>
                      <w:sz w:val="21"/>
                      <w:szCs w:val="21"/>
                      <w:vertAlign w:val="subscript"/>
                      <w:lang w:eastAsia="zh-CN"/>
                    </w:rPr>
                    <w:t>3</w:t>
                  </w:r>
                  <w:r>
                    <w:rPr>
                      <w:rFonts w:hint="eastAsia"/>
                      <w:bCs/>
                      <w:sz w:val="21"/>
                      <w:szCs w:val="21"/>
                      <w:lang w:eastAsia="zh-CN"/>
                    </w:rPr>
                    <w:t>-N</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val="en-US" w:eastAsia="zh-CN"/>
                    </w:rPr>
                  </w:pPr>
                  <w:r>
                    <w:rPr>
                      <w:rFonts w:hint="eastAsia"/>
                      <w:bCs/>
                      <w:sz w:val="21"/>
                      <w:szCs w:val="21"/>
                      <w:lang w:eastAsia="zh-CN"/>
                    </w:rPr>
                    <w:t>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eastAsia="zh-CN"/>
                    </w:rPr>
                    <w:t>SS</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eastAsia="zh-CN"/>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eastAsia="zh-CN"/>
                    </w:rPr>
                    <w:t>TP</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eastAsia="zh-CN"/>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eastAsia="zh-CN"/>
                    </w:rPr>
                    <w:t>TN</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Cs/>
                      <w:sz w:val="21"/>
                      <w:szCs w:val="21"/>
                      <w:lang w:eastAsia="zh-CN"/>
                    </w:rPr>
                  </w:pPr>
                  <w:r>
                    <w:rPr>
                      <w:rFonts w:hint="eastAsia"/>
                      <w:bCs/>
                      <w:sz w:val="21"/>
                      <w:szCs w:val="21"/>
                      <w:lang w:eastAsia="zh-CN"/>
                    </w:rPr>
                    <w:t>45mg/L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新乡县综合污水处理厂收水标准</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eastAsia="zh-CN"/>
                    </w:rPr>
                    <w:t>COD</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val="en-US" w:eastAsia="zh-CN"/>
                    </w:rPr>
                    <w:t>4</w:t>
                  </w:r>
                  <w:r>
                    <w:rPr>
                      <w:rFonts w:hint="eastAsia"/>
                      <w:bCs/>
                      <w:sz w:val="21"/>
                      <w:szCs w:val="21"/>
                      <w:lang w:eastAsia="zh-CN"/>
                    </w:rPr>
                    <w:t>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eastAsia="zh-CN"/>
                    </w:rPr>
                    <w:t>NH</w:t>
                  </w:r>
                  <w:r>
                    <w:rPr>
                      <w:rFonts w:hint="eastAsia"/>
                      <w:bCs/>
                      <w:sz w:val="21"/>
                      <w:szCs w:val="21"/>
                      <w:vertAlign w:val="subscript"/>
                      <w:lang w:eastAsia="zh-CN"/>
                    </w:rPr>
                    <w:t>3</w:t>
                  </w:r>
                  <w:r>
                    <w:rPr>
                      <w:rFonts w:hint="eastAsia"/>
                      <w:bCs/>
                      <w:sz w:val="21"/>
                      <w:szCs w:val="21"/>
                      <w:lang w:eastAsia="zh-CN"/>
                    </w:rPr>
                    <w:t>-N</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val="en-US" w:eastAsia="zh-CN"/>
                    </w:rPr>
                    <w:t>59</w:t>
                  </w:r>
                  <w:r>
                    <w:rPr>
                      <w:rFonts w:hint="eastAsia"/>
                      <w:bCs/>
                      <w:sz w:val="21"/>
                      <w:szCs w:val="21"/>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eastAsia="zh-CN"/>
                    </w:rPr>
                    <w:t>SS</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val="en-US" w:eastAsia="zh-CN"/>
                    </w:rPr>
                    <w:t>18</w:t>
                  </w:r>
                  <w:r>
                    <w:rPr>
                      <w:rFonts w:hint="eastAsia"/>
                      <w:bCs/>
                      <w:sz w:val="21"/>
                      <w:szCs w:val="21"/>
                      <w:lang w:eastAsia="zh-CN"/>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eastAsia="zh-CN"/>
                    </w:rPr>
                    <w:t>TP</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kern w:val="2"/>
                      <w:sz w:val="21"/>
                      <w:szCs w:val="21"/>
                      <w:lang w:val="en-US" w:eastAsia="zh-CN" w:bidi="ar-SA"/>
                    </w:rPr>
                  </w:pPr>
                  <w:r>
                    <w:rPr>
                      <w:rFonts w:hint="eastAsia"/>
                      <w:bCs/>
                      <w:sz w:val="21"/>
                      <w:szCs w:val="21"/>
                      <w:lang w:val="en-US" w:eastAsia="zh-CN"/>
                    </w:rPr>
                    <w:t>4</w:t>
                  </w:r>
                  <w:r>
                    <w:rPr>
                      <w:rFonts w:hint="eastAsia"/>
                      <w:bCs/>
                      <w:sz w:val="21"/>
                      <w:szCs w:val="21"/>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6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Cs/>
                      <w:sz w:val="21"/>
                      <w:szCs w:val="21"/>
                      <w:lang w:eastAsia="zh-CN"/>
                    </w:rPr>
                  </w:pPr>
                  <w:r>
                    <w:rPr>
                      <w:rFonts w:hint="eastAsia"/>
                      <w:bCs/>
                      <w:sz w:val="21"/>
                      <w:szCs w:val="21"/>
                      <w:lang w:eastAsia="zh-CN"/>
                    </w:rPr>
                    <w:t>TN</w:t>
                  </w:r>
                </w:p>
              </w:tc>
              <w:tc>
                <w:tcPr>
                  <w:tcW w:w="2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bCs/>
                      <w:sz w:val="21"/>
                      <w:szCs w:val="21"/>
                      <w:lang w:eastAsia="zh-CN"/>
                    </w:rPr>
                  </w:pPr>
                  <w:r>
                    <w:rPr>
                      <w:rFonts w:hint="eastAsia"/>
                      <w:bCs/>
                      <w:sz w:val="21"/>
                      <w:szCs w:val="21"/>
                      <w:lang w:val="en-US" w:eastAsia="zh-CN"/>
                    </w:rPr>
                    <w:t>70</w:t>
                  </w:r>
                  <w:r>
                    <w:rPr>
                      <w:rFonts w:hint="eastAsia"/>
                      <w:bCs/>
                      <w:sz w:val="21"/>
                      <w:szCs w:val="21"/>
                      <w:lang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938"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bCs/>
                      <w:sz w:val="21"/>
                      <w:szCs w:val="21"/>
                      <w:lang w:val="en-US" w:eastAsia="zh-CN"/>
                    </w:rPr>
                  </w:pPr>
                  <w:r>
                    <w:rPr>
                      <w:rFonts w:hint="eastAsia"/>
                      <w:bCs/>
                      <w:sz w:val="21"/>
                      <w:szCs w:val="21"/>
                      <w:lang w:val="en-US" w:eastAsia="zh-CN"/>
                    </w:rPr>
                    <w:t xml:space="preserve">上述涉及相同污染物则执行最严限值 </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2" w:firstLineChars="200"/>
              <w:jc w:val="both"/>
              <w:textAlignment w:val="auto"/>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3</w:t>
            </w:r>
            <w:r>
              <w:rPr>
                <w:rFonts w:hint="default" w:ascii="Times New Roman" w:hAnsi="Times New Roman" w:eastAsia="宋体" w:cs="Times New Roman"/>
                <w:b/>
                <w:bCs w:val="0"/>
                <w:color w:val="auto"/>
                <w:sz w:val="24"/>
                <w:lang w:val="en-US" w:eastAsia="zh-CN"/>
              </w:rPr>
              <w:t>、噪声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0" w:firstLineChars="200"/>
              <w:textAlignment w:val="auto"/>
              <w:rPr>
                <w:rFonts w:hint="default" w:ascii="Times New Roman" w:hAnsi="Times New Roman" w:eastAsia="黑体" w:cs="Times New Roman"/>
                <w:b w:val="0"/>
                <w:bCs w:val="0"/>
                <w:color w:val="auto"/>
                <w:sz w:val="24"/>
                <w:szCs w:val="24"/>
                <w:lang w:val="zh-CN" w:eastAsia="zh-CN"/>
              </w:rPr>
            </w:pPr>
            <w:r>
              <w:rPr>
                <w:rFonts w:hint="default" w:ascii="Times New Roman" w:hAnsi="Times New Roman" w:eastAsia="宋体" w:cs="Times New Roman"/>
                <w:sz w:val="24"/>
                <w:lang w:eastAsia="zh-CN"/>
              </w:rPr>
              <w:t>本项目运营期厂界噪声执行《工业企业厂界环境噪声排放标准》（GB12348-2008）</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类标准，具体值见下表。</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leftChars="0" w:right="0" w:firstLine="480" w:firstLineChars="200"/>
              <w:textAlignment w:val="auto"/>
              <w:rPr>
                <w:rFonts w:hint="default" w:ascii="Times New Roman" w:hAnsi="Times New Roman" w:eastAsia="黑体" w:cs="Times New Roman"/>
                <w:b w:val="0"/>
                <w:bCs w:val="0"/>
                <w:color w:val="auto"/>
                <w:sz w:val="24"/>
                <w:szCs w:val="24"/>
                <w:lang w:val="zh-CN" w:eastAsia="zh-CN"/>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leftChars="0" w:right="0" w:firstLine="480" w:firstLineChars="200"/>
              <w:textAlignment w:val="auto"/>
              <w:rPr>
                <w:rFonts w:hint="default" w:ascii="Times New Roman" w:hAnsi="Times New Roman" w:eastAsia="宋体" w:cs="Times New Roman"/>
                <w:b/>
                <w:bCs w:val="0"/>
                <w:color w:val="000000"/>
                <w:kern w:val="0"/>
                <w:sz w:val="24"/>
                <w:szCs w:val="21"/>
              </w:rPr>
            </w:pPr>
            <w:r>
              <w:rPr>
                <w:rFonts w:hint="default" w:ascii="Times New Roman" w:hAnsi="Times New Roman" w:eastAsia="黑体" w:cs="Times New Roman"/>
                <w:b w:val="0"/>
                <w:bCs w:val="0"/>
                <w:color w:val="auto"/>
                <w:sz w:val="24"/>
                <w:szCs w:val="24"/>
                <w:lang w:val="zh-CN" w:eastAsia="zh-CN"/>
              </w:rPr>
              <w:t>表</w:t>
            </w:r>
            <w:r>
              <w:rPr>
                <w:rFonts w:hint="default" w:ascii="Times New Roman" w:hAnsi="Times New Roman" w:eastAsia="黑体" w:cs="Times New Roman"/>
                <w:b w:val="0"/>
                <w:bCs w:val="0"/>
                <w:color w:val="auto"/>
                <w:sz w:val="24"/>
                <w:szCs w:val="24"/>
                <w:lang w:val="en-US" w:eastAsia="zh-CN"/>
              </w:rPr>
              <w:t>3-</w:t>
            </w:r>
            <w:r>
              <w:rPr>
                <w:rFonts w:hint="eastAsia" w:eastAsia="黑体" w:cs="Times New Roman"/>
                <w:b w:val="0"/>
                <w:bCs w:val="0"/>
                <w:color w:val="auto"/>
                <w:sz w:val="24"/>
                <w:szCs w:val="24"/>
                <w:lang w:val="en-US" w:eastAsia="zh-CN"/>
              </w:rPr>
              <w:t>6</w:t>
            </w:r>
            <w:r>
              <w:rPr>
                <w:rFonts w:hint="default" w:ascii="Times New Roman" w:hAnsi="Times New Roman" w:eastAsia="黑体" w:cs="Times New Roman"/>
                <w:b w:val="0"/>
                <w:bCs w:val="0"/>
                <w:color w:val="auto"/>
                <w:sz w:val="24"/>
                <w:szCs w:val="24"/>
                <w:lang w:val="zh-CN" w:eastAsia="zh-CN"/>
              </w:rPr>
              <w:t xml:space="preserve">         </w:t>
            </w:r>
            <w:r>
              <w:rPr>
                <w:rFonts w:hint="default"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zh-CN" w:eastAsia="zh-CN"/>
              </w:rPr>
              <w:t xml:space="preserve">  厂界环境噪声排放标准</w:t>
            </w:r>
            <w:r>
              <w:rPr>
                <w:rFonts w:hint="default"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zh-CN" w:eastAsia="zh-CN"/>
              </w:rPr>
              <w:t>单位：dB（A）</w:t>
            </w:r>
          </w:p>
          <w:tbl>
            <w:tblPr>
              <w:tblStyle w:val="30"/>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2652"/>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653"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类别</w:t>
                  </w:r>
                </w:p>
              </w:tc>
              <w:tc>
                <w:tcPr>
                  <w:tcW w:w="2652"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2653"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6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类</w:t>
                  </w:r>
                </w:p>
              </w:tc>
              <w:tc>
                <w:tcPr>
                  <w:tcW w:w="26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6</w:t>
                  </w:r>
                  <w:r>
                    <w:rPr>
                      <w:rFonts w:hint="eastAsia" w:ascii="Times New Roman" w:hAnsi="Times New Roman" w:eastAsia="宋体" w:cs="Times New Roman"/>
                      <w:b w:val="0"/>
                      <w:bCs/>
                      <w:sz w:val="21"/>
                      <w:szCs w:val="21"/>
                      <w:lang w:val="en-US" w:eastAsia="zh-CN"/>
                    </w:rPr>
                    <w:t>0</w:t>
                  </w:r>
                </w:p>
              </w:tc>
              <w:tc>
                <w:tcPr>
                  <w:tcW w:w="26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5</w:t>
                  </w:r>
                  <w:r>
                    <w:rPr>
                      <w:rFonts w:hint="eastAsia" w:ascii="Times New Roman" w:hAnsi="Times New Roman" w:eastAsia="宋体" w:cs="Times New Roman"/>
                      <w:b w:val="0"/>
                      <w:bCs/>
                      <w:sz w:val="21"/>
                      <w:szCs w:val="21"/>
                      <w:lang w:val="en-US" w:eastAsia="zh-CN"/>
                    </w:rPr>
                    <w:t>0</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atLeast"/>
              <w:ind w:left="0" w:leftChars="0" w:right="0" w:firstLine="482" w:firstLineChars="200"/>
              <w:jc w:val="both"/>
              <w:textAlignment w:val="auto"/>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4</w:t>
            </w:r>
            <w:r>
              <w:rPr>
                <w:rFonts w:hint="default" w:ascii="Times New Roman" w:hAnsi="Times New Roman" w:eastAsia="宋体" w:cs="Times New Roman"/>
                <w:b/>
                <w:bCs w:val="0"/>
                <w:color w:val="auto"/>
                <w:sz w:val="24"/>
                <w:lang w:val="en-US" w:eastAsia="zh-CN"/>
              </w:rPr>
              <w:t>、固废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atLeast"/>
              <w:ind w:left="0" w:right="0" w:firstLine="480" w:firstLineChars="200"/>
              <w:jc w:val="left"/>
              <w:textAlignment w:val="auto"/>
              <w:rPr>
                <w:rFonts w:hint="default" w:ascii="Times New Roman" w:hAnsi="Times New Roman" w:eastAsia="宋体" w:cs="Times New Roman"/>
                <w:kern w:val="0"/>
                <w:szCs w:val="21"/>
              </w:rPr>
            </w:pPr>
            <w:r>
              <w:rPr>
                <w:rFonts w:hint="default" w:ascii="Times New Roman" w:hAnsi="Times New Roman" w:eastAsia="宋体" w:cs="Times New Roman"/>
                <w:color w:val="auto"/>
                <w:sz w:val="24"/>
                <w:lang w:val="en-US" w:eastAsia="zh-CN"/>
              </w:rPr>
              <w:t>一般固体废弃物执行《一般工业固体废物贮存、处置场污染控制标准》（GB18599-20</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en-US" w:eastAsia="zh-CN"/>
              </w:rPr>
              <w:t>）</w:t>
            </w:r>
            <w:r>
              <w:rPr>
                <w:rFonts w:hint="eastAsia" w:ascii="Calibri" w:hAnsi="Calibri" w:eastAsia="宋体" w:cs="Times New Roman"/>
                <w:sz w:val="24"/>
                <w:szCs w:val="32"/>
                <w:lang w:eastAsia="zh-CN"/>
              </w:rPr>
              <w:t>；危险废物执行</w:t>
            </w:r>
            <w:r>
              <w:rPr>
                <w:rFonts w:hint="eastAsia" w:ascii="Times New Roman" w:hAnsi="Times New Roman" w:eastAsia="宋体" w:cs="Times New Roman"/>
                <w:b w:val="0"/>
                <w:bCs/>
                <w:color w:val="auto"/>
                <w:sz w:val="24"/>
                <w:lang w:val="en-US" w:eastAsia="zh-CN"/>
              </w:rPr>
              <w:t>《危险废物贮存污染控制标准》（GB 18597-2001）及其修改单</w:t>
            </w:r>
            <w:r>
              <w:rPr>
                <w:rFonts w:hint="eastAsia" w:ascii="Times New Roman" w:hAnsi="Times New Roman" w:eastAsia="宋体" w:cs="Times New Roman"/>
                <w:sz w:val="24"/>
                <w:szCs w:val="32"/>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指标</w:t>
            </w:r>
          </w:p>
        </w:tc>
        <w:tc>
          <w:tcPr>
            <w:tcW w:w="8190" w:type="dxa"/>
            <w:noWrap w:val="0"/>
            <w:vAlign w:val="center"/>
          </w:tcPr>
          <w:p>
            <w:pPr>
              <w:pStyle w:val="98"/>
              <w:keepNext w:val="0"/>
              <w:keepLines/>
              <w:suppressLineNumbers w:val="0"/>
              <w:spacing w:before="0" w:beforeAutospacing="0" w:after="0" w:afterAutospacing="0"/>
              <w:ind w:left="0" w:right="0" w:firstLine="480"/>
              <w:rPr>
                <w:sz w:val="24"/>
                <w:szCs w:val="24"/>
              </w:rPr>
            </w:pPr>
          </w:p>
          <w:p>
            <w:pPr>
              <w:pStyle w:val="98"/>
              <w:keepNext w:val="0"/>
              <w:keepLines/>
              <w:suppressLineNumbers w:val="0"/>
              <w:spacing w:before="0" w:beforeAutospacing="0" w:after="0" w:afterAutospacing="0"/>
              <w:ind w:right="0"/>
              <w:rPr>
                <w:sz w:val="24"/>
                <w:szCs w:val="24"/>
              </w:rPr>
            </w:pPr>
          </w:p>
          <w:p>
            <w:pPr>
              <w:pStyle w:val="98"/>
              <w:keepNext w:val="0"/>
              <w:keepLines/>
              <w:suppressLineNumbers w:val="0"/>
              <w:spacing w:before="0" w:beforeAutospacing="0" w:after="0" w:afterAutospacing="0"/>
              <w:ind w:right="0"/>
              <w:rPr>
                <w:sz w:val="24"/>
                <w:szCs w:val="24"/>
              </w:rPr>
            </w:pPr>
            <w:r>
              <w:rPr>
                <w:sz w:val="24"/>
                <w:szCs w:val="24"/>
              </w:rPr>
              <w:t>本项目属于新建项目，废气涉及污染因子为VOCs，废水涉及的污染因子为COD、NH</w:t>
            </w:r>
            <w:r>
              <w:rPr>
                <w:sz w:val="24"/>
                <w:szCs w:val="24"/>
                <w:vertAlign w:val="subscript"/>
              </w:rPr>
              <w:t>3</w:t>
            </w:r>
            <w:r>
              <w:rPr>
                <w:sz w:val="24"/>
                <w:szCs w:val="24"/>
              </w:rPr>
              <w:t>-N，项目涉及主要污染物排放总量指标：VOCs</w:t>
            </w:r>
            <w:r>
              <w:rPr>
                <w:rFonts w:hint="eastAsia"/>
                <w:sz w:val="24"/>
                <w:szCs w:val="24"/>
                <w:lang w:val="en-US" w:eastAsia="zh-CN"/>
              </w:rPr>
              <w:t>0.0005</w:t>
            </w:r>
            <w:r>
              <w:rPr>
                <w:sz w:val="24"/>
                <w:szCs w:val="24"/>
              </w:rPr>
              <w:t xml:space="preserve">t/a、COD </w:t>
            </w:r>
            <w:r>
              <w:rPr>
                <w:rFonts w:hint="eastAsia"/>
                <w:sz w:val="24"/>
                <w:szCs w:val="24"/>
              </w:rPr>
              <w:t>0.0</w:t>
            </w:r>
            <w:r>
              <w:rPr>
                <w:rFonts w:hint="eastAsia"/>
                <w:sz w:val="24"/>
                <w:szCs w:val="24"/>
                <w:lang w:val="en-US" w:eastAsia="zh-CN"/>
              </w:rPr>
              <w:t>776</w:t>
            </w:r>
            <w:r>
              <w:rPr>
                <w:sz w:val="24"/>
                <w:szCs w:val="24"/>
              </w:rPr>
              <w:t>t/a、NH</w:t>
            </w:r>
            <w:r>
              <w:rPr>
                <w:sz w:val="24"/>
                <w:szCs w:val="24"/>
                <w:vertAlign w:val="subscript"/>
              </w:rPr>
              <w:t>3</w:t>
            </w:r>
            <w:r>
              <w:rPr>
                <w:sz w:val="24"/>
                <w:szCs w:val="24"/>
              </w:rPr>
              <w:t>-N 0.00</w:t>
            </w:r>
            <w:r>
              <w:rPr>
                <w:rFonts w:hint="eastAsia"/>
                <w:sz w:val="24"/>
                <w:szCs w:val="24"/>
                <w:lang w:val="en-US" w:eastAsia="zh-CN"/>
              </w:rPr>
              <w:t>39</w:t>
            </w:r>
            <w:r>
              <w:rPr>
                <w:sz w:val="24"/>
                <w:szCs w:val="24"/>
              </w:rPr>
              <w:t>t/a。</w:t>
            </w:r>
          </w:p>
          <w:p>
            <w:pPr>
              <w:keepNext w:val="0"/>
              <w:keepLines w:val="0"/>
              <w:pageBreakBefore w:val="0"/>
              <w:widowControl w:val="0"/>
              <w:suppressLineNumbers w:val="0"/>
              <w:kinsoku/>
              <w:wordWrap/>
              <w:topLinePunct w:val="0"/>
              <w:autoSpaceDE/>
              <w:autoSpaceDN/>
              <w:bidi w:val="0"/>
              <w:spacing w:before="0" w:beforeAutospacing="0" w:after="0" w:afterAutospacing="0" w:line="520" w:lineRule="exact"/>
              <w:ind w:left="0" w:right="0" w:firstLine="480" w:firstLineChars="200"/>
              <w:textAlignment w:val="auto"/>
              <w:rPr>
                <w:rFonts w:hint="eastAsia"/>
                <w:sz w:val="24"/>
                <w:szCs w:val="24"/>
                <w:lang w:val="en-US" w:eastAsia="zh-CN"/>
              </w:rPr>
            </w:pPr>
            <w:r>
              <w:rPr>
                <w:sz w:val="24"/>
                <w:szCs w:val="24"/>
              </w:rPr>
              <w:t xml:space="preserve">根据《河南省生态环境厅关于印发建设项目主要污染物排放总量指标管理工作内部规程通知》规定，建设项目环境影响文件中应明确建设项目主要污染物排放总量指标及替代削减方案。本项目需进行双倍替代，双倍替代量为VOCs </w:t>
            </w:r>
            <w:r>
              <w:rPr>
                <w:rFonts w:hint="eastAsia"/>
                <w:sz w:val="24"/>
                <w:szCs w:val="24"/>
                <w:lang w:val="en-US" w:eastAsia="zh-CN"/>
              </w:rPr>
              <w:t>0.00106</w:t>
            </w:r>
            <w:r>
              <w:rPr>
                <w:sz w:val="24"/>
                <w:szCs w:val="24"/>
              </w:rPr>
              <w:t xml:space="preserve">t/a、COD </w:t>
            </w:r>
            <w:r>
              <w:rPr>
                <w:rFonts w:hint="eastAsia"/>
                <w:sz w:val="24"/>
                <w:szCs w:val="24"/>
              </w:rPr>
              <w:t>0.</w:t>
            </w:r>
            <w:r>
              <w:rPr>
                <w:rFonts w:hint="eastAsia"/>
                <w:sz w:val="24"/>
                <w:szCs w:val="24"/>
                <w:lang w:val="en-US" w:eastAsia="zh-CN"/>
              </w:rPr>
              <w:t>1552</w:t>
            </w:r>
            <w:r>
              <w:rPr>
                <w:sz w:val="24"/>
                <w:szCs w:val="24"/>
              </w:rPr>
              <w:t>t/a、NH</w:t>
            </w:r>
            <w:r>
              <w:rPr>
                <w:sz w:val="24"/>
                <w:szCs w:val="24"/>
                <w:vertAlign w:val="subscript"/>
              </w:rPr>
              <w:t>3</w:t>
            </w:r>
            <w:r>
              <w:rPr>
                <w:sz w:val="24"/>
                <w:szCs w:val="24"/>
              </w:rPr>
              <w:t xml:space="preserve">-N </w:t>
            </w:r>
            <w:r>
              <w:rPr>
                <w:rFonts w:hint="eastAsia"/>
                <w:sz w:val="24"/>
                <w:szCs w:val="24"/>
              </w:rPr>
              <w:t>0.00</w:t>
            </w:r>
            <w:r>
              <w:rPr>
                <w:rFonts w:hint="eastAsia"/>
                <w:sz w:val="24"/>
                <w:szCs w:val="24"/>
                <w:lang w:val="en-US" w:eastAsia="zh-CN"/>
              </w:rPr>
              <w:t>78</w:t>
            </w:r>
            <w:r>
              <w:rPr>
                <w:sz w:val="24"/>
                <w:szCs w:val="24"/>
              </w:rPr>
              <w:t>t/a。</w:t>
            </w:r>
            <w:r>
              <w:rPr>
                <w:rFonts w:hint="eastAsia"/>
                <w:sz w:val="24"/>
                <w:szCs w:val="24"/>
                <w:lang w:val="en-US" w:eastAsia="zh-CN"/>
              </w:rPr>
              <w:t>VOC</w:t>
            </w:r>
            <w:r>
              <w:rPr>
                <w:rFonts w:hint="eastAsia"/>
                <w:sz w:val="24"/>
                <w:szCs w:val="24"/>
                <w:vertAlign w:val="subscript"/>
                <w:lang w:val="en-US" w:eastAsia="zh-CN"/>
              </w:rPr>
              <w:t>S</w:t>
            </w:r>
            <w:r>
              <w:rPr>
                <w:rFonts w:hint="eastAsia"/>
                <w:sz w:val="24"/>
                <w:szCs w:val="24"/>
                <w:lang w:val="en-US" w:eastAsia="zh-CN"/>
              </w:rPr>
              <w:t>从新乡市龙泉印务有限公司挥发性有机物治理产生的减排量0.00107t中扣除；COD、</w:t>
            </w:r>
            <w:r>
              <w:rPr>
                <w:sz w:val="24"/>
                <w:szCs w:val="24"/>
              </w:rPr>
              <w:t>NH</w:t>
            </w:r>
            <w:r>
              <w:rPr>
                <w:sz w:val="24"/>
                <w:szCs w:val="24"/>
                <w:vertAlign w:val="subscript"/>
              </w:rPr>
              <w:t>3</w:t>
            </w:r>
            <w:r>
              <w:rPr>
                <w:sz w:val="24"/>
                <w:szCs w:val="24"/>
              </w:rPr>
              <w:t xml:space="preserve">-N </w:t>
            </w:r>
            <w:r>
              <w:rPr>
                <w:rFonts w:hint="eastAsia"/>
                <w:sz w:val="24"/>
                <w:szCs w:val="24"/>
                <w:lang w:val="en-US" w:eastAsia="zh-CN"/>
              </w:rPr>
              <w:t>从平原示范区污水处理厂提标改造产生的减排量剩余量COD90.04576t、</w:t>
            </w:r>
            <w:r>
              <w:rPr>
                <w:sz w:val="24"/>
                <w:szCs w:val="24"/>
              </w:rPr>
              <w:t>NH</w:t>
            </w:r>
            <w:r>
              <w:rPr>
                <w:sz w:val="24"/>
                <w:szCs w:val="24"/>
                <w:vertAlign w:val="subscript"/>
              </w:rPr>
              <w:t>3</w:t>
            </w:r>
            <w:r>
              <w:rPr>
                <w:sz w:val="24"/>
                <w:szCs w:val="24"/>
              </w:rPr>
              <w:t xml:space="preserve">-N </w:t>
            </w:r>
            <w:r>
              <w:rPr>
                <w:rFonts w:hint="eastAsia"/>
                <w:sz w:val="24"/>
                <w:szCs w:val="24"/>
                <w:lang w:val="en-US" w:eastAsia="zh-CN"/>
              </w:rPr>
              <w:t>22.37196t中扣除。</w:t>
            </w:r>
          </w:p>
          <w:p>
            <w:pPr>
              <w:keepNext w:val="0"/>
              <w:keepLines w:val="0"/>
              <w:pageBreakBefore w:val="0"/>
              <w:widowControl w:val="0"/>
              <w:suppressLineNumbers w:val="0"/>
              <w:kinsoku/>
              <w:wordWrap/>
              <w:topLinePunct w:val="0"/>
              <w:autoSpaceDE/>
              <w:autoSpaceDN/>
              <w:bidi w:val="0"/>
              <w:spacing w:before="0" w:beforeAutospacing="0" w:after="0" w:afterAutospacing="0" w:line="520" w:lineRule="exact"/>
              <w:ind w:left="0" w:right="0" w:firstLine="480" w:firstLineChars="200"/>
              <w:textAlignment w:val="auto"/>
              <w:rPr>
                <w:sz w:val="24"/>
                <w:szCs w:val="24"/>
              </w:rPr>
            </w:pPr>
          </w:p>
          <w:p>
            <w:pPr>
              <w:keepNext w:val="0"/>
              <w:keepLines w:val="0"/>
              <w:pageBreakBefore w:val="0"/>
              <w:widowControl w:val="0"/>
              <w:suppressLineNumbers w:val="0"/>
              <w:kinsoku/>
              <w:wordWrap/>
              <w:topLinePunct w:val="0"/>
              <w:autoSpaceDE/>
              <w:autoSpaceDN/>
              <w:bidi w:val="0"/>
              <w:spacing w:before="0" w:beforeAutospacing="0" w:after="0" w:afterAutospacing="0" w:line="520" w:lineRule="exact"/>
              <w:ind w:left="0" w:right="0" w:firstLine="420" w:firstLineChars="200"/>
              <w:textAlignment w:val="auto"/>
              <w:rPr>
                <w:rFonts w:hint="eastAsia" w:ascii="Calibri" w:hAnsi="Calibri" w:cs="Times New Roman"/>
                <w:vertAlign w:val="baseline"/>
                <w:lang w:val="en-US" w:eastAsia="zh-CN"/>
              </w:rPr>
            </w:pPr>
            <w:bookmarkStart w:id="4" w:name="_GoBack"/>
            <w:bookmarkEnd w:id="4"/>
          </w:p>
          <w:p>
            <w:pPr>
              <w:keepNext w:val="0"/>
              <w:keepLines w:val="0"/>
              <w:pageBreakBefore w:val="0"/>
              <w:widowControl w:val="0"/>
              <w:suppressLineNumbers w:val="0"/>
              <w:kinsoku/>
              <w:wordWrap/>
              <w:topLinePunct w:val="0"/>
              <w:autoSpaceDE/>
              <w:autoSpaceDN/>
              <w:bidi w:val="0"/>
              <w:spacing w:before="0" w:beforeAutospacing="0" w:after="0" w:afterAutospacing="0" w:line="520" w:lineRule="exact"/>
              <w:ind w:left="0" w:right="0" w:firstLine="420" w:firstLineChars="200"/>
              <w:textAlignment w:val="auto"/>
              <w:rPr>
                <w:rFonts w:hint="eastAsia" w:ascii="Calibri" w:hAnsi="Calibri" w:cs="Times New Roman"/>
                <w:vertAlign w:val="baseline"/>
                <w:lang w:val="en-US" w:eastAsia="zh-CN"/>
              </w:rPr>
            </w:pPr>
          </w:p>
          <w:p>
            <w:pPr>
              <w:keepNext w:val="0"/>
              <w:keepLines w:val="0"/>
              <w:pageBreakBefore w:val="0"/>
              <w:widowControl w:val="0"/>
              <w:suppressLineNumbers w:val="0"/>
              <w:kinsoku/>
              <w:wordWrap/>
              <w:topLinePunct w:val="0"/>
              <w:autoSpaceDE/>
              <w:autoSpaceDN/>
              <w:bidi w:val="0"/>
              <w:spacing w:before="0" w:beforeAutospacing="0" w:after="0" w:afterAutospacing="0" w:line="520" w:lineRule="exact"/>
              <w:ind w:left="0" w:right="0" w:firstLine="420" w:firstLineChars="200"/>
              <w:textAlignment w:val="auto"/>
              <w:rPr>
                <w:rFonts w:hint="eastAsia" w:ascii="Calibri" w:hAnsi="Calibri" w:eastAsia="宋体" w:cs="Times New Roman"/>
                <w:vertAlign w:val="baseline"/>
                <w:lang w:val="en-US" w:eastAsia="zh-CN"/>
              </w:rPr>
            </w:pPr>
          </w:p>
        </w:tc>
      </w:tr>
    </w:tbl>
    <w:p>
      <w:pPr>
        <w:pStyle w:val="26"/>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r>
        <w:rPr>
          <w:rFonts w:hint="default" w:ascii="Times New Roman" w:hAnsi="Times New Roman" w:eastAsia="黑体" w:cs="Times New Roman"/>
          <w:snapToGrid w:val="0"/>
          <w:sz w:val="30"/>
          <w:szCs w:val="30"/>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0"/>
        <w:gridCol w:w="87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220" w:type="dxa"/>
            <w:noWrap w:val="0"/>
            <w:tcMar>
              <w:left w:w="28" w:type="dxa"/>
              <w:right w:w="28" w:type="dxa"/>
            </w:tcMar>
            <w:vAlign w:val="center"/>
          </w:tcPr>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施工</w:t>
            </w:r>
          </w:p>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期环</w:t>
            </w:r>
          </w:p>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境保</w:t>
            </w:r>
          </w:p>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护措</w:t>
            </w:r>
          </w:p>
          <w:p>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kern w:val="2"/>
                <w:sz w:val="21"/>
                <w:szCs w:val="21"/>
              </w:rPr>
              <w:t>施</w:t>
            </w:r>
          </w:p>
        </w:tc>
        <w:tc>
          <w:tcPr>
            <w:tcW w:w="876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left"/>
              <w:textAlignment w:val="auto"/>
              <w:rPr>
                <w:rFonts w:hint="eastAsia"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t>本</w:t>
            </w:r>
            <w:r>
              <w:rPr>
                <w:rFonts w:hint="eastAsia" w:cs="Times New Roman"/>
                <w:color w:val="auto"/>
                <w:sz w:val="24"/>
                <w:szCs w:val="24"/>
                <w:highlight w:val="none"/>
                <w:vertAlign w:val="baseline"/>
                <w:lang w:eastAsia="zh-CN"/>
              </w:rPr>
              <w:t>项目</w:t>
            </w:r>
            <w:r>
              <w:rPr>
                <w:rFonts w:hint="eastAsia" w:cs="Times New Roman"/>
                <w:color w:val="auto"/>
                <w:sz w:val="24"/>
                <w:szCs w:val="24"/>
                <w:highlight w:val="none"/>
                <w:vertAlign w:val="baseline"/>
                <w:lang w:val="en-US" w:eastAsia="zh-CN"/>
              </w:rPr>
              <w:t>施工期</w:t>
            </w:r>
            <w:r>
              <w:rPr>
                <w:rFonts w:hint="eastAsia" w:cs="Times New Roman"/>
                <w:color w:val="auto"/>
                <w:sz w:val="24"/>
                <w:szCs w:val="24"/>
                <w:highlight w:val="none"/>
                <w:vertAlign w:val="baseline"/>
                <w:lang w:eastAsia="zh-CN"/>
              </w:rPr>
              <w:t>环境影响分析如下：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jc w:val="left"/>
              <w:textAlignment w:val="auto"/>
              <w:rPr>
                <w:rFonts w:hint="default" w:ascii="Times New Roman" w:hAnsi="Times New Roman" w:eastAsia="宋体" w:cs="Times New Roman"/>
                <w:b/>
                <w:bCs/>
                <w:snapToGrid w:val="0"/>
                <w:spacing w:val="0"/>
                <w:kern w:val="0"/>
                <w:position w:val="0"/>
                <w:sz w:val="24"/>
                <w:szCs w:val="24"/>
                <w:lang w:eastAsia="zh-CN"/>
              </w:rPr>
            </w:pPr>
            <w:r>
              <w:rPr>
                <w:rFonts w:hint="default" w:ascii="Times New Roman" w:hAnsi="Times New Roman" w:eastAsia="宋体" w:cs="Times New Roman"/>
                <w:b/>
                <w:bCs/>
                <w:snapToGrid w:val="0"/>
                <w:spacing w:val="0"/>
                <w:kern w:val="0"/>
                <w:position w:val="0"/>
                <w:sz w:val="24"/>
                <w:szCs w:val="24"/>
                <w:lang w:val="en-US" w:eastAsia="zh-CN"/>
              </w:rPr>
              <w:t>1、废气</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lang w:eastAsia="zh-CN"/>
              </w:rPr>
              <w:t>本项目</w:t>
            </w:r>
            <w:r>
              <w:rPr>
                <w:rFonts w:hint="default" w:ascii="Times New Roman" w:hAnsi="Times New Roman" w:eastAsia="宋体" w:cs="Times New Roman"/>
                <w:snapToGrid w:val="0"/>
                <w:spacing w:val="0"/>
                <w:kern w:val="0"/>
                <w:position w:val="0"/>
                <w:sz w:val="24"/>
                <w:szCs w:val="24"/>
              </w:rPr>
              <w:t>施工期废气主要为施工扬尘，评价建议施工时应遵照建设部和《河南省环境污染防治攻坚战领导小组办公室关</w:t>
            </w:r>
            <w:r>
              <w:rPr>
                <w:rFonts w:hint="default" w:ascii="Times New Roman" w:hAnsi="Times New Roman" w:eastAsia="宋体" w:cs="Times New Roman"/>
                <w:snapToGrid w:val="0"/>
                <w:spacing w:val="0"/>
                <w:kern w:val="0"/>
                <w:position w:val="0"/>
                <w:sz w:val="24"/>
                <w:szCs w:val="24"/>
                <w:lang w:eastAsia="zh-CN"/>
              </w:rPr>
              <w:t>于</w:t>
            </w:r>
            <w:r>
              <w:rPr>
                <w:rFonts w:hint="default" w:ascii="Times New Roman" w:hAnsi="Times New Roman" w:eastAsia="宋体" w:cs="Times New Roman"/>
                <w:snapToGrid w:val="0"/>
                <w:spacing w:val="0"/>
                <w:kern w:val="0"/>
                <w:position w:val="0"/>
                <w:sz w:val="24"/>
                <w:szCs w:val="24"/>
              </w:rPr>
              <w:t>进一步加强扬尘污染专项治理的意见》（豫环攻坚办[2017]191号）</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《京津冀及周边地区</w:t>
            </w:r>
            <w:r>
              <w:rPr>
                <w:rFonts w:hint="default" w:ascii="Times New Roman" w:hAnsi="Times New Roman" w:eastAsia="宋体" w:cs="Times New Roman"/>
                <w:snapToGrid w:val="0"/>
                <w:spacing w:val="0"/>
                <w:kern w:val="0"/>
                <w:position w:val="0"/>
                <w:sz w:val="24"/>
                <w:szCs w:val="24"/>
                <w:lang w:val="en-US" w:eastAsia="zh-CN"/>
              </w:rPr>
              <w:t>2020-2021</w:t>
            </w:r>
            <w:r>
              <w:rPr>
                <w:rFonts w:hint="default" w:ascii="Times New Roman" w:hAnsi="Times New Roman" w:eastAsia="宋体" w:cs="Times New Roman"/>
                <w:snapToGrid w:val="0"/>
                <w:spacing w:val="0"/>
                <w:kern w:val="0"/>
                <w:position w:val="0"/>
                <w:sz w:val="24"/>
                <w:szCs w:val="24"/>
              </w:rPr>
              <w:t>年秋冬季大气污染综合治理攻行动方案》</w:t>
            </w:r>
            <w:r>
              <w:rPr>
                <w:rFonts w:hint="default" w:ascii="Times New Roman" w:hAnsi="Times New Roman" w:eastAsia="宋体" w:cs="Times New Roman"/>
                <w:snapToGrid w:val="0"/>
                <w:spacing w:val="0"/>
                <w:kern w:val="0"/>
                <w:position w:val="0"/>
                <w:sz w:val="24"/>
                <w:szCs w:val="24"/>
                <w:lang w:eastAsia="zh-CN"/>
              </w:rPr>
              <w:t>以及</w:t>
            </w:r>
            <w:r>
              <w:rPr>
                <w:rFonts w:hint="default" w:ascii="Times New Roman" w:hAnsi="Times New Roman" w:eastAsia="宋体" w:cs="Times New Roman"/>
                <w:snapToGrid w:val="0"/>
                <w:spacing w:val="0"/>
                <w:kern w:val="0"/>
                <w:position w:val="0"/>
                <w:sz w:val="24"/>
                <w:szCs w:val="24"/>
              </w:rPr>
              <w:t>《新乡市环境污染防治攻坚战三年行动施方案(2018-202</w:t>
            </w:r>
            <w:r>
              <w:rPr>
                <w:rFonts w:hint="default" w:ascii="Times New Roman" w:hAnsi="Times New Roman" w:eastAsia="宋体" w:cs="Times New Roman"/>
                <w:snapToGrid w:val="0"/>
                <w:spacing w:val="0"/>
                <w:kern w:val="0"/>
                <w:position w:val="0"/>
                <w:sz w:val="24"/>
                <w:szCs w:val="24"/>
                <w:lang w:val="en-US" w:eastAsia="zh-CN"/>
              </w:rPr>
              <w:t>0</w:t>
            </w:r>
            <w:r>
              <w:rPr>
                <w:rFonts w:hint="default" w:ascii="Times New Roman" w:hAnsi="Times New Roman" w:eastAsia="宋体" w:cs="Times New Roman"/>
                <w:snapToGrid w:val="0"/>
                <w:spacing w:val="0"/>
                <w:kern w:val="0"/>
                <w:position w:val="0"/>
                <w:sz w:val="24"/>
                <w:szCs w:val="24"/>
              </w:rPr>
              <w:t>年）》要求可知：须严格落实工地周边围挡、物料堆放覆盖、土方开挖湿法作业、路面硬化、出入车辆清洗、渣土车辆密闭运输“六个百分之百"；城市规划区内建筑工地必须做到“两个禁止”，即“禁止现场搅拌混凝土、禁止现场配置砂浆</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；须执行开复工验收、“三员”管理、扬尘防治预算管理等制度。在工地边界设置一定高度的围墙，定期喷水淋湿</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工地建筑结构施工架外侧设置有效抑尘的防尘网或防尘布，并加强施工管理；加强运输管理，车辆加盖顶棚，并经常对道路洒水降尘，减少扬尘污染；施工期应禁止随意堆弃建筑垃圾，尤其禁止丢弃在建筑区以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rPr>
              <w:t>经采取</w:t>
            </w:r>
            <w:r>
              <w:rPr>
                <w:rFonts w:hint="default" w:ascii="Times New Roman" w:hAnsi="Times New Roman" w:eastAsia="宋体" w:cs="Times New Roman"/>
                <w:snapToGrid w:val="0"/>
                <w:spacing w:val="0"/>
                <w:kern w:val="0"/>
                <w:position w:val="0"/>
                <w:sz w:val="24"/>
                <w:szCs w:val="24"/>
                <w:lang w:eastAsia="zh-CN"/>
              </w:rPr>
              <w:t>以上</w:t>
            </w:r>
            <w:r>
              <w:rPr>
                <w:rFonts w:hint="default" w:ascii="Times New Roman" w:hAnsi="Times New Roman" w:eastAsia="宋体" w:cs="Times New Roman"/>
                <w:snapToGrid w:val="0"/>
                <w:spacing w:val="0"/>
                <w:kern w:val="0"/>
                <w:position w:val="0"/>
                <w:sz w:val="24"/>
                <w:szCs w:val="24"/>
              </w:rPr>
              <w:t>措施后，施工扬尘对大气环境影响</w:t>
            </w:r>
            <w:r>
              <w:rPr>
                <w:rFonts w:hint="eastAsia" w:cs="Times New Roman"/>
                <w:snapToGrid w:val="0"/>
                <w:spacing w:val="0"/>
                <w:kern w:val="0"/>
                <w:position w:val="0"/>
                <w:sz w:val="24"/>
                <w:szCs w:val="24"/>
                <w:lang w:val="en-US" w:eastAsia="zh-CN"/>
              </w:rPr>
              <w:t>可以接受</w:t>
            </w:r>
            <w:r>
              <w:rPr>
                <w:rFonts w:hint="default" w:ascii="Times New Roman" w:hAnsi="Times New Roman" w:eastAsia="宋体" w:cs="Times New Roman"/>
                <w:snapToGrid w:val="0"/>
                <w:spacing w:val="0"/>
                <w:kern w:val="0"/>
                <w:position w:val="0"/>
                <w:sz w:val="24"/>
                <w:szCs w:val="24"/>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b/>
                <w:bCs/>
                <w:snapToGrid w:val="0"/>
                <w:spacing w:val="0"/>
                <w:kern w:val="0"/>
                <w:position w:val="0"/>
                <w:sz w:val="24"/>
                <w:szCs w:val="24"/>
                <w:lang w:eastAsia="zh-CN"/>
              </w:rPr>
            </w:pPr>
            <w:r>
              <w:rPr>
                <w:rFonts w:hint="default" w:ascii="Times New Roman" w:hAnsi="Times New Roman" w:eastAsia="宋体" w:cs="Times New Roman"/>
                <w:b/>
                <w:bCs/>
                <w:snapToGrid w:val="0"/>
                <w:spacing w:val="0"/>
                <w:kern w:val="0"/>
                <w:position w:val="0"/>
                <w:sz w:val="24"/>
                <w:szCs w:val="24"/>
                <w:lang w:val="en-US" w:eastAsia="zh-CN"/>
              </w:rPr>
              <w:t>2</w:t>
            </w:r>
            <w:r>
              <w:rPr>
                <w:rFonts w:hint="default" w:ascii="Times New Roman" w:hAnsi="Times New Roman" w:eastAsia="宋体" w:cs="Times New Roman"/>
                <w:b/>
                <w:bCs/>
                <w:snapToGrid w:val="0"/>
                <w:spacing w:val="0"/>
                <w:kern w:val="0"/>
                <w:position w:val="0"/>
                <w:sz w:val="24"/>
                <w:szCs w:val="24"/>
              </w:rPr>
              <w:t>、</w:t>
            </w:r>
            <w:r>
              <w:rPr>
                <w:rFonts w:hint="default" w:ascii="Times New Roman" w:hAnsi="Times New Roman" w:eastAsia="宋体" w:cs="Times New Roman"/>
                <w:b/>
                <w:bCs/>
                <w:snapToGrid w:val="0"/>
                <w:spacing w:val="0"/>
                <w:kern w:val="0"/>
                <w:position w:val="0"/>
                <w:sz w:val="24"/>
                <w:szCs w:val="24"/>
                <w:lang w:eastAsia="zh-CN"/>
              </w:rPr>
              <w:t>废水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lang w:eastAsia="zh-CN"/>
              </w:rPr>
              <w:t>本</w:t>
            </w:r>
            <w:r>
              <w:rPr>
                <w:rFonts w:hint="default" w:ascii="Times New Roman" w:hAnsi="Times New Roman" w:eastAsia="宋体" w:cs="Times New Roman"/>
                <w:snapToGrid w:val="0"/>
                <w:spacing w:val="0"/>
                <w:kern w:val="0"/>
                <w:position w:val="0"/>
                <w:sz w:val="24"/>
                <w:szCs w:val="24"/>
              </w:rPr>
              <w:t>项目施工期间所用水为建筑材料搅拌水及机械设备冲洗水</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这些污水水质简单，经沉淀池处理后用</w:t>
            </w:r>
            <w:r>
              <w:rPr>
                <w:rFonts w:hint="default" w:ascii="Times New Roman" w:hAnsi="Times New Roman" w:eastAsia="宋体" w:cs="Times New Roman"/>
                <w:snapToGrid w:val="0"/>
                <w:spacing w:val="0"/>
                <w:kern w:val="0"/>
                <w:position w:val="0"/>
                <w:sz w:val="24"/>
                <w:szCs w:val="24"/>
                <w:lang w:eastAsia="zh-CN"/>
              </w:rPr>
              <w:t>于</w:t>
            </w:r>
            <w:r>
              <w:rPr>
                <w:rFonts w:hint="default" w:ascii="Times New Roman" w:hAnsi="Times New Roman" w:eastAsia="宋体" w:cs="Times New Roman"/>
                <w:snapToGrid w:val="0"/>
                <w:spacing w:val="0"/>
                <w:kern w:val="0"/>
                <w:position w:val="0"/>
                <w:sz w:val="24"/>
                <w:szCs w:val="24"/>
              </w:rPr>
              <w:t>施工场地洒水保湿和施工用水；项目施工期间施工人员均不在施工场地内食宿，生活污水主要为施工人员洗脸、洗手废水，生活用水定额按20L/（</w:t>
            </w:r>
            <w:r>
              <w:rPr>
                <w:rFonts w:hint="default" w:ascii="Times New Roman" w:hAnsi="Times New Roman" w:eastAsia="宋体" w:cs="Times New Roman"/>
                <w:snapToGrid w:val="0"/>
                <w:spacing w:val="0"/>
                <w:kern w:val="0"/>
                <w:position w:val="0"/>
                <w:sz w:val="24"/>
                <w:szCs w:val="24"/>
                <w:lang w:eastAsia="zh-CN"/>
              </w:rPr>
              <w:t>人</w:t>
            </w:r>
            <w:r>
              <w:rPr>
                <w:rFonts w:hint="default" w:ascii="Times New Roman" w:hAnsi="Times New Roman" w:eastAsia="宋体" w:cs="Times New Roman"/>
                <w:snapToGrid w:val="0"/>
                <w:spacing w:val="0"/>
                <w:kern w:val="0"/>
                <w:position w:val="0"/>
                <w:sz w:val="24"/>
                <w:szCs w:val="24"/>
              </w:rPr>
              <w:t>·</w:t>
            </w:r>
            <w:r>
              <w:rPr>
                <w:rFonts w:hint="default" w:ascii="Times New Roman" w:hAnsi="Times New Roman" w:eastAsia="宋体" w:cs="Times New Roman"/>
                <w:snapToGrid w:val="0"/>
                <w:spacing w:val="0"/>
                <w:kern w:val="0"/>
                <w:position w:val="0"/>
                <w:sz w:val="24"/>
                <w:szCs w:val="24"/>
                <w:lang w:eastAsia="zh-CN"/>
              </w:rPr>
              <w:t>天</w:t>
            </w:r>
            <w:r>
              <w:rPr>
                <w:rFonts w:hint="default" w:ascii="Times New Roman" w:hAnsi="Times New Roman" w:eastAsia="宋体" w:cs="Times New Roman"/>
                <w:snapToGrid w:val="0"/>
                <w:spacing w:val="0"/>
                <w:kern w:val="0"/>
                <w:position w:val="0"/>
                <w:sz w:val="24"/>
                <w:szCs w:val="24"/>
              </w:rPr>
              <w:t>)计算，施工人员</w:t>
            </w:r>
            <w:r>
              <w:rPr>
                <w:rFonts w:hint="eastAsia" w:cs="Times New Roman"/>
                <w:snapToGrid w:val="0"/>
                <w:spacing w:val="0"/>
                <w:kern w:val="0"/>
                <w:position w:val="0"/>
                <w:sz w:val="24"/>
                <w:szCs w:val="24"/>
                <w:lang w:val="en-US" w:eastAsia="zh-CN"/>
              </w:rPr>
              <w:t>20</w:t>
            </w:r>
            <w:r>
              <w:rPr>
                <w:rFonts w:hint="default" w:ascii="Times New Roman" w:hAnsi="Times New Roman" w:eastAsia="宋体" w:cs="Times New Roman"/>
                <w:snapToGrid w:val="0"/>
                <w:spacing w:val="0"/>
                <w:kern w:val="0"/>
                <w:position w:val="0"/>
                <w:sz w:val="24"/>
                <w:szCs w:val="24"/>
              </w:rPr>
              <w:t>人，用水量为0.</w:t>
            </w:r>
            <w:r>
              <w:rPr>
                <w:rFonts w:hint="eastAsia" w:cs="Times New Roman"/>
                <w:snapToGrid w:val="0"/>
                <w:spacing w:val="0"/>
                <w:kern w:val="0"/>
                <w:position w:val="0"/>
                <w:sz w:val="24"/>
                <w:szCs w:val="24"/>
                <w:lang w:val="en-US" w:eastAsia="zh-CN"/>
              </w:rPr>
              <w:t>4</w:t>
            </w:r>
            <w:r>
              <w:rPr>
                <w:rFonts w:hint="default" w:ascii="Times New Roman" w:hAnsi="Times New Roman" w:eastAsia="宋体" w:cs="Times New Roman"/>
                <w:snapToGrid w:val="0"/>
                <w:spacing w:val="0"/>
                <w:kern w:val="0"/>
                <w:position w:val="0"/>
                <w:sz w:val="24"/>
                <w:szCs w:val="24"/>
              </w:rPr>
              <w:t>m</w:t>
            </w:r>
            <w:r>
              <w:rPr>
                <w:rFonts w:hint="default" w:ascii="Times New Roman" w:hAnsi="Times New Roman" w:eastAsia="宋体" w:cs="Times New Roman"/>
                <w:snapToGrid w:val="0"/>
                <w:spacing w:val="0"/>
                <w:kern w:val="0"/>
                <w:position w:val="0"/>
                <w:sz w:val="24"/>
                <w:szCs w:val="24"/>
                <w:vertAlign w:val="superscript"/>
                <w:lang w:val="en-US" w:eastAsia="zh-CN"/>
              </w:rPr>
              <w:t>3</w:t>
            </w:r>
            <w:r>
              <w:rPr>
                <w:rFonts w:hint="default" w:ascii="Times New Roman" w:hAnsi="Times New Roman" w:eastAsia="宋体" w:cs="Times New Roman"/>
                <w:snapToGrid w:val="0"/>
                <w:spacing w:val="0"/>
                <w:kern w:val="0"/>
                <w:position w:val="0"/>
                <w:sz w:val="24"/>
                <w:szCs w:val="24"/>
                <w:vertAlign w:val="baseline"/>
                <w:lang w:val="en-US" w:eastAsia="zh-CN"/>
              </w:rPr>
              <w:t>/d</w:t>
            </w:r>
            <w:r>
              <w:rPr>
                <w:rFonts w:hint="default" w:ascii="Times New Roman" w:hAnsi="Times New Roman" w:eastAsia="宋体" w:cs="Times New Roman"/>
                <w:snapToGrid w:val="0"/>
                <w:spacing w:val="0"/>
                <w:kern w:val="0"/>
                <w:position w:val="0"/>
                <w:sz w:val="24"/>
                <w:szCs w:val="24"/>
              </w:rPr>
              <w:t>，产污系数按0.8计，则施工期生活污水产生量为0.</w:t>
            </w:r>
            <w:r>
              <w:rPr>
                <w:rFonts w:hint="eastAsia" w:cs="Times New Roman"/>
                <w:snapToGrid w:val="0"/>
                <w:spacing w:val="0"/>
                <w:kern w:val="0"/>
                <w:position w:val="0"/>
                <w:sz w:val="24"/>
                <w:szCs w:val="24"/>
                <w:lang w:val="en-US" w:eastAsia="zh-CN"/>
              </w:rPr>
              <w:t>32</w:t>
            </w:r>
            <w:r>
              <w:rPr>
                <w:rFonts w:hint="default" w:ascii="Times New Roman" w:hAnsi="Times New Roman" w:eastAsia="宋体" w:cs="Times New Roman"/>
                <w:snapToGrid w:val="0"/>
                <w:spacing w:val="0"/>
                <w:kern w:val="0"/>
                <w:position w:val="0"/>
                <w:sz w:val="24"/>
                <w:szCs w:val="24"/>
              </w:rPr>
              <w:t>m³/d，经沉淀池收集后用于场地洒水降尘和施工材料搅拌用水，不外排。</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rPr>
              <w:t>经采取以上措施后，施工期废水不会对周围地表水环境造成影响。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b/>
                <w:bCs/>
                <w:snapToGrid w:val="0"/>
                <w:spacing w:val="0"/>
                <w:kern w:val="0"/>
                <w:position w:val="0"/>
                <w:sz w:val="24"/>
                <w:szCs w:val="24"/>
                <w:lang w:eastAsia="zh-CN"/>
              </w:rPr>
            </w:pPr>
            <w:r>
              <w:rPr>
                <w:rFonts w:hint="default" w:ascii="Times New Roman" w:hAnsi="Times New Roman" w:eastAsia="宋体" w:cs="Times New Roman"/>
                <w:b/>
                <w:bCs/>
                <w:snapToGrid w:val="0"/>
                <w:spacing w:val="0"/>
                <w:kern w:val="0"/>
                <w:position w:val="0"/>
                <w:sz w:val="24"/>
                <w:szCs w:val="24"/>
                <w:lang w:val="en-US" w:eastAsia="zh-CN"/>
              </w:rPr>
              <w:t>3</w:t>
            </w:r>
            <w:r>
              <w:rPr>
                <w:rFonts w:hint="default" w:ascii="Times New Roman" w:hAnsi="Times New Roman" w:eastAsia="宋体" w:cs="Times New Roman"/>
                <w:b/>
                <w:bCs/>
                <w:snapToGrid w:val="0"/>
                <w:spacing w:val="0"/>
                <w:kern w:val="0"/>
                <w:position w:val="0"/>
                <w:sz w:val="24"/>
                <w:szCs w:val="24"/>
              </w:rPr>
              <w:t>、</w:t>
            </w:r>
            <w:r>
              <w:rPr>
                <w:rFonts w:hint="default" w:ascii="Times New Roman" w:hAnsi="Times New Roman" w:eastAsia="宋体" w:cs="Times New Roman"/>
                <w:b/>
                <w:bCs/>
                <w:snapToGrid w:val="0"/>
                <w:spacing w:val="0"/>
                <w:kern w:val="0"/>
                <w:position w:val="0"/>
                <w:sz w:val="24"/>
                <w:szCs w:val="24"/>
                <w:lang w:eastAsia="zh-CN"/>
              </w:rPr>
              <w:t>噪声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rPr>
              <w:t>本项目施工期噪声主要来自建筑物建造时机械设备运作及板材钢构安装等作业噪声。施工队伍进驻现场时，将增加该区域的噪声负荷，为尽量降低施工噪声对周围环境的影响。评价建议施工方采取以下措施</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在施工期间所用施工机械必须采用具有消声、隔音处理及减振装置的设备；禁止噪声超标机械进入施工现场，加强对施工场地的监督管理，对高噪声设备应采取相应的限时作业；除了工艺要求必须连续作业的施工项目外，其它施工项目严禁在夜间22:00到次日6:00进行。同时合理安排施工人员的作业时间、作业方式</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减少接触高噪声的时间</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对距离噪声源较近的人员，除采取必要的个人保护措施外</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应适当缩短劳动作业时间。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rPr>
              <w:t>通过采取以上噪声防治措施后，施工期噪声能够满足《建筑施工场界环境噪声排放标准》（GB12523-2011)[昼间≦70dB</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lang w:val="en-US" w:eastAsia="zh-CN"/>
              </w:rPr>
              <w:t>A</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夜间≦55dB（A）]的要求，对周围声环境影响</w:t>
            </w:r>
            <w:r>
              <w:rPr>
                <w:rFonts w:hint="eastAsia" w:cs="Times New Roman"/>
                <w:snapToGrid w:val="0"/>
                <w:spacing w:val="0"/>
                <w:kern w:val="0"/>
                <w:position w:val="0"/>
                <w:sz w:val="24"/>
                <w:szCs w:val="24"/>
                <w:lang w:val="en-US" w:eastAsia="zh-CN"/>
              </w:rPr>
              <w:t>可以接受</w:t>
            </w:r>
            <w:r>
              <w:rPr>
                <w:rFonts w:hint="default" w:ascii="Times New Roman" w:hAnsi="Times New Roman" w:eastAsia="宋体" w:cs="Times New Roman"/>
                <w:snapToGrid w:val="0"/>
                <w:spacing w:val="0"/>
                <w:kern w:val="0"/>
                <w:position w:val="0"/>
                <w:sz w:val="24"/>
                <w:szCs w:val="24"/>
                <w:lang w:eastAsia="zh-CN"/>
              </w:rPr>
              <w:t>，</w:t>
            </w:r>
            <w:r>
              <w:rPr>
                <w:rFonts w:hint="default" w:ascii="Times New Roman" w:hAnsi="Times New Roman" w:eastAsia="宋体" w:cs="Times New Roman"/>
                <w:snapToGrid w:val="0"/>
                <w:spacing w:val="0"/>
                <w:kern w:val="0"/>
                <w:position w:val="0"/>
                <w:sz w:val="24"/>
                <w:szCs w:val="24"/>
              </w:rPr>
              <w:t>且本项目噪声随着施工期的结束，其影响即消失。</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b/>
                <w:bCs/>
                <w:snapToGrid w:val="0"/>
                <w:spacing w:val="0"/>
                <w:kern w:val="0"/>
                <w:position w:val="0"/>
                <w:sz w:val="24"/>
                <w:szCs w:val="24"/>
                <w:lang w:eastAsia="zh-CN"/>
              </w:rPr>
            </w:pPr>
            <w:r>
              <w:rPr>
                <w:rFonts w:hint="default" w:ascii="Times New Roman" w:hAnsi="Times New Roman" w:eastAsia="宋体" w:cs="Times New Roman"/>
                <w:b/>
                <w:bCs/>
                <w:snapToGrid w:val="0"/>
                <w:spacing w:val="0"/>
                <w:kern w:val="0"/>
                <w:position w:val="0"/>
                <w:sz w:val="24"/>
                <w:szCs w:val="24"/>
                <w:lang w:val="en-US" w:eastAsia="zh-CN"/>
              </w:rPr>
              <w:t>4</w:t>
            </w:r>
            <w:r>
              <w:rPr>
                <w:rFonts w:hint="default" w:ascii="Times New Roman" w:hAnsi="Times New Roman" w:eastAsia="宋体" w:cs="Times New Roman"/>
                <w:b/>
                <w:bCs/>
                <w:snapToGrid w:val="0"/>
                <w:spacing w:val="0"/>
                <w:kern w:val="0"/>
                <w:position w:val="0"/>
                <w:sz w:val="24"/>
                <w:szCs w:val="24"/>
              </w:rPr>
              <w:t>、固体</w:t>
            </w:r>
            <w:r>
              <w:rPr>
                <w:rFonts w:hint="default" w:ascii="Times New Roman" w:hAnsi="Times New Roman" w:eastAsia="宋体" w:cs="Times New Roman"/>
                <w:b/>
                <w:bCs/>
                <w:snapToGrid w:val="0"/>
                <w:spacing w:val="0"/>
                <w:kern w:val="0"/>
                <w:position w:val="0"/>
                <w:sz w:val="24"/>
                <w:szCs w:val="24"/>
                <w:lang w:eastAsia="zh-CN"/>
              </w:rPr>
              <w:t>废物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lang w:eastAsia="zh-CN"/>
              </w:rPr>
              <w:t>本项目</w:t>
            </w:r>
            <w:r>
              <w:rPr>
                <w:rFonts w:hint="default" w:ascii="Times New Roman" w:hAnsi="Times New Roman" w:eastAsia="宋体" w:cs="Times New Roman"/>
                <w:snapToGrid w:val="0"/>
                <w:spacing w:val="0"/>
                <w:kern w:val="0"/>
                <w:position w:val="0"/>
                <w:sz w:val="24"/>
                <w:szCs w:val="24"/>
              </w:rPr>
              <w:t>施工期间会产生少量生活垃圾，生活垃圾排放量按0.5kg/（人·天）计，施工人员</w:t>
            </w:r>
            <w:r>
              <w:rPr>
                <w:rFonts w:hint="eastAsia" w:cs="Times New Roman"/>
                <w:snapToGrid w:val="0"/>
                <w:spacing w:val="0"/>
                <w:kern w:val="0"/>
                <w:position w:val="0"/>
                <w:sz w:val="24"/>
                <w:szCs w:val="24"/>
                <w:lang w:val="en-US" w:eastAsia="zh-CN"/>
              </w:rPr>
              <w:t>20</w:t>
            </w:r>
            <w:r>
              <w:rPr>
                <w:rFonts w:hint="default" w:ascii="Times New Roman" w:hAnsi="Times New Roman" w:eastAsia="宋体" w:cs="Times New Roman"/>
                <w:snapToGrid w:val="0"/>
                <w:spacing w:val="0"/>
                <w:kern w:val="0"/>
                <w:position w:val="0"/>
                <w:sz w:val="24"/>
                <w:szCs w:val="24"/>
              </w:rPr>
              <w:t>人，则生活垃圾产生量为</w:t>
            </w:r>
            <w:r>
              <w:rPr>
                <w:rFonts w:hint="eastAsia" w:cs="Times New Roman"/>
                <w:snapToGrid w:val="0"/>
                <w:spacing w:val="0"/>
                <w:kern w:val="0"/>
                <w:position w:val="0"/>
                <w:sz w:val="24"/>
                <w:szCs w:val="24"/>
                <w:lang w:val="en-US" w:eastAsia="zh-CN"/>
              </w:rPr>
              <w:t>10</w:t>
            </w:r>
            <w:r>
              <w:rPr>
                <w:rFonts w:hint="default" w:ascii="Times New Roman" w:hAnsi="Times New Roman" w:eastAsia="宋体" w:cs="Times New Roman"/>
                <w:snapToGrid w:val="0"/>
                <w:spacing w:val="0"/>
                <w:kern w:val="0"/>
                <w:position w:val="0"/>
                <w:sz w:val="24"/>
                <w:szCs w:val="24"/>
              </w:rPr>
              <w:t>kg/d，集中收集后，交由环卫部门集中处置；此外厂区还需要进行部分地面硬化，运输各种建筑材料（如砂石、水泥、砖等），工程完工后，会残留少量建筑垃圾。建议建设单位实行标准施工、规划运输，能重新刮用的分类收集后作为再生砖、再生骨料资源使用，其余部分运到建筑垃圾填埋场处理，不得随意倾倒建筑垃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r>
              <w:rPr>
                <w:rFonts w:hint="default" w:ascii="Times New Roman" w:hAnsi="Times New Roman" w:eastAsia="宋体" w:cs="Times New Roman"/>
                <w:snapToGrid w:val="0"/>
                <w:spacing w:val="0"/>
                <w:kern w:val="0"/>
                <w:position w:val="0"/>
                <w:sz w:val="24"/>
                <w:szCs w:val="24"/>
              </w:rPr>
              <w:t>采取以上防治措施后，施工期固体废物对周围环境影响</w:t>
            </w:r>
            <w:r>
              <w:rPr>
                <w:rFonts w:hint="eastAsia" w:cs="Times New Roman"/>
                <w:snapToGrid w:val="0"/>
                <w:spacing w:val="0"/>
                <w:kern w:val="0"/>
                <w:position w:val="0"/>
                <w:sz w:val="24"/>
                <w:szCs w:val="24"/>
                <w:lang w:val="en-US" w:eastAsia="zh-CN"/>
              </w:rPr>
              <w:t>可以接受</w:t>
            </w:r>
            <w:r>
              <w:rPr>
                <w:rFonts w:hint="default" w:ascii="Times New Roman" w:hAnsi="Times New Roman" w:eastAsia="宋体" w:cs="Times New Roman"/>
                <w:snapToGrid w:val="0"/>
                <w:spacing w:val="0"/>
                <w:kern w:val="0"/>
                <w:position w:val="0"/>
                <w:sz w:val="24"/>
                <w:szCs w:val="24"/>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default" w:ascii="Times New Roman" w:hAnsi="Times New Roman" w:eastAsia="宋体" w:cs="Times New Roman"/>
                <w:snapToGrid w:val="0"/>
                <w:spacing w:val="0"/>
                <w:kern w:val="0"/>
                <w:position w:val="0"/>
                <w:sz w:val="24"/>
                <w:szCs w:val="24"/>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eastAsia" w:ascii="Times New Roman" w:hAnsi="Times New Roman" w:eastAsia="宋体" w:cs="Times New Roman"/>
                <w:snapToGrid w:val="0"/>
                <w:spacing w:val="0"/>
                <w:kern w:val="0"/>
                <w:position w:val="0"/>
                <w:sz w:val="24"/>
                <w:szCs w:val="24"/>
                <w:lang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cs="Times New Roman"/>
                <w:bCs/>
                <w:spacing w:val="-10"/>
                <w:szCs w:val="21"/>
                <w:lang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ascii="Times New Roman" w:hAnsi="Times New Roman" w:eastAsia="宋体" w:cs="Times New Roman"/>
                <w:bCs/>
                <w:spacing w:val="-1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4" w:hRule="atLeast"/>
          <w:jc w:val="center"/>
        </w:trPr>
        <w:tc>
          <w:tcPr>
            <w:tcW w:w="22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Cs w:val="21"/>
              </w:rPr>
              <w:t>措施</w:t>
            </w:r>
          </w:p>
        </w:tc>
        <w:tc>
          <w:tcPr>
            <w:tcW w:w="876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val="0"/>
                <w:snapToGrid w:val="0"/>
                <w:spacing w:val="0"/>
                <w:kern w:val="0"/>
                <w:sz w:val="24"/>
                <w:szCs w:val="24"/>
                <w:lang w:val="en-US" w:eastAsia="zh-CN"/>
              </w:rPr>
            </w:pPr>
            <w:r>
              <w:rPr>
                <w:rFonts w:hint="default" w:ascii="Times New Roman" w:hAnsi="Times New Roman" w:eastAsia="宋体" w:cs="Times New Roman"/>
                <w:b/>
                <w:bCs w:val="0"/>
                <w:snapToGrid w:val="0"/>
                <w:spacing w:val="0"/>
                <w:kern w:val="0"/>
                <w:sz w:val="24"/>
                <w:szCs w:val="24"/>
                <w:lang w:val="en-US" w:eastAsia="zh-CN"/>
              </w:rPr>
              <w:t>1、废气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val="0"/>
                <w:snapToGrid w:val="0"/>
                <w:spacing w:val="0"/>
                <w:kern w:val="0"/>
                <w:sz w:val="24"/>
                <w:szCs w:val="24"/>
                <w:lang w:val="en-US" w:eastAsia="zh-CN"/>
              </w:rPr>
            </w:pPr>
            <w:r>
              <w:rPr>
                <w:rFonts w:hint="default" w:ascii="Times New Roman" w:hAnsi="Times New Roman" w:eastAsia="宋体" w:cs="Times New Roman"/>
                <w:b/>
                <w:bCs w:val="0"/>
                <w:snapToGrid w:val="0"/>
                <w:spacing w:val="0"/>
                <w:kern w:val="0"/>
                <w:sz w:val="24"/>
                <w:szCs w:val="24"/>
                <w:lang w:val="en-US" w:eastAsia="zh-CN"/>
              </w:rPr>
              <w:t>1.1 有组织废气</w:t>
            </w:r>
          </w:p>
          <w:p>
            <w:pPr>
              <w:keepNext w:val="0"/>
              <w:keepLines w:val="0"/>
              <w:suppressLineNumbers w:val="0"/>
              <w:spacing w:before="0" w:beforeAutospacing="0" w:after="0" w:afterAutospacing="0" w:line="520" w:lineRule="exact"/>
              <w:ind w:left="0" w:right="0" w:firstLine="480" w:firstLineChars="200"/>
              <w:rPr>
                <w:rFonts w:hint="eastAsia"/>
                <w:sz w:val="24"/>
              </w:rPr>
            </w:pPr>
            <w:r>
              <w:rPr>
                <w:rFonts w:hint="eastAsia"/>
                <w:sz w:val="24"/>
              </w:rPr>
              <w:fldChar w:fldCharType="begin"/>
            </w:r>
            <w:r>
              <w:rPr>
                <w:rFonts w:hint="eastAsia"/>
                <w:sz w:val="24"/>
              </w:rPr>
              <w:instrText xml:space="preserve"> = 1 \* GB3 \* MERGEFORMAT </w:instrText>
            </w:r>
            <w:r>
              <w:rPr>
                <w:rFonts w:hint="eastAsia"/>
                <w:sz w:val="24"/>
              </w:rPr>
              <w:fldChar w:fldCharType="separate"/>
            </w:r>
            <w:r>
              <w:t>①</w:t>
            </w:r>
            <w:r>
              <w:rPr>
                <w:rFonts w:hint="eastAsia"/>
                <w:sz w:val="24"/>
              </w:rPr>
              <w:fldChar w:fldCharType="end"/>
            </w:r>
            <w:r>
              <w:rPr>
                <w:rFonts w:hint="eastAsia"/>
                <w:sz w:val="24"/>
              </w:rPr>
              <w:t>气溶胶</w:t>
            </w:r>
          </w:p>
          <w:p>
            <w:pPr>
              <w:keepNext w:val="0"/>
              <w:keepLines w:val="0"/>
              <w:suppressLineNumbers w:val="0"/>
              <w:spacing w:before="0" w:beforeAutospacing="0" w:after="0" w:afterAutospacing="0" w:line="520" w:lineRule="exact"/>
              <w:ind w:left="0" w:right="0" w:firstLine="480" w:firstLineChars="200"/>
              <w:rPr>
                <w:sz w:val="24"/>
              </w:rPr>
            </w:pPr>
            <w:r>
              <w:rPr>
                <w:sz w:val="24"/>
              </w:rPr>
              <w:t>本项目</w:t>
            </w:r>
            <w:r>
              <w:rPr>
                <w:rFonts w:hint="eastAsia"/>
                <w:sz w:val="24"/>
                <w:lang w:val="en-US" w:eastAsia="zh-CN"/>
              </w:rPr>
              <w:t>微生物</w:t>
            </w:r>
            <w:r>
              <w:rPr>
                <w:sz w:val="24"/>
              </w:rPr>
              <w:t>实验过程中可能产生</w:t>
            </w:r>
            <w:r>
              <w:rPr>
                <w:rFonts w:hint="eastAsia"/>
                <w:sz w:val="24"/>
                <w:lang w:val="en-US" w:eastAsia="zh-CN"/>
              </w:rPr>
              <w:t>微量</w:t>
            </w:r>
            <w:r>
              <w:rPr>
                <w:sz w:val="24"/>
              </w:rPr>
              <w:t>病原微生物气溶胶的操作均在生物安全柜中进行。生物安全柜运行时为微负压状态，气流由下而上为吸入气流、下降气流、循环气流和外排气流四部分。首先在生物安全柜底部吸入室内空气至柜体内部，实验过程中产生的气溶胶废气经过柜体内部</w:t>
            </w:r>
            <w:r>
              <w:rPr>
                <w:rFonts w:hint="eastAsia"/>
                <w:sz w:val="24"/>
              </w:rPr>
              <w:t>“</w:t>
            </w:r>
            <w:r>
              <w:rPr>
                <w:sz w:val="24"/>
              </w:rPr>
              <w:t>紫外光消毒+高效空气过滤器</w:t>
            </w:r>
            <w:r>
              <w:rPr>
                <w:rFonts w:hint="eastAsia"/>
                <w:sz w:val="24"/>
              </w:rPr>
              <w:t>”</w:t>
            </w:r>
            <w:r>
              <w:rPr>
                <w:sz w:val="24"/>
              </w:rPr>
              <w:t>（</w:t>
            </w:r>
            <w:r>
              <w:rPr>
                <w:rFonts w:hint="eastAsia"/>
                <w:sz w:val="24"/>
              </w:rPr>
              <w:t>处理</w:t>
            </w:r>
            <w:r>
              <w:rPr>
                <w:sz w:val="24"/>
              </w:rPr>
              <w:t>效率≥99.9995%），</w:t>
            </w:r>
            <w:r>
              <w:rPr>
                <w:rFonts w:hint="eastAsia"/>
                <w:sz w:val="24"/>
              </w:rPr>
              <w:t>处理</w:t>
            </w:r>
            <w:r>
              <w:rPr>
                <w:sz w:val="24"/>
              </w:rPr>
              <w:t>后约70%气体在柜体内部循环，约30%气体通过柜体上的排口排至实验室内，净化后的气体在实验室内循环。</w:t>
            </w:r>
          </w:p>
          <w:p>
            <w:pPr>
              <w:keepNext w:val="0"/>
              <w:keepLines w:val="0"/>
              <w:suppressLineNumbers w:val="0"/>
              <w:spacing w:before="0" w:beforeAutospacing="0" w:after="0" w:afterAutospacing="0" w:line="520" w:lineRule="exact"/>
              <w:ind w:left="0" w:right="0" w:firstLine="480" w:firstLineChars="200"/>
              <w:rPr>
                <w:sz w:val="24"/>
              </w:rPr>
            </w:pPr>
            <w:r>
              <w:rPr>
                <w:sz w:val="24"/>
              </w:rPr>
              <w:t>为避免含有病原微生物的气溶胶废气对周围人群健康产生的不利影响，建设单位应加强实验室生物安全柜过滤系统的维护检修，及时更换过滤材料。</w:t>
            </w:r>
          </w:p>
          <w:p>
            <w:pPr>
              <w:keepNext w:val="0"/>
              <w:keepLines w:val="0"/>
              <w:suppressLineNumbers w:val="0"/>
              <w:spacing w:before="0" w:beforeAutospacing="0" w:after="0" w:afterAutospacing="0" w:line="520" w:lineRule="exact"/>
              <w:ind w:left="0" w:right="0" w:firstLine="480" w:firstLineChars="200"/>
              <w:rPr>
                <w:rFonts w:hint="eastAsia"/>
                <w:sz w:val="24"/>
              </w:rPr>
            </w:pPr>
            <w:r>
              <w:rPr>
                <w:rFonts w:hint="eastAsia"/>
                <w:sz w:val="24"/>
              </w:rPr>
              <w:fldChar w:fldCharType="begin"/>
            </w:r>
            <w:r>
              <w:rPr>
                <w:rFonts w:hint="eastAsia"/>
                <w:sz w:val="24"/>
              </w:rPr>
              <w:instrText xml:space="preserve"> = 2 \* GB3 \* MERGEFORMAT </w:instrText>
            </w:r>
            <w:r>
              <w:rPr>
                <w:rFonts w:hint="eastAsia"/>
                <w:sz w:val="24"/>
              </w:rPr>
              <w:fldChar w:fldCharType="separate"/>
            </w:r>
            <w:r>
              <w:t>②</w:t>
            </w:r>
            <w:r>
              <w:rPr>
                <w:rFonts w:hint="eastAsia"/>
                <w:sz w:val="24"/>
              </w:rPr>
              <w:fldChar w:fldCharType="end"/>
            </w:r>
            <w:r>
              <w:rPr>
                <w:rFonts w:hint="eastAsia"/>
                <w:sz w:val="24"/>
              </w:rPr>
              <w:t>有机废气</w:t>
            </w:r>
          </w:p>
          <w:p>
            <w:pPr>
              <w:keepNext w:val="0"/>
              <w:keepLines w:val="0"/>
              <w:suppressLineNumbers w:val="0"/>
              <w:spacing w:before="0" w:beforeAutospacing="0" w:after="0" w:afterAutospacing="0" w:line="520" w:lineRule="exact"/>
              <w:ind w:left="0" w:right="0" w:firstLine="480" w:firstLineChars="200"/>
              <w:rPr>
                <w:sz w:val="24"/>
              </w:rPr>
            </w:pPr>
            <w:r>
              <w:rPr>
                <w:sz w:val="24"/>
              </w:rPr>
              <w:t>本项目</w:t>
            </w:r>
            <w:r>
              <w:rPr>
                <w:rFonts w:hint="eastAsia"/>
                <w:bCs/>
                <w:sz w:val="24"/>
                <w:szCs w:val="22"/>
                <w:lang w:val="en-US" w:eastAsia="zh-CN"/>
              </w:rPr>
              <w:t>理化实验</w:t>
            </w:r>
            <w:r>
              <w:rPr>
                <w:bCs/>
                <w:sz w:val="24"/>
                <w:szCs w:val="22"/>
                <w:lang w:val="zh-CN"/>
              </w:rPr>
              <w:t>过程中</w:t>
            </w:r>
            <w:r>
              <w:rPr>
                <w:rFonts w:hint="eastAsia"/>
                <w:bCs/>
                <w:sz w:val="24"/>
                <w:szCs w:val="22"/>
                <w:lang w:val="en-US" w:eastAsia="zh-CN"/>
              </w:rPr>
              <w:t>所用的部分试剂在</w:t>
            </w:r>
            <w:r>
              <w:rPr>
                <w:bCs/>
                <w:sz w:val="24"/>
                <w:szCs w:val="22"/>
                <w:lang w:val="zh-CN"/>
              </w:rPr>
              <w:t>使用过程中会挥发少量的废气，主要污染物为</w:t>
            </w:r>
            <w:r>
              <w:rPr>
                <w:rFonts w:hint="eastAsia"/>
                <w:bCs/>
                <w:sz w:val="24"/>
                <w:szCs w:val="22"/>
                <w:lang w:val="en-US" w:eastAsia="zh-CN"/>
              </w:rPr>
              <w:t>非甲烷总烃、HCl、NOx、硫酸雾、苯、甲苯、二甲苯、甲醇、NH</w:t>
            </w:r>
            <w:r>
              <w:rPr>
                <w:rFonts w:hint="eastAsia"/>
                <w:bCs/>
                <w:sz w:val="24"/>
                <w:szCs w:val="22"/>
                <w:vertAlign w:val="subscript"/>
                <w:lang w:val="en-US" w:eastAsia="zh-CN"/>
              </w:rPr>
              <w:t>3</w:t>
            </w:r>
            <w:r>
              <w:rPr>
                <w:rFonts w:hint="eastAsia"/>
                <w:bCs/>
                <w:sz w:val="24"/>
                <w:szCs w:val="22"/>
                <w:lang w:val="en-US" w:eastAsia="zh-CN"/>
              </w:rPr>
              <w:t>、苯乙烯</w:t>
            </w:r>
            <w:r>
              <w:rPr>
                <w:bCs/>
                <w:sz w:val="24"/>
                <w:szCs w:val="22"/>
                <w:lang w:val="zh-CN"/>
              </w:rPr>
              <w:t>，</w:t>
            </w:r>
            <w:r>
              <w:rPr>
                <w:rFonts w:hint="eastAsia"/>
                <w:sz w:val="24"/>
              </w:rPr>
              <w:t>项目使用的试剂均长期保持密封状态，根据美国国家环保局编写的《工业污染源调查与研究》第四章“蒸发损失源”中有机液体储存等相关资料，实验室所用有机试剂挥发量基本在原料量的1%-4%之间，出于保守考虑，本项目有机试剂挥发比例取高值，即挥发比例取4%。有机废气总排放量为</w:t>
            </w:r>
            <w:r>
              <w:rPr>
                <w:rFonts w:hint="eastAsia"/>
                <w:sz w:val="24"/>
                <w:lang w:val="en-US" w:eastAsia="zh-CN"/>
              </w:rPr>
              <w:t>4</w:t>
            </w:r>
            <w:r>
              <w:rPr>
                <w:rFonts w:hint="eastAsia"/>
                <w:sz w:val="24"/>
              </w:rPr>
              <w:t>000m³/h，净化率90%。根据建设单位提供资料，项目</w:t>
            </w:r>
            <w:r>
              <w:rPr>
                <w:rFonts w:hint="eastAsia"/>
                <w:sz w:val="24"/>
                <w:lang w:val="en-US" w:eastAsia="zh-CN"/>
              </w:rPr>
              <w:t>运营时间为30</w:t>
            </w:r>
            <w:r>
              <w:rPr>
                <w:rFonts w:hint="eastAsia"/>
                <w:sz w:val="24"/>
              </w:rPr>
              <w:t>0天，实验过程间歇进行，多个通风橱同时使用，平均每天</w:t>
            </w:r>
            <w:r>
              <w:rPr>
                <w:rFonts w:hint="eastAsia"/>
                <w:sz w:val="24"/>
                <w:lang w:val="en-US" w:eastAsia="zh-CN"/>
              </w:rPr>
              <w:t>理化</w:t>
            </w:r>
            <w:r>
              <w:rPr>
                <w:rFonts w:hint="eastAsia"/>
                <w:sz w:val="24"/>
              </w:rPr>
              <w:t>检测时间以5小时计，合计分析检测时间</w:t>
            </w:r>
            <w:r>
              <w:rPr>
                <w:rFonts w:hint="eastAsia"/>
                <w:sz w:val="24"/>
                <w:lang w:val="en-US" w:eastAsia="zh-CN"/>
              </w:rPr>
              <w:t>1500</w:t>
            </w:r>
            <w:r>
              <w:rPr>
                <w:rFonts w:hint="eastAsia"/>
                <w:sz w:val="24"/>
              </w:rPr>
              <w:t>小时。则项目废气产生情况详见下表。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80"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表4-1</w:t>
            </w:r>
            <w:r>
              <w:rPr>
                <w:rFonts w:hint="eastAsia" w:ascii="Times New Roman" w:hAnsi="Times New Roman" w:eastAsia="黑体" w:cs="Times New Roman"/>
                <w:b w:val="0"/>
                <w:bCs w:val="0"/>
                <w:color w:val="auto"/>
                <w:sz w:val="24"/>
                <w:szCs w:val="24"/>
                <w:lang w:val="en-US" w:eastAsia="zh-CN"/>
              </w:rPr>
              <w:t xml:space="preserve"> 气体挥发量计算参数及结果一览表</w:t>
            </w:r>
          </w:p>
          <w:tbl>
            <w:tblPr>
              <w:tblStyle w:val="31"/>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95"/>
              <w:gridCol w:w="1280"/>
              <w:gridCol w:w="1353"/>
              <w:gridCol w:w="1570"/>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挥发物质</w:t>
                  </w:r>
                </w:p>
              </w:tc>
              <w:tc>
                <w:tcPr>
                  <w:tcW w:w="1495"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sz w:val="21"/>
                      <w:szCs w:val="21"/>
                      <w:vertAlign w:val="baseline"/>
                      <w:lang w:val="en-US" w:eastAsia="zh-CN"/>
                    </w:rPr>
                  </w:pPr>
                  <w:r>
                    <w:rPr>
                      <w:rFonts w:hint="eastAsia"/>
                      <w:sz w:val="21"/>
                      <w:szCs w:val="21"/>
                      <w:vertAlign w:val="baseline"/>
                      <w:lang w:val="en-US" w:eastAsia="zh-CN"/>
                    </w:rPr>
                    <w:t>污染物</w:t>
                  </w:r>
                </w:p>
              </w:tc>
              <w:tc>
                <w:tcPr>
                  <w:tcW w:w="128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eastAsia="宋体"/>
                      <w:sz w:val="21"/>
                      <w:szCs w:val="21"/>
                      <w:vertAlign w:val="baseline"/>
                      <w:lang w:val="en-US" w:eastAsia="zh-CN"/>
                    </w:rPr>
                  </w:pPr>
                  <w:r>
                    <w:rPr>
                      <w:rFonts w:hint="eastAsia"/>
                      <w:sz w:val="21"/>
                      <w:szCs w:val="21"/>
                      <w:vertAlign w:val="baseline"/>
                      <w:lang w:val="en-US" w:eastAsia="zh-CN"/>
                    </w:rPr>
                    <w:t>用量</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密度（</w:t>
                  </w:r>
                  <w:r>
                    <w:rPr>
                      <w:sz w:val="21"/>
                      <w:szCs w:val="21"/>
                      <w:vertAlign w:val="baseline"/>
                    </w:rPr>
                    <w:t>g/cm³</w:t>
                  </w:r>
                  <w:r>
                    <w:rPr>
                      <w:rFonts w:hint="eastAsia"/>
                      <w:sz w:val="21"/>
                      <w:szCs w:val="21"/>
                      <w:vertAlign w:val="baseline"/>
                      <w:lang w:val="en-US" w:eastAsia="zh-CN"/>
                    </w:rPr>
                    <w:t>）</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用量（kg/a）</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eastAsia="宋体"/>
                      <w:sz w:val="21"/>
                      <w:szCs w:val="21"/>
                      <w:vertAlign w:val="baseline"/>
                      <w:lang w:val="en-US" w:eastAsia="zh-CN"/>
                    </w:rPr>
                  </w:pPr>
                  <w:r>
                    <w:rPr>
                      <w:rFonts w:hint="eastAsia"/>
                      <w:sz w:val="21"/>
                      <w:szCs w:val="21"/>
                      <w:vertAlign w:val="baseline"/>
                      <w:lang w:val="en-US" w:eastAsia="zh-CN"/>
                    </w:rPr>
                    <w:t>产生量（kg/a）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乙腈</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0.7857</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7.857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0.3143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乙酸铵</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1.17</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1.170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0.0468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冰乙酸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1.05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2.625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0.1050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无水乙醚</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0.715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1.788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0.0715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95%乙醇</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0.75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3.750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无水乙醇</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0.7893</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7.893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0.3157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1.594</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15.940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0.6376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正己烷</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0.66</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1.650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石油醚</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0.66</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3.300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0.1320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1.22</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3.050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0.1220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1.05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2.100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0.0840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异丙酮</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0.7855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1.571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氯仿</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1.48</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2.960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0.1184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异辛烷</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0.709</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1.418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环已烷</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0.79</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1.580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三乙醇胺</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1.2</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0.9</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乙酸酐</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1.087</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三氯乙酸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1.62</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六号溶剂</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0.67</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sz w:val="21"/>
                      <w:szCs w:val="21"/>
                      <w:vertAlign w:val="baseline"/>
                      <w:lang w:val="en-US"/>
                    </w:rPr>
                  </w:pPr>
                  <w:r>
                    <w:rPr>
                      <w:rFonts w:hint="eastAsia" w:cs="Times New Roman"/>
                      <w:i w:val="0"/>
                      <w:iCs w:val="0"/>
                      <w:color w:val="000000"/>
                      <w:kern w:val="0"/>
                      <w:sz w:val="21"/>
                      <w:szCs w:val="21"/>
                      <w:u w:val="none"/>
                      <w:lang w:val="en-US" w:eastAsia="zh-CN" w:bidi="ar"/>
                    </w:rPr>
                    <w:t>0.004</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1.595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一氯二溴甲烷</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2.504</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二氯一溴甲烷</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2.006</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三溴甲烷</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2.8899</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丙烯酰胺</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1.122</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邻苯二甲酸二酯</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1.044</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乙苯</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0.8671</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六氯丁二烯</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1.68</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丙烯醛</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0.8</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三氯乙醛</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1.51</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二氯乙酸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1.5634</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三氯乙酸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b w:val="0"/>
                      <w:bCs w:val="0"/>
                      <w:i w:val="0"/>
                      <w:iCs w:val="0"/>
                      <w:color w:val="000000"/>
                      <w:kern w:val="0"/>
                      <w:sz w:val="21"/>
                      <w:szCs w:val="21"/>
                      <w:u w:val="none"/>
                      <w:lang w:val="en-US" w:eastAsia="zh-CN" w:bidi="ar"/>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eastAsia="宋体"/>
                      <w:sz w:val="21"/>
                      <w:szCs w:val="21"/>
                      <w:vertAlign w:val="baseline"/>
                      <w:lang w:val="en-US" w:eastAsia="zh-CN"/>
                    </w:rPr>
                  </w:pPr>
                  <w:r>
                    <w:rPr>
                      <w:rFonts w:hint="eastAsia"/>
                      <w:sz w:val="21"/>
                      <w:szCs w:val="21"/>
                      <w:vertAlign w:val="baseline"/>
                      <w:lang w:val="en-US" w:eastAsia="zh-CN"/>
                    </w:rPr>
                    <w:t>1.62</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sz w:val="21"/>
                      <w:szCs w:val="21"/>
                      <w:vertAlign w:val="baseline"/>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丙酮</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非甲烷总烃</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0.7899</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3.950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0.1580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合计</w:t>
                  </w:r>
                </w:p>
              </w:tc>
              <w:tc>
                <w:tcPr>
                  <w:tcW w:w="4128" w:type="dxa"/>
                  <w:gridSpan w:val="3"/>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b/>
                      <w:bCs/>
                      <w:sz w:val="21"/>
                      <w:szCs w:val="21"/>
                      <w:vertAlign w:val="baseline"/>
                      <w:lang w:val="en-US" w:eastAsia="zh-CN"/>
                    </w:rPr>
                  </w:pPr>
                  <w:r>
                    <w:rPr>
                      <w:rFonts w:hint="eastAsia"/>
                      <w:b/>
                      <w:bCs/>
                      <w:sz w:val="21"/>
                      <w:szCs w:val="21"/>
                      <w:vertAlign w:val="baseline"/>
                      <w:lang w:val="en-US" w:eastAsia="zh-CN"/>
                    </w:rPr>
                    <w:t>非甲烷总烃</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b/>
                      <w:bCs/>
                      <w:sz w:val="21"/>
                      <w:szCs w:val="21"/>
                      <w:vertAlign w:val="baseline"/>
                      <w:lang w:val="en-US" w:eastAsia="zh-CN"/>
                    </w:rPr>
                  </w:pPr>
                  <w:r>
                    <w:rPr>
                      <w:rFonts w:hint="eastAsia"/>
                      <w:b/>
                      <w:bCs/>
                      <w:sz w:val="21"/>
                      <w:szCs w:val="21"/>
                      <w:vertAlign w:val="baseline"/>
                      <w:lang w:val="en-US" w:eastAsia="zh-CN"/>
                    </w:rPr>
                    <w:t>66.826</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b/>
                      <w:bCs/>
                      <w:sz w:val="21"/>
                      <w:szCs w:val="21"/>
                      <w:vertAlign w:val="baseline"/>
                      <w:lang w:val="en-US" w:eastAsia="zh-CN"/>
                    </w:rPr>
                  </w:pPr>
                  <w:r>
                    <w:rPr>
                      <w:rFonts w:hint="eastAsia"/>
                      <w:b/>
                      <w:bCs/>
                      <w:sz w:val="21"/>
                      <w:szCs w:val="21"/>
                      <w:vertAlign w:val="baseline"/>
                      <w:lang w:val="en-US" w:eastAsia="zh-CN"/>
                    </w:rPr>
                    <w:t>2.6730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盐酸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HCl</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1.18</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5.900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 xml:space="preserve">0.2360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NOx</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1.649</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8.245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 xml:space="preserve">0.3298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硫酸雾</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1.8305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4.576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 xml:space="preserve">0.1830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49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0.88</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1.760 </w:t>
                  </w:r>
                </w:p>
              </w:tc>
              <w:tc>
                <w:tcPr>
                  <w:tcW w:w="1412" w:type="dxa"/>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0.0708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49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0.8765</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0.01</w:t>
                  </w:r>
                </w:p>
              </w:tc>
              <w:tc>
                <w:tcPr>
                  <w:tcW w:w="1412"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49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0.872</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1.744 </w:t>
                  </w:r>
                </w:p>
              </w:tc>
              <w:tc>
                <w:tcPr>
                  <w:tcW w:w="1412" w:type="dxa"/>
                  <w:vMerge w:val="restart"/>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default"/>
                      <w:sz w:val="21"/>
                      <w:szCs w:val="21"/>
                      <w:vertAlign w:val="baseline"/>
                      <w:lang w:val="en-US" w:eastAsia="zh-CN"/>
                    </w:rPr>
                  </w:pPr>
                  <w:r>
                    <w:rPr>
                      <w:rFonts w:hint="eastAsia"/>
                      <w:sz w:val="21"/>
                      <w:szCs w:val="21"/>
                      <w:vertAlign w:val="baseline"/>
                      <w:lang w:val="en-US" w:eastAsia="zh-CN"/>
                    </w:rPr>
                    <w:t>0.1044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49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0.866</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0.866</w:t>
                  </w:r>
                </w:p>
              </w:tc>
              <w:tc>
                <w:tcPr>
                  <w:tcW w:w="1412" w:type="dxa"/>
                  <w:vMerge w:val="continue"/>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0.8968</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sz w:val="21"/>
                      <w:szCs w:val="21"/>
                      <w:vertAlign w:val="baseline"/>
                    </w:rPr>
                    <w:t>0.7918</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19.795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 xml:space="preserve">0.7918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氨水</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2500</w:t>
                  </w:r>
                  <w:r>
                    <w:rPr>
                      <w:rFonts w:hint="default" w:ascii="Times New Roman" w:hAnsi="Times New Roman" w:eastAsia="宋体" w:cs="Times New Roman"/>
                      <w:i w:val="0"/>
                      <w:iCs w:val="0"/>
                      <w:color w:val="000000"/>
                      <w:kern w:val="0"/>
                      <w:sz w:val="21"/>
                      <w:szCs w:val="21"/>
                      <w:u w:val="none"/>
                      <w:lang w:val="en-US" w:eastAsia="zh-CN" w:bidi="ar"/>
                    </w:rPr>
                    <w:t>ml</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0.91</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 xml:space="preserve">2.275 </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 xml:space="preserve">0.0910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149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1280"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10g</w:t>
                  </w:r>
                </w:p>
              </w:tc>
              <w:tc>
                <w:tcPr>
                  <w:tcW w:w="135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0.9051</w:t>
                  </w:r>
                </w:p>
              </w:tc>
              <w:tc>
                <w:tcPr>
                  <w:tcW w:w="1570"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0.01</w:t>
                  </w:r>
                </w:p>
              </w:tc>
              <w:tc>
                <w:tcPr>
                  <w:tcW w:w="141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rPr>
                      <w:rFonts w:hint="eastAsia"/>
                      <w:sz w:val="21"/>
                      <w:szCs w:val="21"/>
                      <w:vertAlign w:val="baseline"/>
                      <w:lang w:val="en-US" w:eastAsia="zh-CN"/>
                    </w:rPr>
                  </w:pPr>
                  <w:r>
                    <w:rPr>
                      <w:rFonts w:hint="eastAsia"/>
                      <w:sz w:val="21"/>
                      <w:szCs w:val="21"/>
                      <w:vertAlign w:val="baseline"/>
                      <w:lang w:val="en-US" w:eastAsia="zh-CN"/>
                    </w:rPr>
                    <w:t xml:space="preserve">0.0004 </w:t>
                  </w:r>
                </w:p>
              </w:tc>
            </w:tr>
          </w:tbl>
          <w:p>
            <w:pPr>
              <w:keepNext w:val="0"/>
              <w:keepLines w:val="0"/>
              <w:suppressLineNumbers w:val="0"/>
              <w:spacing w:before="0" w:beforeAutospacing="0" w:after="0" w:afterAutospacing="0" w:line="520" w:lineRule="exact"/>
              <w:ind w:left="0" w:right="0" w:firstLine="480" w:firstLineChars="200"/>
              <w:jc w:val="left"/>
              <w:rPr>
                <w:rFonts w:hint="eastAsia"/>
                <w:sz w:val="24"/>
                <w:lang w:val="en-US" w:eastAsia="zh-CN"/>
              </w:rPr>
            </w:pPr>
            <w:r>
              <w:rPr>
                <w:sz w:val="24"/>
              </w:rPr>
              <w:t>本项目</w:t>
            </w:r>
            <w:r>
              <w:rPr>
                <w:rFonts w:hint="eastAsia"/>
                <w:sz w:val="24"/>
                <w:lang w:val="en-US" w:eastAsia="zh-CN"/>
              </w:rPr>
              <w:t>理化</w:t>
            </w:r>
            <w:r>
              <w:rPr>
                <w:sz w:val="24"/>
              </w:rPr>
              <w:t>实验室设有</w:t>
            </w:r>
            <w:r>
              <w:rPr>
                <w:rFonts w:hint="eastAsia"/>
                <w:sz w:val="24"/>
                <w:lang w:val="en-US" w:eastAsia="zh-CN"/>
              </w:rPr>
              <w:t>通风橱</w:t>
            </w:r>
            <w:r>
              <w:rPr>
                <w:sz w:val="24"/>
              </w:rPr>
              <w:t>，每天涉及挥发性有机废气排放的实验时间为</w:t>
            </w:r>
            <w:r>
              <w:rPr>
                <w:rFonts w:hint="eastAsia"/>
                <w:sz w:val="24"/>
                <w:lang w:val="en-US" w:eastAsia="zh-CN"/>
              </w:rPr>
              <w:t>5</w:t>
            </w:r>
            <w:r>
              <w:rPr>
                <w:sz w:val="24"/>
              </w:rPr>
              <w:t>h，则年排放时间为</w:t>
            </w:r>
            <w:r>
              <w:rPr>
                <w:rFonts w:hint="eastAsia"/>
                <w:sz w:val="24"/>
                <w:lang w:val="en-US" w:eastAsia="zh-CN"/>
              </w:rPr>
              <w:t>1500</w:t>
            </w:r>
            <w:r>
              <w:rPr>
                <w:sz w:val="24"/>
              </w:rPr>
              <w:t>h，排气管道总风量约</w:t>
            </w:r>
            <w:r>
              <w:rPr>
                <w:rFonts w:hint="eastAsia"/>
                <w:sz w:val="24"/>
                <w:lang w:val="en-US" w:eastAsia="zh-CN"/>
              </w:rPr>
              <w:t>4</w:t>
            </w:r>
            <w:r>
              <w:rPr>
                <w:sz w:val="24"/>
              </w:rPr>
              <w:t>000m</w:t>
            </w:r>
            <w:r>
              <w:rPr>
                <w:sz w:val="24"/>
                <w:vertAlign w:val="superscript"/>
              </w:rPr>
              <w:t>3</w:t>
            </w:r>
            <w:r>
              <w:rPr>
                <w:sz w:val="24"/>
              </w:rPr>
              <w:t>/h。在</w:t>
            </w:r>
            <w:r>
              <w:rPr>
                <w:rFonts w:hint="eastAsia"/>
                <w:sz w:val="24"/>
                <w:lang w:val="en-US" w:eastAsia="zh-CN"/>
              </w:rPr>
              <w:t>通风橱</w:t>
            </w:r>
            <w:r>
              <w:rPr>
                <w:sz w:val="24"/>
              </w:rPr>
              <w:t>操作过程中，</w:t>
            </w:r>
            <w:r>
              <w:rPr>
                <w:rFonts w:hint="eastAsia"/>
                <w:sz w:val="24"/>
                <w:lang w:val="en-US" w:eastAsia="zh-CN"/>
              </w:rPr>
              <w:t>通风橱</w:t>
            </w:r>
            <w:r>
              <w:rPr>
                <w:sz w:val="24"/>
              </w:rPr>
              <w:t>内部有排风系统，可通过开启的风门向内抽风，废气收集效率为9</w:t>
            </w:r>
            <w:r>
              <w:rPr>
                <w:rFonts w:hint="eastAsia"/>
                <w:sz w:val="24"/>
                <w:lang w:val="en-US" w:eastAsia="zh-CN"/>
              </w:rPr>
              <w:t>5</w:t>
            </w:r>
            <w:r>
              <w:rPr>
                <w:sz w:val="24"/>
              </w:rPr>
              <w:t>％。实验过程产生的</w:t>
            </w:r>
            <w:r>
              <w:rPr>
                <w:rFonts w:hint="eastAsia"/>
                <w:sz w:val="24"/>
                <w:lang w:val="en-US" w:eastAsia="zh-CN"/>
              </w:rPr>
              <w:t>有机废气</w:t>
            </w:r>
            <w:r>
              <w:rPr>
                <w:sz w:val="24"/>
              </w:rPr>
              <w:t>经</w:t>
            </w:r>
            <w:r>
              <w:rPr>
                <w:rFonts w:hint="eastAsia"/>
                <w:sz w:val="24"/>
                <w:lang w:val="en-US" w:eastAsia="zh-CN"/>
              </w:rPr>
              <w:t>通风橱</w:t>
            </w:r>
            <w:r>
              <w:rPr>
                <w:sz w:val="24"/>
              </w:rPr>
              <w:t>收集后采用“</w:t>
            </w:r>
            <w:r>
              <w:rPr>
                <w:rFonts w:hint="eastAsia"/>
                <w:sz w:val="24"/>
                <w:lang w:val="en-US" w:eastAsia="zh-CN"/>
              </w:rPr>
              <w:t>碱喷淋+</w:t>
            </w:r>
            <w:r>
              <w:rPr>
                <w:rFonts w:hint="eastAsia"/>
                <w:sz w:val="24"/>
              </w:rPr>
              <w:t>UV光氧催化</w:t>
            </w:r>
            <w:r>
              <w:rPr>
                <w:sz w:val="24"/>
              </w:rPr>
              <w:t>+活性炭吸附”处理（</w:t>
            </w:r>
            <w:r>
              <w:rPr>
                <w:rFonts w:hint="eastAsia"/>
                <w:sz w:val="24"/>
                <w:lang w:val="en-US" w:eastAsia="zh-CN"/>
              </w:rPr>
              <w:t>有机废气及酸性气体</w:t>
            </w:r>
            <w:r>
              <w:rPr>
                <w:sz w:val="24"/>
              </w:rPr>
              <w:t>治理效率为90%</w:t>
            </w:r>
            <w:r>
              <w:rPr>
                <w:rFonts w:hint="eastAsia"/>
                <w:sz w:val="24"/>
                <w:lang w:eastAsia="zh-CN"/>
              </w:rPr>
              <w:t>，</w:t>
            </w:r>
            <w:r>
              <w:rPr>
                <w:rFonts w:hint="eastAsia"/>
                <w:sz w:val="24"/>
                <w:lang w:val="en-US" w:eastAsia="zh-CN"/>
              </w:rPr>
              <w:t>NOx治理效率为30%</w:t>
            </w:r>
            <w:r>
              <w:rPr>
                <w:sz w:val="24"/>
              </w:rPr>
              <w:t>），尾气经</w:t>
            </w:r>
            <w:r>
              <w:rPr>
                <w:rFonts w:hint="eastAsia"/>
                <w:sz w:val="24"/>
                <w:lang w:val="en-US" w:eastAsia="zh-CN"/>
              </w:rPr>
              <w:t>高于屋顶2m</w:t>
            </w:r>
            <w:r>
              <w:rPr>
                <w:sz w:val="24"/>
              </w:rPr>
              <w:t>排气筒</w:t>
            </w:r>
            <w:r>
              <w:rPr>
                <w:rFonts w:hint="eastAsia"/>
                <w:sz w:val="24"/>
                <w:lang w:eastAsia="zh-CN"/>
              </w:rPr>
              <w:t>（</w:t>
            </w:r>
            <w:r>
              <w:rPr>
                <w:rFonts w:hint="eastAsia"/>
                <w:sz w:val="24"/>
                <w:lang w:val="en-US" w:eastAsia="zh-CN"/>
              </w:rPr>
              <w:t>距地面高度20m</w:t>
            </w:r>
            <w:r>
              <w:rPr>
                <w:rFonts w:hint="eastAsia"/>
                <w:sz w:val="24"/>
                <w:lang w:eastAsia="zh-CN"/>
              </w:rPr>
              <w:t>）</w:t>
            </w:r>
            <w:r>
              <w:rPr>
                <w:sz w:val="24"/>
              </w:rPr>
              <w:t>排放。则</w:t>
            </w:r>
            <w:r>
              <w:rPr>
                <w:rFonts w:hint="eastAsia"/>
                <w:sz w:val="24"/>
                <w:lang w:val="en-US" w:eastAsia="zh-CN"/>
              </w:rPr>
              <w:t>各污染物产排情况如下表所示。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80"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ascii="Times New Roman" w:hAnsi="Times New Roman" w:eastAsia="黑体" w:cs="Times New Roman"/>
                <w:b w:val="0"/>
                <w:bCs w:val="0"/>
                <w:color w:val="auto"/>
                <w:sz w:val="24"/>
                <w:szCs w:val="24"/>
                <w:lang w:val="en-US" w:eastAsia="zh-CN"/>
              </w:rPr>
              <w:t>2</w:t>
            </w:r>
            <w:r>
              <w:rPr>
                <w:rFonts w:hint="default" w:ascii="Times New Roman" w:hAnsi="Times New Roman" w:eastAsia="黑体" w:cs="Times New Roman"/>
                <w:b w:val="0"/>
                <w:bCs w:val="0"/>
                <w:color w:val="auto"/>
                <w:sz w:val="24"/>
                <w:szCs w:val="24"/>
                <w:lang w:val="en-US" w:eastAsia="zh-CN"/>
              </w:rPr>
              <w:t xml:space="preserve"> 项目</w:t>
            </w:r>
            <w:r>
              <w:rPr>
                <w:rFonts w:hint="eastAsia" w:ascii="Times New Roman" w:hAnsi="Times New Roman" w:eastAsia="黑体" w:cs="Times New Roman"/>
                <w:b w:val="0"/>
                <w:bCs w:val="0"/>
                <w:color w:val="auto"/>
                <w:sz w:val="24"/>
                <w:szCs w:val="24"/>
                <w:lang w:val="en-US" w:eastAsia="zh-CN"/>
              </w:rPr>
              <w:t>有组织</w:t>
            </w:r>
            <w:r>
              <w:rPr>
                <w:rFonts w:hint="default" w:ascii="Times New Roman" w:hAnsi="Times New Roman" w:eastAsia="黑体" w:cs="Times New Roman"/>
                <w:b w:val="0"/>
                <w:bCs w:val="0"/>
                <w:color w:val="auto"/>
                <w:sz w:val="24"/>
                <w:szCs w:val="24"/>
                <w:lang w:val="en-US" w:eastAsia="zh-CN"/>
              </w:rPr>
              <w:t>废气产排情况一览表</w:t>
            </w:r>
          </w:p>
          <w:tbl>
            <w:tblPr>
              <w:tblStyle w:val="30"/>
              <w:tblW w:w="852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3"/>
              <w:gridCol w:w="957"/>
              <w:gridCol w:w="987"/>
              <w:gridCol w:w="1143"/>
              <w:gridCol w:w="988"/>
              <w:gridCol w:w="779"/>
              <w:gridCol w:w="957"/>
              <w:gridCol w:w="968"/>
              <w:gridCol w:w="11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03" w:type="dxa"/>
                  <w:vMerge w:val="restart"/>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污染因子</w:t>
                  </w:r>
                </w:p>
              </w:tc>
              <w:tc>
                <w:tcPr>
                  <w:tcW w:w="3087" w:type="dxa"/>
                  <w:gridSpan w:val="3"/>
                  <w:noWrap w:val="0"/>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产生情况</w:t>
                  </w:r>
                </w:p>
              </w:tc>
              <w:tc>
                <w:tcPr>
                  <w:tcW w:w="988" w:type="dxa"/>
                  <w:vMerge w:val="restart"/>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风量（m</w:t>
                  </w:r>
                  <w:r>
                    <w:rPr>
                      <w:szCs w:val="21"/>
                      <w:vertAlign w:val="superscript"/>
                    </w:rPr>
                    <w:t>3</w:t>
                  </w:r>
                  <w:r>
                    <w:rPr>
                      <w:szCs w:val="21"/>
                    </w:rPr>
                    <w:t>/h）</w:t>
                  </w:r>
                </w:p>
              </w:tc>
              <w:tc>
                <w:tcPr>
                  <w:tcW w:w="779" w:type="dxa"/>
                  <w:vMerge w:val="restart"/>
                  <w:noWrap w:val="0"/>
                  <w:vAlign w:val="center"/>
                </w:tcPr>
                <w:p>
                  <w:pPr>
                    <w:keepNext w:val="0"/>
                    <w:keepLines w:val="0"/>
                    <w:suppressLineNumbers w:val="0"/>
                    <w:spacing w:before="0" w:beforeAutospacing="0" w:after="0" w:afterAutospacing="0" w:line="360" w:lineRule="exact"/>
                    <w:ind w:left="0" w:right="0"/>
                    <w:jc w:val="center"/>
                    <w:rPr>
                      <w:rFonts w:hint="eastAsia" w:eastAsia="宋体"/>
                      <w:szCs w:val="21"/>
                      <w:lang w:val="en-US" w:eastAsia="zh-CN"/>
                    </w:rPr>
                  </w:pPr>
                  <w:r>
                    <w:rPr>
                      <w:rFonts w:hint="eastAsia"/>
                      <w:szCs w:val="21"/>
                      <w:lang w:val="en-US" w:eastAsia="zh-CN"/>
                    </w:rPr>
                    <w:t>治理效率（%）</w:t>
                  </w:r>
                </w:p>
              </w:tc>
              <w:tc>
                <w:tcPr>
                  <w:tcW w:w="3068" w:type="dxa"/>
                  <w:gridSpan w:val="3"/>
                  <w:noWrap w:val="0"/>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排放情况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03" w:type="dxa"/>
                  <w:vMerge w:val="continue"/>
                  <w:noWrap w:val="0"/>
                  <w:vAlign w:val="center"/>
                </w:tcPr>
                <w:p>
                  <w:pPr>
                    <w:keepNext w:val="0"/>
                    <w:keepLines w:val="0"/>
                    <w:suppressLineNumbers w:val="0"/>
                    <w:spacing w:before="0" w:beforeAutospacing="0" w:after="0" w:afterAutospacing="0" w:line="360" w:lineRule="exact"/>
                    <w:ind w:left="0" w:right="0"/>
                    <w:jc w:val="center"/>
                    <w:rPr>
                      <w:szCs w:val="21"/>
                    </w:rPr>
                  </w:pPr>
                </w:p>
              </w:tc>
              <w:tc>
                <w:tcPr>
                  <w:tcW w:w="957"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产生量（</w:t>
                  </w:r>
                  <w:r>
                    <w:rPr>
                      <w:rFonts w:hint="eastAsia"/>
                      <w:szCs w:val="21"/>
                      <w:lang w:val="en-US" w:eastAsia="zh-CN"/>
                    </w:rPr>
                    <w:t>kg</w:t>
                  </w:r>
                  <w:r>
                    <w:rPr>
                      <w:szCs w:val="21"/>
                    </w:rPr>
                    <w:t>/a）</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产生速率（kg/h）</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产生浓度（mg/m</w:t>
                  </w:r>
                  <w:r>
                    <w:rPr>
                      <w:szCs w:val="21"/>
                      <w:vertAlign w:val="superscript"/>
                    </w:rPr>
                    <w:t>3</w:t>
                  </w:r>
                  <w:r>
                    <w:rPr>
                      <w:szCs w:val="21"/>
                    </w:rPr>
                    <w:t>）</w:t>
                  </w:r>
                </w:p>
              </w:tc>
              <w:tc>
                <w:tcPr>
                  <w:tcW w:w="988" w:type="dxa"/>
                  <w:vMerge w:val="continue"/>
                  <w:noWrap w:val="0"/>
                  <w:vAlign w:val="center"/>
                </w:tcPr>
                <w:p>
                  <w:pPr>
                    <w:keepNext w:val="0"/>
                    <w:keepLines w:val="0"/>
                    <w:suppressLineNumbers w:val="0"/>
                    <w:spacing w:before="0" w:beforeAutospacing="0" w:after="0" w:afterAutospacing="0" w:line="360" w:lineRule="exact"/>
                    <w:ind w:left="0" w:right="0"/>
                    <w:jc w:val="center"/>
                    <w:rPr>
                      <w:szCs w:val="21"/>
                    </w:rPr>
                  </w:pPr>
                </w:p>
              </w:tc>
              <w:tc>
                <w:tcPr>
                  <w:tcW w:w="779" w:type="dxa"/>
                  <w:vMerge w:val="continue"/>
                  <w:noWrap w:val="0"/>
                  <w:vAlign w:val="center"/>
                </w:tcPr>
                <w:p>
                  <w:pPr>
                    <w:keepNext w:val="0"/>
                    <w:keepLines w:val="0"/>
                    <w:suppressLineNumbers w:val="0"/>
                    <w:spacing w:before="0" w:beforeAutospacing="0" w:after="0" w:afterAutospacing="0" w:line="360" w:lineRule="exact"/>
                    <w:ind w:left="0" w:right="0"/>
                    <w:jc w:val="center"/>
                    <w:rPr>
                      <w:szCs w:val="21"/>
                    </w:rPr>
                  </w:pPr>
                </w:p>
              </w:tc>
              <w:tc>
                <w:tcPr>
                  <w:tcW w:w="957"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排放量（</w:t>
                  </w:r>
                  <w:r>
                    <w:rPr>
                      <w:rFonts w:hint="eastAsia"/>
                      <w:szCs w:val="21"/>
                      <w:lang w:val="en-US" w:eastAsia="zh-CN"/>
                    </w:rPr>
                    <w:t>kg</w:t>
                  </w:r>
                  <w:r>
                    <w:rPr>
                      <w:szCs w:val="21"/>
                    </w:rPr>
                    <w:t>/a）</w:t>
                  </w:r>
                </w:p>
              </w:tc>
              <w:tc>
                <w:tcPr>
                  <w:tcW w:w="968"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排放速率（kg/h）</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排放浓度（mg/m</w:t>
                  </w:r>
                  <w:r>
                    <w:rPr>
                      <w:szCs w:val="21"/>
                      <w:vertAlign w:val="superscript"/>
                    </w:rPr>
                    <w:t>3</w:t>
                  </w: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非甲烷总烃</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rPr>
                  </w:pPr>
                  <w:r>
                    <w:rPr>
                      <w:rFonts w:hint="eastAsia"/>
                      <w:szCs w:val="21"/>
                      <w:lang w:val="en-US" w:eastAsia="zh-CN"/>
                    </w:rPr>
                    <w:t>2.5394</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1.69</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-3</w:t>
                  </w:r>
                  <w:r>
                    <w:rPr>
                      <w:rFonts w:hint="eastAsia"/>
                      <w:szCs w:val="21"/>
                      <w:lang w:val="en-US" w:eastAsia="zh-CN"/>
                    </w:rPr>
                    <w:t xml:space="preserve"> </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0.42</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0.2539</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1.7</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r>
                    <w:rPr>
                      <w:rFonts w:hint="eastAsia"/>
                      <w:szCs w:val="21"/>
                      <w:lang w:val="en-US" w:eastAsia="zh-CN"/>
                    </w:rPr>
                    <w:t xml:space="preserve"> </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0.042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 xml:space="preserve">0.2242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rPr>
                  </w:pPr>
                  <w:r>
                    <w:rPr>
                      <w:rFonts w:hint="eastAsia"/>
                      <w:szCs w:val="21"/>
                      <w:lang w:val="en-US" w:eastAsia="zh-CN"/>
                    </w:rPr>
                    <w:t>1.5</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0.04 </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0.0224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1.5</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 xml:space="preserve">0.3133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rPr>
                  </w:pPr>
                  <w:r>
                    <w:rPr>
                      <w:rFonts w:hint="eastAsia"/>
                      <w:szCs w:val="21"/>
                      <w:lang w:val="en-US" w:eastAsia="zh-CN"/>
                    </w:rPr>
                    <w:t>2.1</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0.05 </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30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0.1567</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0.026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硫酸雾</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 xml:space="preserve">0.1739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rPr>
                  </w:pPr>
                  <w:r>
                    <w:rPr>
                      <w:rFonts w:hint="eastAsia"/>
                      <w:szCs w:val="21"/>
                      <w:lang w:val="en-US" w:eastAsia="zh-CN"/>
                    </w:rPr>
                    <w:t xml:space="preserve">1.2 </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0.03 </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0.0174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1.2 </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苯</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 xml:space="preserve">0.0673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 xml:space="preserve"> </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0.01 </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0.0067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甲苯</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 xml:space="preserve">0.0992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7.0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 xml:space="preserve"> </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0.02 </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0.0099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7.0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r>
                    <w:rPr>
                      <w:rFonts w:hint="eastAsia"/>
                      <w:szCs w:val="21"/>
                      <w:lang w:val="en-US" w:eastAsia="zh-CN"/>
                    </w:rPr>
                    <w:t xml:space="preserve"> </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二甲苯</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 xml:space="preserve">0.0004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-7</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0.00004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-8</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甲醇</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 xml:space="preserve">0.7522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rPr>
                  </w:pPr>
                  <w:r>
                    <w:rPr>
                      <w:rFonts w:hint="eastAsia"/>
                      <w:szCs w:val="21"/>
                      <w:lang w:val="en-US" w:eastAsia="zh-CN"/>
                    </w:rPr>
                    <w:t>5.0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0.13 </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0.0752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0.013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氨</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0.0865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6.0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0.01 </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0.0086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03"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苯乙烯</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0.0004 </w:t>
                  </w:r>
                </w:p>
              </w:tc>
              <w:tc>
                <w:tcPr>
                  <w:tcW w:w="98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-7</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988"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rPr>
                  </w:pPr>
                  <w:r>
                    <w:rPr>
                      <w:rFonts w:hint="eastAsia"/>
                      <w:szCs w:val="21"/>
                      <w:lang w:val="en-US" w:eastAsia="zh-CN"/>
                    </w:rPr>
                    <w:t>4</w:t>
                  </w:r>
                  <w:r>
                    <w:rPr>
                      <w:szCs w:val="21"/>
                    </w:rPr>
                    <w:t>000</w:t>
                  </w:r>
                </w:p>
              </w:tc>
              <w:tc>
                <w:tcPr>
                  <w:tcW w:w="779"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90</w:t>
                  </w:r>
                </w:p>
              </w:tc>
              <w:tc>
                <w:tcPr>
                  <w:tcW w:w="957"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0.00004 </w:t>
                  </w:r>
                </w:p>
              </w:tc>
              <w:tc>
                <w:tcPr>
                  <w:tcW w:w="968"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-8</w:t>
                  </w:r>
                </w:p>
              </w:tc>
              <w:tc>
                <w:tcPr>
                  <w:tcW w:w="1143"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 xml:space="preserve"> </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szCs w:val="24"/>
              </w:rPr>
            </w:pPr>
            <w:r>
              <w:rPr>
                <w:rFonts w:ascii="Times New Roman" w:cs="Times New Roman"/>
                <w:sz w:val="24"/>
                <w:szCs w:val="24"/>
              </w:rPr>
              <w:t>由上表可知，项目非甲烷总烃排放速率、排放浓度均能够满足《大气污染物综合排放标准》（GB16297-1996）表2二级排放速率</w:t>
            </w:r>
            <w:r>
              <w:rPr>
                <w:rFonts w:hint="eastAsia" w:cs="Times New Roman"/>
                <w:sz w:val="24"/>
                <w:szCs w:val="24"/>
                <w:lang w:val="en-US" w:eastAsia="zh-CN"/>
              </w:rPr>
              <w:t>8.5</w:t>
            </w:r>
            <w:r>
              <w:rPr>
                <w:rFonts w:ascii="Times New Roman" w:cs="Times New Roman"/>
                <w:sz w:val="24"/>
                <w:szCs w:val="24"/>
              </w:rPr>
              <w:t>kg/h（</w:t>
            </w:r>
            <w:r>
              <w:rPr>
                <w:rFonts w:hint="eastAsia" w:cs="Times New Roman"/>
                <w:sz w:val="24"/>
                <w:szCs w:val="24"/>
                <w:lang w:val="en-US" w:eastAsia="zh-CN"/>
              </w:rPr>
              <w:t>20</w:t>
            </w:r>
            <w:r>
              <w:rPr>
                <w:rFonts w:ascii="Times New Roman" w:cs="Times New Roman"/>
                <w:sz w:val="24"/>
                <w:szCs w:val="24"/>
              </w:rPr>
              <w:t>m高排气筒）、《关于全省开展工业企业挥发性有机物专项治理工作中排放建议值的通知》（豫环攻坚办（2017）162号）&lt;其他行业 80mg/m</w:t>
            </w:r>
            <w:r>
              <w:rPr>
                <w:rFonts w:ascii="Times New Roman" w:cs="Times New Roman"/>
                <w:sz w:val="24"/>
                <w:szCs w:val="24"/>
                <w:vertAlign w:val="superscript"/>
              </w:rPr>
              <w:t>3</w:t>
            </w:r>
            <w:r>
              <w:rPr>
                <w:rFonts w:ascii="Times New Roman" w:cs="Times New Roman"/>
                <w:sz w:val="24"/>
                <w:szCs w:val="24"/>
              </w:rPr>
              <w:t>&gt;）的限值要求</w:t>
            </w:r>
            <w:r>
              <w:rPr>
                <w:rFonts w:hint="eastAsia" w:cs="Times New Roman"/>
                <w:sz w:val="24"/>
                <w:szCs w:val="24"/>
                <w:lang w:val="en-US" w:eastAsia="zh-CN"/>
              </w:rPr>
              <w:t>；HCl</w:t>
            </w:r>
            <w:r>
              <w:rPr>
                <w:rFonts w:ascii="Times New Roman" w:cs="Times New Roman"/>
                <w:sz w:val="24"/>
                <w:szCs w:val="24"/>
              </w:rPr>
              <w:t>排放速率、排放浓度均能够满足《大气污染物综合排放标准》（GB16297-1996）表2二级</w:t>
            </w:r>
            <w:r>
              <w:rPr>
                <w:rFonts w:hint="eastAsia" w:cs="Times New Roman"/>
                <w:sz w:val="24"/>
                <w:szCs w:val="24"/>
                <w:lang w:eastAsia="zh-CN"/>
              </w:rPr>
              <w:t>排放浓度</w:t>
            </w:r>
            <w:r>
              <w:rPr>
                <w:rFonts w:hint="eastAsia" w:cs="Times New Roman"/>
                <w:sz w:val="24"/>
                <w:szCs w:val="24"/>
                <w:lang w:val="en-US" w:eastAsia="zh-CN"/>
              </w:rPr>
              <w:t>100</w:t>
            </w:r>
            <w:r>
              <w:rPr>
                <w:rFonts w:hint="eastAsia" w:cs="Times New Roman"/>
                <w:sz w:val="24"/>
                <w:szCs w:val="24"/>
                <w:lang w:eastAsia="zh-CN"/>
              </w:rPr>
              <w:t>mg/m</w:t>
            </w:r>
            <w:r>
              <w:rPr>
                <w:rFonts w:hint="eastAsia" w:cs="Times New Roman"/>
                <w:sz w:val="24"/>
                <w:szCs w:val="24"/>
                <w:vertAlign w:val="superscript"/>
                <w:lang w:eastAsia="zh-CN"/>
              </w:rPr>
              <w:t>3</w:t>
            </w:r>
            <w:r>
              <w:rPr>
                <w:rFonts w:hint="eastAsia" w:cs="Times New Roman"/>
                <w:sz w:val="24"/>
                <w:szCs w:val="24"/>
                <w:lang w:eastAsia="zh-CN"/>
              </w:rPr>
              <w:t>、排放速率</w:t>
            </w:r>
            <w:r>
              <w:rPr>
                <w:rFonts w:hint="eastAsia" w:cs="Times New Roman"/>
                <w:sz w:val="24"/>
                <w:szCs w:val="24"/>
                <w:lang w:val="en-US" w:eastAsia="zh-CN"/>
              </w:rPr>
              <w:t>0.215</w:t>
            </w:r>
            <w:r>
              <w:rPr>
                <w:rFonts w:hint="eastAsia" w:cs="Times New Roman"/>
                <w:sz w:val="24"/>
                <w:szCs w:val="24"/>
                <w:lang w:eastAsia="zh-CN"/>
              </w:rPr>
              <w:t>kg/h（</w:t>
            </w:r>
            <w:r>
              <w:rPr>
                <w:rFonts w:hint="eastAsia" w:cs="Times New Roman"/>
                <w:sz w:val="24"/>
                <w:szCs w:val="24"/>
                <w:lang w:val="en-US" w:eastAsia="zh-CN"/>
              </w:rPr>
              <w:t>20</w:t>
            </w:r>
            <w:r>
              <w:rPr>
                <w:rFonts w:hint="eastAsia" w:cs="Times New Roman"/>
                <w:sz w:val="24"/>
                <w:szCs w:val="24"/>
                <w:lang w:eastAsia="zh-CN"/>
              </w:rPr>
              <w:t>m高排气筒）；</w:t>
            </w:r>
            <w:r>
              <w:rPr>
                <w:rFonts w:hint="eastAsia" w:cs="Times New Roman"/>
                <w:sz w:val="24"/>
                <w:szCs w:val="24"/>
                <w:lang w:val="en-US" w:eastAsia="zh-CN"/>
              </w:rPr>
              <w:t>NOx</w:t>
            </w:r>
            <w:r>
              <w:rPr>
                <w:rFonts w:ascii="Times New Roman" w:cs="Times New Roman"/>
                <w:sz w:val="24"/>
                <w:szCs w:val="24"/>
              </w:rPr>
              <w:t>排放速率、排放浓度均能够满足《大气污染物综合排放标准》（GB16297-1996）表2二级</w:t>
            </w:r>
            <w:r>
              <w:rPr>
                <w:rFonts w:hint="eastAsia" w:cs="Times New Roman"/>
                <w:sz w:val="24"/>
                <w:szCs w:val="24"/>
                <w:lang w:eastAsia="zh-CN"/>
              </w:rPr>
              <w:t>排放浓度</w:t>
            </w:r>
            <w:r>
              <w:rPr>
                <w:rFonts w:hint="eastAsia" w:cs="Times New Roman"/>
                <w:sz w:val="24"/>
                <w:szCs w:val="24"/>
                <w:lang w:val="en-US" w:eastAsia="zh-CN"/>
              </w:rPr>
              <w:t>240</w:t>
            </w:r>
            <w:r>
              <w:rPr>
                <w:rFonts w:hint="eastAsia" w:cs="Times New Roman"/>
                <w:sz w:val="24"/>
                <w:szCs w:val="24"/>
                <w:lang w:eastAsia="zh-CN"/>
              </w:rPr>
              <w:t>mg/m</w:t>
            </w:r>
            <w:r>
              <w:rPr>
                <w:rFonts w:hint="eastAsia" w:cs="Times New Roman"/>
                <w:sz w:val="24"/>
                <w:szCs w:val="24"/>
                <w:vertAlign w:val="superscript"/>
                <w:lang w:eastAsia="zh-CN"/>
              </w:rPr>
              <w:t>3</w:t>
            </w:r>
            <w:r>
              <w:rPr>
                <w:rFonts w:hint="eastAsia" w:cs="Times New Roman"/>
                <w:sz w:val="24"/>
                <w:szCs w:val="24"/>
                <w:lang w:eastAsia="zh-CN"/>
              </w:rPr>
              <w:t>、排放速率</w:t>
            </w:r>
            <w:r>
              <w:rPr>
                <w:rFonts w:hint="eastAsia" w:cs="Times New Roman"/>
                <w:sz w:val="24"/>
                <w:szCs w:val="24"/>
                <w:lang w:val="en-US" w:eastAsia="zh-CN"/>
              </w:rPr>
              <w:t>0.65</w:t>
            </w:r>
            <w:r>
              <w:rPr>
                <w:rFonts w:hint="eastAsia" w:cs="Times New Roman"/>
                <w:sz w:val="24"/>
                <w:szCs w:val="24"/>
                <w:lang w:eastAsia="zh-CN"/>
              </w:rPr>
              <w:t>kg/h（</w:t>
            </w:r>
            <w:r>
              <w:rPr>
                <w:rFonts w:hint="eastAsia" w:cs="Times New Roman"/>
                <w:sz w:val="24"/>
                <w:szCs w:val="24"/>
                <w:lang w:val="en-US" w:eastAsia="zh-CN"/>
              </w:rPr>
              <w:t>20</w:t>
            </w:r>
            <w:r>
              <w:rPr>
                <w:rFonts w:hint="eastAsia" w:cs="Times New Roman"/>
                <w:sz w:val="24"/>
                <w:szCs w:val="24"/>
                <w:lang w:eastAsia="zh-CN"/>
              </w:rPr>
              <w:t>m高排气筒）；</w:t>
            </w:r>
            <w:r>
              <w:rPr>
                <w:rFonts w:hint="eastAsia" w:cs="Times New Roman"/>
                <w:sz w:val="24"/>
                <w:szCs w:val="24"/>
                <w:lang w:val="en-US" w:eastAsia="zh-CN"/>
              </w:rPr>
              <w:t>硫酸雾</w:t>
            </w:r>
            <w:r>
              <w:rPr>
                <w:rFonts w:ascii="Times New Roman" w:cs="Times New Roman"/>
                <w:sz w:val="24"/>
                <w:szCs w:val="24"/>
              </w:rPr>
              <w:t>排放速率、排放浓度均能够满足《大气污染物综合排放标准》（GB16297-1996）表2二级</w:t>
            </w:r>
            <w:r>
              <w:rPr>
                <w:rFonts w:hint="eastAsia" w:cs="Times New Roman"/>
                <w:sz w:val="24"/>
                <w:szCs w:val="24"/>
                <w:lang w:eastAsia="zh-CN"/>
              </w:rPr>
              <w:t>排放浓度</w:t>
            </w:r>
            <w:r>
              <w:rPr>
                <w:rFonts w:hint="eastAsia" w:cs="Times New Roman"/>
                <w:sz w:val="24"/>
                <w:szCs w:val="24"/>
                <w:lang w:val="en-US" w:eastAsia="zh-CN"/>
              </w:rPr>
              <w:t>45</w:t>
            </w:r>
            <w:r>
              <w:rPr>
                <w:rFonts w:hint="eastAsia" w:cs="Times New Roman"/>
                <w:sz w:val="24"/>
                <w:szCs w:val="24"/>
                <w:lang w:eastAsia="zh-CN"/>
              </w:rPr>
              <w:t>mg/m</w:t>
            </w:r>
            <w:r>
              <w:rPr>
                <w:rFonts w:hint="eastAsia" w:cs="Times New Roman"/>
                <w:sz w:val="24"/>
                <w:szCs w:val="24"/>
                <w:vertAlign w:val="superscript"/>
                <w:lang w:eastAsia="zh-CN"/>
              </w:rPr>
              <w:t>3</w:t>
            </w:r>
            <w:r>
              <w:rPr>
                <w:rFonts w:hint="eastAsia" w:cs="Times New Roman"/>
                <w:sz w:val="24"/>
                <w:szCs w:val="24"/>
                <w:lang w:eastAsia="zh-CN"/>
              </w:rPr>
              <w:t>、排放速率</w:t>
            </w:r>
            <w:r>
              <w:rPr>
                <w:rFonts w:hint="eastAsia" w:cs="Times New Roman"/>
                <w:sz w:val="24"/>
                <w:szCs w:val="24"/>
                <w:lang w:val="en-US" w:eastAsia="zh-CN"/>
              </w:rPr>
              <w:t>1.3</w:t>
            </w:r>
            <w:r>
              <w:rPr>
                <w:rFonts w:hint="eastAsia" w:cs="Times New Roman"/>
                <w:sz w:val="24"/>
                <w:szCs w:val="24"/>
                <w:lang w:eastAsia="zh-CN"/>
              </w:rPr>
              <w:t>kg/h（</w:t>
            </w:r>
            <w:r>
              <w:rPr>
                <w:rFonts w:hint="eastAsia" w:cs="Times New Roman"/>
                <w:sz w:val="24"/>
                <w:szCs w:val="24"/>
                <w:lang w:val="en-US" w:eastAsia="zh-CN"/>
              </w:rPr>
              <w:t>20</w:t>
            </w:r>
            <w:r>
              <w:rPr>
                <w:rFonts w:hint="eastAsia" w:cs="Times New Roman"/>
                <w:sz w:val="24"/>
                <w:szCs w:val="24"/>
                <w:lang w:eastAsia="zh-CN"/>
              </w:rPr>
              <w:t>m高排气筒）；</w:t>
            </w:r>
            <w:r>
              <w:rPr>
                <w:rFonts w:hint="eastAsia" w:cs="Times New Roman"/>
                <w:sz w:val="24"/>
                <w:szCs w:val="24"/>
                <w:lang w:val="en-US" w:eastAsia="zh-CN"/>
              </w:rPr>
              <w:t>苯</w:t>
            </w:r>
            <w:r>
              <w:rPr>
                <w:rFonts w:ascii="Times New Roman" w:cs="Times New Roman"/>
                <w:sz w:val="24"/>
                <w:szCs w:val="24"/>
              </w:rPr>
              <w:t>排放速率、排放浓度均能够满足《大气污染物综合排放标准》（GB16297-1996）表2二级</w:t>
            </w:r>
            <w:r>
              <w:rPr>
                <w:rFonts w:hint="default" w:ascii="Times New Roman" w:cs="Times New Roman"/>
                <w:sz w:val="24"/>
                <w:szCs w:val="24"/>
              </w:rPr>
              <w:t>排放浓度</w:t>
            </w:r>
            <w:r>
              <w:rPr>
                <w:rFonts w:hint="eastAsia" w:ascii="Times New Roman" w:cs="Times New Roman"/>
                <w:sz w:val="24"/>
                <w:szCs w:val="24"/>
                <w:lang w:val="en-US" w:eastAsia="zh-CN"/>
              </w:rPr>
              <w:t>12</w:t>
            </w:r>
            <w:r>
              <w:rPr>
                <w:rFonts w:hint="default" w:ascii="Times New Roman" w:cs="Times New Roman"/>
                <w:sz w:val="24"/>
                <w:szCs w:val="24"/>
              </w:rPr>
              <w:t>mg/m</w:t>
            </w:r>
            <w:r>
              <w:rPr>
                <w:rFonts w:hint="default" w:ascii="Times New Roman" w:cs="Times New Roman"/>
                <w:sz w:val="24"/>
                <w:szCs w:val="24"/>
                <w:vertAlign w:val="superscript"/>
              </w:rPr>
              <w:t>3</w:t>
            </w:r>
            <w:r>
              <w:rPr>
                <w:rFonts w:hint="default" w:ascii="Times New Roman" w:cs="Times New Roman"/>
                <w:sz w:val="24"/>
                <w:szCs w:val="24"/>
              </w:rPr>
              <w:t>、排放速率</w:t>
            </w:r>
            <w:r>
              <w:rPr>
                <w:rFonts w:hint="eastAsia" w:ascii="Times New Roman" w:cs="Times New Roman"/>
                <w:sz w:val="24"/>
                <w:szCs w:val="24"/>
                <w:lang w:val="en-US" w:eastAsia="zh-CN"/>
              </w:rPr>
              <w:t>0.</w:t>
            </w:r>
            <w:r>
              <w:rPr>
                <w:rFonts w:hint="eastAsia" w:cs="Times New Roman"/>
                <w:sz w:val="24"/>
                <w:szCs w:val="24"/>
                <w:lang w:val="en-US" w:eastAsia="zh-CN"/>
              </w:rPr>
              <w:t>4</w:t>
            </w:r>
            <w:r>
              <w:rPr>
                <w:rFonts w:hint="eastAsia" w:ascii="Times New Roman" w:cs="Times New Roman"/>
                <w:sz w:val="24"/>
                <w:szCs w:val="24"/>
                <w:lang w:val="en-US" w:eastAsia="zh-CN"/>
              </w:rPr>
              <w:t>5</w:t>
            </w:r>
            <w:r>
              <w:rPr>
                <w:rFonts w:hint="default" w:ascii="Times New Roman" w:cs="Times New Roman"/>
                <w:sz w:val="24"/>
                <w:szCs w:val="24"/>
              </w:rPr>
              <w:t>kg/h</w:t>
            </w:r>
            <w:r>
              <w:rPr>
                <w:rFonts w:hint="eastAsia" w:ascii="Times New Roman" w:cs="Times New Roman"/>
                <w:sz w:val="24"/>
                <w:szCs w:val="24"/>
                <w:lang w:eastAsia="zh-CN"/>
              </w:rPr>
              <w:t>（</w:t>
            </w:r>
            <w:r>
              <w:rPr>
                <w:rFonts w:hint="eastAsia" w:cs="Times New Roman"/>
                <w:sz w:val="24"/>
                <w:szCs w:val="24"/>
                <w:lang w:val="en-US" w:eastAsia="zh-CN"/>
              </w:rPr>
              <w:t>20</w:t>
            </w:r>
            <w:r>
              <w:rPr>
                <w:rFonts w:hint="default" w:ascii="Times New Roman" w:cs="Times New Roman"/>
                <w:sz w:val="24"/>
                <w:szCs w:val="24"/>
              </w:rPr>
              <w:t>m高排气筒</w:t>
            </w:r>
            <w:r>
              <w:rPr>
                <w:rFonts w:hint="eastAsia" w:ascii="Times New Roman" w:cs="Times New Roman"/>
                <w:sz w:val="24"/>
                <w:szCs w:val="24"/>
                <w:lang w:eastAsia="zh-CN"/>
              </w:rPr>
              <w:t>）</w:t>
            </w:r>
            <w:r>
              <w:rPr>
                <w:rFonts w:hint="eastAsia" w:cs="Times New Roman"/>
                <w:sz w:val="24"/>
                <w:szCs w:val="24"/>
                <w:lang w:eastAsia="zh-CN"/>
              </w:rPr>
              <w:t>，</w:t>
            </w:r>
            <w:r>
              <w:rPr>
                <w:rFonts w:ascii="Times New Roman" w:cs="Times New Roman"/>
                <w:sz w:val="24"/>
                <w:szCs w:val="24"/>
              </w:rPr>
              <w:t>《关于全省开展工业企业挥发性有机物专项治理工作中排放建议值的通知》（</w:t>
            </w:r>
            <w:r>
              <w:rPr>
                <w:rFonts w:hint="default" w:ascii="Times New Roman" w:cs="Times New Roman"/>
                <w:sz w:val="24"/>
                <w:szCs w:val="24"/>
              </w:rPr>
              <w:t>排放建议值</w:t>
            </w:r>
            <w:r>
              <w:rPr>
                <w:rFonts w:hint="eastAsia" w:ascii="Times New Roman" w:cs="Times New Roman"/>
                <w:sz w:val="24"/>
                <w:szCs w:val="24"/>
                <w:lang w:val="en-US" w:eastAsia="zh-CN"/>
              </w:rPr>
              <w:t>1</w:t>
            </w:r>
            <w:r>
              <w:rPr>
                <w:rFonts w:hint="default" w:ascii="Times New Roman" w:cs="Times New Roman"/>
                <w:sz w:val="24"/>
                <w:szCs w:val="24"/>
              </w:rPr>
              <w:t>mg/m</w:t>
            </w:r>
            <w:r>
              <w:rPr>
                <w:rFonts w:hint="default" w:ascii="Times New Roman" w:cs="Times New Roman"/>
                <w:sz w:val="24"/>
                <w:szCs w:val="24"/>
                <w:vertAlign w:val="superscript"/>
              </w:rPr>
              <w:t>3</w:t>
            </w:r>
            <w:r>
              <w:rPr>
                <w:rFonts w:ascii="Times New Roman" w:cs="Times New Roman"/>
                <w:sz w:val="24"/>
                <w:szCs w:val="24"/>
              </w:rPr>
              <w:t>）的限值要求</w:t>
            </w:r>
            <w:r>
              <w:rPr>
                <w:rFonts w:hint="eastAsia" w:cs="Times New Roman"/>
                <w:sz w:val="24"/>
                <w:szCs w:val="24"/>
                <w:lang w:eastAsia="zh-CN"/>
              </w:rPr>
              <w:t>；</w:t>
            </w:r>
            <w:r>
              <w:rPr>
                <w:rFonts w:hint="eastAsia" w:cs="Times New Roman"/>
                <w:sz w:val="24"/>
                <w:szCs w:val="24"/>
                <w:lang w:val="en-US" w:eastAsia="zh-CN"/>
              </w:rPr>
              <w:t>甲苯</w:t>
            </w:r>
            <w:r>
              <w:rPr>
                <w:rFonts w:ascii="Times New Roman" w:cs="Times New Roman"/>
                <w:sz w:val="24"/>
                <w:szCs w:val="24"/>
              </w:rPr>
              <w:t>排放速率、排放浓度均能够满足《大气污染物综合排放标准》（GB16297-1996）表2二级</w:t>
            </w:r>
            <w:r>
              <w:rPr>
                <w:rFonts w:hint="default" w:ascii="Times New Roman" w:cs="Times New Roman"/>
                <w:sz w:val="24"/>
                <w:szCs w:val="24"/>
              </w:rPr>
              <w:t>排放浓度</w:t>
            </w:r>
            <w:r>
              <w:rPr>
                <w:rFonts w:hint="eastAsia" w:cs="Times New Roman"/>
                <w:sz w:val="24"/>
                <w:szCs w:val="24"/>
                <w:lang w:val="en-US" w:eastAsia="zh-CN"/>
              </w:rPr>
              <w:t>40</w:t>
            </w:r>
            <w:r>
              <w:rPr>
                <w:rFonts w:hint="default" w:ascii="Times New Roman" w:cs="Times New Roman"/>
                <w:sz w:val="24"/>
                <w:szCs w:val="24"/>
              </w:rPr>
              <w:t>mg/m</w:t>
            </w:r>
            <w:r>
              <w:rPr>
                <w:rFonts w:hint="default" w:ascii="Times New Roman" w:cs="Times New Roman"/>
                <w:sz w:val="24"/>
                <w:szCs w:val="24"/>
                <w:vertAlign w:val="superscript"/>
              </w:rPr>
              <w:t>3</w:t>
            </w:r>
            <w:r>
              <w:rPr>
                <w:rFonts w:hint="default" w:ascii="Times New Roman" w:cs="Times New Roman"/>
                <w:sz w:val="24"/>
                <w:szCs w:val="24"/>
              </w:rPr>
              <w:t>、排放速率</w:t>
            </w:r>
            <w:r>
              <w:rPr>
                <w:rFonts w:hint="eastAsia" w:cs="Times New Roman"/>
                <w:sz w:val="24"/>
                <w:szCs w:val="24"/>
                <w:lang w:val="en-US" w:eastAsia="zh-CN"/>
              </w:rPr>
              <w:t>2.6</w:t>
            </w:r>
            <w:r>
              <w:rPr>
                <w:rFonts w:hint="default" w:ascii="Times New Roman" w:cs="Times New Roman"/>
                <w:sz w:val="24"/>
                <w:szCs w:val="24"/>
              </w:rPr>
              <w:t>kg/h</w:t>
            </w:r>
            <w:r>
              <w:rPr>
                <w:rFonts w:hint="eastAsia" w:ascii="Times New Roman" w:cs="Times New Roman"/>
                <w:sz w:val="24"/>
                <w:szCs w:val="24"/>
                <w:lang w:eastAsia="zh-CN"/>
              </w:rPr>
              <w:t>（</w:t>
            </w:r>
            <w:r>
              <w:rPr>
                <w:rFonts w:hint="eastAsia" w:cs="Times New Roman"/>
                <w:sz w:val="24"/>
                <w:szCs w:val="24"/>
                <w:lang w:val="en-US" w:eastAsia="zh-CN"/>
              </w:rPr>
              <w:t>20</w:t>
            </w:r>
            <w:r>
              <w:rPr>
                <w:rFonts w:hint="default" w:ascii="Times New Roman" w:cs="Times New Roman"/>
                <w:sz w:val="24"/>
                <w:szCs w:val="24"/>
              </w:rPr>
              <w:t>m高排气筒</w:t>
            </w:r>
            <w:r>
              <w:rPr>
                <w:rFonts w:hint="eastAsia" w:ascii="Times New Roman" w:cs="Times New Roman"/>
                <w:sz w:val="24"/>
                <w:szCs w:val="24"/>
                <w:lang w:eastAsia="zh-CN"/>
              </w:rPr>
              <w:t>）</w:t>
            </w:r>
            <w:r>
              <w:rPr>
                <w:rFonts w:hint="eastAsia" w:cs="Times New Roman"/>
                <w:sz w:val="24"/>
                <w:szCs w:val="24"/>
                <w:lang w:eastAsia="zh-CN"/>
              </w:rPr>
              <w:t>，</w:t>
            </w:r>
            <w:r>
              <w:rPr>
                <w:rFonts w:ascii="Times New Roman" w:cs="Times New Roman"/>
                <w:sz w:val="24"/>
                <w:szCs w:val="24"/>
              </w:rPr>
              <w:t>《关于全省开展工业企业挥发性有机物专项治理工作中排放建议值的通知》（</w:t>
            </w:r>
            <w:r>
              <w:rPr>
                <w:rFonts w:hint="eastAsia" w:cs="Times New Roman"/>
                <w:sz w:val="24"/>
                <w:szCs w:val="24"/>
                <w:lang w:val="en-US" w:eastAsia="zh-CN"/>
              </w:rPr>
              <w:t>甲苯与二甲苯合计40</w:t>
            </w:r>
            <w:r>
              <w:rPr>
                <w:rFonts w:hint="default" w:ascii="Times New Roman" w:cs="Times New Roman"/>
                <w:sz w:val="24"/>
                <w:szCs w:val="24"/>
              </w:rPr>
              <w:t>mg/m</w:t>
            </w:r>
            <w:r>
              <w:rPr>
                <w:rFonts w:hint="default" w:ascii="Times New Roman" w:cs="Times New Roman"/>
                <w:sz w:val="24"/>
                <w:szCs w:val="24"/>
                <w:vertAlign w:val="superscript"/>
              </w:rPr>
              <w:t>3</w:t>
            </w:r>
            <w:r>
              <w:rPr>
                <w:rFonts w:ascii="Times New Roman" w:cs="Times New Roman"/>
                <w:sz w:val="24"/>
                <w:szCs w:val="24"/>
              </w:rPr>
              <w:t>）的限值要求</w:t>
            </w:r>
            <w:r>
              <w:rPr>
                <w:rFonts w:hint="eastAsia" w:cs="Times New Roman"/>
                <w:sz w:val="24"/>
                <w:szCs w:val="24"/>
                <w:lang w:eastAsia="zh-CN"/>
              </w:rPr>
              <w:t>；</w:t>
            </w:r>
            <w:r>
              <w:rPr>
                <w:rFonts w:hint="eastAsia" w:cs="Times New Roman"/>
                <w:sz w:val="24"/>
                <w:szCs w:val="24"/>
                <w:lang w:val="en-US" w:eastAsia="zh-CN"/>
              </w:rPr>
              <w:t>二甲苯</w:t>
            </w:r>
            <w:r>
              <w:rPr>
                <w:rFonts w:ascii="Times New Roman" w:cs="Times New Roman"/>
                <w:sz w:val="24"/>
                <w:szCs w:val="24"/>
              </w:rPr>
              <w:t>排放速率、排放浓度均能够满足《大气污染物综合排放标准》（GB16297-1996）表2二级</w:t>
            </w:r>
            <w:r>
              <w:rPr>
                <w:rFonts w:hint="default" w:ascii="Times New Roman" w:cs="Times New Roman"/>
                <w:sz w:val="24"/>
                <w:szCs w:val="24"/>
              </w:rPr>
              <w:t>排放浓度</w:t>
            </w:r>
            <w:r>
              <w:rPr>
                <w:rFonts w:hint="eastAsia" w:cs="Times New Roman"/>
                <w:sz w:val="24"/>
                <w:szCs w:val="24"/>
                <w:lang w:val="en-US" w:eastAsia="zh-CN"/>
              </w:rPr>
              <w:t>70</w:t>
            </w:r>
            <w:r>
              <w:rPr>
                <w:rFonts w:hint="default" w:ascii="Times New Roman" w:cs="Times New Roman"/>
                <w:sz w:val="24"/>
                <w:szCs w:val="24"/>
              </w:rPr>
              <w:t>mg/m</w:t>
            </w:r>
            <w:r>
              <w:rPr>
                <w:rFonts w:hint="default" w:ascii="Times New Roman" w:cs="Times New Roman"/>
                <w:sz w:val="24"/>
                <w:szCs w:val="24"/>
                <w:vertAlign w:val="superscript"/>
              </w:rPr>
              <w:t>3</w:t>
            </w:r>
            <w:r>
              <w:rPr>
                <w:rFonts w:hint="default" w:ascii="Times New Roman" w:cs="Times New Roman"/>
                <w:sz w:val="24"/>
                <w:szCs w:val="24"/>
              </w:rPr>
              <w:t>、排放速率</w:t>
            </w:r>
            <w:r>
              <w:rPr>
                <w:rFonts w:hint="eastAsia" w:cs="Times New Roman"/>
                <w:sz w:val="24"/>
                <w:szCs w:val="24"/>
                <w:lang w:val="en-US" w:eastAsia="zh-CN"/>
              </w:rPr>
              <w:t>0.85</w:t>
            </w:r>
            <w:r>
              <w:rPr>
                <w:rFonts w:hint="default" w:ascii="Times New Roman" w:cs="Times New Roman"/>
                <w:sz w:val="24"/>
                <w:szCs w:val="24"/>
              </w:rPr>
              <w:t>kg/h</w:t>
            </w:r>
            <w:r>
              <w:rPr>
                <w:rFonts w:hint="eastAsia" w:ascii="Times New Roman" w:cs="Times New Roman"/>
                <w:sz w:val="24"/>
                <w:szCs w:val="24"/>
                <w:lang w:eastAsia="zh-CN"/>
              </w:rPr>
              <w:t>（</w:t>
            </w:r>
            <w:r>
              <w:rPr>
                <w:rFonts w:hint="eastAsia" w:cs="Times New Roman"/>
                <w:sz w:val="24"/>
                <w:szCs w:val="24"/>
                <w:lang w:val="en-US" w:eastAsia="zh-CN"/>
              </w:rPr>
              <w:t>20</w:t>
            </w:r>
            <w:r>
              <w:rPr>
                <w:rFonts w:hint="default" w:ascii="Times New Roman" w:cs="Times New Roman"/>
                <w:sz w:val="24"/>
                <w:szCs w:val="24"/>
              </w:rPr>
              <w:t>m高排气筒</w:t>
            </w:r>
            <w:r>
              <w:rPr>
                <w:rFonts w:hint="eastAsia" w:ascii="Times New Roman" w:cs="Times New Roman"/>
                <w:sz w:val="24"/>
                <w:szCs w:val="24"/>
                <w:lang w:eastAsia="zh-CN"/>
              </w:rPr>
              <w:t>）</w:t>
            </w:r>
            <w:r>
              <w:rPr>
                <w:rFonts w:hint="eastAsia" w:cs="Times New Roman"/>
                <w:sz w:val="24"/>
                <w:szCs w:val="24"/>
                <w:lang w:eastAsia="zh-CN"/>
              </w:rPr>
              <w:t>，</w:t>
            </w:r>
            <w:r>
              <w:rPr>
                <w:rFonts w:ascii="Times New Roman" w:cs="Times New Roman"/>
                <w:sz w:val="24"/>
                <w:szCs w:val="24"/>
              </w:rPr>
              <w:t>《关于全省开展工业企业挥发性有机物专项治理工作中排放建议值的通知》（</w:t>
            </w:r>
            <w:r>
              <w:rPr>
                <w:rFonts w:hint="eastAsia" w:cs="Times New Roman"/>
                <w:sz w:val="24"/>
                <w:szCs w:val="24"/>
                <w:lang w:val="en-US" w:eastAsia="zh-CN"/>
              </w:rPr>
              <w:t>甲苯与二甲苯合计40</w:t>
            </w:r>
            <w:r>
              <w:rPr>
                <w:rFonts w:hint="default" w:ascii="Times New Roman" w:cs="Times New Roman"/>
                <w:sz w:val="24"/>
                <w:szCs w:val="24"/>
              </w:rPr>
              <w:t>mg/m</w:t>
            </w:r>
            <w:r>
              <w:rPr>
                <w:rFonts w:hint="default" w:ascii="Times New Roman" w:cs="Times New Roman"/>
                <w:sz w:val="24"/>
                <w:szCs w:val="24"/>
                <w:vertAlign w:val="superscript"/>
              </w:rPr>
              <w:t>3</w:t>
            </w:r>
            <w:r>
              <w:rPr>
                <w:rFonts w:ascii="Times New Roman" w:cs="Times New Roman"/>
                <w:sz w:val="24"/>
                <w:szCs w:val="24"/>
              </w:rPr>
              <w:t>）的限值要求</w:t>
            </w:r>
            <w:r>
              <w:rPr>
                <w:rFonts w:hint="eastAsia" w:cs="Times New Roman"/>
                <w:sz w:val="24"/>
                <w:szCs w:val="24"/>
                <w:lang w:eastAsia="zh-CN"/>
              </w:rPr>
              <w:t>；</w:t>
            </w:r>
            <w:r>
              <w:rPr>
                <w:rFonts w:hint="eastAsia" w:cs="Times New Roman"/>
                <w:sz w:val="24"/>
                <w:szCs w:val="24"/>
                <w:lang w:val="en-US" w:eastAsia="zh-CN"/>
              </w:rPr>
              <w:t>甲醇</w:t>
            </w:r>
            <w:r>
              <w:rPr>
                <w:rFonts w:ascii="Times New Roman" w:cs="Times New Roman"/>
                <w:sz w:val="24"/>
                <w:szCs w:val="24"/>
              </w:rPr>
              <w:t>排放速率、排放浓度均能够满足《大气污染物综合排放标准》（GB16297-1996）表2二级</w:t>
            </w:r>
            <w:r>
              <w:rPr>
                <w:rFonts w:hint="default" w:ascii="Times New Roman" w:cs="Times New Roman"/>
                <w:sz w:val="24"/>
                <w:szCs w:val="24"/>
              </w:rPr>
              <w:t>排放浓度</w:t>
            </w:r>
            <w:r>
              <w:rPr>
                <w:rFonts w:hint="eastAsia" w:cs="Times New Roman"/>
                <w:sz w:val="24"/>
                <w:szCs w:val="24"/>
                <w:lang w:val="en-US" w:eastAsia="zh-CN"/>
              </w:rPr>
              <w:t>190</w:t>
            </w:r>
            <w:r>
              <w:rPr>
                <w:rFonts w:hint="default" w:ascii="Times New Roman" w:cs="Times New Roman"/>
                <w:sz w:val="24"/>
                <w:szCs w:val="24"/>
              </w:rPr>
              <w:t>mg/m</w:t>
            </w:r>
            <w:r>
              <w:rPr>
                <w:rFonts w:hint="default" w:ascii="Times New Roman" w:cs="Times New Roman"/>
                <w:sz w:val="24"/>
                <w:szCs w:val="24"/>
                <w:vertAlign w:val="superscript"/>
              </w:rPr>
              <w:t>3</w:t>
            </w:r>
            <w:r>
              <w:rPr>
                <w:rFonts w:hint="default" w:ascii="Times New Roman" w:cs="Times New Roman"/>
                <w:sz w:val="24"/>
                <w:szCs w:val="24"/>
              </w:rPr>
              <w:t>、排放速率</w:t>
            </w:r>
            <w:r>
              <w:rPr>
                <w:rFonts w:hint="eastAsia" w:cs="Times New Roman"/>
                <w:sz w:val="24"/>
                <w:szCs w:val="24"/>
                <w:lang w:val="en-US" w:eastAsia="zh-CN"/>
              </w:rPr>
              <w:t>4.3</w:t>
            </w:r>
            <w:r>
              <w:rPr>
                <w:rFonts w:hint="default" w:ascii="Times New Roman" w:cs="Times New Roman"/>
                <w:sz w:val="24"/>
                <w:szCs w:val="24"/>
              </w:rPr>
              <w:t>kg/h</w:t>
            </w:r>
            <w:r>
              <w:rPr>
                <w:rFonts w:hint="eastAsia" w:ascii="Times New Roman" w:cs="Times New Roman"/>
                <w:sz w:val="24"/>
                <w:szCs w:val="24"/>
                <w:lang w:eastAsia="zh-CN"/>
              </w:rPr>
              <w:t>（</w:t>
            </w:r>
            <w:r>
              <w:rPr>
                <w:rFonts w:hint="eastAsia" w:cs="Times New Roman"/>
                <w:sz w:val="24"/>
                <w:szCs w:val="24"/>
                <w:lang w:val="en-US" w:eastAsia="zh-CN"/>
              </w:rPr>
              <w:t>20</w:t>
            </w:r>
            <w:r>
              <w:rPr>
                <w:rFonts w:hint="default" w:ascii="Times New Roman" w:cs="Times New Roman"/>
                <w:sz w:val="24"/>
                <w:szCs w:val="24"/>
              </w:rPr>
              <w:t>m高排气筒</w:t>
            </w:r>
            <w:r>
              <w:rPr>
                <w:rFonts w:hint="eastAsia" w:ascii="Times New Roman" w:cs="Times New Roman"/>
                <w:sz w:val="24"/>
                <w:szCs w:val="24"/>
                <w:lang w:eastAsia="zh-CN"/>
              </w:rPr>
              <w:t>）</w:t>
            </w:r>
            <w:r>
              <w:rPr>
                <w:rFonts w:hint="eastAsia" w:cs="Times New Roman"/>
                <w:sz w:val="24"/>
                <w:szCs w:val="24"/>
                <w:lang w:eastAsia="zh-CN"/>
              </w:rPr>
              <w:t>；</w:t>
            </w:r>
            <w:r>
              <w:rPr>
                <w:rFonts w:hint="eastAsia" w:cs="Times New Roman"/>
                <w:sz w:val="24"/>
                <w:szCs w:val="24"/>
                <w:lang w:val="en-US" w:eastAsia="zh-CN"/>
              </w:rPr>
              <w:t>氨、苯乙烯排放速率能够满足《恶臭污染物排放标准》（GB14554-93）表2（氨排放速率4.35kg/h（20m排气筒）、苯乙烯排放速率6kg/h（20m排气筒））</w:t>
            </w:r>
            <w:r>
              <w:rPr>
                <w:rFonts w:ascii="Times New Roman"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 xml:space="preserve">1.2 </w:t>
            </w:r>
            <w:r>
              <w:rPr>
                <w:rFonts w:hint="default" w:ascii="Times New Roman" w:hAnsi="Times New Roman" w:eastAsia="宋体" w:cs="Times New Roman"/>
                <w:b/>
                <w:bCs/>
                <w:sz w:val="24"/>
              </w:rPr>
              <w:t>无组织废气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eastAsia="zh-CN"/>
              </w:rPr>
              <w:t>根据上述分析，</w:t>
            </w:r>
            <w:r>
              <w:rPr>
                <w:rFonts w:hint="eastAsia" w:cs="Times New Roman"/>
                <w:sz w:val="24"/>
                <w:lang w:val="en-US" w:eastAsia="zh-CN"/>
              </w:rPr>
              <w:t>通风橱</w:t>
            </w:r>
            <w:r>
              <w:rPr>
                <w:rFonts w:hint="default" w:ascii="Times New Roman" w:hAnsi="Times New Roman" w:eastAsia="宋体" w:cs="Times New Roman"/>
                <w:sz w:val="24"/>
                <w:lang w:eastAsia="zh-CN"/>
              </w:rPr>
              <w:t>收集效率为90%，未被收集的</w:t>
            </w:r>
            <w:r>
              <w:rPr>
                <w:rFonts w:hint="eastAsia" w:cs="Times New Roman"/>
                <w:sz w:val="24"/>
                <w:lang w:val="en-US" w:eastAsia="zh-CN"/>
              </w:rPr>
              <w:t>废气</w:t>
            </w:r>
            <w:r>
              <w:rPr>
                <w:rFonts w:hint="eastAsia" w:cs="Times New Roman"/>
                <w:sz w:val="24"/>
                <w:lang w:eastAsia="zh-CN"/>
              </w:rPr>
              <w:t>（</w:t>
            </w:r>
            <w:r>
              <w:rPr>
                <w:rFonts w:hint="eastAsia" w:cs="Times New Roman"/>
                <w:sz w:val="24"/>
                <w:lang w:val="en-US" w:eastAsia="zh-CN"/>
              </w:rPr>
              <w:t>10%</w:t>
            </w:r>
            <w:r>
              <w:rPr>
                <w:rFonts w:hint="eastAsia" w:cs="Times New Roman"/>
                <w:sz w:val="24"/>
                <w:lang w:eastAsia="zh-CN"/>
              </w:rPr>
              <w:t>）</w:t>
            </w:r>
            <w:r>
              <w:rPr>
                <w:rFonts w:hint="default" w:ascii="Times New Roman" w:hAnsi="Times New Roman" w:eastAsia="宋体" w:cs="Times New Roman"/>
                <w:sz w:val="24"/>
                <w:lang w:eastAsia="zh-CN"/>
              </w:rPr>
              <w:t>以无组织形式散失，</w:t>
            </w:r>
            <w:r>
              <w:rPr>
                <w:rFonts w:hint="eastAsia" w:cs="Times New Roman"/>
                <w:sz w:val="24"/>
                <w:lang w:val="en-US" w:eastAsia="zh-CN"/>
              </w:rPr>
              <w:t>各污染物无组织排放情况见下表。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80"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ascii="Times New Roman" w:hAnsi="Times New Roman" w:eastAsia="黑体" w:cs="Times New Roman"/>
                <w:b w:val="0"/>
                <w:bCs w:val="0"/>
                <w:color w:val="auto"/>
                <w:sz w:val="24"/>
                <w:szCs w:val="24"/>
                <w:lang w:val="en-US" w:eastAsia="zh-CN"/>
              </w:rPr>
              <w:t>3</w:t>
            </w:r>
            <w:r>
              <w:rPr>
                <w:rFonts w:hint="default" w:ascii="Times New Roman" w:hAnsi="Times New Roman" w:eastAsia="黑体" w:cs="Times New Roman"/>
                <w:b w:val="0"/>
                <w:bCs w:val="0"/>
                <w:color w:val="auto"/>
                <w:sz w:val="24"/>
                <w:szCs w:val="24"/>
                <w:lang w:val="en-US" w:eastAsia="zh-CN"/>
              </w:rPr>
              <w:t xml:space="preserve"> 项目</w:t>
            </w:r>
            <w:r>
              <w:rPr>
                <w:rFonts w:hint="eastAsia" w:ascii="Times New Roman" w:hAnsi="Times New Roman" w:eastAsia="黑体" w:cs="Times New Roman"/>
                <w:b w:val="0"/>
                <w:bCs w:val="0"/>
                <w:color w:val="auto"/>
                <w:sz w:val="24"/>
                <w:szCs w:val="24"/>
                <w:lang w:val="en-US" w:eastAsia="zh-CN"/>
              </w:rPr>
              <w:t>无组织</w:t>
            </w:r>
            <w:r>
              <w:rPr>
                <w:rFonts w:hint="default" w:ascii="Times New Roman" w:hAnsi="Times New Roman" w:eastAsia="黑体" w:cs="Times New Roman"/>
                <w:b w:val="0"/>
                <w:bCs w:val="0"/>
                <w:color w:val="auto"/>
                <w:sz w:val="24"/>
                <w:szCs w:val="24"/>
                <w:lang w:val="en-US" w:eastAsia="zh-CN"/>
              </w:rPr>
              <w:t>废气</w:t>
            </w:r>
            <w:r>
              <w:rPr>
                <w:rFonts w:hint="eastAsia" w:ascii="Times New Roman" w:hAnsi="Times New Roman" w:eastAsia="黑体" w:cs="Times New Roman"/>
                <w:b w:val="0"/>
                <w:bCs w:val="0"/>
                <w:color w:val="auto"/>
                <w:sz w:val="24"/>
                <w:szCs w:val="24"/>
                <w:lang w:val="en-US" w:eastAsia="zh-CN"/>
              </w:rPr>
              <w:t>排放</w:t>
            </w:r>
            <w:r>
              <w:rPr>
                <w:rFonts w:hint="default" w:ascii="Times New Roman" w:hAnsi="Times New Roman" w:eastAsia="黑体" w:cs="Times New Roman"/>
                <w:b w:val="0"/>
                <w:bCs w:val="0"/>
                <w:color w:val="auto"/>
                <w:sz w:val="24"/>
                <w:szCs w:val="24"/>
                <w:lang w:val="en-US" w:eastAsia="zh-CN"/>
              </w:rPr>
              <w:t>情况一览表</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86"/>
              <w:gridCol w:w="2874"/>
              <w:gridCol w:w="34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污染因子</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排放量</w:t>
                  </w:r>
                  <w:r>
                    <w:rPr>
                      <w:szCs w:val="21"/>
                    </w:rPr>
                    <w:t>（</w:t>
                  </w:r>
                  <w:r>
                    <w:rPr>
                      <w:rFonts w:hint="eastAsia"/>
                      <w:szCs w:val="21"/>
                      <w:lang w:val="en-US" w:eastAsia="zh-CN"/>
                    </w:rPr>
                    <w:t>kg</w:t>
                  </w:r>
                  <w:r>
                    <w:rPr>
                      <w:szCs w:val="21"/>
                    </w:rPr>
                    <w:t>/a）</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排放速率</w:t>
                  </w:r>
                  <w:r>
                    <w:rPr>
                      <w:szCs w:val="21"/>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非甲烷总烃</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0.1336</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8.91</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0.0118</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7.87</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0.0165</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1.10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硫酸雾</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0.0092</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6.10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苯</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0.0035</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2.36</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甲苯</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0.0052</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3.48</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二甲苯</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0.00002</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1.33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甲醇</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0.0396</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2.64</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氨</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0.0046</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3.03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noWrap w:val="0"/>
                  <w:vAlign w:val="center"/>
                </w:tcPr>
                <w:p>
                  <w:pPr>
                    <w:keepNext w:val="0"/>
                    <w:keepLines w:val="0"/>
                    <w:widowControl/>
                    <w:suppressLineNumbers w:val="0"/>
                    <w:spacing w:before="0" w:beforeAutospacing="0" w:after="0" w:afterAutospacing="0"/>
                    <w:ind w:left="0" w:right="0"/>
                    <w:jc w:val="center"/>
                    <w:textAlignment w:val="center"/>
                    <w:rPr>
                      <w:szCs w:val="21"/>
                    </w:rPr>
                  </w:pPr>
                  <w:r>
                    <w:rPr>
                      <w:rFonts w:hint="eastAsia" w:ascii="宋体" w:hAnsi="宋体" w:eastAsia="宋体" w:cs="宋体"/>
                      <w:i w:val="0"/>
                      <w:iCs w:val="0"/>
                      <w:color w:val="000000"/>
                      <w:kern w:val="0"/>
                      <w:sz w:val="21"/>
                      <w:szCs w:val="21"/>
                      <w:u w:val="none"/>
                      <w:lang w:val="en-US" w:eastAsia="zh-CN" w:bidi="ar"/>
                    </w:rPr>
                    <w:t>苯乙烯</w:t>
                  </w:r>
                </w:p>
              </w:tc>
              <w:tc>
                <w:tcPr>
                  <w:tcW w:w="2874"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0.00002</w:t>
                  </w:r>
                </w:p>
              </w:tc>
              <w:tc>
                <w:tcPr>
                  <w:tcW w:w="3462" w:type="dxa"/>
                  <w:noWrap w:val="0"/>
                  <w:vAlign w:val="center"/>
                </w:tcPr>
                <w:p>
                  <w:pPr>
                    <w:keepNext w:val="0"/>
                    <w:keepLines w:val="0"/>
                    <w:suppressLineNumbers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1.33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-8</w:t>
                  </w:r>
                </w:p>
              </w:tc>
            </w:tr>
          </w:tbl>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20" w:lineRule="exact"/>
              <w:ind w:left="0" w:right="0" w:firstLine="494" w:firstLineChars="200"/>
              <w:textAlignment w:val="auto"/>
              <w:rPr>
                <w:b/>
                <w:bCs/>
                <w:color w:val="000000"/>
                <w:spacing w:val="3"/>
                <w:sz w:val="24"/>
              </w:rPr>
            </w:pPr>
            <w:r>
              <w:rPr>
                <w:rFonts w:hint="eastAsia"/>
                <w:b/>
                <w:bCs/>
                <w:color w:val="000000"/>
                <w:spacing w:val="3"/>
                <w:sz w:val="24"/>
                <w:lang w:val="en-US" w:eastAsia="zh-CN"/>
              </w:rPr>
              <w:t>1.3</w:t>
            </w:r>
            <w:r>
              <w:rPr>
                <w:rFonts w:hint="eastAsia"/>
                <w:b/>
                <w:bCs/>
                <w:color w:val="000000"/>
                <w:spacing w:val="3"/>
                <w:sz w:val="24"/>
              </w:rPr>
              <w:t>废气污染物无组织预测</w:t>
            </w:r>
          </w:p>
          <w:p>
            <w:pPr>
              <w:pStyle w:val="6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82"/>
              <w:textAlignment w:val="auto"/>
              <w:rPr>
                <w:rFonts w:ascii="Times New Roman" w:hAnsi="Times New Roman" w:eastAsia="宋体"/>
                <w:b w:val="0"/>
                <w:bCs w:val="0"/>
                <w:color w:val="000000"/>
              </w:rPr>
            </w:pPr>
            <w:r>
              <w:rPr>
                <w:rFonts w:ascii="Times New Roman" w:hAnsi="Times New Roman" w:eastAsia="宋体"/>
                <w:b w:val="0"/>
                <w:bCs w:val="0"/>
                <w:color w:val="000000"/>
              </w:rPr>
              <w:t>（1）预测因子和评价标准</w:t>
            </w:r>
          </w:p>
          <w:p>
            <w:pPr>
              <w:pStyle w:val="6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80"/>
              <w:textAlignment w:val="auto"/>
              <w:rPr>
                <w:rFonts w:ascii="Times New Roman" w:hAnsi="Times New Roman" w:eastAsia="宋体"/>
                <w:color w:val="000000"/>
              </w:rPr>
            </w:pPr>
            <w:r>
              <w:rPr>
                <w:rFonts w:ascii="Times New Roman" w:hAnsi="Times New Roman" w:eastAsia="宋体"/>
                <w:color w:val="000000"/>
              </w:rPr>
              <w:t>结合工程分析和污染物产排特点，本次评价选取</w:t>
            </w:r>
            <w:r>
              <w:rPr>
                <w:rFonts w:hint="eastAsia"/>
                <w:color w:val="000000"/>
                <w:lang w:val="en-US" w:eastAsia="zh-CN"/>
              </w:rPr>
              <w:t>非甲烷总烃、HCl、NOx、硫酸雾、苯、甲苯、二甲苯、甲醇、氨、苯乙烯</w:t>
            </w:r>
            <w:r>
              <w:rPr>
                <w:rFonts w:ascii="Times New Roman" w:hAnsi="Times New Roman" w:eastAsia="宋体"/>
                <w:color w:val="000000"/>
              </w:rPr>
              <w:t>作为预测因子。预测因子和评价标准见</w:t>
            </w:r>
            <w:r>
              <w:rPr>
                <w:rFonts w:hint="eastAsia"/>
                <w:color w:val="000000"/>
                <w:lang w:val="en-US" w:eastAsia="zh-CN"/>
              </w:rPr>
              <w:t>下表</w:t>
            </w:r>
            <w:r>
              <w:rPr>
                <w:rFonts w:ascii="Times New Roman" w:hAnsi="Times New Roman" w:eastAsia="宋体"/>
                <w:color w:val="000000"/>
              </w:rPr>
              <w:t>。</w:t>
            </w:r>
          </w:p>
          <w:p>
            <w:pPr>
              <w:pStyle w:val="67"/>
              <w:keepNext w:val="0"/>
              <w:keepLines w:val="0"/>
              <w:suppressLineNumbers w:val="0"/>
              <w:spacing w:before="0" w:beforeAutospacing="0" w:after="0" w:afterAutospacing="0" w:line="440" w:lineRule="exact"/>
              <w:ind w:left="0" w:right="0" w:firstLine="480" w:firstLineChars="200"/>
              <w:jc w:val="both"/>
              <w:rPr>
                <w:rFonts w:hint="default" w:ascii="Times New Roman" w:hAnsi="Times New Roman" w:eastAsia="黑体" w:cs="Times New Roman"/>
                <w:b w:val="0"/>
                <w:bCs w:val="0"/>
                <w:color w:val="000000"/>
                <w:kern w:val="2"/>
                <w:sz w:val="24"/>
              </w:rPr>
            </w:pPr>
            <w:r>
              <w:rPr>
                <w:rFonts w:hint="default" w:ascii="Times New Roman" w:hAnsi="Times New Roman" w:eastAsia="黑体" w:cs="Times New Roman"/>
                <w:b w:val="0"/>
                <w:bCs w:val="0"/>
                <w:color w:val="000000"/>
                <w:kern w:val="2"/>
                <w:sz w:val="24"/>
              </w:rPr>
              <w:t>表</w:t>
            </w:r>
            <w:r>
              <w:rPr>
                <w:rFonts w:hint="default" w:ascii="Times New Roman" w:hAnsi="Times New Roman" w:eastAsia="黑体" w:cs="Times New Roman"/>
                <w:b w:val="0"/>
                <w:bCs w:val="0"/>
                <w:color w:val="000000"/>
                <w:kern w:val="2"/>
                <w:sz w:val="24"/>
                <w:lang w:val="en-US" w:eastAsia="zh-CN"/>
              </w:rPr>
              <w:t>4-</w:t>
            </w:r>
            <w:r>
              <w:rPr>
                <w:rFonts w:hint="eastAsia" w:cs="Times New Roman"/>
                <w:b w:val="0"/>
                <w:bCs w:val="0"/>
                <w:color w:val="000000"/>
                <w:kern w:val="2"/>
                <w:sz w:val="24"/>
                <w:lang w:val="en-US" w:eastAsia="zh-CN"/>
              </w:rPr>
              <w:t>4</w:t>
            </w:r>
            <w:r>
              <w:rPr>
                <w:rFonts w:hint="default" w:ascii="Times New Roman" w:hAnsi="Times New Roman" w:eastAsia="黑体" w:cs="Times New Roman"/>
                <w:b w:val="0"/>
                <w:bCs w:val="0"/>
                <w:color w:val="000000"/>
                <w:kern w:val="2"/>
                <w:sz w:val="24"/>
              </w:rPr>
              <w:t xml:space="preserve">    </w:t>
            </w:r>
            <w:r>
              <w:rPr>
                <w:rFonts w:hint="default" w:ascii="Times New Roman" w:hAnsi="Times New Roman" w:eastAsia="黑体" w:cs="Times New Roman"/>
                <w:b w:val="0"/>
                <w:bCs w:val="0"/>
                <w:color w:val="000000"/>
                <w:kern w:val="2"/>
                <w:sz w:val="24"/>
                <w:lang w:val="en-US" w:eastAsia="zh-CN"/>
              </w:rPr>
              <w:t xml:space="preserve">        </w:t>
            </w:r>
            <w:r>
              <w:rPr>
                <w:rFonts w:hint="default" w:ascii="Times New Roman" w:hAnsi="Times New Roman" w:eastAsia="黑体" w:cs="Times New Roman"/>
                <w:b w:val="0"/>
                <w:bCs w:val="0"/>
                <w:color w:val="000000"/>
                <w:kern w:val="2"/>
                <w:sz w:val="24"/>
              </w:rPr>
              <w:t>评价因子和评价标准表</w:t>
            </w:r>
          </w:p>
          <w:tbl>
            <w:tblPr>
              <w:tblStyle w:val="30"/>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25"/>
              <w:gridCol w:w="1492"/>
              <w:gridCol w:w="1173"/>
              <w:gridCol w:w="4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ascii="Times New Roman" w:hAnsi="Times New Roman" w:eastAsia="宋体"/>
                      <w:b w:val="0"/>
                      <w:bCs w:val="0"/>
                      <w:sz w:val="21"/>
                      <w:szCs w:val="21"/>
                    </w:rPr>
                    <w:t>预测因子</w:t>
                  </w:r>
                </w:p>
              </w:tc>
              <w:tc>
                <w:tcPr>
                  <w:tcW w:w="1492"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ascii="Times New Roman" w:hAnsi="Times New Roman" w:eastAsia="宋体"/>
                      <w:b w:val="0"/>
                      <w:bCs w:val="0"/>
                      <w:sz w:val="21"/>
                      <w:szCs w:val="21"/>
                    </w:rPr>
                    <w:t>平均时段</w:t>
                  </w:r>
                </w:p>
              </w:tc>
              <w:tc>
                <w:tcPr>
                  <w:tcW w:w="1173"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ascii="Times New Roman" w:hAnsi="Times New Roman" w:eastAsia="宋体"/>
                      <w:b w:val="0"/>
                      <w:bCs w:val="0"/>
                      <w:sz w:val="21"/>
                      <w:szCs w:val="21"/>
                    </w:rPr>
                    <w:t>标准值</w:t>
                  </w:r>
                </w:p>
              </w:tc>
              <w:tc>
                <w:tcPr>
                  <w:tcW w:w="4545"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ascii="Times New Roman" w:hAnsi="Times New Roman" w:eastAsia="宋体"/>
                      <w:b w:val="0"/>
                      <w:bCs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非甲烷总烃</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b w:val="0"/>
                      <w:bCs w:val="0"/>
                      <w:color w:val="000000"/>
                      <w:sz w:val="21"/>
                      <w:szCs w:val="21"/>
                    </w:rPr>
                  </w:pPr>
                  <w:r>
                    <w:rPr>
                      <w:rFonts w:hint="eastAsia"/>
                      <w:b w:val="0"/>
                      <w:bCs w:val="0"/>
                      <w:color w:val="000000"/>
                      <w:sz w:val="21"/>
                      <w:szCs w:val="21"/>
                    </w:rPr>
                    <w:t>1h平均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b w:val="0"/>
                      <w:bCs w:val="0"/>
                      <w:color w:val="000000"/>
                      <w:sz w:val="21"/>
                      <w:szCs w:val="21"/>
                    </w:rPr>
                  </w:pPr>
                  <w:r>
                    <w:rPr>
                      <w:rFonts w:hint="eastAsia"/>
                      <w:b w:val="0"/>
                      <w:bCs w:val="0"/>
                      <w:color w:val="000000"/>
                      <w:sz w:val="21"/>
                      <w:szCs w:val="21"/>
                    </w:rPr>
                    <w:t>2</w:t>
                  </w:r>
                  <w:r>
                    <w:rPr>
                      <w:rFonts w:hint="eastAsia"/>
                      <w:b w:val="0"/>
                      <w:bCs w:val="0"/>
                      <w:color w:val="000000"/>
                      <w:sz w:val="21"/>
                      <w:szCs w:val="21"/>
                      <w:lang w:val="en-US" w:eastAsia="zh-CN"/>
                    </w:rPr>
                    <w:t>.0m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ascii="Times New Roman" w:hAnsi="Times New Roman" w:eastAsia="宋体"/>
                      <w:b w:val="0"/>
                      <w:bCs w:val="0"/>
                      <w:sz w:val="21"/>
                      <w:szCs w:val="21"/>
                    </w:rPr>
                    <w:t>《</w:t>
                  </w:r>
                  <w:r>
                    <w:rPr>
                      <w:rFonts w:hint="eastAsia"/>
                      <w:b w:val="0"/>
                      <w:bCs w:val="0"/>
                      <w:sz w:val="21"/>
                      <w:szCs w:val="21"/>
                      <w:lang w:val="en-US" w:eastAsia="zh-CN"/>
                    </w:rPr>
                    <w:t>大气污染物综合排放标准详解</w:t>
                  </w:r>
                  <w:r>
                    <w:rPr>
                      <w:rFonts w:ascii="Times New Roman" w:hAnsi="Times New Roman" w:eastAsia="宋体"/>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1h平均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0.05m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jc w:val="center"/>
                    <w:rPr>
                      <w:rFonts w:hint="eastAsia" w:ascii="Times New Roman" w:hAnsi="Times New Roman" w:eastAsia="宋体"/>
                      <w:b w:val="0"/>
                      <w:bCs w:val="0"/>
                      <w:sz w:val="21"/>
                      <w:szCs w:val="21"/>
                      <w:lang w:eastAsia="zh-CN"/>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default" w:eastAsia="宋体"/>
                      <w:b w:val="0"/>
                      <w:bCs w:val="0"/>
                      <w:color w:val="000000"/>
                      <w:sz w:val="21"/>
                      <w:szCs w:val="21"/>
                      <w:lang w:val="en-US" w:eastAsia="zh-CN"/>
                    </w:rPr>
                  </w:pPr>
                  <w:r>
                    <w:rPr>
                      <w:rFonts w:hint="eastAsia"/>
                      <w:b w:val="0"/>
                      <w:bCs w:val="0"/>
                      <w:color w:val="000000"/>
                      <w:sz w:val="21"/>
                      <w:szCs w:val="21"/>
                      <w:lang w:val="en-US" w:eastAsia="zh-CN"/>
                    </w:rPr>
                    <w:t>24h平均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eastAsia"/>
                      <w:b w:val="0"/>
                      <w:bCs w:val="0"/>
                      <w:color w:val="000000"/>
                      <w:sz w:val="21"/>
                      <w:szCs w:val="21"/>
                    </w:rPr>
                  </w:pPr>
                  <w:r>
                    <w:rPr>
                      <w:rFonts w:hint="eastAsia"/>
                      <w:b w:val="0"/>
                      <w:bCs w:val="0"/>
                      <w:color w:val="000000"/>
                      <w:sz w:val="21"/>
                      <w:szCs w:val="21"/>
                      <w:lang w:val="en-US" w:eastAsia="zh-CN"/>
                    </w:rPr>
                    <w:t>0.1m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jc w:val="center"/>
                    <w:rPr>
                      <w:rFonts w:hint="default" w:ascii="Times New Roman" w:hAnsi="Times New Roman" w:eastAsia="宋体"/>
                      <w:b w:val="0"/>
                      <w:bCs w:val="0"/>
                      <w:sz w:val="21"/>
                      <w:szCs w:val="21"/>
                      <w:lang w:val="en-US" w:eastAsia="zh-CN"/>
                    </w:rPr>
                  </w:pPr>
                  <w:r>
                    <w:rPr>
                      <w:rFonts w:hint="eastAsia"/>
                      <w:b w:val="0"/>
                      <w:bCs w:val="0"/>
                      <w:sz w:val="21"/>
                      <w:szCs w:val="21"/>
                      <w:lang w:eastAsia="zh-CN"/>
                    </w:rPr>
                    <w:t>《</w:t>
                  </w:r>
                  <w:r>
                    <w:rPr>
                      <w:rFonts w:hint="eastAsia"/>
                      <w:b w:val="0"/>
                      <w:bCs w:val="0"/>
                      <w:sz w:val="21"/>
                      <w:szCs w:val="21"/>
                      <w:lang w:val="en-US" w:eastAsia="zh-CN"/>
                    </w:rPr>
                    <w:t>环境空气质量标准</w:t>
                  </w:r>
                  <w:r>
                    <w:rPr>
                      <w:rFonts w:hint="eastAsia"/>
                      <w:b w:val="0"/>
                      <w:bCs w:val="0"/>
                      <w:sz w:val="21"/>
                      <w:szCs w:val="21"/>
                      <w:lang w:eastAsia="zh-CN"/>
                    </w:rPr>
                    <w:t>》（</w:t>
                  </w:r>
                  <w:r>
                    <w:rPr>
                      <w:rFonts w:hint="eastAsia"/>
                      <w:b w:val="0"/>
                      <w:bCs w:val="0"/>
                      <w:sz w:val="21"/>
                      <w:szCs w:val="21"/>
                      <w:lang w:val="en-US" w:eastAsia="zh-CN"/>
                    </w:rPr>
                    <w:t>GB3095-2012</w:t>
                  </w:r>
                  <w:r>
                    <w:rPr>
                      <w:rFonts w:hint="eastAsia"/>
                      <w:b w:val="0"/>
                      <w:bCs w:val="0"/>
                      <w:sz w:val="21"/>
                      <w:szCs w:val="21"/>
                      <w:lang w:eastAsia="zh-CN"/>
                    </w:rPr>
                    <w:t>）</w:t>
                  </w:r>
                  <w:r>
                    <w:rPr>
                      <w:rFonts w:hint="eastAsia"/>
                      <w:b w:val="0"/>
                      <w:bCs w:val="0"/>
                      <w:sz w:val="21"/>
                      <w:szCs w:val="21"/>
                      <w:lang w:val="en-US" w:eastAsia="zh-CN"/>
                    </w:rPr>
                    <w:t>及其2018年修改单耳机标准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硫酸雾</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1h平均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0.3m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1h平均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0.11m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1h平均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0.2m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1h平均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0.2m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149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1h平均</w:t>
                  </w:r>
                </w:p>
              </w:tc>
              <w:tc>
                <w:tcPr>
                  <w:tcW w:w="117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3m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w:t>
                  </w:r>
                </w:p>
              </w:tc>
              <w:tc>
                <w:tcPr>
                  <w:tcW w:w="1492" w:type="dxa"/>
                  <w:vAlign w:val="center"/>
                </w:tcPr>
                <w:p>
                  <w:pPr>
                    <w:keepNext w:val="0"/>
                    <w:keepLines w:val="0"/>
                    <w:suppressLineNumbers w:val="0"/>
                    <w:spacing w:before="0" w:beforeAutospacing="0" w:after="0" w:afterAutospacing="0"/>
                    <w:ind w:left="0" w:right="0"/>
                    <w:jc w:val="center"/>
                    <w:textAlignment w:val="baseline"/>
                    <w:rPr>
                      <w:rFonts w:hint="eastAsia"/>
                      <w:b w:val="0"/>
                      <w:bCs w:val="0"/>
                      <w:color w:val="000000"/>
                      <w:sz w:val="21"/>
                      <w:szCs w:val="21"/>
                    </w:rPr>
                  </w:pPr>
                  <w:r>
                    <w:rPr>
                      <w:rFonts w:hint="eastAsia"/>
                      <w:b w:val="0"/>
                      <w:bCs w:val="0"/>
                      <w:color w:val="000000"/>
                      <w:sz w:val="21"/>
                      <w:szCs w:val="21"/>
                    </w:rPr>
                    <w:t>1h平均</w:t>
                  </w:r>
                </w:p>
              </w:tc>
              <w:tc>
                <w:tcPr>
                  <w:tcW w:w="1173" w:type="dxa"/>
                  <w:vAlign w:val="center"/>
                </w:tcPr>
                <w:p>
                  <w:pPr>
                    <w:keepNext w:val="0"/>
                    <w:keepLines w:val="0"/>
                    <w:suppressLineNumbers w:val="0"/>
                    <w:spacing w:before="0" w:beforeAutospacing="0" w:after="0" w:afterAutospacing="0"/>
                    <w:ind w:left="0" w:right="0"/>
                    <w:jc w:val="center"/>
                    <w:textAlignment w:val="baseline"/>
                    <w:rPr>
                      <w:rFonts w:hint="default" w:eastAsia="宋体"/>
                      <w:b w:val="0"/>
                      <w:bCs w:val="0"/>
                      <w:color w:val="000000"/>
                      <w:sz w:val="21"/>
                      <w:szCs w:val="21"/>
                      <w:lang w:val="en-US" w:eastAsia="zh-CN"/>
                    </w:rPr>
                  </w:pPr>
                  <w:r>
                    <w:rPr>
                      <w:rFonts w:hint="eastAsia"/>
                      <w:b w:val="0"/>
                      <w:bCs w:val="0"/>
                      <w:color w:val="000000"/>
                      <w:sz w:val="21"/>
                      <w:szCs w:val="21"/>
                      <w:lang w:val="en-US" w:eastAsia="zh-CN"/>
                    </w:rPr>
                    <w:t>0.2m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vAlign w:val="center"/>
                </w:tcPr>
                <w:p>
                  <w:pPr>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5"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苯乙烯</w:t>
                  </w:r>
                </w:p>
              </w:tc>
              <w:tc>
                <w:tcPr>
                  <w:tcW w:w="1492" w:type="dxa"/>
                  <w:vAlign w:val="center"/>
                </w:tcPr>
                <w:p>
                  <w:pPr>
                    <w:keepNext w:val="0"/>
                    <w:keepLines w:val="0"/>
                    <w:suppressLineNumbers w:val="0"/>
                    <w:spacing w:before="0" w:beforeAutospacing="0" w:after="0" w:afterAutospacing="0"/>
                    <w:ind w:left="0" w:right="0"/>
                    <w:jc w:val="center"/>
                    <w:textAlignment w:val="baseline"/>
                    <w:rPr>
                      <w:rFonts w:hint="eastAsia"/>
                      <w:b w:val="0"/>
                      <w:bCs w:val="0"/>
                      <w:color w:val="000000"/>
                      <w:sz w:val="21"/>
                      <w:szCs w:val="21"/>
                    </w:rPr>
                  </w:pPr>
                  <w:r>
                    <w:rPr>
                      <w:rFonts w:hint="eastAsia"/>
                      <w:b w:val="0"/>
                      <w:bCs w:val="0"/>
                      <w:color w:val="000000"/>
                      <w:sz w:val="21"/>
                      <w:szCs w:val="21"/>
                    </w:rPr>
                    <w:t>1h平均</w:t>
                  </w:r>
                </w:p>
              </w:tc>
              <w:tc>
                <w:tcPr>
                  <w:tcW w:w="1173" w:type="dxa"/>
                  <w:vAlign w:val="center"/>
                </w:tcPr>
                <w:p>
                  <w:pPr>
                    <w:keepNext w:val="0"/>
                    <w:keepLines w:val="0"/>
                    <w:suppressLineNumbers w:val="0"/>
                    <w:spacing w:before="0" w:beforeAutospacing="0" w:after="0" w:afterAutospacing="0"/>
                    <w:ind w:left="0" w:right="0"/>
                    <w:jc w:val="center"/>
                    <w:textAlignment w:val="baseline"/>
                    <w:rPr>
                      <w:rFonts w:hint="default" w:eastAsia="宋体"/>
                      <w:b w:val="0"/>
                      <w:bCs w:val="0"/>
                      <w:color w:val="000000"/>
                      <w:sz w:val="21"/>
                      <w:szCs w:val="21"/>
                      <w:lang w:val="en-US" w:eastAsia="zh-CN"/>
                    </w:rPr>
                  </w:pPr>
                  <w:r>
                    <w:rPr>
                      <w:rFonts w:hint="eastAsia"/>
                      <w:b w:val="0"/>
                      <w:bCs w:val="0"/>
                      <w:color w:val="000000"/>
                      <w:sz w:val="21"/>
                      <w:szCs w:val="21"/>
                      <w:lang w:val="en-US" w:eastAsia="zh-CN"/>
                    </w:rPr>
                    <w:t>0.01m</w:t>
                  </w:r>
                  <w:r>
                    <w:rPr>
                      <w:b w:val="0"/>
                      <w:bCs w:val="0"/>
                      <w:color w:val="000000"/>
                      <w:sz w:val="21"/>
                      <w:szCs w:val="21"/>
                    </w:rPr>
                    <w:t>g</w:t>
                  </w:r>
                  <w:r>
                    <w:rPr>
                      <w:rFonts w:hint="eastAsia"/>
                      <w:b w:val="0"/>
                      <w:bCs w:val="0"/>
                      <w:color w:val="000000"/>
                      <w:sz w:val="21"/>
                      <w:szCs w:val="21"/>
                    </w:rPr>
                    <w:t>/</w:t>
                  </w:r>
                  <w:r>
                    <w:rPr>
                      <w:b w:val="0"/>
                      <w:bCs w:val="0"/>
                      <w:color w:val="000000"/>
                      <w:sz w:val="21"/>
                      <w:szCs w:val="21"/>
                    </w:rPr>
                    <w:t>m</w:t>
                  </w:r>
                  <w:r>
                    <w:rPr>
                      <w:b w:val="0"/>
                      <w:bCs w:val="0"/>
                      <w:color w:val="000000"/>
                      <w:sz w:val="21"/>
                      <w:szCs w:val="21"/>
                      <w:vertAlign w:val="superscript"/>
                    </w:rPr>
                    <w:t>3</w:t>
                  </w:r>
                </w:p>
              </w:tc>
              <w:tc>
                <w:tcPr>
                  <w:tcW w:w="4545" w:type="dxa"/>
                  <w:vAlign w:val="center"/>
                </w:tcPr>
                <w:p>
                  <w:pPr>
                    <w:keepNext w:val="0"/>
                    <w:keepLines w:val="0"/>
                    <w:suppressLineNumbers w:val="0"/>
                    <w:spacing w:before="0" w:beforeAutospacing="0" w:after="0" w:afterAutospacing="0" w:line="240" w:lineRule="auto"/>
                    <w:ind w:left="0" w:right="0"/>
                    <w:jc w:val="center"/>
                    <w:rPr>
                      <w:rFonts w:ascii="Times New Roman" w:hAnsi="Times New Roman" w:eastAsia="宋体"/>
                      <w:b w:val="0"/>
                      <w:bCs w:val="0"/>
                      <w:sz w:val="21"/>
                      <w:szCs w:val="21"/>
                    </w:rPr>
                  </w:pPr>
                  <w:r>
                    <w:rPr>
                      <w:rFonts w:hint="eastAsia"/>
                      <w:b w:val="0"/>
                      <w:bCs w:val="0"/>
                      <w:sz w:val="21"/>
                      <w:szCs w:val="21"/>
                      <w:lang w:eastAsia="zh-CN"/>
                    </w:rPr>
                    <w:t>《</w:t>
                  </w:r>
                  <w:r>
                    <w:rPr>
                      <w:rFonts w:hint="eastAsia"/>
                      <w:b w:val="0"/>
                      <w:bCs w:val="0"/>
                      <w:sz w:val="21"/>
                      <w:szCs w:val="21"/>
                      <w:lang w:val="en-US" w:eastAsia="zh-CN"/>
                    </w:rPr>
                    <w:t>环境影响评价技术导则 大气环境</w:t>
                  </w:r>
                  <w:r>
                    <w:rPr>
                      <w:rFonts w:hint="eastAsia"/>
                      <w:b w:val="0"/>
                      <w:bCs w:val="0"/>
                      <w:sz w:val="21"/>
                      <w:szCs w:val="21"/>
                      <w:lang w:eastAsia="zh-CN"/>
                    </w:rPr>
                    <w:t>》（</w:t>
                  </w:r>
                  <w:r>
                    <w:rPr>
                      <w:rFonts w:hint="eastAsia"/>
                      <w:b w:val="0"/>
                      <w:bCs w:val="0"/>
                      <w:sz w:val="21"/>
                      <w:szCs w:val="21"/>
                      <w:lang w:val="en-US" w:eastAsia="zh-CN"/>
                    </w:rPr>
                    <w:t>HJ2.2-2018</w:t>
                  </w:r>
                  <w:r>
                    <w:rPr>
                      <w:rFonts w:hint="eastAsia"/>
                      <w:b w:val="0"/>
                      <w:bCs w:val="0"/>
                      <w:sz w:val="21"/>
                      <w:szCs w:val="21"/>
                      <w:lang w:eastAsia="zh-CN"/>
                    </w:rPr>
                    <w:t>）</w:t>
                  </w:r>
                </w:p>
              </w:tc>
            </w:tr>
          </w:tbl>
          <w:p>
            <w:pPr>
              <w:pStyle w:val="66"/>
              <w:keepNext w:val="0"/>
              <w:keepLines w:val="0"/>
              <w:suppressLineNumbers w:val="0"/>
              <w:snapToGrid w:val="0"/>
              <w:spacing w:before="0" w:beforeAutospacing="0" w:after="0" w:afterAutospacing="0" w:line="440" w:lineRule="exact"/>
              <w:ind w:left="0" w:right="0" w:firstLine="482"/>
              <w:rPr>
                <w:rFonts w:ascii="Times New Roman" w:hAnsi="Times New Roman" w:eastAsia="宋体"/>
                <w:b w:val="0"/>
                <w:bCs w:val="0"/>
                <w:color w:val="000000"/>
              </w:rPr>
            </w:pPr>
            <w:r>
              <w:rPr>
                <w:rFonts w:ascii="Times New Roman" w:hAnsi="Times New Roman" w:eastAsia="宋体"/>
                <w:b w:val="0"/>
                <w:bCs w:val="0"/>
                <w:color w:val="000000"/>
              </w:rPr>
              <w:t>（2）估算模型参数</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黑体" w:cs="Times New Roman"/>
                <w:b w:val="0"/>
                <w:bCs w:val="0"/>
                <w:color w:val="000000"/>
                <w:kern w:val="2"/>
                <w:sz w:val="24"/>
              </w:rPr>
            </w:pPr>
            <w:r>
              <w:rPr>
                <w:color w:val="000000"/>
                <w:sz w:val="24"/>
              </w:rPr>
              <w:t>本次大气预测根据《环境影响评价技术导则</w:t>
            </w:r>
            <w:r>
              <w:rPr>
                <w:rFonts w:hint="eastAsia"/>
                <w:color w:val="000000"/>
                <w:sz w:val="24"/>
              </w:rPr>
              <w:t xml:space="preserve">  </w:t>
            </w:r>
            <w:r>
              <w:rPr>
                <w:color w:val="000000"/>
                <w:sz w:val="24"/>
              </w:rPr>
              <w:t>大气环境》</w:t>
            </w:r>
            <w:r>
              <w:rPr>
                <w:rFonts w:hint="eastAsia"/>
                <w:color w:val="000000"/>
                <w:sz w:val="24"/>
              </w:rPr>
              <w:t>（</w:t>
            </w:r>
            <w:r>
              <w:rPr>
                <w:color w:val="000000"/>
                <w:sz w:val="24"/>
              </w:rPr>
              <w:t>HJ2.2-2018</w:t>
            </w:r>
            <w:r>
              <w:rPr>
                <w:rFonts w:hint="eastAsia"/>
                <w:color w:val="000000"/>
                <w:sz w:val="24"/>
              </w:rPr>
              <w:t>）</w:t>
            </w:r>
            <w:r>
              <w:rPr>
                <w:color w:val="000000"/>
                <w:sz w:val="24"/>
              </w:rPr>
              <w:t>中的规定，利用导则推荐的估算模式AERSCREEN计算工程主要污染源污染物的最大落地浓度及其出现距离，估算模型参数见</w:t>
            </w:r>
            <w:r>
              <w:rPr>
                <w:rFonts w:hint="eastAsia"/>
                <w:color w:val="000000"/>
                <w:sz w:val="24"/>
                <w:lang w:val="en-US" w:eastAsia="zh-CN"/>
              </w:rPr>
              <w:t>下表</w:t>
            </w:r>
            <w:r>
              <w:rPr>
                <w:rFonts w:hint="eastAsia"/>
                <w:color w:val="000000"/>
                <w:sz w:val="24"/>
              </w:rPr>
              <w:t>。</w:t>
            </w:r>
          </w:p>
          <w:p>
            <w:pPr>
              <w:pStyle w:val="67"/>
              <w:keepNext w:val="0"/>
              <w:keepLines w:val="0"/>
              <w:suppressLineNumbers w:val="0"/>
              <w:spacing w:before="0" w:beforeAutospacing="0" w:after="0" w:afterAutospacing="0" w:line="440" w:lineRule="exact"/>
              <w:ind w:left="0" w:right="0" w:firstLine="480" w:firstLineChars="200"/>
              <w:jc w:val="both"/>
              <w:rPr>
                <w:rFonts w:hint="default" w:ascii="Times New Roman" w:hAnsi="Times New Roman" w:eastAsia="黑体" w:cs="Times New Roman"/>
                <w:b w:val="0"/>
                <w:bCs w:val="0"/>
                <w:color w:val="000000"/>
                <w:kern w:val="2"/>
                <w:sz w:val="24"/>
              </w:rPr>
            </w:pPr>
            <w:r>
              <w:rPr>
                <w:rFonts w:hint="default" w:ascii="Times New Roman" w:hAnsi="Times New Roman" w:eastAsia="黑体" w:cs="Times New Roman"/>
                <w:b w:val="0"/>
                <w:bCs w:val="0"/>
                <w:color w:val="000000"/>
                <w:kern w:val="2"/>
                <w:sz w:val="24"/>
              </w:rPr>
              <w:t>表</w:t>
            </w:r>
            <w:r>
              <w:rPr>
                <w:rFonts w:hint="eastAsia" w:ascii="Times New Roman" w:hAnsi="Times New Roman" w:eastAsia="黑体" w:cs="Times New Roman"/>
                <w:b w:val="0"/>
                <w:bCs w:val="0"/>
                <w:color w:val="000000"/>
                <w:kern w:val="2"/>
                <w:sz w:val="24"/>
                <w:lang w:val="en-US" w:eastAsia="zh-CN"/>
              </w:rPr>
              <w:t>4-</w:t>
            </w:r>
            <w:r>
              <w:rPr>
                <w:rFonts w:hint="eastAsia" w:cs="Times New Roman"/>
                <w:b w:val="0"/>
                <w:bCs w:val="0"/>
                <w:color w:val="000000"/>
                <w:kern w:val="2"/>
                <w:sz w:val="24"/>
                <w:lang w:val="en-US" w:eastAsia="zh-CN"/>
              </w:rPr>
              <w:t>5</w:t>
            </w:r>
            <w:r>
              <w:rPr>
                <w:rFonts w:hint="eastAsia" w:ascii="Times New Roman" w:hAnsi="Times New Roman" w:eastAsia="黑体" w:cs="Times New Roman"/>
                <w:b w:val="0"/>
                <w:bCs w:val="0"/>
                <w:color w:val="000000"/>
                <w:kern w:val="2"/>
                <w:sz w:val="24"/>
              </w:rPr>
              <w:t xml:space="preserve">   </w:t>
            </w:r>
            <w:r>
              <w:rPr>
                <w:rFonts w:hint="eastAsia" w:ascii="Times New Roman" w:hAnsi="Times New Roman" w:eastAsia="黑体" w:cs="Times New Roman"/>
                <w:b w:val="0"/>
                <w:bCs w:val="0"/>
                <w:color w:val="000000"/>
                <w:kern w:val="2"/>
                <w:sz w:val="24"/>
                <w:lang w:val="en-US" w:eastAsia="zh-CN"/>
              </w:rPr>
              <w:t xml:space="preserve">            </w:t>
            </w:r>
            <w:r>
              <w:rPr>
                <w:rFonts w:hint="eastAsia" w:ascii="Times New Roman" w:hAnsi="Times New Roman" w:eastAsia="黑体" w:cs="Times New Roman"/>
                <w:b w:val="0"/>
                <w:bCs w:val="0"/>
                <w:color w:val="000000"/>
                <w:kern w:val="2"/>
                <w:sz w:val="24"/>
              </w:rPr>
              <w:t xml:space="preserve"> </w:t>
            </w:r>
            <w:r>
              <w:rPr>
                <w:rFonts w:hint="default" w:ascii="Times New Roman" w:hAnsi="Times New Roman" w:eastAsia="黑体" w:cs="Times New Roman"/>
                <w:b w:val="0"/>
                <w:bCs w:val="0"/>
                <w:color w:val="000000"/>
                <w:kern w:val="2"/>
                <w:sz w:val="24"/>
              </w:rPr>
              <w:t>估算模型参数表</w:t>
            </w:r>
          </w:p>
          <w:tbl>
            <w:tblPr>
              <w:tblStyle w:val="30"/>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240"/>
              <w:gridCol w:w="3459"/>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99" w:type="dxa"/>
                  <w:gridSpan w:val="2"/>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参数</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40"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城市/农村选项</w:t>
                  </w:r>
                </w:p>
              </w:tc>
              <w:tc>
                <w:tcPr>
                  <w:tcW w:w="345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城市/农村</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4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b w:val="0"/>
                      <w:bCs w:val="0"/>
                      <w:color w:val="000000"/>
                      <w:szCs w:val="21"/>
                    </w:rPr>
                  </w:pPr>
                </w:p>
              </w:tc>
              <w:tc>
                <w:tcPr>
                  <w:tcW w:w="345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人口数（城市选项时）</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699" w:type="dxa"/>
                  <w:gridSpan w:val="2"/>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最高环境温度/℃</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spacing w:val="-4"/>
                      <w:kern w:val="2"/>
                      <w:sz w:val="21"/>
                      <w:szCs w:val="21"/>
                      <w:lang w:val="en-US" w:eastAsia="zh-CN" w:bidi="ar-SA"/>
                    </w:rPr>
                  </w:pPr>
                  <w:r>
                    <w:rPr>
                      <w:rFonts w:hint="default" w:ascii="Times New Roman" w:hAnsi="Times New Roman" w:cs="Times New Roman"/>
                      <w:b w:val="0"/>
                      <w:bCs w:val="0"/>
                      <w:color w:val="auto"/>
                      <w:spacing w:val="-4"/>
                      <w:kern w:val="2"/>
                      <w:sz w:val="21"/>
                      <w:szCs w:val="21"/>
                    </w:rPr>
                    <w:t>4</w:t>
                  </w:r>
                  <w:r>
                    <w:rPr>
                      <w:rFonts w:hint="default" w:ascii="Times New Roman" w:hAnsi="Times New Roman" w:cs="Times New Roman"/>
                      <w:b w:val="0"/>
                      <w:bCs w:val="0"/>
                      <w:color w:val="auto"/>
                      <w:spacing w:val="-4"/>
                      <w:kern w:val="2"/>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99" w:type="dxa"/>
                  <w:gridSpan w:val="2"/>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最低环境温度/℃</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bCs w:val="0"/>
                      <w:color w:val="auto"/>
                      <w:spacing w:val="-4"/>
                      <w:kern w:val="2"/>
                      <w:sz w:val="21"/>
                      <w:szCs w:val="21"/>
                      <w:lang w:val="en-US" w:eastAsia="zh-CN" w:bidi="ar-SA"/>
                    </w:rPr>
                  </w:pPr>
                  <w:r>
                    <w:rPr>
                      <w:rFonts w:hint="default" w:ascii="Times New Roman" w:hAnsi="Times New Roman" w:cs="Times New Roman"/>
                      <w:b w:val="0"/>
                      <w:bCs w:val="0"/>
                      <w:color w:val="auto"/>
                      <w:spacing w:val="-4"/>
                      <w:kern w:val="2"/>
                      <w:sz w:val="21"/>
                      <w:szCs w:val="21"/>
                    </w:rPr>
                    <w:t>-</w:t>
                  </w:r>
                  <w:r>
                    <w:rPr>
                      <w:rFonts w:hint="default" w:ascii="Times New Roman" w:hAnsi="Times New Roman" w:cs="Times New Roman"/>
                      <w:b w:val="0"/>
                      <w:bCs w:val="0"/>
                      <w:color w:val="auto"/>
                      <w:spacing w:val="-4"/>
                      <w:kern w:val="2"/>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699" w:type="dxa"/>
                  <w:gridSpan w:val="2"/>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土地利用类型</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default" w:ascii="Times New Roman" w:hAnsi="Times New Roman" w:eastAsia="宋体"/>
                      <w:b w:val="0"/>
                      <w:bCs w:val="0"/>
                      <w:lang w:val="en-US" w:eastAsia="zh-CN"/>
                    </w:rPr>
                  </w:pPr>
                  <w:r>
                    <w:rPr>
                      <w:rFonts w:hint="eastAsia"/>
                      <w:b w:val="0"/>
                      <w:bCs w:val="0"/>
                      <w:lang w:val="en-US" w:eastAsia="zh-CN"/>
                    </w:rPr>
                    <w:t>行政办公用地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699" w:type="dxa"/>
                  <w:gridSpan w:val="2"/>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区域湿度条件</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中等湿度气候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40"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是否考虑地形</w:t>
                  </w:r>
                </w:p>
              </w:tc>
              <w:tc>
                <w:tcPr>
                  <w:tcW w:w="345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考虑地形</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4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b w:val="0"/>
                      <w:bCs w:val="0"/>
                      <w:color w:val="000000"/>
                      <w:szCs w:val="21"/>
                    </w:rPr>
                  </w:pPr>
                </w:p>
              </w:tc>
              <w:tc>
                <w:tcPr>
                  <w:tcW w:w="345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地形数据分辨率/m</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40"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是否考虑岸线熏烟</w:t>
                  </w:r>
                </w:p>
              </w:tc>
              <w:tc>
                <w:tcPr>
                  <w:tcW w:w="345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考虑岸线熏烟</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4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b w:val="0"/>
                      <w:bCs w:val="0"/>
                      <w:color w:val="000000"/>
                      <w:szCs w:val="21"/>
                    </w:rPr>
                  </w:pPr>
                </w:p>
              </w:tc>
              <w:tc>
                <w:tcPr>
                  <w:tcW w:w="345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岸线距离/km</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4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left"/>
                    <w:rPr>
                      <w:b w:val="0"/>
                      <w:bCs w:val="0"/>
                      <w:color w:val="000000"/>
                      <w:szCs w:val="21"/>
                    </w:rPr>
                  </w:pPr>
                </w:p>
              </w:tc>
              <w:tc>
                <w:tcPr>
                  <w:tcW w:w="345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岸线方向/º</w:t>
                  </w:r>
                </w:p>
              </w:tc>
              <w:tc>
                <w:tcPr>
                  <w:tcW w:w="2836"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w:t>
                  </w:r>
                </w:p>
              </w:tc>
            </w:tr>
          </w:tbl>
          <w:p>
            <w:pPr>
              <w:pStyle w:val="66"/>
              <w:keepNext w:val="0"/>
              <w:keepLines w:val="0"/>
              <w:suppressLineNumbers w:val="0"/>
              <w:snapToGrid w:val="0"/>
              <w:spacing w:before="0" w:beforeAutospacing="0" w:after="0" w:afterAutospacing="0" w:line="440" w:lineRule="exact"/>
              <w:ind w:left="0" w:right="0" w:firstLine="482"/>
              <w:rPr>
                <w:rFonts w:ascii="Times New Roman" w:hAnsi="Times New Roman" w:eastAsia="宋体"/>
                <w:b w:val="0"/>
                <w:bCs w:val="0"/>
                <w:color w:val="000000"/>
              </w:rPr>
            </w:pPr>
            <w:r>
              <w:rPr>
                <w:rFonts w:ascii="Times New Roman" w:hAnsi="Times New Roman" w:eastAsia="宋体"/>
                <w:b w:val="0"/>
                <w:bCs w:val="0"/>
                <w:color w:val="000000"/>
              </w:rPr>
              <w:t>（3）污染源调查</w:t>
            </w:r>
          </w:p>
          <w:p>
            <w:pPr>
              <w:pStyle w:val="67"/>
              <w:keepNext w:val="0"/>
              <w:keepLines w:val="0"/>
              <w:suppressLineNumbers w:val="0"/>
              <w:spacing w:before="0" w:beforeAutospacing="0" w:after="0" w:afterAutospacing="0" w:line="440" w:lineRule="exact"/>
              <w:ind w:left="0" w:right="0" w:firstLine="480" w:firstLineChars="200"/>
              <w:jc w:val="both"/>
              <w:rPr>
                <w:rFonts w:eastAsia="宋体"/>
                <w:color w:val="000000"/>
                <w:sz w:val="24"/>
                <w:szCs w:val="24"/>
              </w:rPr>
            </w:pPr>
            <w:r>
              <w:rPr>
                <w:rFonts w:hint="eastAsia" w:eastAsia="宋体"/>
                <w:color w:val="000000"/>
                <w:sz w:val="24"/>
                <w:szCs w:val="24"/>
              </w:rPr>
              <w:t>本项目建设完成后，</w:t>
            </w:r>
            <w:r>
              <w:rPr>
                <w:rFonts w:eastAsia="宋体" w:cs="Times New Roman"/>
                <w:color w:val="000000"/>
                <w:kern w:val="2"/>
                <w:sz w:val="24"/>
                <w:szCs w:val="24"/>
              </w:rPr>
              <w:t>无组织污染源参数</w:t>
            </w:r>
            <w:r>
              <w:rPr>
                <w:rFonts w:hint="eastAsia" w:eastAsia="宋体" w:cs="Times New Roman"/>
                <w:color w:val="000000"/>
                <w:kern w:val="2"/>
                <w:sz w:val="24"/>
                <w:szCs w:val="24"/>
                <w:lang w:val="en-US" w:eastAsia="zh-CN"/>
              </w:rPr>
              <w:t>见下表</w:t>
            </w:r>
            <w:r>
              <w:rPr>
                <w:rFonts w:eastAsia="宋体" w:cs="Times New Roman"/>
                <w:color w:val="000000"/>
                <w:kern w:val="2"/>
                <w:sz w:val="24"/>
                <w:szCs w:val="24"/>
              </w:rPr>
              <w:t>。</w:t>
            </w:r>
          </w:p>
          <w:p>
            <w:pPr>
              <w:pStyle w:val="67"/>
              <w:keepNext w:val="0"/>
              <w:keepLines w:val="0"/>
              <w:suppressLineNumbers w:val="0"/>
              <w:spacing w:before="0" w:beforeAutospacing="0" w:after="0" w:afterAutospacing="0" w:line="440" w:lineRule="exact"/>
              <w:ind w:left="0" w:right="0" w:firstLine="480" w:firstLineChars="200"/>
              <w:jc w:val="both"/>
              <w:rPr>
                <w:rFonts w:hint="default" w:ascii="Times New Roman" w:hAnsi="Times New Roman" w:eastAsia="黑体" w:cs="Times New Roman"/>
                <w:b w:val="0"/>
                <w:bCs w:val="0"/>
                <w:color w:val="000000"/>
                <w:kern w:val="2"/>
                <w:sz w:val="24"/>
              </w:rPr>
            </w:pPr>
            <w:r>
              <w:rPr>
                <w:rFonts w:hint="default" w:ascii="Times New Roman" w:hAnsi="Times New Roman" w:eastAsia="黑体" w:cs="Times New Roman"/>
                <w:b w:val="0"/>
                <w:bCs w:val="0"/>
                <w:color w:val="000000"/>
                <w:kern w:val="2"/>
                <w:sz w:val="24"/>
              </w:rPr>
              <w:t>表</w:t>
            </w:r>
            <w:r>
              <w:rPr>
                <w:rFonts w:hint="eastAsia" w:ascii="Times New Roman" w:hAnsi="Times New Roman" w:eastAsia="黑体" w:cs="Times New Roman"/>
                <w:b w:val="0"/>
                <w:bCs w:val="0"/>
                <w:color w:val="000000"/>
                <w:kern w:val="2"/>
                <w:sz w:val="24"/>
                <w:lang w:val="en-US" w:eastAsia="zh-CN"/>
              </w:rPr>
              <w:t>4-</w:t>
            </w:r>
            <w:r>
              <w:rPr>
                <w:rFonts w:hint="eastAsia" w:cs="Times New Roman"/>
                <w:b w:val="0"/>
                <w:bCs w:val="0"/>
                <w:color w:val="000000"/>
                <w:kern w:val="2"/>
                <w:sz w:val="24"/>
                <w:lang w:val="en-US" w:eastAsia="zh-CN"/>
              </w:rPr>
              <w:t>6</w:t>
            </w:r>
            <w:r>
              <w:rPr>
                <w:rFonts w:hint="eastAsia" w:ascii="Times New Roman" w:hAnsi="Times New Roman" w:eastAsia="黑体" w:cs="Times New Roman"/>
                <w:b w:val="0"/>
                <w:bCs w:val="0"/>
                <w:color w:val="000000"/>
                <w:kern w:val="2"/>
                <w:sz w:val="24"/>
              </w:rPr>
              <w:t xml:space="preserve">   </w:t>
            </w:r>
            <w:r>
              <w:rPr>
                <w:rFonts w:hint="eastAsia" w:ascii="Times New Roman" w:hAnsi="Times New Roman" w:eastAsia="黑体" w:cs="Times New Roman"/>
                <w:b w:val="0"/>
                <w:bCs w:val="0"/>
                <w:color w:val="000000"/>
                <w:kern w:val="2"/>
                <w:sz w:val="24"/>
                <w:lang w:val="en-US" w:eastAsia="zh-CN"/>
              </w:rPr>
              <w:t xml:space="preserve">               </w:t>
            </w:r>
            <w:r>
              <w:rPr>
                <w:rFonts w:hint="eastAsia" w:ascii="Times New Roman" w:hAnsi="Times New Roman" w:eastAsia="黑体" w:cs="Times New Roman"/>
                <w:b w:val="0"/>
                <w:bCs w:val="0"/>
                <w:color w:val="000000"/>
                <w:kern w:val="2"/>
                <w:sz w:val="24"/>
              </w:rPr>
              <w:t xml:space="preserve"> </w:t>
            </w:r>
            <w:r>
              <w:rPr>
                <w:rFonts w:hint="default" w:ascii="Times New Roman" w:hAnsi="Times New Roman" w:eastAsia="黑体" w:cs="Times New Roman"/>
                <w:b w:val="0"/>
                <w:bCs w:val="0"/>
                <w:color w:val="000000"/>
                <w:kern w:val="2"/>
                <w:sz w:val="24"/>
              </w:rPr>
              <w:t>面源参数表</w:t>
            </w:r>
          </w:p>
          <w:tbl>
            <w:tblPr>
              <w:tblStyle w:val="30"/>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5"/>
              <w:gridCol w:w="898"/>
              <w:gridCol w:w="899"/>
              <w:gridCol w:w="1049"/>
              <w:gridCol w:w="899"/>
              <w:gridCol w:w="598"/>
              <w:gridCol w:w="972"/>
              <w:gridCol w:w="1572"/>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jc w:val="center"/>
              </w:trPr>
              <w:tc>
                <w:tcPr>
                  <w:tcW w:w="725"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面源长度/m</w:t>
                  </w:r>
                </w:p>
              </w:tc>
              <w:tc>
                <w:tcPr>
                  <w:tcW w:w="898"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面源宽度/m</w:t>
                  </w:r>
                </w:p>
              </w:tc>
              <w:tc>
                <w:tcPr>
                  <w:tcW w:w="89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与正北向夹角/°</w:t>
                  </w:r>
                </w:p>
              </w:tc>
              <w:tc>
                <w:tcPr>
                  <w:tcW w:w="104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面源有效排放高度/m</w:t>
                  </w:r>
                </w:p>
              </w:tc>
              <w:tc>
                <w:tcPr>
                  <w:tcW w:w="899"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年排放小时数（h）</w:t>
                  </w:r>
                </w:p>
              </w:tc>
              <w:tc>
                <w:tcPr>
                  <w:tcW w:w="598" w:type="dxa"/>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排放工况</w:t>
                  </w:r>
                </w:p>
              </w:tc>
              <w:tc>
                <w:tcPr>
                  <w:tcW w:w="3467" w:type="dxa"/>
                  <w:gridSpan w:val="3"/>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r>
                    <w:rPr>
                      <w:rFonts w:ascii="Times New Roman" w:hAnsi="Times New Roman" w:eastAsia="宋体"/>
                      <w:b w:val="0"/>
                      <w:bCs w:val="0"/>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 w:val="0"/>
                      <w:bCs w:val="0"/>
                      <w:kern w:val="0"/>
                      <w:sz w:val="21"/>
                      <w:szCs w:val="21"/>
                      <w:lang w:val="en-US" w:eastAsia="zh-CN" w:bidi="ar-SA"/>
                    </w:rPr>
                  </w:pPr>
                  <w:r>
                    <w:rPr>
                      <w:rFonts w:hint="eastAsia"/>
                      <w:b w:val="0"/>
                      <w:bCs w:val="0"/>
                      <w:lang w:val="en-US" w:eastAsia="zh-CN"/>
                    </w:rPr>
                    <w:t>38.6</w:t>
                  </w:r>
                </w:p>
              </w:tc>
              <w:tc>
                <w:tcPr>
                  <w:tcW w:w="898"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 w:val="0"/>
                      <w:bCs w:val="0"/>
                      <w:kern w:val="0"/>
                      <w:sz w:val="21"/>
                      <w:szCs w:val="21"/>
                      <w:lang w:val="en-US" w:eastAsia="zh-CN" w:bidi="ar-SA"/>
                    </w:rPr>
                  </w:pPr>
                  <w:r>
                    <w:rPr>
                      <w:rFonts w:hint="eastAsia"/>
                      <w:b w:val="0"/>
                      <w:bCs w:val="0"/>
                      <w:lang w:val="en-US" w:eastAsia="zh-CN"/>
                    </w:rPr>
                    <w:t>18</w:t>
                  </w:r>
                </w:p>
              </w:tc>
              <w:tc>
                <w:tcPr>
                  <w:tcW w:w="899"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 w:val="0"/>
                      <w:bCs w:val="0"/>
                      <w:kern w:val="0"/>
                      <w:sz w:val="21"/>
                      <w:szCs w:val="21"/>
                      <w:lang w:val="en-US" w:eastAsia="zh-CN" w:bidi="ar-SA"/>
                    </w:rPr>
                  </w:pPr>
                  <w:r>
                    <w:rPr>
                      <w:rFonts w:hint="eastAsia"/>
                      <w:b w:val="0"/>
                      <w:bCs w:val="0"/>
                      <w:lang w:val="en-US" w:eastAsia="zh-CN"/>
                    </w:rPr>
                    <w:t>10</w:t>
                  </w:r>
                </w:p>
              </w:tc>
              <w:tc>
                <w:tcPr>
                  <w:tcW w:w="1049"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 w:val="0"/>
                      <w:bCs w:val="0"/>
                      <w:kern w:val="0"/>
                      <w:sz w:val="21"/>
                      <w:szCs w:val="21"/>
                      <w:lang w:val="en-US" w:eastAsia="zh-CN" w:bidi="ar-SA"/>
                    </w:rPr>
                  </w:pPr>
                  <w:r>
                    <w:rPr>
                      <w:rFonts w:hint="eastAsia"/>
                      <w:b w:val="0"/>
                      <w:bCs w:val="0"/>
                      <w:lang w:val="en-US" w:eastAsia="zh-CN"/>
                    </w:rPr>
                    <w:t>18</w:t>
                  </w:r>
                </w:p>
              </w:tc>
              <w:tc>
                <w:tcPr>
                  <w:tcW w:w="899"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 w:val="0"/>
                      <w:bCs w:val="0"/>
                      <w:kern w:val="0"/>
                      <w:sz w:val="21"/>
                      <w:szCs w:val="21"/>
                      <w:lang w:val="en-US" w:eastAsia="zh-CN" w:bidi="ar-SA"/>
                    </w:rPr>
                  </w:pPr>
                  <w:r>
                    <w:rPr>
                      <w:rFonts w:hint="eastAsia"/>
                      <w:b w:val="0"/>
                      <w:bCs w:val="0"/>
                      <w:lang w:val="en-US" w:eastAsia="zh-CN"/>
                    </w:rPr>
                    <w:t>1500</w:t>
                  </w:r>
                </w:p>
              </w:tc>
              <w:tc>
                <w:tcPr>
                  <w:tcW w:w="598"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leftChars="0" w:right="0" w:rightChars="0"/>
                    <w:rPr>
                      <w:rFonts w:ascii="Times New Roman" w:hAnsi="Times New Roman" w:eastAsia="宋体" w:cs="Times New Roman"/>
                      <w:b w:val="0"/>
                      <w:bCs w:val="0"/>
                      <w:kern w:val="0"/>
                      <w:sz w:val="21"/>
                      <w:szCs w:val="21"/>
                      <w:lang w:val="en-US" w:eastAsia="zh-CN" w:bidi="ar-SA"/>
                    </w:rPr>
                  </w:pPr>
                  <w:r>
                    <w:rPr>
                      <w:rFonts w:ascii="Times New Roman" w:hAnsi="Times New Roman" w:eastAsia="宋体"/>
                      <w:b w:val="0"/>
                      <w:bCs w:val="0"/>
                    </w:rPr>
                    <w:t>连续</w:t>
                  </w:r>
                </w:p>
              </w:tc>
              <w:tc>
                <w:tcPr>
                  <w:tcW w:w="972"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 w:val="0"/>
                      <w:bCs w:val="0"/>
                      <w:kern w:val="0"/>
                      <w:sz w:val="21"/>
                      <w:szCs w:val="21"/>
                      <w:lang w:val="en-US" w:eastAsia="zh-CN" w:bidi="ar-SA"/>
                    </w:rPr>
                  </w:pPr>
                  <w:r>
                    <w:rPr>
                      <w:rFonts w:hint="eastAsia"/>
                      <w:b w:val="0"/>
                      <w:bCs w:val="0"/>
                      <w:lang w:val="en-US" w:eastAsia="zh-CN"/>
                    </w:rPr>
                    <w:t>实验过程</w:t>
                  </w: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非甲烷总烃</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8.91</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default"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default"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default" w:ascii="Times New Roman" w:hAnsi="Times New Roman" w:eastAsia="宋体"/>
                      <w:b w:val="0"/>
                      <w:bCs w:val="0"/>
                      <w:lang w:val="en-US" w:eastAsia="zh-CN"/>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default"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default" w:eastAsia="宋体"/>
                      <w:b w:val="0"/>
                      <w:bCs w:val="0"/>
                      <w:lang w:val="en-US"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7.87</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硫酸雾</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2.36</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3.48</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1.33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2.64</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3.03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5"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ascii="Times New Roman" w:hAnsi="Times New Roman" w:eastAsia="宋体"/>
                      <w:b w:val="0"/>
                      <w:bCs w:val="0"/>
                    </w:rPr>
                  </w:pPr>
                </w:p>
              </w:tc>
              <w:tc>
                <w:tcPr>
                  <w:tcW w:w="104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val="en-US" w:eastAsia="zh-CN"/>
                    </w:rPr>
                  </w:pPr>
                </w:p>
              </w:tc>
              <w:tc>
                <w:tcPr>
                  <w:tcW w:w="899"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b w:val="0"/>
                      <w:bCs w:val="0"/>
                      <w:lang w:val="en-US" w:eastAsia="zh-CN"/>
                    </w:rPr>
                  </w:pPr>
                </w:p>
              </w:tc>
              <w:tc>
                <w:tcPr>
                  <w:tcW w:w="5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ascii="Times New Roman" w:hAnsi="Times New Roman" w:eastAsia="宋体"/>
                      <w:b w:val="0"/>
                      <w:bCs w:val="0"/>
                    </w:rPr>
                  </w:pPr>
                </w:p>
              </w:tc>
              <w:tc>
                <w:tcPr>
                  <w:tcW w:w="972"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rPr>
                      <w:rFonts w:hint="eastAsia" w:eastAsia="宋体"/>
                      <w:b w:val="0"/>
                      <w:bCs w:val="0"/>
                      <w:lang w:eastAsia="zh-CN"/>
                    </w:rPr>
                  </w:pPr>
                </w:p>
              </w:tc>
              <w:tc>
                <w:tcPr>
                  <w:tcW w:w="157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苯乙烯</w:t>
                  </w:r>
                </w:p>
              </w:tc>
              <w:tc>
                <w:tcPr>
                  <w:tcW w:w="92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1.33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-8</w:t>
                  </w:r>
                </w:p>
              </w:tc>
            </w:tr>
          </w:tbl>
          <w:p>
            <w:pPr>
              <w:pStyle w:val="66"/>
              <w:keepNext w:val="0"/>
              <w:keepLines w:val="0"/>
              <w:suppressLineNumbers w:val="0"/>
              <w:snapToGrid w:val="0"/>
              <w:spacing w:before="0" w:beforeAutospacing="0" w:after="0" w:afterAutospacing="0" w:line="440" w:lineRule="exact"/>
              <w:ind w:left="0" w:right="0" w:firstLine="482"/>
              <w:rPr>
                <w:rFonts w:ascii="Times New Roman" w:hAnsi="Times New Roman" w:eastAsia="宋体"/>
                <w:b w:val="0"/>
                <w:bCs w:val="0"/>
                <w:color w:val="000000"/>
              </w:rPr>
            </w:pPr>
            <w:r>
              <w:rPr>
                <w:rFonts w:ascii="Times New Roman" w:hAnsi="Times New Roman" w:eastAsia="宋体"/>
                <w:b w:val="0"/>
                <w:bCs w:val="0"/>
                <w:color w:val="000000"/>
              </w:rPr>
              <w:t>（</w:t>
            </w:r>
            <w:r>
              <w:rPr>
                <w:rFonts w:hint="eastAsia" w:ascii="Times New Roman" w:hAnsi="Times New Roman" w:eastAsia="宋体"/>
                <w:b w:val="0"/>
                <w:bCs w:val="0"/>
                <w:color w:val="000000"/>
              </w:rPr>
              <w:t>4</w:t>
            </w:r>
            <w:r>
              <w:rPr>
                <w:rFonts w:ascii="Times New Roman" w:hAnsi="Times New Roman" w:eastAsia="宋体"/>
                <w:b w:val="0"/>
                <w:bCs w:val="0"/>
                <w:color w:val="000000"/>
              </w:rPr>
              <w:t>）预测结果分析</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黑体" w:cs="Times New Roman"/>
                <w:b w:val="0"/>
                <w:bCs w:val="0"/>
                <w:color w:val="000000"/>
                <w:kern w:val="2"/>
                <w:sz w:val="24"/>
              </w:rPr>
            </w:pPr>
            <w:r>
              <w:rPr>
                <w:snapToGrid w:val="0"/>
                <w:color w:val="000000"/>
                <w:kern w:val="0"/>
                <w:sz w:val="24"/>
              </w:rPr>
              <w:t>采用《环境影响评价技术导则大气环境》（HJ2.2-2018）中推荐的估算模型AERSCREEN预测全厂废气排放对周围大气环境的影响，预测结果见下表。</w:t>
            </w:r>
          </w:p>
          <w:p>
            <w:pPr>
              <w:pStyle w:val="67"/>
              <w:keepNext w:val="0"/>
              <w:keepLines w:val="0"/>
              <w:suppressLineNumbers w:val="0"/>
              <w:spacing w:before="0" w:beforeAutospacing="0" w:after="0" w:afterAutospacing="0" w:line="440" w:lineRule="exact"/>
              <w:ind w:left="0" w:right="0" w:firstLine="480" w:firstLineChars="200"/>
              <w:jc w:val="both"/>
              <w:rPr>
                <w:rFonts w:hint="default" w:ascii="Times New Roman" w:hAnsi="Times New Roman" w:eastAsia="黑体" w:cs="Times New Roman"/>
                <w:b w:val="0"/>
                <w:bCs w:val="0"/>
                <w:color w:val="000000"/>
                <w:kern w:val="2"/>
                <w:sz w:val="24"/>
              </w:rPr>
            </w:pPr>
            <w:r>
              <w:rPr>
                <w:rFonts w:hint="default" w:ascii="Times New Roman" w:hAnsi="Times New Roman" w:eastAsia="黑体" w:cs="Times New Roman"/>
                <w:b w:val="0"/>
                <w:bCs w:val="0"/>
                <w:color w:val="000000"/>
                <w:kern w:val="2"/>
                <w:sz w:val="24"/>
              </w:rPr>
              <w:t>表</w:t>
            </w:r>
            <w:r>
              <w:rPr>
                <w:rFonts w:hint="eastAsia" w:ascii="Times New Roman" w:hAnsi="Times New Roman" w:eastAsia="黑体" w:cs="Times New Roman"/>
                <w:b w:val="0"/>
                <w:bCs w:val="0"/>
                <w:color w:val="000000"/>
                <w:kern w:val="2"/>
                <w:sz w:val="24"/>
                <w:lang w:val="en-US" w:eastAsia="zh-CN"/>
              </w:rPr>
              <w:t>4-</w:t>
            </w:r>
            <w:r>
              <w:rPr>
                <w:rFonts w:hint="eastAsia" w:cs="Times New Roman"/>
                <w:b w:val="0"/>
                <w:bCs w:val="0"/>
                <w:color w:val="000000"/>
                <w:kern w:val="2"/>
                <w:sz w:val="24"/>
                <w:lang w:val="en-US" w:eastAsia="zh-CN"/>
              </w:rPr>
              <w:t>7</w:t>
            </w:r>
            <w:r>
              <w:rPr>
                <w:rFonts w:hint="eastAsia" w:ascii="Times New Roman" w:hAnsi="Times New Roman" w:eastAsia="黑体" w:cs="Times New Roman"/>
                <w:b w:val="0"/>
                <w:bCs w:val="0"/>
                <w:color w:val="000000"/>
                <w:kern w:val="2"/>
                <w:sz w:val="24"/>
              </w:rPr>
              <w:t xml:space="preserve">  </w:t>
            </w:r>
            <w:r>
              <w:rPr>
                <w:rFonts w:hint="eastAsia" w:ascii="Times New Roman" w:hAnsi="Times New Roman" w:eastAsia="黑体" w:cs="Times New Roman"/>
                <w:b w:val="0"/>
                <w:bCs w:val="0"/>
                <w:color w:val="000000"/>
                <w:kern w:val="2"/>
                <w:sz w:val="24"/>
                <w:lang w:val="en-US" w:eastAsia="zh-CN"/>
              </w:rPr>
              <w:t xml:space="preserve">   </w:t>
            </w:r>
            <w:r>
              <w:rPr>
                <w:rFonts w:hint="eastAsia" w:ascii="Times New Roman" w:hAnsi="Times New Roman" w:eastAsia="黑体" w:cs="Times New Roman"/>
                <w:b w:val="0"/>
                <w:bCs w:val="0"/>
                <w:color w:val="000000"/>
                <w:kern w:val="2"/>
                <w:sz w:val="24"/>
              </w:rPr>
              <w:t xml:space="preserve">  </w:t>
            </w:r>
            <w:r>
              <w:rPr>
                <w:rFonts w:hint="default" w:ascii="Times New Roman" w:hAnsi="Times New Roman" w:eastAsia="黑体" w:cs="Times New Roman"/>
                <w:b w:val="0"/>
                <w:bCs w:val="0"/>
                <w:color w:val="000000"/>
                <w:kern w:val="2"/>
                <w:sz w:val="24"/>
              </w:rPr>
              <w:t>AERSCREEN估算模型计算结果一览表</w:t>
            </w:r>
          </w:p>
          <w:tbl>
            <w:tblPr>
              <w:tblStyle w:val="30"/>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98"/>
              <w:gridCol w:w="900"/>
              <w:gridCol w:w="1274"/>
              <w:gridCol w:w="1063"/>
              <w:gridCol w:w="1145"/>
              <w:gridCol w:w="119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r>
                    <w:rPr>
                      <w:b w:val="0"/>
                      <w:bCs w:val="0"/>
                      <w:color w:val="000000"/>
                      <w:sz w:val="21"/>
                      <w:szCs w:val="21"/>
                    </w:rPr>
                    <w:t>排放方式</w:t>
                  </w:r>
                </w:p>
              </w:tc>
              <w:tc>
                <w:tcPr>
                  <w:tcW w:w="1198"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r>
                    <w:rPr>
                      <w:b w:val="0"/>
                      <w:bCs w:val="0"/>
                      <w:color w:val="000000"/>
                      <w:sz w:val="21"/>
                      <w:szCs w:val="21"/>
                    </w:rPr>
                    <w:t>工序</w:t>
                  </w:r>
                </w:p>
              </w:tc>
              <w:tc>
                <w:tcPr>
                  <w:tcW w:w="900"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r>
                    <w:rPr>
                      <w:b w:val="0"/>
                      <w:bCs w:val="0"/>
                      <w:color w:val="000000"/>
                      <w:sz w:val="21"/>
                      <w:szCs w:val="21"/>
                    </w:rPr>
                    <w:t>污染源</w:t>
                  </w:r>
                </w:p>
              </w:tc>
              <w:tc>
                <w:tcPr>
                  <w:tcW w:w="1274"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r>
                    <w:rPr>
                      <w:b w:val="0"/>
                      <w:bCs w:val="0"/>
                      <w:color w:val="000000"/>
                      <w:sz w:val="21"/>
                      <w:szCs w:val="21"/>
                    </w:rPr>
                    <w:t>污染物</w:t>
                  </w:r>
                </w:p>
              </w:tc>
              <w:tc>
                <w:tcPr>
                  <w:tcW w:w="1063"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b w:val="0"/>
                      <w:bCs w:val="0"/>
                      <w:color w:val="000000"/>
                      <w:sz w:val="21"/>
                      <w:szCs w:val="21"/>
                    </w:rPr>
                  </w:pPr>
                  <w:r>
                    <w:rPr>
                      <w:b w:val="0"/>
                      <w:bCs w:val="0"/>
                      <w:color w:val="000000"/>
                      <w:sz w:val="21"/>
                      <w:szCs w:val="21"/>
                    </w:rPr>
                    <w:t>污染物</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b w:val="0"/>
                      <w:bCs w:val="0"/>
                      <w:color w:val="000000"/>
                      <w:sz w:val="21"/>
                      <w:szCs w:val="21"/>
                    </w:rPr>
                  </w:pPr>
                  <w:r>
                    <w:rPr>
                      <w:b w:val="0"/>
                      <w:bCs w:val="0"/>
                      <w:color w:val="000000"/>
                      <w:sz w:val="21"/>
                      <w:szCs w:val="21"/>
                    </w:rPr>
                    <w:t>下风向质量浓度Ci（μg/m</w:t>
                  </w:r>
                  <w:r>
                    <w:rPr>
                      <w:b w:val="0"/>
                      <w:bCs w:val="0"/>
                      <w:color w:val="000000"/>
                      <w:sz w:val="21"/>
                      <w:szCs w:val="21"/>
                      <w:vertAlign w:val="superscript"/>
                    </w:rPr>
                    <w:t>3</w:t>
                  </w:r>
                  <w:r>
                    <w:rPr>
                      <w:b w:val="0"/>
                      <w:bCs w:val="0"/>
                      <w:color w:val="000000"/>
                      <w:sz w:val="21"/>
                      <w:szCs w:val="21"/>
                    </w:rPr>
                    <w:t>）</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b w:val="0"/>
                      <w:bCs w:val="0"/>
                      <w:color w:val="000000"/>
                      <w:sz w:val="21"/>
                      <w:szCs w:val="21"/>
                    </w:rPr>
                  </w:pPr>
                  <w:r>
                    <w:rPr>
                      <w:b w:val="0"/>
                      <w:bCs w:val="0"/>
                      <w:color w:val="000000"/>
                      <w:sz w:val="21"/>
                      <w:szCs w:val="21"/>
                    </w:rPr>
                    <w:t>占标率Pi（%）</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b w:val="0"/>
                      <w:bCs w:val="0"/>
                      <w:color w:val="000000"/>
                      <w:sz w:val="21"/>
                      <w:szCs w:val="21"/>
                    </w:rPr>
                  </w:pPr>
                  <w:r>
                    <w:rPr>
                      <w:b w:val="0"/>
                      <w:bCs w:val="0"/>
                      <w:color w:val="000000"/>
                      <w:sz w:val="21"/>
                      <w:szCs w:val="21"/>
                    </w:rPr>
                    <w:t>出现距离（m）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r>
                    <w:rPr>
                      <w:b w:val="0"/>
                      <w:bCs w:val="0"/>
                      <w:color w:val="000000"/>
                      <w:sz w:val="21"/>
                      <w:szCs w:val="21"/>
                    </w:rPr>
                    <w:t>面源</w:t>
                  </w:r>
                </w:p>
              </w:tc>
              <w:tc>
                <w:tcPr>
                  <w:tcW w:w="1198" w:type="dxa"/>
                  <w:vMerge w:val="restart"/>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b w:val="0"/>
                      <w:bCs w:val="0"/>
                      <w:color w:val="000000"/>
                      <w:kern w:val="0"/>
                      <w:sz w:val="21"/>
                      <w:szCs w:val="21"/>
                      <w:lang w:val="en-US" w:eastAsia="zh-CN" w:bidi="ar-SA"/>
                    </w:rPr>
                  </w:pPr>
                  <w:r>
                    <w:rPr>
                      <w:rFonts w:hint="eastAsia"/>
                      <w:b w:val="0"/>
                      <w:bCs w:val="0"/>
                      <w:sz w:val="21"/>
                      <w:szCs w:val="21"/>
                      <w:lang w:val="en-US" w:eastAsia="zh-CN"/>
                    </w:rPr>
                    <w:t>实验过程</w:t>
                  </w:r>
                </w:p>
              </w:tc>
              <w:tc>
                <w:tcPr>
                  <w:tcW w:w="90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b w:val="0"/>
                      <w:bCs w:val="0"/>
                      <w:color w:val="000000"/>
                      <w:sz w:val="21"/>
                      <w:szCs w:val="21"/>
                      <w:lang w:eastAsia="zh-CN"/>
                    </w:rPr>
                  </w:pPr>
                  <w:r>
                    <w:rPr>
                      <w:rFonts w:hint="eastAsia"/>
                      <w:b w:val="0"/>
                      <w:bCs w:val="0"/>
                      <w:color w:val="000000"/>
                      <w:sz w:val="21"/>
                      <w:szCs w:val="21"/>
                      <w:lang w:val="en-US" w:eastAsia="zh-CN"/>
                    </w:rPr>
                    <w:t>实验室</w:t>
                  </w: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非甲烷总烃</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非甲烷总烃</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3.39</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1.695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-8</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sz w:val="21"/>
                      <w:szCs w:val="21"/>
                      <w:lang w:val="en-US" w:eastAsia="zh-CN"/>
                    </w:rPr>
                    <w:t>2.87</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1.435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-8</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sz w:val="21"/>
                      <w:szCs w:val="21"/>
                      <w:lang w:val="en-US" w:eastAsia="zh-CN"/>
                    </w:rPr>
                    <w:t>4.01</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3.342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-8</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硫酸雾</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硫酸雾</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sz w:val="21"/>
                      <w:szCs w:val="21"/>
                      <w:lang w:val="en-US" w:eastAsia="zh-CN"/>
                    </w:rPr>
                    <w:t>2.22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1.85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-9</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苯</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8.61</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-7</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9.61</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-8</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甲苯</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sz w:val="21"/>
                      <w:szCs w:val="21"/>
                      <w:lang w:val="en-US" w:eastAsia="zh-CN"/>
                    </w:rPr>
                    <w:t>1.27</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2.12</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-9</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二甲苯</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4.85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-9</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2.425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-11</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甲醇</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sz w:val="21"/>
                      <w:szCs w:val="21"/>
                      <w:lang w:val="en-US" w:eastAsia="zh-CN"/>
                    </w:rPr>
                    <w:t>9.63</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sz w:val="21"/>
                      <w:szCs w:val="21"/>
                      <w:lang w:val="en-US" w:eastAsia="zh-CN"/>
                    </w:rPr>
                    <w:t>9.63</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-9</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氨</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1.11</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7.4</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-10</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b w:val="0"/>
                      <w:bCs w:val="0"/>
                      <w:color w:val="000000"/>
                      <w:sz w:val="21"/>
                      <w:szCs w:val="21"/>
                    </w:rPr>
                  </w:pPr>
                </w:p>
              </w:tc>
              <w:tc>
                <w:tcPr>
                  <w:tcW w:w="1198" w:type="dxa"/>
                  <w:vMerge w:val="continue"/>
                  <w:tcBorders>
                    <w:tl2br w:val="nil"/>
                    <w:tr2bl w:val="nil"/>
                  </w:tcBorders>
                  <w:noWrap w:val="0"/>
                  <w:vAlign w:val="center"/>
                </w:tcPr>
                <w:p>
                  <w:pPr>
                    <w:pStyle w:val="69"/>
                    <w:keepNext w:val="0"/>
                    <w:keepLines w:val="0"/>
                    <w:suppressLineNumbers w:val="0"/>
                    <w:spacing w:before="0" w:beforeAutospacing="0" w:after="0" w:afterAutospacing="0" w:line="240" w:lineRule="auto"/>
                    <w:ind w:left="0" w:right="0" w:firstLine="0" w:firstLineChars="0"/>
                    <w:rPr>
                      <w:rFonts w:hint="eastAsia"/>
                      <w:b w:val="0"/>
                      <w:bCs w:val="0"/>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b w:val="0"/>
                      <w:bCs w:val="0"/>
                      <w:color w:val="000000"/>
                      <w:sz w:val="21"/>
                      <w:szCs w:val="21"/>
                      <w:lang w:val="en-US" w:eastAsia="zh-CN"/>
                    </w:rPr>
                  </w:pPr>
                </w:p>
              </w:tc>
              <w:tc>
                <w:tcPr>
                  <w:tcW w:w="127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苯乙烯</w:t>
                  </w:r>
                </w:p>
              </w:tc>
              <w:tc>
                <w:tcPr>
                  <w:tcW w:w="106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苯乙烯</w:t>
                  </w:r>
                </w:p>
              </w:tc>
              <w:tc>
                <w:tcPr>
                  <w:tcW w:w="1145"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4.85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-9</w:t>
                  </w:r>
                </w:p>
              </w:tc>
              <w:tc>
                <w:tcPr>
                  <w:tcW w:w="1196"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b w:val="0"/>
                      <w:bCs w:val="0"/>
                      <w:color w:val="000000"/>
                      <w:sz w:val="21"/>
                      <w:szCs w:val="21"/>
                      <w:lang w:val="en-US" w:eastAsia="zh-CN"/>
                    </w:rPr>
                  </w:pPr>
                  <w:r>
                    <w:rPr>
                      <w:rFonts w:hint="eastAsia"/>
                      <w:b w:val="0"/>
                      <w:bCs w:val="0"/>
                      <w:color w:val="000000"/>
                      <w:sz w:val="21"/>
                      <w:szCs w:val="21"/>
                      <w:lang w:val="en-US" w:eastAsia="zh-CN"/>
                    </w:rPr>
                    <w:t>1.0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-12</w:t>
                  </w:r>
                </w:p>
              </w:tc>
              <w:tc>
                <w:tcPr>
                  <w:tcW w:w="1028" w:type="dxa"/>
                  <w:tcBorders>
                    <w:tl2br w:val="nil"/>
                    <w:tr2bl w:val="nil"/>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27</w:t>
                  </w:r>
                </w:p>
              </w:tc>
            </w:tr>
          </w:tbl>
          <w:p>
            <w:pPr>
              <w:pStyle w:val="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firstLine="492" w:firstLineChars="200"/>
              <w:textAlignment w:val="auto"/>
              <w:rPr>
                <w:rFonts w:hint="eastAsia"/>
                <w:bCs/>
                <w:color w:val="000000"/>
                <w:spacing w:val="3"/>
                <w:sz w:val="24"/>
              </w:rPr>
            </w:pPr>
            <w:r>
              <w:rPr>
                <w:rFonts w:hint="eastAsia"/>
                <w:bCs/>
                <w:color w:val="000000"/>
                <w:spacing w:val="3"/>
                <w:sz w:val="24"/>
              </w:rPr>
              <w:t>由上表可知，本项目</w:t>
            </w:r>
            <w:r>
              <w:rPr>
                <w:rFonts w:hint="eastAsia"/>
                <w:color w:val="000000"/>
                <w:lang w:val="en-US" w:eastAsia="zh-CN"/>
              </w:rPr>
              <w:t>非甲烷总烃、HCl、NOx、硫酸雾、苯、甲苯、二甲苯、甲醇、氨、苯乙烯</w:t>
            </w:r>
            <w:r>
              <w:rPr>
                <w:rFonts w:hint="eastAsia"/>
                <w:bCs/>
                <w:color w:val="000000"/>
                <w:spacing w:val="3"/>
                <w:sz w:val="24"/>
              </w:rPr>
              <w:t>无组织排放能够满足</w:t>
            </w:r>
            <w:r>
              <w:rPr>
                <w:rFonts w:hint="default" w:ascii="Times New Roman" w:hAnsi="Times New Roman" w:eastAsia="宋体" w:cs="Times New Roman"/>
                <w:color w:val="000000"/>
                <w:szCs w:val="21"/>
              </w:rPr>
              <w:t>《大气污染物综合排放标准》（GB16297-1996）</w:t>
            </w:r>
            <w:r>
              <w:rPr>
                <w:rFonts w:hint="eastAsia" w:cs="Times New Roman"/>
                <w:color w:val="000000"/>
                <w:szCs w:val="21"/>
                <w:lang w:eastAsia="zh-CN"/>
              </w:rPr>
              <w:t>、《</w:t>
            </w:r>
            <w:r>
              <w:rPr>
                <w:rFonts w:hint="default" w:ascii="Times New Roman" w:hAnsi="Times New Roman" w:eastAsia="宋体" w:cs="Times New Roman"/>
                <w:color w:val="000000"/>
                <w:szCs w:val="21"/>
              </w:rPr>
              <w:t>关于全省开展工业企业挥发性有机物 专项治理工作中排放建议值的通知</w:t>
            </w:r>
            <w:r>
              <w:rPr>
                <w:rFonts w:hint="eastAsia" w:cs="Times New Roman"/>
                <w:color w:val="000000"/>
                <w:szCs w:val="21"/>
                <w:lang w:eastAsia="zh-CN"/>
              </w:rPr>
              <w:t>》（</w:t>
            </w:r>
            <w:r>
              <w:rPr>
                <w:rFonts w:hint="default" w:ascii="Times New Roman" w:hAnsi="Times New Roman" w:eastAsia="宋体" w:cs="Times New Roman"/>
                <w:color w:val="000000"/>
                <w:szCs w:val="21"/>
              </w:rPr>
              <w:t>豫环攻坚办〔2017〕162号</w:t>
            </w:r>
            <w:r>
              <w:rPr>
                <w:rFonts w:hint="eastAsia" w:cs="Times New Roman"/>
                <w:color w:val="000000"/>
                <w:szCs w:val="21"/>
                <w:lang w:eastAsia="zh-CN"/>
              </w:rPr>
              <w:t>）</w:t>
            </w:r>
            <w:r>
              <w:rPr>
                <w:rFonts w:hint="eastAsia" w:ascii="Times New Roman" w:hAnsi="Times New Roman" w:eastAsia="宋体" w:cs="Times New Roman"/>
                <w:color w:val="000000"/>
                <w:szCs w:val="21"/>
                <w:lang w:eastAsia="zh-CN"/>
              </w:rPr>
              <w:t>厂界无组织排放浓度</w:t>
            </w:r>
            <w:r>
              <w:rPr>
                <w:rFonts w:hint="eastAsia" w:cs="Times New Roman"/>
                <w:color w:val="000000"/>
                <w:szCs w:val="21"/>
                <w:lang w:val="en-US" w:eastAsia="zh-CN"/>
              </w:rPr>
              <w:t>限值</w:t>
            </w:r>
            <w:r>
              <w:rPr>
                <w:rFonts w:hint="eastAsia"/>
                <w:bCs/>
                <w:color w:val="000000"/>
                <w:spacing w:val="3"/>
                <w:sz w:val="24"/>
              </w:rPr>
              <w:t>要求。</w:t>
            </w:r>
          </w:p>
          <w:p>
            <w:pPr>
              <w:pStyle w:val="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firstLine="482" w:firstLineChars="200"/>
              <w:textAlignment w:val="auto"/>
              <w:rPr>
                <w:rFonts w:hint="default" w:ascii="Times New Roman" w:hAnsi="Times New Roman" w:eastAsia="宋体" w:cs="Times New Roman"/>
                <w:b/>
                <w:bCs w:val="0"/>
                <w:color w:val="auto"/>
                <w:kern w:val="2"/>
                <w:sz w:val="24"/>
                <w:szCs w:val="24"/>
                <w:lang w:val="en-US" w:eastAsia="zh-CN"/>
              </w:rPr>
            </w:pPr>
          </w:p>
          <w:p>
            <w:pPr>
              <w:pStyle w:val="6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firstLine="482" w:firstLineChars="200"/>
              <w:textAlignment w:val="auto"/>
              <w:rPr>
                <w:rFonts w:hint="default" w:ascii="Times New Roman" w:hAnsi="Times New Roman" w:eastAsia="宋体" w:cs="Times New Roman"/>
                <w:b/>
                <w:bCs w:val="0"/>
                <w:color w:val="auto"/>
                <w:kern w:val="2"/>
                <w:sz w:val="24"/>
                <w:szCs w:val="24"/>
                <w:lang w:val="en-US" w:eastAsia="zh-CN"/>
              </w:rPr>
            </w:pPr>
            <w:r>
              <w:rPr>
                <w:rFonts w:hint="default" w:ascii="Times New Roman" w:hAnsi="Times New Roman" w:eastAsia="宋体" w:cs="Times New Roman"/>
                <w:b/>
                <w:bCs w:val="0"/>
                <w:color w:val="auto"/>
                <w:kern w:val="2"/>
                <w:sz w:val="24"/>
                <w:szCs w:val="24"/>
                <w:lang w:val="en-US" w:eastAsia="zh-CN"/>
              </w:rPr>
              <w:t>1.</w:t>
            </w:r>
            <w:r>
              <w:rPr>
                <w:rFonts w:hint="eastAsia" w:ascii="Times New Roman" w:hAnsi="Times New Roman" w:cs="Times New Roman"/>
                <w:b/>
                <w:bCs w:val="0"/>
                <w:color w:val="auto"/>
                <w:kern w:val="2"/>
                <w:sz w:val="24"/>
                <w:szCs w:val="24"/>
                <w:lang w:val="en-US" w:eastAsia="zh-CN"/>
              </w:rPr>
              <w:t>4</w:t>
            </w:r>
            <w:r>
              <w:rPr>
                <w:rFonts w:hint="default" w:ascii="Times New Roman" w:hAnsi="Times New Roman" w:eastAsia="宋体" w:cs="Times New Roman"/>
                <w:b/>
                <w:bCs w:val="0"/>
                <w:color w:val="auto"/>
                <w:kern w:val="2"/>
                <w:sz w:val="24"/>
                <w:szCs w:val="24"/>
                <w:lang w:val="en-US" w:eastAsia="zh-CN"/>
              </w:rPr>
              <w:t xml:space="preserve"> 项目废气污染物排放量核算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b w:val="0"/>
                <w:bCs/>
                <w:color w:val="auto"/>
                <w:sz w:val="24"/>
                <w:szCs w:val="24"/>
                <w:highlight w:val="none"/>
                <w:u w:val="none"/>
                <w:lang w:eastAsia="zh-CN"/>
              </w:rPr>
              <w:t>本项目废气污染物排放量核算见下表：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8</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 xml:space="preserve">  企业大气污染物有组织排放量核算表</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87"/>
              <w:gridCol w:w="1214"/>
              <w:gridCol w:w="1797"/>
              <w:gridCol w:w="1690"/>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4" w:hRule="atLeast"/>
                <w:jc w:val="center"/>
              </w:trPr>
              <w:tc>
                <w:tcPr>
                  <w:tcW w:w="21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序号</w:t>
                  </w:r>
                </w:p>
              </w:tc>
              <w:tc>
                <w:tcPr>
                  <w:tcW w:w="12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污染物</w:t>
                  </w:r>
                </w:p>
              </w:tc>
              <w:tc>
                <w:tcPr>
                  <w:tcW w:w="17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核算排放浓度</w:t>
                  </w:r>
                  <w:r>
                    <w:rPr>
                      <w:rFonts w:hint="default" w:ascii="Times New Roman" w:hAnsi="Times New Roman" w:eastAsia="宋体" w:cs="Times New Roman"/>
                      <w:b w:val="0"/>
                      <w:bCs w:val="0"/>
                      <w:sz w:val="21"/>
                      <w:szCs w:val="21"/>
                      <w:u w:val="none" w:color="auto"/>
                    </w:rPr>
                    <w:t>（</w:t>
                  </w:r>
                  <w:r>
                    <w:rPr>
                      <w:rFonts w:hint="default" w:ascii="Times New Roman" w:hAnsi="Times New Roman" w:eastAsia="宋体" w:cs="Times New Roman"/>
                      <w:b w:val="0"/>
                      <w:bCs w:val="0"/>
                      <w:sz w:val="21"/>
                      <w:szCs w:val="21"/>
                      <w:u w:val="none" w:color="auto"/>
                      <w:lang w:val="en-US" w:eastAsia="zh-CN"/>
                    </w:rPr>
                    <w:t>m</w:t>
                  </w:r>
                  <w:r>
                    <w:rPr>
                      <w:rFonts w:hint="default" w:ascii="Times New Roman" w:hAnsi="Times New Roman" w:eastAsia="宋体" w:cs="Times New Roman"/>
                      <w:b w:val="0"/>
                      <w:bCs w:val="0"/>
                      <w:sz w:val="21"/>
                      <w:szCs w:val="21"/>
                      <w:u w:val="none" w:color="auto"/>
                    </w:rPr>
                    <w:t>g/m</w:t>
                  </w:r>
                  <w:r>
                    <w:rPr>
                      <w:rFonts w:hint="default" w:ascii="Times New Roman" w:hAnsi="Times New Roman" w:eastAsia="宋体" w:cs="Times New Roman"/>
                      <w:b w:val="0"/>
                      <w:bCs w:val="0"/>
                      <w:sz w:val="21"/>
                      <w:szCs w:val="21"/>
                      <w:u w:val="none" w:color="auto"/>
                      <w:vertAlign w:val="superscript"/>
                    </w:rPr>
                    <w:t>3</w:t>
                  </w:r>
                  <w:r>
                    <w:rPr>
                      <w:rFonts w:hint="default" w:ascii="Times New Roman" w:hAnsi="Times New Roman" w:eastAsia="宋体" w:cs="Times New Roman"/>
                      <w:b w:val="0"/>
                      <w:bCs w:val="0"/>
                      <w:sz w:val="21"/>
                      <w:szCs w:val="21"/>
                      <w:u w:val="none" w:color="auto"/>
                    </w:rPr>
                    <w:t>）</w:t>
                  </w:r>
                </w:p>
              </w:tc>
              <w:tc>
                <w:tcPr>
                  <w:tcW w:w="1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核算排放速率（</w:t>
                  </w:r>
                  <w:r>
                    <w:rPr>
                      <w:rFonts w:hint="default" w:ascii="Times New Roman" w:hAnsi="Times New Roman" w:eastAsia="宋体" w:cs="Times New Roman"/>
                      <w:b w:val="0"/>
                      <w:bCs w:val="0"/>
                      <w:kern w:val="0"/>
                      <w:sz w:val="21"/>
                      <w:szCs w:val="21"/>
                      <w:u w:val="none" w:color="auto"/>
                      <w:lang w:val="en-US" w:eastAsia="zh-CN"/>
                    </w:rPr>
                    <w:t>kg/h</w:t>
                  </w:r>
                  <w:r>
                    <w:rPr>
                      <w:rFonts w:hint="default" w:ascii="Times New Roman" w:hAnsi="Times New Roman" w:eastAsia="宋体" w:cs="Times New Roman"/>
                      <w:b w:val="0"/>
                      <w:bCs w:val="0"/>
                      <w:kern w:val="0"/>
                      <w:sz w:val="21"/>
                      <w:szCs w:val="21"/>
                      <w:u w:val="none" w:color="auto"/>
                      <w:lang w:eastAsia="zh-CN"/>
                    </w:rPr>
                    <w:t>）</w:t>
                  </w:r>
                </w:p>
              </w:tc>
              <w:tc>
                <w:tcPr>
                  <w:tcW w:w="16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val="en-US" w:eastAsia="zh-CN"/>
                    </w:rPr>
                  </w:pPr>
                  <w:r>
                    <w:rPr>
                      <w:rFonts w:hint="default" w:ascii="Times New Roman" w:hAnsi="Times New Roman" w:eastAsia="宋体" w:cs="Times New Roman"/>
                      <w:b w:val="0"/>
                      <w:bCs w:val="0"/>
                      <w:kern w:val="0"/>
                      <w:sz w:val="21"/>
                      <w:szCs w:val="21"/>
                      <w:u w:val="none" w:color="auto"/>
                      <w:lang w:eastAsia="zh-CN"/>
                    </w:rPr>
                    <w:t>核算年排放量（</w:t>
                  </w:r>
                  <w:r>
                    <w:rPr>
                      <w:rFonts w:hint="eastAsia" w:cs="Times New Roman"/>
                      <w:b w:val="0"/>
                      <w:bCs w:val="0"/>
                      <w:kern w:val="0"/>
                      <w:sz w:val="21"/>
                      <w:szCs w:val="21"/>
                      <w:u w:val="none" w:color="auto"/>
                      <w:lang w:val="en-US" w:eastAsia="zh-CN"/>
                    </w:rPr>
                    <w:t>kg</w:t>
                  </w:r>
                  <w:r>
                    <w:rPr>
                      <w:rFonts w:hint="default" w:ascii="Times New Roman" w:hAnsi="Times New Roman" w:eastAsia="宋体" w:cs="Times New Roman"/>
                      <w:b w:val="0"/>
                      <w:bCs w:val="0"/>
                      <w:kern w:val="0"/>
                      <w:sz w:val="21"/>
                      <w:szCs w:val="21"/>
                      <w:u w:val="none" w:color="auto"/>
                      <w:lang w:val="en-US" w:eastAsia="zh-CN"/>
                    </w:rPr>
                    <w:t>/a</w:t>
                  </w:r>
                  <w:r>
                    <w:rPr>
                      <w:rFonts w:hint="default" w:ascii="Times New Roman" w:hAnsi="Times New Roman" w:eastAsia="宋体" w:cs="Times New Roman"/>
                      <w:b w:val="0"/>
                      <w:bCs w:val="0"/>
                      <w:kern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DA00</w:t>
                  </w:r>
                  <w:r>
                    <w:rPr>
                      <w:rFonts w:hint="eastAsia" w:cs="Times New Roman"/>
                      <w:b w:val="0"/>
                      <w:bCs w:val="0"/>
                      <w:color w:val="auto"/>
                      <w:sz w:val="21"/>
                      <w:szCs w:val="21"/>
                      <w:lang w:val="en-US" w:eastAsia="zh-CN"/>
                    </w:rPr>
                    <w:t>1</w:t>
                  </w: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非甲烷总烃</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0.042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1.7</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r>
                    <w:rPr>
                      <w:rFonts w:hint="eastAsia"/>
                      <w:sz w:val="21"/>
                      <w:szCs w:val="21"/>
                      <w:lang w:val="en-US" w:eastAsia="zh-CN"/>
                    </w:rPr>
                    <w:t xml:space="preserve"> </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0.004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1.5</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0.026</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-4</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硫酸雾</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0.003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1.2 </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0.001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0.002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7.0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r>
                    <w:rPr>
                      <w:rFonts w:hint="eastAsia"/>
                      <w:sz w:val="21"/>
                      <w:szCs w:val="21"/>
                      <w:lang w:val="en-US" w:eastAsia="zh-CN"/>
                    </w:rPr>
                    <w:t xml:space="preserve"> </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-8</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0.013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0.0752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0.001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6.0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-6</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218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21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苯乙烯</w:t>
                  </w:r>
                </w:p>
              </w:tc>
              <w:tc>
                <w:tcPr>
                  <w:tcW w:w="1797"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-5</w:t>
                  </w:r>
                  <w:r>
                    <w:rPr>
                      <w:rFonts w:hint="eastAsia"/>
                      <w:sz w:val="21"/>
                      <w:szCs w:val="21"/>
                      <w:lang w:val="en-US" w:eastAsia="zh-CN"/>
                    </w:rPr>
                    <w:t xml:space="preserve"> </w:t>
                  </w:r>
                </w:p>
              </w:tc>
              <w:tc>
                <w:tcPr>
                  <w:tcW w:w="169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w:t>
                  </w:r>
                  <w:r>
                    <w:rPr>
                      <w:rFonts w:hint="default" w:ascii="Arial" w:hAnsi="Arial" w:cs="Arial"/>
                      <w:sz w:val="21"/>
                      <w:szCs w:val="21"/>
                      <w:lang w:val="en-US" w:eastAsia="zh-CN"/>
                    </w:rPr>
                    <w:t>×</w:t>
                  </w:r>
                  <w:r>
                    <w:rPr>
                      <w:rFonts w:hint="eastAsia"/>
                      <w:sz w:val="21"/>
                      <w:szCs w:val="21"/>
                      <w:lang w:val="en-US" w:eastAsia="zh-CN"/>
                    </w:rPr>
                    <w:t>10</w:t>
                  </w:r>
                  <w:r>
                    <w:rPr>
                      <w:rFonts w:hint="eastAsia"/>
                      <w:sz w:val="21"/>
                      <w:szCs w:val="21"/>
                      <w:vertAlign w:val="superscript"/>
                      <w:lang w:val="en-US" w:eastAsia="zh-CN"/>
                    </w:rPr>
                    <w:t>-8</w:t>
                  </w:r>
                </w:p>
              </w:tc>
              <w:tc>
                <w:tcPr>
                  <w:tcW w:w="1644"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 xml:space="preserve">0.00004 </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9</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 xml:space="preserve">  企业大气污染物无组织排放量核算表</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3"/>
              <w:gridCol w:w="703"/>
              <w:gridCol w:w="833"/>
              <w:gridCol w:w="1624"/>
              <w:gridCol w:w="1993"/>
              <w:gridCol w:w="1533"/>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0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序号</w:t>
                  </w:r>
                </w:p>
              </w:tc>
              <w:tc>
                <w:tcPr>
                  <w:tcW w:w="70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产污环节</w:t>
                  </w:r>
                </w:p>
              </w:tc>
              <w:tc>
                <w:tcPr>
                  <w:tcW w:w="83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污染物</w:t>
                  </w:r>
                </w:p>
              </w:tc>
              <w:tc>
                <w:tcPr>
                  <w:tcW w:w="16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主要防治措施</w:t>
                  </w:r>
                </w:p>
              </w:tc>
              <w:tc>
                <w:tcPr>
                  <w:tcW w:w="352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国家或地方污染物排放标准</w:t>
                  </w:r>
                </w:p>
              </w:tc>
              <w:tc>
                <w:tcPr>
                  <w:tcW w:w="124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val="en-US" w:eastAsia="zh-CN"/>
                    </w:rPr>
                  </w:pPr>
                  <w:r>
                    <w:rPr>
                      <w:rFonts w:hint="default" w:ascii="Times New Roman" w:hAnsi="Times New Roman" w:eastAsia="宋体" w:cs="Times New Roman"/>
                      <w:b w:val="0"/>
                      <w:bCs w:val="0"/>
                      <w:kern w:val="0"/>
                      <w:sz w:val="21"/>
                      <w:szCs w:val="21"/>
                      <w:u w:val="none" w:color="auto"/>
                      <w:lang w:eastAsia="zh-CN"/>
                    </w:rPr>
                    <w:t>年排放量（</w:t>
                  </w:r>
                  <w:r>
                    <w:rPr>
                      <w:rFonts w:hint="eastAsia" w:cs="Times New Roman"/>
                      <w:b w:val="0"/>
                      <w:bCs w:val="0"/>
                      <w:kern w:val="0"/>
                      <w:sz w:val="21"/>
                      <w:szCs w:val="21"/>
                      <w:u w:val="none" w:color="auto"/>
                      <w:lang w:val="en-US" w:eastAsia="zh-CN"/>
                    </w:rPr>
                    <w:t>kg</w:t>
                  </w:r>
                  <w:r>
                    <w:rPr>
                      <w:rFonts w:hint="default" w:ascii="Times New Roman" w:hAnsi="Times New Roman" w:eastAsia="宋体" w:cs="Times New Roman"/>
                      <w:b w:val="0"/>
                      <w:bCs w:val="0"/>
                      <w:kern w:val="0"/>
                      <w:sz w:val="21"/>
                      <w:szCs w:val="21"/>
                      <w:u w:val="none" w:color="auto"/>
                      <w:lang w:val="en-US" w:eastAsia="zh-CN"/>
                    </w:rPr>
                    <w:t>/a</w:t>
                  </w:r>
                  <w:r>
                    <w:rPr>
                      <w:rFonts w:hint="default" w:ascii="Times New Roman" w:hAnsi="Times New Roman" w:eastAsia="宋体" w:cs="Times New Roman"/>
                      <w:b w:val="0"/>
                      <w:bCs w:val="0"/>
                      <w:kern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70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16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19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eastAsia="zh-CN"/>
                    </w:rPr>
                    <w:t>标准名称</w:t>
                  </w:r>
                </w:p>
              </w:tc>
              <w:tc>
                <w:tcPr>
                  <w:tcW w:w="15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r>
                    <w:rPr>
                      <w:rFonts w:hint="default" w:ascii="Times New Roman" w:hAnsi="Times New Roman" w:eastAsia="宋体" w:cs="Times New Roman"/>
                      <w:b w:val="0"/>
                      <w:bCs w:val="0"/>
                      <w:kern w:val="0"/>
                      <w:sz w:val="21"/>
                      <w:szCs w:val="21"/>
                      <w:u w:val="none" w:color="auto"/>
                      <w:lang w:val="en-US" w:eastAsia="zh-CN"/>
                    </w:rPr>
                    <w:t>排放浓度</w:t>
                  </w:r>
                  <w:r>
                    <w:rPr>
                      <w:rFonts w:hint="default" w:ascii="Times New Roman" w:hAnsi="Times New Roman" w:eastAsia="宋体" w:cs="Times New Roman"/>
                      <w:b w:val="0"/>
                      <w:bCs w:val="0"/>
                      <w:sz w:val="21"/>
                      <w:szCs w:val="21"/>
                      <w:u w:val="none" w:color="auto"/>
                    </w:rPr>
                    <w:t>（</w:t>
                  </w:r>
                  <w:r>
                    <w:rPr>
                      <w:rFonts w:hint="default" w:ascii="Times New Roman" w:hAnsi="Times New Roman" w:eastAsia="宋体" w:cs="Times New Roman"/>
                      <w:b w:val="0"/>
                      <w:bCs w:val="0"/>
                      <w:sz w:val="21"/>
                      <w:szCs w:val="21"/>
                      <w:u w:val="none" w:color="auto"/>
                      <w:lang w:val="en-US" w:eastAsia="zh-CN"/>
                    </w:rPr>
                    <w:t>m</w:t>
                  </w:r>
                  <w:r>
                    <w:rPr>
                      <w:rFonts w:hint="default" w:ascii="Times New Roman" w:hAnsi="Times New Roman" w:eastAsia="宋体" w:cs="Times New Roman"/>
                      <w:b w:val="0"/>
                      <w:bCs w:val="0"/>
                      <w:sz w:val="21"/>
                      <w:szCs w:val="21"/>
                      <w:u w:val="none" w:color="auto"/>
                    </w:rPr>
                    <w:t>g/m</w:t>
                  </w:r>
                  <w:r>
                    <w:rPr>
                      <w:rFonts w:hint="default" w:ascii="Times New Roman" w:hAnsi="Times New Roman" w:eastAsia="宋体" w:cs="Times New Roman"/>
                      <w:b w:val="0"/>
                      <w:bCs w:val="0"/>
                      <w:sz w:val="21"/>
                      <w:szCs w:val="21"/>
                      <w:u w:val="none" w:color="auto"/>
                      <w:vertAlign w:val="superscript"/>
                    </w:rPr>
                    <w:t>3</w:t>
                  </w:r>
                  <w:r>
                    <w:rPr>
                      <w:rFonts w:hint="default" w:ascii="Times New Roman" w:hAnsi="Times New Roman" w:eastAsia="宋体" w:cs="Times New Roman"/>
                      <w:b w:val="0"/>
                      <w:bCs w:val="0"/>
                      <w:sz w:val="21"/>
                      <w:szCs w:val="21"/>
                      <w:u w:val="none" w:color="auto"/>
                    </w:rPr>
                    <w:t>）</w:t>
                  </w:r>
                </w:p>
              </w:tc>
              <w:tc>
                <w:tcPr>
                  <w:tcW w:w="12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70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实验室</w:t>
                  </w: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非甲烷总烃</w:t>
                  </w:r>
                </w:p>
              </w:tc>
              <w:tc>
                <w:tcPr>
                  <w:tcW w:w="1624"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加强通风橱的密闭</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保证废气处理设施良好运行</w:t>
                  </w:r>
                </w:p>
              </w:tc>
              <w:tc>
                <w:tcPr>
                  <w:tcW w:w="199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《大气污染物综合排放标准》（GB16297-1996）</w:t>
                  </w:r>
                  <w:r>
                    <w:rPr>
                      <w:rFonts w:hint="eastAsia" w:cs="Times New Roman"/>
                      <w:b w:val="0"/>
                      <w:bCs w:val="0"/>
                      <w:color w:val="auto"/>
                      <w:sz w:val="21"/>
                      <w:szCs w:val="21"/>
                      <w:lang w:val="en-US" w:eastAsia="zh-CN"/>
                    </w:rPr>
                    <w:t>、《关于全省开展工业企业挥发性有机物专项治理工作中排放建议值的通知》</w:t>
                  </w: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2</w:t>
                  </w:r>
                  <w:r>
                    <w:rPr>
                      <w:rFonts w:hint="eastAsia"/>
                      <w:b w:val="0"/>
                      <w:bCs w:val="0"/>
                      <w:color w:val="000000"/>
                      <w:sz w:val="21"/>
                      <w:szCs w:val="21"/>
                      <w:lang w:val="en-US" w:eastAsia="zh-CN"/>
                    </w:rPr>
                    <w:t>.0</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0.1336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0.2</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0.12</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硫酸雾</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1.2</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0.1</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0.6</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0.2</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1.0</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1.5</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60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w:t>
                  </w:r>
                </w:p>
              </w:tc>
              <w:tc>
                <w:tcPr>
                  <w:tcW w:w="70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b w:val="0"/>
                      <w:bCs w:val="0"/>
                      <w:color w:val="auto"/>
                      <w:sz w:val="21"/>
                      <w:szCs w:val="21"/>
                      <w:lang w:val="en-US" w:eastAsia="zh-CN"/>
                    </w:rPr>
                  </w:pPr>
                </w:p>
              </w:tc>
              <w:tc>
                <w:tcPr>
                  <w:tcW w:w="83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苯乙烯</w:t>
                  </w:r>
                </w:p>
              </w:tc>
              <w:tc>
                <w:tcPr>
                  <w:tcW w:w="162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lang w:val="en-US" w:eastAsia="zh-CN"/>
                    </w:rPr>
                  </w:pPr>
                </w:p>
              </w:tc>
              <w:tc>
                <w:tcPr>
                  <w:tcW w:w="19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53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lang w:val="en-US" w:eastAsia="zh-CN"/>
                    </w:rPr>
                    <w:t>5.0</w:t>
                  </w:r>
                </w:p>
              </w:tc>
              <w:tc>
                <w:tcPr>
                  <w:tcW w:w="1243"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0.00002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10</w:t>
            </w:r>
            <w:r>
              <w:rPr>
                <w:rFonts w:hint="default" w:ascii="Times New Roman" w:hAnsi="Times New Roman" w:eastAsia="黑体" w:cs="Times New Roman"/>
                <w:b w:val="0"/>
                <w:bCs w:val="0"/>
                <w:color w:val="auto"/>
                <w:sz w:val="24"/>
                <w:szCs w:val="24"/>
                <w:lang w:val="en-US" w:eastAsia="zh-CN"/>
              </w:rPr>
              <w:t xml:space="preserve">  </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大气污染物年排放量核算表</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67"/>
              <w:gridCol w:w="1379"/>
              <w:gridCol w:w="2296"/>
              <w:gridCol w:w="1745"/>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序号</w:t>
                  </w:r>
                </w:p>
              </w:tc>
              <w:tc>
                <w:tcPr>
                  <w:tcW w:w="36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污染物</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年排放量（</w:t>
                  </w:r>
                  <w:r>
                    <w:rPr>
                      <w:rFonts w:hint="eastAsia" w:cs="Times New Roman"/>
                      <w:b w:val="0"/>
                      <w:bCs w:val="0"/>
                      <w:color w:val="auto"/>
                      <w:sz w:val="21"/>
                      <w:szCs w:val="21"/>
                      <w:lang w:val="en-US" w:eastAsia="zh-CN"/>
                    </w:rPr>
                    <w:t>kg</w:t>
                  </w:r>
                  <w:r>
                    <w:rPr>
                      <w:rFonts w:hint="default" w:ascii="Times New Roman" w:hAnsi="Times New Roman" w:eastAsia="宋体" w:cs="Times New Roman"/>
                      <w:b w:val="0"/>
                      <w:bCs w:val="0"/>
                      <w:color w:val="auto"/>
                      <w:sz w:val="21"/>
                      <w:szCs w:val="21"/>
                      <w:lang w:val="en-US" w:eastAsia="zh-CN"/>
                    </w:rPr>
                    <w:t>/a）</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合计</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kg</w:t>
                  </w:r>
                  <w:r>
                    <w:rPr>
                      <w:rFonts w:hint="default" w:ascii="Times New Roman" w:hAnsi="Times New Roman" w:eastAsia="宋体" w:cs="Times New Roman"/>
                      <w:b w:val="0"/>
                      <w:bCs w:val="0"/>
                      <w:color w:val="auto"/>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379" w:type="dxa"/>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VOCs</w:t>
                  </w:r>
                </w:p>
              </w:tc>
              <w:tc>
                <w:tcPr>
                  <w:tcW w:w="229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非甲烷总烃</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 xml:space="preserve">0.4034 </w:t>
                  </w:r>
                </w:p>
              </w:tc>
              <w:tc>
                <w:tcPr>
                  <w:tcW w:w="17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0.52772</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（约0.0005t/a）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379"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p>
              </w:tc>
              <w:tc>
                <w:tcPr>
                  <w:tcW w:w="229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0.0103 </w:t>
                  </w:r>
                </w:p>
              </w:tc>
              <w:tc>
                <w:tcPr>
                  <w:tcW w:w="17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379"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p>
              </w:tc>
              <w:tc>
                <w:tcPr>
                  <w:tcW w:w="229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0.0151 </w:t>
                  </w:r>
                </w:p>
              </w:tc>
              <w:tc>
                <w:tcPr>
                  <w:tcW w:w="17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379"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p>
              </w:tc>
              <w:tc>
                <w:tcPr>
                  <w:tcW w:w="229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0.00006 </w:t>
                  </w:r>
                </w:p>
              </w:tc>
              <w:tc>
                <w:tcPr>
                  <w:tcW w:w="17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1379"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p>
              </w:tc>
              <w:tc>
                <w:tcPr>
                  <w:tcW w:w="229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0.1148 </w:t>
                  </w:r>
                </w:p>
              </w:tc>
              <w:tc>
                <w:tcPr>
                  <w:tcW w:w="17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w:t>
                  </w:r>
                </w:p>
              </w:tc>
              <w:tc>
                <w:tcPr>
                  <w:tcW w:w="1379"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p>
              </w:tc>
              <w:tc>
                <w:tcPr>
                  <w:tcW w:w="229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苯乙烯</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0.00006 </w:t>
                  </w:r>
                </w:p>
              </w:tc>
              <w:tc>
                <w:tcPr>
                  <w:tcW w:w="17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3675" w:type="dxa"/>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0.0342 </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9</w:t>
                  </w:r>
                </w:p>
              </w:tc>
              <w:tc>
                <w:tcPr>
                  <w:tcW w:w="3675" w:type="dxa"/>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0.1732</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0.1732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3675" w:type="dxa"/>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硫酸雾</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0.0266 </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0.0266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367"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11</w:t>
                  </w:r>
                </w:p>
              </w:tc>
              <w:tc>
                <w:tcPr>
                  <w:tcW w:w="3675" w:type="dxa"/>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0.0132 </w:t>
                  </w:r>
                </w:p>
              </w:tc>
              <w:tc>
                <w:tcPr>
                  <w:tcW w:w="174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 xml:space="preserve">0.0132 </w:t>
                  </w:r>
                </w:p>
              </w:tc>
            </w:tr>
          </w:tbl>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520" w:lineRule="exact"/>
              <w:ind w:left="0" w:right="0" w:firstLine="482" w:firstLineChars="200"/>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rPr>
              <w:t>1.</w:t>
            </w:r>
            <w:r>
              <w:rPr>
                <w:rFonts w:hint="eastAsia" w:cs="Times New Roman"/>
                <w:b/>
                <w:bCs w:val="0"/>
                <w:color w:val="auto"/>
                <w:kern w:val="2"/>
                <w:sz w:val="24"/>
                <w:szCs w:val="24"/>
                <w:lang w:val="en-US" w:eastAsia="zh-CN"/>
              </w:rPr>
              <w:t>5</w:t>
            </w:r>
            <w:r>
              <w:rPr>
                <w:rFonts w:hint="eastAsia" w:ascii="Times New Roman" w:hAnsi="Times New Roman" w:eastAsia="宋体" w:cs="Times New Roman"/>
                <w:b/>
                <w:bCs w:val="0"/>
                <w:color w:val="auto"/>
                <w:kern w:val="2"/>
                <w:sz w:val="24"/>
                <w:szCs w:val="24"/>
                <w:lang w:val="en-US" w:eastAsia="zh-CN"/>
              </w:rPr>
              <w:t xml:space="preserve"> </w:t>
            </w:r>
            <w:r>
              <w:rPr>
                <w:rFonts w:hint="default" w:ascii="Times New Roman" w:hAnsi="Times New Roman" w:eastAsia="宋体" w:cs="Times New Roman"/>
                <w:b/>
                <w:bCs w:val="0"/>
                <w:color w:val="auto"/>
                <w:kern w:val="2"/>
                <w:sz w:val="24"/>
                <w:szCs w:val="24"/>
                <w:lang w:val="en-US" w:eastAsia="zh-CN" w:bidi="ar-SA"/>
              </w:rPr>
              <w:t>废气排放口基本情况及监测要求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80" w:firstLineChars="200"/>
              <w:rPr>
                <w:rFonts w:hint="default" w:ascii="Times New Roman" w:hAnsi="Times New Roman" w:eastAsia="宋体" w:cs="Times New Roman"/>
                <w:bCs/>
                <w:sz w:val="24"/>
              </w:rPr>
            </w:pP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1</w:t>
            </w:r>
            <w:r>
              <w:rPr>
                <w:rFonts w:hint="eastAsia" w:ascii="Times New Roman" w:hAnsi="Times New Roman" w:eastAsia="宋体" w:cs="Times New Roman"/>
                <w:bCs/>
                <w:sz w:val="24"/>
                <w:lang w:eastAsia="zh-CN"/>
              </w:rPr>
              <w:t>）</w:t>
            </w:r>
            <w:r>
              <w:rPr>
                <w:rFonts w:hint="default" w:ascii="Times New Roman" w:hAnsi="Times New Roman" w:eastAsia="宋体" w:cs="Times New Roman"/>
                <w:bCs/>
                <w:sz w:val="24"/>
              </w:rPr>
              <w:t>有组织排放口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80" w:firstLineChars="200"/>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宋体" w:cs="Times New Roman"/>
                <w:bCs/>
                <w:sz w:val="24"/>
              </w:rPr>
              <w:t>本项目有组织排放口情况见表</w:t>
            </w:r>
            <w:r>
              <w:rPr>
                <w:rFonts w:hint="default" w:ascii="Times New Roman" w:hAnsi="Times New Roman" w:eastAsia="宋体" w:cs="Times New Roman"/>
                <w:bCs/>
                <w:sz w:val="24"/>
                <w:lang w:val="en-US" w:eastAsia="zh-CN"/>
              </w:rPr>
              <w:t>4-</w:t>
            </w:r>
            <w:r>
              <w:rPr>
                <w:rFonts w:hint="eastAsia" w:cs="Times New Roman"/>
                <w:bCs/>
                <w:sz w:val="24"/>
                <w:lang w:val="en-US" w:eastAsia="zh-CN"/>
              </w:rPr>
              <w:t>11</w:t>
            </w:r>
            <w:r>
              <w:rPr>
                <w:rFonts w:hint="default" w:ascii="Times New Roman" w:hAnsi="Times New Roman" w:eastAsia="宋体" w:cs="Times New Roman"/>
                <w:bCs/>
                <w:sz w:val="24"/>
              </w:rPr>
              <w:t>，有组织</w:t>
            </w:r>
            <w:r>
              <w:rPr>
                <w:rFonts w:hint="eastAsia" w:ascii="Times New Roman" w:hAnsi="Times New Roman" w:eastAsia="宋体" w:cs="Times New Roman"/>
                <w:bCs/>
                <w:sz w:val="24"/>
                <w:lang w:eastAsia="zh-CN"/>
              </w:rPr>
              <w:t>废气</w:t>
            </w:r>
            <w:r>
              <w:rPr>
                <w:rFonts w:hint="default" w:ascii="Times New Roman" w:hAnsi="Times New Roman" w:eastAsia="宋体" w:cs="Times New Roman"/>
                <w:bCs/>
                <w:sz w:val="24"/>
              </w:rPr>
              <w:t>监测方案见表</w:t>
            </w:r>
            <w:r>
              <w:rPr>
                <w:rFonts w:hint="default" w:ascii="Times New Roman" w:hAnsi="Times New Roman" w:eastAsia="宋体" w:cs="Times New Roman"/>
                <w:bCs/>
                <w:sz w:val="24"/>
                <w:lang w:val="en-US" w:eastAsia="zh-CN"/>
              </w:rPr>
              <w:t>4-</w:t>
            </w:r>
            <w:r>
              <w:rPr>
                <w:rFonts w:hint="eastAsia" w:cs="Times New Roman"/>
                <w:bCs/>
                <w:sz w:val="24"/>
                <w:lang w:val="en-US" w:eastAsia="zh-CN"/>
              </w:rPr>
              <w:t>12</w:t>
            </w:r>
            <w:r>
              <w:rPr>
                <w:rFonts w:hint="default" w:ascii="Times New Roman" w:hAnsi="Times New Roman" w:eastAsia="宋体" w:cs="Times New Roman"/>
                <w:bCs/>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11</w:t>
            </w:r>
            <w:r>
              <w:rPr>
                <w:rFonts w:hint="default" w:ascii="Times New Roman" w:hAnsi="Times New Roman" w:eastAsia="黑体" w:cs="Times New Roman"/>
                <w:b w:val="0"/>
                <w:bCs w:val="0"/>
                <w:color w:val="auto"/>
                <w:sz w:val="24"/>
                <w:szCs w:val="24"/>
                <w:lang w:val="en-US" w:eastAsia="zh-CN"/>
              </w:rPr>
              <w:t xml:space="preserve"> </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 xml:space="preserve"> 有组织排放口基本情况一览表</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9"/>
              <w:gridCol w:w="1544"/>
              <w:gridCol w:w="1272"/>
              <w:gridCol w:w="1096"/>
              <w:gridCol w:w="659"/>
              <w:gridCol w:w="654"/>
              <w:gridCol w:w="772"/>
              <w:gridCol w:w="816"/>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979" w:type="dxa"/>
                  <w:vMerge w:val="restart"/>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编号</w:t>
                  </w:r>
                </w:p>
              </w:tc>
              <w:tc>
                <w:tcPr>
                  <w:tcW w:w="1544" w:type="dxa"/>
                  <w:vMerge w:val="restart"/>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eastAsia="en-US"/>
                    </w:rPr>
                    <w:t>名称</w:t>
                  </w:r>
                </w:p>
              </w:tc>
              <w:tc>
                <w:tcPr>
                  <w:tcW w:w="2368" w:type="dxa"/>
                  <w:gridSpan w:val="2"/>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val="en-US" w:eastAsia="zh-CN"/>
                    </w:rPr>
                    <w:t>排放口地理坐标</w:t>
                  </w:r>
                </w:p>
              </w:tc>
              <w:tc>
                <w:tcPr>
                  <w:tcW w:w="659" w:type="dxa"/>
                  <w:vMerge w:val="restart"/>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eastAsia="en-US"/>
                    </w:rPr>
                    <w:t>排气筒高度m</w:t>
                  </w:r>
                </w:p>
              </w:tc>
              <w:tc>
                <w:tcPr>
                  <w:tcW w:w="654" w:type="dxa"/>
                  <w:vMerge w:val="restart"/>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eastAsia="en-US"/>
                    </w:rPr>
                    <w:t>排气筒出口内径/m</w:t>
                  </w:r>
                </w:p>
              </w:tc>
              <w:tc>
                <w:tcPr>
                  <w:tcW w:w="772" w:type="dxa"/>
                  <w:vMerge w:val="restart"/>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eastAsia="en-US"/>
                    </w:rPr>
                    <w:t>烟气出口温度/℃</w:t>
                  </w:r>
                </w:p>
              </w:tc>
              <w:tc>
                <w:tcPr>
                  <w:tcW w:w="816" w:type="dxa"/>
                  <w:vMerge w:val="restart"/>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eastAsia="en-US"/>
                    </w:rPr>
                    <w:t>年排放小时数/h</w:t>
                  </w:r>
                </w:p>
              </w:tc>
              <w:tc>
                <w:tcPr>
                  <w:tcW w:w="740" w:type="dxa"/>
                  <w:vMerge w:val="restart"/>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eastAsia="en-US"/>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79" w:type="dxa"/>
                  <w:vMerge w:val="continue"/>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1544" w:type="dxa"/>
                  <w:vMerge w:val="continue"/>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1272"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经度</w:t>
                  </w:r>
                </w:p>
              </w:tc>
              <w:tc>
                <w:tcPr>
                  <w:tcW w:w="1096"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r>
                    <w:rPr>
                      <w:rFonts w:hint="default" w:ascii="Times New Roman" w:hAnsi="Times New Roman" w:eastAsia="宋体" w:cs="Times New Roman"/>
                      <w:b w:val="0"/>
                      <w:bCs w:val="0"/>
                      <w:sz w:val="21"/>
                      <w:szCs w:val="21"/>
                      <w:lang w:eastAsia="zh-CN"/>
                    </w:rPr>
                    <w:t>纬度</w:t>
                  </w:r>
                </w:p>
              </w:tc>
              <w:tc>
                <w:tcPr>
                  <w:tcW w:w="659" w:type="dxa"/>
                  <w:vMerge w:val="continue"/>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p>
              </w:tc>
              <w:tc>
                <w:tcPr>
                  <w:tcW w:w="654" w:type="dxa"/>
                  <w:vMerge w:val="continue"/>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p>
              </w:tc>
              <w:tc>
                <w:tcPr>
                  <w:tcW w:w="772" w:type="dxa"/>
                  <w:vMerge w:val="continue"/>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p>
              </w:tc>
              <w:tc>
                <w:tcPr>
                  <w:tcW w:w="816" w:type="dxa"/>
                  <w:vMerge w:val="continue"/>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p>
              </w:tc>
              <w:tc>
                <w:tcPr>
                  <w:tcW w:w="740" w:type="dxa"/>
                  <w:vMerge w:val="continue"/>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97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DA00</w:t>
                  </w:r>
                  <w:r>
                    <w:rPr>
                      <w:rFonts w:hint="eastAsia" w:cs="Times New Roman"/>
                      <w:b w:val="0"/>
                      <w:bCs w:val="0"/>
                      <w:sz w:val="21"/>
                      <w:szCs w:val="21"/>
                      <w:lang w:val="en-US" w:eastAsia="zh-CN"/>
                    </w:rPr>
                    <w:t>1</w:t>
                  </w:r>
                </w:p>
              </w:tc>
              <w:tc>
                <w:tcPr>
                  <w:tcW w:w="1544"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cs="Times New Roman"/>
                      <w:b w:val="0"/>
                      <w:bCs w:val="0"/>
                      <w:sz w:val="21"/>
                      <w:szCs w:val="21"/>
                      <w:lang w:val="en-US" w:eastAsia="zh-CN"/>
                    </w:rPr>
                    <w:t>实验室</w:t>
                  </w:r>
                  <w:r>
                    <w:rPr>
                      <w:rFonts w:hint="eastAsia" w:ascii="Times New Roman" w:hAnsi="Times New Roman" w:eastAsia="宋体" w:cs="Times New Roman"/>
                      <w:b w:val="0"/>
                      <w:bCs w:val="0"/>
                      <w:sz w:val="21"/>
                      <w:szCs w:val="21"/>
                      <w:lang w:val="en-US" w:eastAsia="zh-CN"/>
                    </w:rPr>
                    <w:t>排气筒</w:t>
                  </w:r>
                </w:p>
              </w:tc>
              <w:tc>
                <w:tcPr>
                  <w:tcW w:w="1272"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113.815240</w:t>
                  </w:r>
                </w:p>
              </w:tc>
              <w:tc>
                <w:tcPr>
                  <w:tcW w:w="1096"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35.150102</w:t>
                  </w:r>
                </w:p>
              </w:tc>
              <w:tc>
                <w:tcPr>
                  <w:tcW w:w="659"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15</w:t>
                  </w:r>
                </w:p>
              </w:tc>
              <w:tc>
                <w:tcPr>
                  <w:tcW w:w="654"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0.</w:t>
                  </w:r>
                  <w:r>
                    <w:rPr>
                      <w:rFonts w:hint="eastAsia" w:ascii="Times New Roman" w:hAnsi="Times New Roman" w:eastAsia="宋体" w:cs="Times New Roman"/>
                      <w:b w:val="0"/>
                      <w:bCs w:val="0"/>
                      <w:sz w:val="21"/>
                      <w:szCs w:val="21"/>
                      <w:lang w:val="en-US" w:eastAsia="zh-CN"/>
                    </w:rPr>
                    <w:t>5</w:t>
                  </w:r>
                </w:p>
              </w:tc>
              <w:tc>
                <w:tcPr>
                  <w:tcW w:w="772"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rPr>
                    <w:t>25</w:t>
                  </w:r>
                </w:p>
              </w:tc>
              <w:tc>
                <w:tcPr>
                  <w:tcW w:w="816"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cs="Times New Roman"/>
                      <w:b w:val="0"/>
                      <w:bCs w:val="0"/>
                      <w:sz w:val="21"/>
                      <w:szCs w:val="21"/>
                      <w:lang w:val="en-US" w:eastAsia="zh-CN"/>
                    </w:rPr>
                    <w:t>1500</w:t>
                  </w:r>
                </w:p>
              </w:tc>
              <w:tc>
                <w:tcPr>
                  <w:tcW w:w="740"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zh-CN" w:eastAsia="en-US" w:bidi="ar-SA"/>
                    </w:rPr>
                  </w:pPr>
                  <w:r>
                    <w:rPr>
                      <w:rFonts w:hint="eastAsia" w:ascii="Times New Roman" w:hAnsi="Times New Roman" w:eastAsia="宋体" w:cs="Times New Roman"/>
                      <w:b w:val="0"/>
                      <w:bCs w:val="0"/>
                      <w:sz w:val="21"/>
                      <w:szCs w:val="21"/>
                      <w:lang w:eastAsia="zh-CN"/>
                    </w:rPr>
                    <w:t>正常</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12</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 xml:space="preserve">  有组织废气监测方案</w:t>
            </w:r>
          </w:p>
          <w:tbl>
            <w:tblPr>
              <w:tblStyle w:val="31"/>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265"/>
              <w:gridCol w:w="1362"/>
              <w:gridCol w:w="4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exact"/>
                <w:jc w:val="center"/>
              </w:trPr>
              <w:tc>
                <w:tcPr>
                  <w:tcW w:w="1890"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监测点</w:t>
                  </w:r>
                </w:p>
              </w:tc>
              <w:tc>
                <w:tcPr>
                  <w:tcW w:w="1265"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监测项目</w:t>
                  </w:r>
                </w:p>
              </w:tc>
              <w:tc>
                <w:tcPr>
                  <w:tcW w:w="1362"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监测频次</w:t>
                  </w:r>
                </w:p>
              </w:tc>
              <w:tc>
                <w:tcPr>
                  <w:tcW w:w="4018"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outlineLvl w:val="9"/>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exact"/>
                <w:jc w:val="center"/>
              </w:trPr>
              <w:tc>
                <w:tcPr>
                  <w:tcW w:w="1890"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sz w:val="21"/>
                      <w:szCs w:val="21"/>
                      <w:lang w:val="en-US" w:eastAsia="zh-CN"/>
                    </w:rPr>
                    <w:t>实验室</w:t>
                  </w:r>
                  <w:r>
                    <w:rPr>
                      <w:rFonts w:hint="eastAsia" w:ascii="Times New Roman" w:hAnsi="Times New Roman" w:eastAsia="宋体" w:cs="Times New Roman"/>
                      <w:b w:val="0"/>
                      <w:bCs w:val="0"/>
                      <w:sz w:val="21"/>
                      <w:szCs w:val="21"/>
                      <w:lang w:val="en-US" w:eastAsia="zh-CN"/>
                    </w:rPr>
                    <w:t>排气筒DA00</w:t>
                  </w:r>
                  <w:r>
                    <w:rPr>
                      <w:rFonts w:hint="eastAsia" w:cs="Times New Roman"/>
                      <w:b w:val="0"/>
                      <w:bCs w:val="0"/>
                      <w:sz w:val="21"/>
                      <w:szCs w:val="21"/>
                      <w:lang w:val="en-US" w:eastAsia="zh-CN"/>
                    </w:rPr>
                    <w:t>1</w:t>
                  </w:r>
                </w:p>
              </w:tc>
              <w:tc>
                <w:tcPr>
                  <w:tcW w:w="1265"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非甲烷总烃、HCl、NOx、硫酸雾、苯、甲苯、二甲苯、甲醇、甲醛、氨、苯乙烯</w:t>
                  </w:r>
                </w:p>
              </w:tc>
              <w:tc>
                <w:tcPr>
                  <w:tcW w:w="1362"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每年一次</w:t>
                  </w:r>
                </w:p>
              </w:tc>
              <w:tc>
                <w:tcPr>
                  <w:tcW w:w="4018"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kern w:val="2"/>
                      <w:sz w:val="21"/>
                      <w:szCs w:val="21"/>
                      <w:lang w:val="zh-CN" w:eastAsia="zh-CN" w:bidi="ar-SA"/>
                    </w:rPr>
                  </w:pPr>
                  <w:r>
                    <w:rPr>
                      <w:rFonts w:hint="default" w:ascii="Times New Roman" w:hAnsi="Times New Roman" w:eastAsia="宋体" w:cs="Times New Roman"/>
                      <w:b w:val="0"/>
                      <w:bCs w:val="0"/>
                      <w:color w:val="auto"/>
                      <w:sz w:val="21"/>
                      <w:szCs w:val="21"/>
                      <w:lang w:val="en-US" w:eastAsia="zh-CN"/>
                    </w:rPr>
                    <w:t>《大气污染物综合排放标准》（GB16297-1996）</w:t>
                  </w:r>
                  <w:r>
                    <w:rPr>
                      <w:rFonts w:hint="eastAsia" w:cs="Times New Roman"/>
                      <w:b w:val="0"/>
                      <w:bCs w:val="0"/>
                      <w:color w:val="auto"/>
                      <w:sz w:val="21"/>
                      <w:szCs w:val="21"/>
                      <w:lang w:val="en-US" w:eastAsia="zh-CN"/>
                    </w:rPr>
                    <w:t>、</w:t>
                  </w:r>
                  <w:r>
                    <w:rPr>
                      <w:rFonts w:hint="eastAsia" w:cs="Times New Roman"/>
                      <w:color w:val="000000"/>
                      <w:szCs w:val="21"/>
                      <w:lang w:eastAsia="zh-CN"/>
                    </w:rPr>
                    <w:t>《</w:t>
                  </w:r>
                  <w:r>
                    <w:rPr>
                      <w:rFonts w:hint="default" w:ascii="Times New Roman" w:hAnsi="Times New Roman" w:eastAsia="宋体" w:cs="Times New Roman"/>
                      <w:color w:val="000000"/>
                      <w:szCs w:val="21"/>
                    </w:rPr>
                    <w:t>关于全省开展工业企业挥发性有机物 专项治理工作中排放建议值的通知</w:t>
                  </w:r>
                  <w:r>
                    <w:rPr>
                      <w:rFonts w:hint="eastAsia" w:cs="Times New Roman"/>
                      <w:color w:val="000000"/>
                      <w:szCs w:val="21"/>
                      <w:lang w:eastAsia="zh-CN"/>
                    </w:rPr>
                    <w:t>》</w:t>
                  </w:r>
                  <w:r>
                    <w:rPr>
                      <w:rFonts w:hint="default" w:ascii="Times New Roman" w:hAnsi="Times New Roman" w:eastAsia="宋体" w:cs="Times New Roman"/>
                      <w:color w:val="000000"/>
                      <w:szCs w:val="21"/>
                    </w:rPr>
                    <w:t xml:space="preserve"> </w:t>
                  </w:r>
                  <w:r>
                    <w:rPr>
                      <w:rFonts w:hint="eastAsia" w:cs="Times New Roman"/>
                      <w:color w:val="000000"/>
                      <w:szCs w:val="21"/>
                      <w:lang w:eastAsia="zh-CN"/>
                    </w:rPr>
                    <w:t>（</w:t>
                  </w:r>
                  <w:r>
                    <w:rPr>
                      <w:rFonts w:hint="default" w:ascii="Times New Roman" w:hAnsi="Times New Roman" w:eastAsia="宋体" w:cs="Times New Roman"/>
                      <w:color w:val="000000"/>
                      <w:szCs w:val="21"/>
                    </w:rPr>
                    <w:t>豫环攻坚办〔2017〕162号</w:t>
                  </w:r>
                  <w:r>
                    <w:rPr>
                      <w:rFonts w:hint="eastAsia" w:cs="Times New Roman"/>
                      <w:color w:val="000000"/>
                      <w:szCs w:val="21"/>
                      <w:lang w:eastAsia="zh-CN"/>
                    </w:rPr>
                    <w:t>）</w:t>
                  </w:r>
                </w:p>
              </w:tc>
            </w:tr>
          </w:tbl>
          <w:p>
            <w:pPr>
              <w:keepNext w:val="0"/>
              <w:keepLines w:val="0"/>
              <w:pageBreakBefore w:val="0"/>
              <w:widowControl w:val="0"/>
              <w:suppressLineNumbers w:val="0"/>
              <w:tabs>
                <w:tab w:val="left" w:pos="410"/>
              </w:tabs>
              <w:kinsoku/>
              <w:wordWrap/>
              <w:overflowPunct/>
              <w:topLinePunct w:val="0"/>
              <w:autoSpaceDE/>
              <w:autoSpaceDN/>
              <w:bidi w:val="0"/>
              <w:adjustRightInd/>
              <w:snapToGrid/>
              <w:spacing w:before="0" w:beforeAutospacing="0" w:after="0" w:afterAutospacing="0" w:line="520" w:lineRule="exact"/>
              <w:ind w:left="0" w:right="0" w:firstLine="480" w:firstLineChars="200"/>
              <w:rPr>
                <w:rFonts w:hint="default" w:ascii="Times New Roman" w:hAnsi="Times New Roman" w:eastAsia="宋体" w:cs="Times New Roman"/>
                <w:bCs/>
                <w:sz w:val="24"/>
              </w:rPr>
            </w:pP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2</w:t>
            </w:r>
            <w:r>
              <w:rPr>
                <w:rFonts w:hint="eastAsia" w:ascii="Times New Roman" w:hAnsi="Times New Roman" w:eastAsia="宋体" w:cs="Times New Roman"/>
                <w:bCs/>
                <w:sz w:val="24"/>
                <w:lang w:eastAsia="zh-CN"/>
              </w:rPr>
              <w:t>）</w:t>
            </w:r>
            <w:r>
              <w:rPr>
                <w:rFonts w:hint="default" w:ascii="Times New Roman" w:hAnsi="Times New Roman" w:eastAsia="宋体" w:cs="Times New Roman"/>
                <w:bCs/>
                <w:sz w:val="24"/>
              </w:rPr>
              <w:t>无组织排放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宋体" w:cs="Times New Roman"/>
                <w:bCs/>
                <w:sz w:val="24"/>
              </w:rPr>
              <w:t>本项目无组织排放情况见表</w:t>
            </w:r>
            <w:r>
              <w:rPr>
                <w:rFonts w:hint="default" w:ascii="Times New Roman" w:hAnsi="Times New Roman" w:eastAsia="宋体" w:cs="Times New Roman"/>
                <w:bCs/>
                <w:sz w:val="24"/>
                <w:lang w:val="en-US" w:eastAsia="zh-CN"/>
              </w:rPr>
              <w:t>4-</w:t>
            </w:r>
            <w:r>
              <w:rPr>
                <w:rFonts w:hint="eastAsia" w:cs="Times New Roman"/>
                <w:bCs/>
                <w:sz w:val="24"/>
                <w:lang w:val="en-US" w:eastAsia="zh-CN"/>
              </w:rPr>
              <w:t>13</w:t>
            </w:r>
            <w:r>
              <w:rPr>
                <w:rFonts w:hint="default" w:ascii="Times New Roman" w:hAnsi="Times New Roman" w:eastAsia="宋体" w:cs="Times New Roman"/>
                <w:bCs/>
                <w:sz w:val="24"/>
              </w:rPr>
              <w:t>，有组织监测方案见表</w:t>
            </w:r>
            <w:r>
              <w:rPr>
                <w:rFonts w:hint="default" w:ascii="Times New Roman" w:hAnsi="Times New Roman" w:eastAsia="宋体" w:cs="Times New Roman"/>
                <w:bCs/>
                <w:sz w:val="24"/>
                <w:lang w:val="en-US" w:eastAsia="zh-CN"/>
              </w:rPr>
              <w:t>4-</w:t>
            </w:r>
            <w:r>
              <w:rPr>
                <w:rFonts w:hint="eastAsia" w:cs="Times New Roman"/>
                <w:bCs/>
                <w:sz w:val="24"/>
                <w:lang w:val="en-US" w:eastAsia="zh-CN"/>
              </w:rPr>
              <w:t>14</w:t>
            </w:r>
            <w:r>
              <w:rPr>
                <w:rFonts w:hint="default" w:ascii="Times New Roman" w:hAnsi="Times New Roman" w:eastAsia="宋体" w:cs="Times New Roman"/>
                <w:bCs/>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13</w:t>
            </w:r>
            <w:r>
              <w:rPr>
                <w:rFonts w:hint="default" w:ascii="Times New Roman" w:hAnsi="Times New Roman" w:eastAsia="黑体" w:cs="Times New Roman"/>
                <w:b w:val="0"/>
                <w:bCs w:val="0"/>
                <w:color w:val="auto"/>
                <w:sz w:val="24"/>
                <w:szCs w:val="24"/>
                <w:lang w:val="en-US" w:eastAsia="zh-CN"/>
              </w:rPr>
              <w:t xml:space="preserve">  </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无组织排放基本情况一览表</w:t>
            </w:r>
          </w:p>
          <w:tbl>
            <w:tblPr>
              <w:tblStyle w:val="30"/>
              <w:tblW w:w="8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6"/>
              <w:gridCol w:w="2260"/>
              <w:gridCol w:w="1676"/>
              <w:gridCol w:w="1982"/>
              <w:gridCol w:w="920"/>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编号</w:t>
                  </w:r>
                </w:p>
              </w:tc>
              <w:tc>
                <w:tcPr>
                  <w:tcW w:w="226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zh-CN"/>
                    </w:rPr>
                    <w:t>名称</w:t>
                  </w:r>
                </w:p>
              </w:tc>
              <w:tc>
                <w:tcPr>
                  <w:tcW w:w="3658" w:type="dxa"/>
                  <w:gridSpan w:val="2"/>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zh-CN"/>
                    </w:rPr>
                    <w:t>面源中心坐标</w:t>
                  </w:r>
                </w:p>
              </w:tc>
              <w:tc>
                <w:tcPr>
                  <w:tcW w:w="92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zh-CN"/>
                    </w:rPr>
                    <w:t>年排放小时数</w:t>
                  </w:r>
                  <w:r>
                    <w:rPr>
                      <w:rFonts w:hint="default" w:ascii="Times New Roman" w:hAnsi="Times New Roman" w:eastAsia="宋体" w:cs="Times New Roman"/>
                      <w:b w:val="0"/>
                      <w:bCs w:val="0"/>
                      <w:sz w:val="21"/>
                      <w:szCs w:val="21"/>
                    </w:rPr>
                    <w:t>/h</w:t>
                  </w:r>
                </w:p>
              </w:tc>
              <w:tc>
                <w:tcPr>
                  <w:tcW w:w="115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zh-CN"/>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22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1676" w:type="dxa"/>
                  <w:tcBorders>
                    <w:tl2br w:val="nil"/>
                    <w:tr2bl w:val="nil"/>
                  </w:tcBorders>
                  <w:noWrap w:val="0"/>
                  <w:vAlign w:val="center"/>
                </w:tcPr>
                <w:p>
                  <w:pPr>
                    <w:pStyle w:val="71"/>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eastAsia="zh-CN"/>
                    </w:rPr>
                    <w:t>经度</w:t>
                  </w:r>
                </w:p>
              </w:tc>
              <w:tc>
                <w:tcPr>
                  <w:tcW w:w="1982" w:type="dxa"/>
                  <w:tcBorders>
                    <w:tl2br w:val="nil"/>
                    <w:tr2bl w:val="nil"/>
                  </w:tcBorders>
                  <w:noWrap w:val="0"/>
                  <w:vAlign w:val="center"/>
                </w:tcPr>
                <w:p>
                  <w:pPr>
                    <w:pStyle w:val="71"/>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zh-CN"/>
                    </w:rPr>
                  </w:pPr>
                  <w:r>
                    <w:rPr>
                      <w:rFonts w:hint="default" w:ascii="Times New Roman" w:hAnsi="Times New Roman" w:eastAsia="宋体" w:cs="Times New Roman"/>
                      <w:b w:val="0"/>
                      <w:bCs w:val="0"/>
                      <w:sz w:val="21"/>
                      <w:szCs w:val="21"/>
                      <w:lang w:eastAsia="zh-CN"/>
                    </w:rPr>
                    <w:t>纬度</w:t>
                  </w:r>
                </w:p>
              </w:tc>
              <w:tc>
                <w:tcPr>
                  <w:tcW w:w="9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zh-CN"/>
                    </w:rPr>
                  </w:pPr>
                </w:p>
              </w:tc>
              <w:tc>
                <w:tcPr>
                  <w:tcW w:w="115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536"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sz w:val="21"/>
                      <w:szCs w:val="21"/>
                      <w:lang w:val="en-US" w:eastAsia="zh-CN"/>
                    </w:rPr>
                    <w:t>1</w:t>
                  </w:r>
                </w:p>
              </w:tc>
              <w:tc>
                <w:tcPr>
                  <w:tcW w:w="226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实验室</w:t>
                  </w:r>
                </w:p>
              </w:tc>
              <w:tc>
                <w:tcPr>
                  <w:tcW w:w="1676"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cs="Times New Roman"/>
                      <w:b w:val="0"/>
                      <w:bCs w:val="0"/>
                      <w:kern w:val="0"/>
                      <w:sz w:val="21"/>
                      <w:szCs w:val="21"/>
                      <w:lang w:val="en-US" w:eastAsia="zh-CN" w:bidi="ar-SA"/>
                    </w:rPr>
                    <w:t>113.804594</w:t>
                  </w:r>
                </w:p>
              </w:tc>
              <w:tc>
                <w:tcPr>
                  <w:tcW w:w="1982" w:type="dxa"/>
                  <w:tcBorders>
                    <w:tl2br w:val="nil"/>
                    <w:tr2bl w:val="nil"/>
                  </w:tcBorders>
                  <w:noWrap w:val="0"/>
                  <w:vAlign w:val="center"/>
                </w:tcPr>
                <w:p>
                  <w:pPr>
                    <w:pStyle w:val="7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cs="Times New Roman"/>
                      <w:b w:val="0"/>
                      <w:bCs w:val="0"/>
                      <w:kern w:val="0"/>
                      <w:sz w:val="21"/>
                      <w:szCs w:val="21"/>
                      <w:lang w:val="en-US" w:eastAsia="zh-CN" w:bidi="ar-SA"/>
                    </w:rPr>
                    <w:t>35.188369</w:t>
                  </w:r>
                </w:p>
              </w:tc>
              <w:tc>
                <w:tcPr>
                  <w:tcW w:w="9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cs="Times New Roman"/>
                      <w:b w:val="0"/>
                      <w:bCs w:val="0"/>
                      <w:sz w:val="21"/>
                      <w:szCs w:val="21"/>
                      <w:lang w:val="en-US" w:eastAsia="zh-CN"/>
                    </w:rPr>
                    <w:t>1500</w:t>
                  </w:r>
                </w:p>
              </w:tc>
              <w:tc>
                <w:tcPr>
                  <w:tcW w:w="11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lang w:val="zh-CN" w:eastAsia="zh-CN" w:bidi="ar-SA"/>
                    </w:rPr>
                  </w:pPr>
                  <w:r>
                    <w:rPr>
                      <w:rFonts w:hint="default" w:ascii="Times New Roman" w:hAnsi="Times New Roman" w:eastAsia="宋体" w:cs="Times New Roman"/>
                      <w:b w:val="0"/>
                      <w:bCs w:val="0"/>
                      <w:sz w:val="21"/>
                      <w:szCs w:val="21"/>
                      <w:lang w:val="zh-CN"/>
                    </w:rPr>
                    <w:t>正常</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14</w:t>
            </w:r>
            <w:r>
              <w:rPr>
                <w:rFonts w:hint="default" w:ascii="Times New Roman" w:hAnsi="Times New Roman" w:eastAsia="黑体" w:cs="Times New Roman"/>
                <w:b w:val="0"/>
                <w:bCs w:val="0"/>
                <w:color w:val="auto"/>
                <w:sz w:val="24"/>
                <w:szCs w:val="24"/>
                <w:lang w:val="en-US" w:eastAsia="zh-CN"/>
              </w:rPr>
              <w:t xml:space="preserve">  </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无组织废气监测方案</w:t>
            </w:r>
          </w:p>
          <w:tbl>
            <w:tblPr>
              <w:tblStyle w:val="30"/>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304"/>
              <w:gridCol w:w="1263"/>
              <w:gridCol w:w="4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5"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监测点位</w:t>
                  </w:r>
                </w:p>
              </w:tc>
              <w:tc>
                <w:tcPr>
                  <w:tcW w:w="1304"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监测指标</w:t>
                  </w:r>
                </w:p>
              </w:tc>
              <w:tc>
                <w:tcPr>
                  <w:tcW w:w="1263"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监测频次</w:t>
                  </w:r>
                </w:p>
              </w:tc>
              <w:tc>
                <w:tcPr>
                  <w:tcW w:w="4783"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18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上风向1个，下风向3个</w:t>
                  </w:r>
                </w:p>
              </w:tc>
              <w:tc>
                <w:tcPr>
                  <w:tcW w:w="130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2"/>
                      <w:sz w:val="21"/>
                      <w:szCs w:val="21"/>
                      <w:lang w:val="en-US" w:eastAsia="zh-CN" w:bidi="ar-SA"/>
                    </w:rPr>
                    <w:t>非甲烷总烃、HCl、NOx、硫酸雾、苯、甲苯、二甲苯、甲醇、甲醛、氨、苯乙烯</w:t>
                  </w:r>
                </w:p>
              </w:tc>
              <w:tc>
                <w:tcPr>
                  <w:tcW w:w="1263"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每年一次</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（委托有资质环保监测单位）</w:t>
                  </w:r>
                </w:p>
              </w:tc>
              <w:tc>
                <w:tcPr>
                  <w:tcW w:w="4783"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《大气污染物综合排放标准》（GB16297—1996）表2二级标准</w:t>
                  </w:r>
                  <w:r>
                    <w:rPr>
                      <w:rFonts w:hint="eastAsia" w:cs="Times New Roman"/>
                      <w:b w:val="0"/>
                      <w:bCs w:val="0"/>
                      <w:sz w:val="21"/>
                      <w:szCs w:val="21"/>
                      <w:lang w:val="en-US" w:eastAsia="zh-CN"/>
                    </w:rPr>
                    <w:t>、</w:t>
                  </w:r>
                  <w:r>
                    <w:rPr>
                      <w:rFonts w:hint="eastAsia" w:cs="Times New Roman"/>
                      <w:color w:val="000000"/>
                      <w:szCs w:val="21"/>
                      <w:lang w:eastAsia="zh-CN"/>
                    </w:rPr>
                    <w:t>《</w:t>
                  </w:r>
                  <w:r>
                    <w:rPr>
                      <w:rFonts w:hint="default" w:ascii="Times New Roman" w:hAnsi="Times New Roman" w:eastAsia="宋体" w:cs="Times New Roman"/>
                      <w:color w:val="000000"/>
                      <w:szCs w:val="21"/>
                    </w:rPr>
                    <w:t>关于全省开展工业企业挥发性有机物 专项治理工作中排放建议值的通知</w:t>
                  </w:r>
                  <w:r>
                    <w:rPr>
                      <w:rFonts w:hint="eastAsia" w:cs="Times New Roman"/>
                      <w:color w:val="000000"/>
                      <w:szCs w:val="21"/>
                      <w:lang w:eastAsia="zh-CN"/>
                    </w:rPr>
                    <w:t>》</w:t>
                  </w:r>
                  <w:r>
                    <w:rPr>
                      <w:rFonts w:hint="default" w:ascii="Times New Roman" w:hAnsi="Times New Roman" w:eastAsia="宋体" w:cs="Times New Roman"/>
                      <w:color w:val="000000"/>
                      <w:szCs w:val="21"/>
                    </w:rPr>
                    <w:t xml:space="preserve"> </w:t>
                  </w:r>
                  <w:r>
                    <w:rPr>
                      <w:rFonts w:hint="eastAsia" w:cs="Times New Roman"/>
                      <w:color w:val="000000"/>
                      <w:szCs w:val="21"/>
                      <w:lang w:eastAsia="zh-CN"/>
                    </w:rPr>
                    <w:t>（</w:t>
                  </w:r>
                  <w:r>
                    <w:rPr>
                      <w:rFonts w:hint="default" w:ascii="Times New Roman" w:hAnsi="Times New Roman" w:eastAsia="宋体" w:cs="Times New Roman"/>
                      <w:color w:val="000000"/>
                      <w:szCs w:val="21"/>
                    </w:rPr>
                    <w:t>豫环攻坚办〔2017〕162号</w:t>
                  </w:r>
                  <w:r>
                    <w:rPr>
                      <w:rFonts w:hint="eastAsia" w:cs="Times New Roman"/>
                      <w:color w:val="000000"/>
                      <w:szCs w:val="21"/>
                      <w:lang w:eastAsia="zh-CN"/>
                    </w:rPr>
                    <w:t>）</w:t>
                  </w:r>
                </w:p>
              </w:tc>
            </w:tr>
          </w:tbl>
          <w:p>
            <w:pPr>
              <w:keepNext w:val="0"/>
              <w:keepLines w:val="0"/>
              <w:pageBreakBefore w:val="0"/>
              <w:widowControl w:val="0"/>
              <w:suppressLineNumbers w:val="0"/>
              <w:tabs>
                <w:tab w:val="left" w:pos="410"/>
              </w:tabs>
              <w:kinsoku/>
              <w:wordWrap/>
              <w:overflowPunct/>
              <w:topLinePunct w:val="0"/>
              <w:autoSpaceDE/>
              <w:autoSpaceDN/>
              <w:bidi w:val="0"/>
              <w:adjustRightInd/>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val="0"/>
                <w:sz w:val="24"/>
              </w:rPr>
            </w:pPr>
            <w:r>
              <w:rPr>
                <w:rFonts w:hint="eastAsia" w:ascii="Times New Roman" w:hAnsi="Times New Roman" w:eastAsia="宋体" w:cs="Times New Roman"/>
                <w:b/>
                <w:bCs w:val="0"/>
                <w:sz w:val="24"/>
                <w:lang w:val="en-US" w:eastAsia="zh-CN"/>
              </w:rPr>
              <w:t>1.</w:t>
            </w:r>
            <w:r>
              <w:rPr>
                <w:rFonts w:hint="eastAsia" w:cs="Times New Roman"/>
                <w:b/>
                <w:bCs w:val="0"/>
                <w:sz w:val="24"/>
                <w:lang w:val="en-US" w:eastAsia="zh-CN"/>
              </w:rPr>
              <w:t>6</w:t>
            </w:r>
            <w:r>
              <w:rPr>
                <w:rFonts w:hint="eastAsia" w:ascii="Times New Roman" w:hAnsi="Times New Roman" w:eastAsia="宋体" w:cs="Times New Roman"/>
                <w:b/>
                <w:bCs w:val="0"/>
                <w:sz w:val="24"/>
                <w:lang w:val="en-US" w:eastAsia="zh-CN"/>
              </w:rPr>
              <w:t xml:space="preserve"> </w:t>
            </w:r>
            <w:r>
              <w:rPr>
                <w:rFonts w:hint="default" w:ascii="Times New Roman" w:hAnsi="Times New Roman" w:eastAsia="宋体" w:cs="Times New Roman"/>
                <w:b/>
                <w:bCs w:val="0"/>
                <w:sz w:val="24"/>
              </w:rPr>
              <w:t>废气非正常工况排放</w:t>
            </w:r>
          </w:p>
          <w:p>
            <w:pPr>
              <w:keepNext w:val="0"/>
              <w:keepLines w:val="0"/>
              <w:pageBreakBefore w:val="0"/>
              <w:widowControl w:val="0"/>
              <w:suppressLineNumbers w:val="0"/>
              <w:tabs>
                <w:tab w:val="left" w:pos="410"/>
              </w:tabs>
              <w:kinsoku/>
              <w:wordWrap/>
              <w:overflowPunct/>
              <w:topLinePunct w:val="0"/>
              <w:autoSpaceDE/>
              <w:autoSpaceDN/>
              <w:bidi w:val="0"/>
              <w:adjustRightInd/>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Cs/>
                <w:sz w:val="24"/>
              </w:rPr>
              <w:t>当废气处理措施正常运行时，污染物排放达标，对周围环境影响较小。当废气处理措施发生异常，废气无法收集或处理时，会出现非正常排放。本项目废气非正常排放情况见下表。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jc w:val="both"/>
              <w:textAlignment w:val="baseline"/>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15</w:t>
            </w:r>
            <w:r>
              <w:rPr>
                <w:rFonts w:hint="default" w:ascii="Times New Roman" w:hAnsi="Times New Roman" w:eastAsia="黑体" w:cs="Times New Roman"/>
                <w:b w:val="0"/>
                <w:bCs w:val="0"/>
                <w:color w:val="auto"/>
                <w:sz w:val="24"/>
                <w:szCs w:val="24"/>
                <w:lang w:val="en-US" w:eastAsia="zh-CN"/>
              </w:rPr>
              <w:t xml:space="preserve"> </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 xml:space="preserve"> 污染源非正常排放量核算表</w:t>
            </w:r>
          </w:p>
          <w:tbl>
            <w:tblPr>
              <w:tblStyle w:val="30"/>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36"/>
              <w:gridCol w:w="954"/>
              <w:gridCol w:w="736"/>
              <w:gridCol w:w="1196"/>
              <w:gridCol w:w="1102"/>
              <w:gridCol w:w="1030"/>
              <w:gridCol w:w="661"/>
              <w:gridCol w:w="762"/>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序号</w:t>
                  </w:r>
                </w:p>
              </w:tc>
              <w:tc>
                <w:tcPr>
                  <w:tcW w:w="836"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污染源</w:t>
                  </w:r>
                </w:p>
              </w:tc>
              <w:tc>
                <w:tcPr>
                  <w:tcW w:w="954"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非正常</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排放原因</w:t>
                  </w:r>
                </w:p>
              </w:tc>
              <w:tc>
                <w:tcPr>
                  <w:tcW w:w="736"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污染物</w:t>
                  </w:r>
                </w:p>
              </w:tc>
              <w:tc>
                <w:tcPr>
                  <w:tcW w:w="1196"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非正常排放浓度（mg/m</w:t>
                  </w:r>
                  <w:r>
                    <w:rPr>
                      <w:rFonts w:hint="default" w:ascii="Times New Roman" w:hAnsi="Times New Roman" w:eastAsia="宋体" w:cs="Times New Roman"/>
                      <w:b w:val="0"/>
                      <w:bCs w:val="0"/>
                      <w:kern w:val="0"/>
                      <w:sz w:val="21"/>
                      <w:szCs w:val="21"/>
                      <w:vertAlign w:val="superscript"/>
                    </w:rPr>
                    <w:t>3</w:t>
                  </w:r>
                  <w:r>
                    <w:rPr>
                      <w:rFonts w:hint="default" w:ascii="Times New Roman" w:hAnsi="Times New Roman" w:eastAsia="宋体" w:cs="Times New Roman"/>
                      <w:b w:val="0"/>
                      <w:bCs w:val="0"/>
                      <w:kern w:val="0"/>
                      <w:sz w:val="21"/>
                      <w:szCs w:val="21"/>
                    </w:rPr>
                    <w:t>）</w:t>
                  </w:r>
                </w:p>
              </w:tc>
              <w:tc>
                <w:tcPr>
                  <w:tcW w:w="1102"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非正常排放速率（kg/h）</w:t>
                  </w:r>
                </w:p>
              </w:tc>
              <w:tc>
                <w:tcPr>
                  <w:tcW w:w="1030"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非正常排放量（</w:t>
                  </w:r>
                  <w:r>
                    <w:rPr>
                      <w:rFonts w:hint="eastAsia" w:ascii="Times New Roman" w:hAnsi="Times New Roman" w:eastAsia="宋体" w:cs="Times New Roman"/>
                      <w:b w:val="0"/>
                      <w:bCs w:val="0"/>
                      <w:kern w:val="0"/>
                      <w:sz w:val="21"/>
                      <w:szCs w:val="21"/>
                      <w:lang w:val="en-US" w:eastAsia="zh-CN"/>
                    </w:rPr>
                    <w:t>kg</w:t>
                  </w:r>
                  <w:r>
                    <w:rPr>
                      <w:rFonts w:hint="default" w:ascii="Times New Roman" w:hAnsi="Times New Roman" w:eastAsia="宋体" w:cs="Times New Roman"/>
                      <w:b w:val="0"/>
                      <w:bCs w:val="0"/>
                      <w:kern w:val="0"/>
                      <w:sz w:val="21"/>
                      <w:szCs w:val="21"/>
                      <w:lang w:val="en-US" w:eastAsia="zh-CN"/>
                    </w:rPr>
                    <w:t>/a</w:t>
                  </w:r>
                  <w:r>
                    <w:rPr>
                      <w:rFonts w:hint="default" w:ascii="Times New Roman" w:hAnsi="Times New Roman" w:eastAsia="宋体" w:cs="Times New Roman"/>
                      <w:b w:val="0"/>
                      <w:bCs w:val="0"/>
                      <w:kern w:val="0"/>
                      <w:sz w:val="21"/>
                      <w:szCs w:val="21"/>
                      <w:lang w:eastAsia="zh-CN"/>
                    </w:rPr>
                    <w:t>）</w:t>
                  </w:r>
                </w:p>
              </w:tc>
              <w:tc>
                <w:tcPr>
                  <w:tcW w:w="661"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单次持续时间/h</w:t>
                  </w:r>
                </w:p>
              </w:tc>
              <w:tc>
                <w:tcPr>
                  <w:tcW w:w="762"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年发生频次/次</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r>
                    <w:rPr>
                      <w:rFonts w:hint="eastAsia" w:ascii="Calibri" w:hAnsi="Calibri" w:eastAsia="宋体" w:cs="Times New Roman"/>
                      <w:b w:val="0"/>
                      <w:bCs w:val="0"/>
                      <w:sz w:val="21"/>
                      <w:szCs w:val="21"/>
                      <w:lang w:val="en-US" w:eastAsia="zh-CN"/>
                    </w:rPr>
                    <w:t>1</w:t>
                  </w:r>
                </w:p>
              </w:tc>
              <w:tc>
                <w:tcPr>
                  <w:tcW w:w="836"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DA00</w:t>
                  </w:r>
                  <w:r>
                    <w:rPr>
                      <w:rFonts w:hint="eastAsia" w:cs="Times New Roman"/>
                      <w:b w:val="0"/>
                      <w:bCs w:val="0"/>
                      <w:sz w:val="21"/>
                      <w:szCs w:val="21"/>
                      <w:lang w:val="en-US" w:eastAsia="zh-CN"/>
                    </w:rPr>
                    <w:t>1</w:t>
                  </w:r>
                </w:p>
              </w:tc>
              <w:tc>
                <w:tcPr>
                  <w:tcW w:w="954"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碱喷淋+UV光氧催化+活性炭装置</w:t>
                  </w: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非甲烷总烃</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0.42</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1.69</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-3</w:t>
                  </w:r>
                  <w:r>
                    <w:rPr>
                      <w:rFonts w:hint="eastAsia"/>
                      <w:szCs w:val="21"/>
                      <w:lang w:val="en-US" w:eastAsia="zh-CN"/>
                    </w:rPr>
                    <w:t xml:space="preserve"> </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1.69</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-3</w:t>
                  </w:r>
                  <w:r>
                    <w:rPr>
                      <w:rFonts w:hint="eastAsia"/>
                      <w:szCs w:val="21"/>
                      <w:lang w:val="en-US" w:eastAsia="zh-CN"/>
                    </w:rPr>
                    <w:t xml:space="preserve"> </w:t>
                  </w:r>
                </w:p>
              </w:tc>
              <w:tc>
                <w:tcPr>
                  <w:tcW w:w="66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762"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1</w:t>
                  </w:r>
                </w:p>
              </w:tc>
              <w:tc>
                <w:tcPr>
                  <w:tcW w:w="8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立即停止生产，修复后恢复生产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2</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0.04 </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1.5</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1.5</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3</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0.05 </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2.1</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2.1</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4</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硫酸雾</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0.03 </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1.2 </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1.2 </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5</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0.01 </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 xml:space="preserve"> </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 xml:space="preserve"> </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6</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甲苯</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0.02 </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7.0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 xml:space="preserve"> </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7.0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r>
                    <w:rPr>
                      <w:rFonts w:hint="eastAsia"/>
                      <w:szCs w:val="21"/>
                      <w:lang w:val="en-US" w:eastAsia="zh-CN"/>
                    </w:rPr>
                    <w:t xml:space="preserve"> </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7</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二甲苯</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-7</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-7</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8</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甲醇</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0.13 </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10</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氨</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0.01 </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-5</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b w:val="0"/>
                      <w:bCs w:val="0"/>
                      <w:sz w:val="21"/>
                      <w:szCs w:val="21"/>
                      <w:lang w:val="en-US" w:eastAsia="zh-CN"/>
                    </w:rPr>
                  </w:pPr>
                  <w:r>
                    <w:rPr>
                      <w:rFonts w:hint="eastAsia" w:ascii="Calibri" w:hAnsi="Calibri" w:cs="Times New Roman"/>
                      <w:b w:val="0"/>
                      <w:bCs w:val="0"/>
                      <w:sz w:val="21"/>
                      <w:szCs w:val="21"/>
                      <w:lang w:val="en-US" w:eastAsia="zh-CN"/>
                    </w:rPr>
                    <w:t>11</w:t>
                  </w:r>
                </w:p>
              </w:tc>
              <w:tc>
                <w:tcPr>
                  <w:tcW w:w="83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lang w:val="en-US" w:eastAsia="zh-CN"/>
                    </w:rPr>
                  </w:pPr>
                </w:p>
              </w:tc>
              <w:tc>
                <w:tcPr>
                  <w:tcW w:w="95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val="0"/>
                      <w:bCs w:val="0"/>
                      <w:color w:val="000000"/>
                      <w:sz w:val="21"/>
                      <w:szCs w:val="21"/>
                      <w:lang w:val="en-US" w:eastAsia="zh-CN"/>
                    </w:rPr>
                  </w:pPr>
                </w:p>
              </w:tc>
              <w:tc>
                <w:tcPr>
                  <w:tcW w:w="7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苯乙烯</w:t>
                  </w:r>
                </w:p>
              </w:tc>
              <w:tc>
                <w:tcPr>
                  <w:tcW w:w="1196"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p>
              </w:tc>
              <w:tc>
                <w:tcPr>
                  <w:tcW w:w="1102"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-7</w:t>
                  </w:r>
                </w:p>
              </w:tc>
              <w:tc>
                <w:tcPr>
                  <w:tcW w:w="1030"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-7</w:t>
                  </w:r>
                </w:p>
              </w:tc>
              <w:tc>
                <w:tcPr>
                  <w:tcW w:w="66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c>
                <w:tcPr>
                  <w:tcW w:w="8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rPr>
              <w:t>注：污染源非正常排放按照无处理效率进行核算。</w:t>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ascii="宋体" w:hAnsi="宋体" w:eastAsia="宋体" w:cs="Times New Roman"/>
                <w:sz w:val="24"/>
                <w:szCs w:val="24"/>
              </w:rPr>
            </w:pPr>
            <w:r>
              <w:rPr>
                <w:rFonts w:hint="default" w:ascii="Times New Roman" w:hAnsi="Times New Roman" w:eastAsia="宋体" w:cs="Times New Roman"/>
                <w:color w:val="auto"/>
                <w:kern w:val="2"/>
                <w:sz w:val="24"/>
                <w:szCs w:val="24"/>
                <w:lang w:val="en-US" w:eastAsia="zh-CN" w:bidi="ar-SA"/>
              </w:rPr>
              <w:t>为了减轻项目对周围环境的影响程度和范围，保证该地区的可持续发展。项目在生产过程中必须加强管理，保证废气处理设备正常运行，避免事故发生。当废气处理设备出现故障时，应尽快停产对其进行维修，尽量减轻对周围环境造成的影响。此外，评价建议加强日常对各类设备的维护和保养，可以进一步降低出现非正常工况出现的概率，避免非正常工况情况下污染物对</w:t>
            </w:r>
            <w:r>
              <w:rPr>
                <w:rFonts w:hint="eastAsia" w:ascii="Times New Roman" w:hAnsi="Times New Roman" w:eastAsia="宋体" w:cs="Times New Roman"/>
                <w:color w:val="auto"/>
                <w:kern w:val="2"/>
                <w:sz w:val="24"/>
                <w:szCs w:val="24"/>
                <w:lang w:val="en-US" w:eastAsia="zh-CN" w:bidi="ar-SA"/>
              </w:rPr>
              <w:t>周围环境</w:t>
            </w:r>
            <w:r>
              <w:rPr>
                <w:rFonts w:hint="default" w:ascii="Times New Roman" w:hAnsi="Times New Roman" w:eastAsia="宋体" w:cs="Times New Roman"/>
                <w:color w:val="auto"/>
                <w:kern w:val="2"/>
                <w:sz w:val="24"/>
                <w:szCs w:val="24"/>
                <w:lang w:val="en-US" w:eastAsia="zh-CN" w:bidi="ar-SA"/>
              </w:rPr>
              <w:t>造成影响。</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520" w:lineRule="exact"/>
              <w:ind w:left="0" w:leftChars="0" w:right="0" w:rightChars="0" w:firstLine="482" w:firstLineChars="200"/>
              <w:textAlignment w:val="auto"/>
              <w:rPr>
                <w:rFonts w:hint="default" w:ascii="Times New Roman" w:hAnsi="Times New Roman" w:eastAsia="宋体" w:cs="Times New Roman"/>
                <w:b/>
                <w:bCs w:val="0"/>
                <w:sz w:val="24"/>
                <w:lang w:val="en-US" w:eastAsia="zh-CN"/>
              </w:rPr>
            </w:pPr>
            <w:r>
              <w:rPr>
                <w:rFonts w:hint="eastAsia" w:ascii="Times New Roman" w:hAnsi="Times New Roman" w:eastAsia="宋体" w:cs="Times New Roman"/>
                <w:b/>
                <w:bCs w:val="0"/>
                <w:sz w:val="24"/>
                <w:lang w:val="en-US" w:eastAsia="zh-CN"/>
              </w:rPr>
              <w:t>1.6 废气治理措施可行性分析</w:t>
            </w:r>
          </w:p>
          <w:p>
            <w:pPr>
              <w:pStyle w:val="66"/>
              <w:keepNext w:val="0"/>
              <w:keepLines w:val="0"/>
              <w:suppressLineNumbers w:val="0"/>
              <w:spacing w:before="0" w:beforeAutospacing="0" w:after="0" w:afterAutospacing="0"/>
              <w:ind w:left="0" w:right="0" w:firstLine="480"/>
              <w:rPr>
                <w:color w:val="000000"/>
              </w:rPr>
            </w:pPr>
            <w:r>
              <w:rPr>
                <w:color w:val="000000"/>
              </w:rPr>
              <w:t>目前，有机废气的处理方法有直接燃烧法、活性炭吸附法、催化燃烧法、吸收法、冷凝法、UV光氧化法、低温等离子体等，各种方法的主要优缺点见表4-</w:t>
            </w:r>
            <w:r>
              <w:rPr>
                <w:rFonts w:hint="eastAsia"/>
                <w:color w:val="000000"/>
                <w:lang w:val="en-US" w:eastAsia="zh-CN"/>
              </w:rPr>
              <w:t>16</w:t>
            </w:r>
            <w:r>
              <w:rPr>
                <w:color w:val="000000"/>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80"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ascii="Times New Roman" w:hAnsi="Times New Roman" w:eastAsia="黑体" w:cs="Times New Roman"/>
                <w:b w:val="0"/>
                <w:bCs w:val="0"/>
                <w:color w:val="auto"/>
                <w:sz w:val="24"/>
                <w:szCs w:val="24"/>
                <w:lang w:val="en-US" w:eastAsia="zh-CN"/>
              </w:rPr>
              <w:t>16</w:t>
            </w:r>
            <w:r>
              <w:rPr>
                <w:rFonts w:hint="default" w:ascii="Times New Roman" w:hAnsi="Times New Roman" w:eastAsia="黑体" w:cs="Times New Roman"/>
                <w:b w:val="0"/>
                <w:bCs w:val="0"/>
                <w:color w:val="auto"/>
                <w:sz w:val="24"/>
                <w:szCs w:val="24"/>
                <w:lang w:val="en-US" w:eastAsia="zh-CN"/>
              </w:rPr>
              <w:t xml:space="preserve"> 有机废气主要净化方法比较</w:t>
            </w:r>
          </w:p>
          <w:tbl>
            <w:tblPr>
              <w:tblStyle w:val="30"/>
              <w:tblpPr w:leftFromText="180" w:rightFromText="180" w:vertAnchor="text" w:horzAnchor="page" w:tblpX="80" w:tblpY="187"/>
              <w:tblOverlap w:val="never"/>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195"/>
              <w:gridCol w:w="2043"/>
              <w:gridCol w:w="2094"/>
              <w:gridCol w:w="1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widowControl/>
                    <w:suppressLineNumbers w:val="0"/>
                    <w:spacing w:before="0" w:beforeAutospacing="0" w:after="0" w:afterAutospacing="0" w:line="380" w:lineRule="exact"/>
                    <w:ind w:left="0" w:right="0"/>
                    <w:jc w:val="center"/>
                    <w:rPr>
                      <w:bCs/>
                      <w:color w:val="000000"/>
                      <w:kern w:val="0"/>
                      <w:szCs w:val="21"/>
                    </w:rPr>
                  </w:pPr>
                  <w:r>
                    <w:rPr>
                      <w:bCs/>
                      <w:color w:val="000000"/>
                      <w:kern w:val="0"/>
                      <w:szCs w:val="21"/>
                    </w:rPr>
                    <w:t>方法</w:t>
                  </w:r>
                </w:p>
              </w:tc>
              <w:tc>
                <w:tcPr>
                  <w:tcW w:w="2195" w:type="dxa"/>
                  <w:noWrap w:val="0"/>
                  <w:vAlign w:val="center"/>
                </w:tcPr>
                <w:p>
                  <w:pPr>
                    <w:keepNext w:val="0"/>
                    <w:keepLines w:val="0"/>
                    <w:widowControl/>
                    <w:suppressLineNumbers w:val="0"/>
                    <w:spacing w:before="0" w:beforeAutospacing="0" w:after="0" w:afterAutospacing="0" w:line="380" w:lineRule="exact"/>
                    <w:ind w:left="0" w:right="0"/>
                    <w:jc w:val="center"/>
                    <w:rPr>
                      <w:bCs/>
                      <w:color w:val="000000"/>
                      <w:kern w:val="0"/>
                      <w:szCs w:val="21"/>
                    </w:rPr>
                  </w:pPr>
                  <w:r>
                    <w:rPr>
                      <w:bCs/>
                      <w:color w:val="000000"/>
                      <w:kern w:val="0"/>
                      <w:szCs w:val="21"/>
                    </w:rPr>
                    <w:t>原理</w:t>
                  </w:r>
                </w:p>
              </w:tc>
              <w:tc>
                <w:tcPr>
                  <w:tcW w:w="2043" w:type="dxa"/>
                  <w:noWrap w:val="0"/>
                  <w:vAlign w:val="center"/>
                </w:tcPr>
                <w:p>
                  <w:pPr>
                    <w:keepNext w:val="0"/>
                    <w:keepLines w:val="0"/>
                    <w:widowControl/>
                    <w:suppressLineNumbers w:val="0"/>
                    <w:spacing w:before="0" w:beforeAutospacing="0" w:after="0" w:afterAutospacing="0" w:line="380" w:lineRule="exact"/>
                    <w:ind w:left="0" w:right="0"/>
                    <w:jc w:val="center"/>
                    <w:rPr>
                      <w:bCs/>
                      <w:color w:val="000000"/>
                      <w:kern w:val="0"/>
                      <w:szCs w:val="21"/>
                    </w:rPr>
                  </w:pPr>
                  <w:r>
                    <w:rPr>
                      <w:bCs/>
                      <w:color w:val="000000"/>
                      <w:kern w:val="0"/>
                      <w:szCs w:val="21"/>
                    </w:rPr>
                    <w:t>优点</w:t>
                  </w:r>
                </w:p>
              </w:tc>
              <w:tc>
                <w:tcPr>
                  <w:tcW w:w="2094" w:type="dxa"/>
                  <w:noWrap w:val="0"/>
                  <w:vAlign w:val="center"/>
                </w:tcPr>
                <w:p>
                  <w:pPr>
                    <w:keepNext w:val="0"/>
                    <w:keepLines w:val="0"/>
                    <w:widowControl/>
                    <w:suppressLineNumbers w:val="0"/>
                    <w:spacing w:before="0" w:beforeAutospacing="0" w:after="0" w:afterAutospacing="0" w:line="380" w:lineRule="exact"/>
                    <w:ind w:left="0" w:right="0"/>
                    <w:jc w:val="center"/>
                    <w:rPr>
                      <w:bCs/>
                      <w:color w:val="000000"/>
                      <w:kern w:val="0"/>
                      <w:szCs w:val="21"/>
                    </w:rPr>
                  </w:pPr>
                  <w:r>
                    <w:rPr>
                      <w:bCs/>
                      <w:color w:val="000000"/>
                      <w:kern w:val="0"/>
                      <w:szCs w:val="21"/>
                    </w:rPr>
                    <w:t>缺点</w:t>
                  </w:r>
                </w:p>
              </w:tc>
              <w:tc>
                <w:tcPr>
                  <w:tcW w:w="1492" w:type="dxa"/>
                  <w:noWrap w:val="0"/>
                  <w:vAlign w:val="center"/>
                </w:tcPr>
                <w:p>
                  <w:pPr>
                    <w:keepNext w:val="0"/>
                    <w:keepLines w:val="0"/>
                    <w:widowControl/>
                    <w:suppressLineNumbers w:val="0"/>
                    <w:spacing w:before="0" w:beforeAutospacing="0" w:after="0" w:afterAutospacing="0" w:line="380" w:lineRule="exact"/>
                    <w:ind w:left="0" w:right="0"/>
                    <w:jc w:val="center"/>
                    <w:rPr>
                      <w:bCs/>
                      <w:color w:val="000000"/>
                      <w:kern w:val="0"/>
                      <w:szCs w:val="21"/>
                    </w:rPr>
                  </w:pPr>
                  <w:r>
                    <w:rPr>
                      <w:bCs/>
                      <w:color w:val="000000"/>
                      <w:kern w:val="0"/>
                      <w:szCs w:val="21"/>
                    </w:rPr>
                    <w:t>适用范围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吸附法</w:t>
                  </w:r>
                </w:p>
              </w:tc>
              <w:tc>
                <w:tcPr>
                  <w:tcW w:w="2195"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废气分子扩散到固体吸附剂表面，有害成分被吸附而达到净化</w:t>
                  </w:r>
                </w:p>
              </w:tc>
              <w:tc>
                <w:tcPr>
                  <w:tcW w:w="2043"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可处理含有低浓度的碳氢化合物和低温废气；溶剂可回收，进行有效利用；处理程度可控制</w:t>
                  </w:r>
                </w:p>
              </w:tc>
              <w:tc>
                <w:tcPr>
                  <w:tcW w:w="2094"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吸附剂再生和补充费用高；在处理喷漆废气时要预先除漆雾</w:t>
                  </w:r>
                </w:p>
              </w:tc>
              <w:tc>
                <w:tcPr>
                  <w:tcW w:w="1492"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适用常温、低浓度、废气量较小的废气治理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直接燃烧法</w:t>
                  </w:r>
                </w:p>
              </w:tc>
              <w:tc>
                <w:tcPr>
                  <w:tcW w:w="2195"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废气与燃烧室火焰直接接触，有害物燃烧成CO</w:t>
                  </w:r>
                  <w:r>
                    <w:rPr>
                      <w:bCs/>
                      <w:color w:val="000000"/>
                      <w:kern w:val="21"/>
                      <w:szCs w:val="21"/>
                      <w:vertAlign w:val="subscript"/>
                    </w:rPr>
                    <w:t>2</w:t>
                  </w:r>
                  <w:r>
                    <w:rPr>
                      <w:bCs/>
                      <w:color w:val="000000"/>
                      <w:kern w:val="21"/>
                      <w:szCs w:val="21"/>
                    </w:rPr>
                    <w:t>和H</w:t>
                  </w:r>
                  <w:r>
                    <w:rPr>
                      <w:bCs/>
                      <w:color w:val="000000"/>
                      <w:kern w:val="21"/>
                      <w:szCs w:val="21"/>
                      <w:vertAlign w:val="subscript"/>
                    </w:rPr>
                    <w:t>2</w:t>
                  </w:r>
                  <w:r>
                    <w:rPr>
                      <w:bCs/>
                      <w:color w:val="000000"/>
                      <w:kern w:val="21"/>
                      <w:szCs w:val="21"/>
                    </w:rPr>
                    <w:t>O，使废气净化</w:t>
                  </w:r>
                </w:p>
              </w:tc>
              <w:tc>
                <w:tcPr>
                  <w:tcW w:w="2043"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燃烧效率高，管理容易，维护简单；装置占地面积小；不稳定因素少，可靠性高</w:t>
                  </w:r>
                </w:p>
              </w:tc>
              <w:tc>
                <w:tcPr>
                  <w:tcW w:w="2094"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处理温度高，燃料费用高，设备造价高，处理低浓度、风量大的废气不经济</w:t>
                  </w:r>
                </w:p>
              </w:tc>
              <w:tc>
                <w:tcPr>
                  <w:tcW w:w="1492"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使用于有机溶剂含量高、湿度高的废气治理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冷凝法</w:t>
                  </w:r>
                </w:p>
              </w:tc>
              <w:tc>
                <w:tcPr>
                  <w:tcW w:w="2195"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降低有害气体的温度，使某些成分冷凝成液体</w:t>
                  </w:r>
                </w:p>
              </w:tc>
              <w:tc>
                <w:tcPr>
                  <w:tcW w:w="2043"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设备、操作条件简单，回收物质纯度高</w:t>
                  </w:r>
                </w:p>
              </w:tc>
              <w:tc>
                <w:tcPr>
                  <w:tcW w:w="2094"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冷凝后的气体仍含有较高浓度有机废气，不能达到标准要求</w:t>
                  </w:r>
                </w:p>
              </w:tc>
              <w:tc>
                <w:tcPr>
                  <w:tcW w:w="1492"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适用于组分单一的高浓度有机废气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吸收法</w:t>
                  </w:r>
                </w:p>
              </w:tc>
              <w:tc>
                <w:tcPr>
                  <w:tcW w:w="2195"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液体作为吸收剂，使废气中有害气体被吸收剂吸收而达到净化</w:t>
                  </w:r>
                </w:p>
              </w:tc>
              <w:tc>
                <w:tcPr>
                  <w:tcW w:w="2043"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设备费用低，运转费用少；无爆炸、火灾等危险，安全性高</w:t>
                  </w:r>
                </w:p>
              </w:tc>
              <w:tc>
                <w:tcPr>
                  <w:tcW w:w="2094"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需要对产生废水进行二次处理，对涂料品种有限制</w:t>
                  </w:r>
                </w:p>
              </w:tc>
              <w:tc>
                <w:tcPr>
                  <w:tcW w:w="1492"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适用于高、低浓度非甲烷总烃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催化燃烧法</w:t>
                  </w:r>
                </w:p>
              </w:tc>
              <w:tc>
                <w:tcPr>
                  <w:tcW w:w="2195"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在催化剂作用下，使有机废气在引燃点温度以下燃烧生成CO</w:t>
                  </w:r>
                  <w:r>
                    <w:rPr>
                      <w:bCs/>
                      <w:color w:val="000000"/>
                      <w:kern w:val="21"/>
                      <w:szCs w:val="21"/>
                      <w:vertAlign w:val="subscript"/>
                    </w:rPr>
                    <w:t>2</w:t>
                  </w:r>
                  <w:r>
                    <w:rPr>
                      <w:bCs/>
                      <w:color w:val="000000"/>
                      <w:kern w:val="21"/>
                      <w:szCs w:val="21"/>
                    </w:rPr>
                    <w:t>和H</w:t>
                  </w:r>
                  <w:r>
                    <w:rPr>
                      <w:bCs/>
                      <w:color w:val="000000"/>
                      <w:kern w:val="21"/>
                      <w:szCs w:val="21"/>
                      <w:vertAlign w:val="subscript"/>
                    </w:rPr>
                    <w:t>2</w:t>
                  </w:r>
                  <w:r>
                    <w:rPr>
                      <w:bCs/>
                      <w:color w:val="000000"/>
                      <w:kern w:val="21"/>
                      <w:szCs w:val="21"/>
                    </w:rPr>
                    <w:t>O而被净化</w:t>
                  </w:r>
                </w:p>
              </w:tc>
              <w:tc>
                <w:tcPr>
                  <w:tcW w:w="2043"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与直接燃烧法相比，能在低温下氧化分解，燃料费可剩1/2；装置占地面积小；NO</w:t>
                  </w:r>
                  <w:r>
                    <w:rPr>
                      <w:bCs/>
                      <w:color w:val="000000"/>
                      <w:kern w:val="21"/>
                      <w:szCs w:val="21"/>
                      <w:vertAlign w:val="subscript"/>
                    </w:rPr>
                    <w:t>X</w:t>
                  </w:r>
                  <w:r>
                    <w:rPr>
                      <w:bCs/>
                      <w:color w:val="000000"/>
                      <w:kern w:val="21"/>
                      <w:szCs w:val="21"/>
                    </w:rPr>
                    <w:t>生成少</w:t>
                  </w:r>
                </w:p>
              </w:tc>
              <w:tc>
                <w:tcPr>
                  <w:tcW w:w="2094"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催化剂价格高，需考虑催化剂中毒和催化剂寿命；必须进行前处理除去尘埃、漆雾等；催化剂和设备价格高</w:t>
                  </w:r>
                </w:p>
              </w:tc>
              <w:tc>
                <w:tcPr>
                  <w:tcW w:w="1492"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适用于废气温度高、流量小、有机溶剂浓度高、含杂质少的场合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adjustRightInd w:val="0"/>
                    <w:snapToGrid w:val="0"/>
                    <w:spacing w:before="0" w:beforeAutospacing="0" w:after="0" w:afterAutospacing="0" w:line="380" w:lineRule="exact"/>
                    <w:ind w:left="0" w:right="0"/>
                    <w:jc w:val="center"/>
                    <w:rPr>
                      <w:bCs/>
                      <w:color w:val="000000"/>
                      <w:spacing w:val="-4"/>
                      <w:kern w:val="21"/>
                      <w:szCs w:val="21"/>
                    </w:rPr>
                  </w:pPr>
                  <w:r>
                    <w:rPr>
                      <w:bCs/>
                      <w:color w:val="000000"/>
                      <w:kern w:val="21"/>
                      <w:szCs w:val="21"/>
                    </w:rPr>
                    <w:t>低温等离子体</w:t>
                  </w:r>
                </w:p>
              </w:tc>
              <w:tc>
                <w:tcPr>
                  <w:tcW w:w="2195"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放电过程中，电子从电场中获得能量，使污染物分子被激发或发生电离形成活性基团，活性基团之间发生反应，最终转化为CO</w:t>
                  </w:r>
                  <w:r>
                    <w:rPr>
                      <w:bCs/>
                      <w:color w:val="000000"/>
                      <w:kern w:val="21"/>
                      <w:szCs w:val="21"/>
                      <w:vertAlign w:val="subscript"/>
                    </w:rPr>
                    <w:t>2</w:t>
                  </w:r>
                  <w:r>
                    <w:rPr>
                      <w:bCs/>
                      <w:color w:val="000000"/>
                      <w:kern w:val="21"/>
                      <w:szCs w:val="21"/>
                    </w:rPr>
                    <w:t>和H</w:t>
                  </w:r>
                  <w:r>
                    <w:rPr>
                      <w:bCs/>
                      <w:color w:val="000000"/>
                      <w:kern w:val="21"/>
                      <w:szCs w:val="21"/>
                      <w:vertAlign w:val="subscript"/>
                    </w:rPr>
                    <w:t>2</w:t>
                  </w:r>
                  <w:r>
                    <w:rPr>
                      <w:bCs/>
                      <w:color w:val="000000"/>
                      <w:kern w:val="21"/>
                      <w:szCs w:val="21"/>
                    </w:rPr>
                    <w:t>O等物质而达到净化</w:t>
                  </w:r>
                </w:p>
              </w:tc>
              <w:tc>
                <w:tcPr>
                  <w:tcW w:w="2043"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电子能量高，几乎可以和所有的有机气体发生作用；反应快，不受气速限制，只需用电，操作简单，占地小，运行成本低廉</w:t>
                  </w:r>
                </w:p>
              </w:tc>
              <w:tc>
                <w:tcPr>
                  <w:tcW w:w="2094"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不适用易燃易爆废气治理、设备投资高，净化效率较燃烧法低</w:t>
                  </w:r>
                </w:p>
              </w:tc>
              <w:tc>
                <w:tcPr>
                  <w:tcW w:w="1492" w:type="dxa"/>
                  <w:noWrap w:val="0"/>
                  <w:vAlign w:val="center"/>
                </w:tcPr>
                <w:p>
                  <w:pPr>
                    <w:keepNext w:val="0"/>
                    <w:keepLines w:val="0"/>
                    <w:suppressLineNumbers w:val="0"/>
                    <w:adjustRightInd w:val="0"/>
                    <w:snapToGrid w:val="0"/>
                    <w:spacing w:before="0" w:beforeAutospacing="0" w:after="0" w:afterAutospacing="0" w:line="380" w:lineRule="exact"/>
                    <w:ind w:left="0" w:right="0"/>
                    <w:jc w:val="left"/>
                    <w:rPr>
                      <w:bCs/>
                      <w:color w:val="000000"/>
                      <w:spacing w:val="-4"/>
                      <w:kern w:val="21"/>
                      <w:szCs w:val="21"/>
                    </w:rPr>
                  </w:pPr>
                  <w:r>
                    <w:rPr>
                      <w:bCs/>
                      <w:color w:val="000000"/>
                      <w:kern w:val="21"/>
                      <w:szCs w:val="21"/>
                    </w:rPr>
                    <w:t>适用于低浓度(＜300mg/m</w:t>
                  </w:r>
                  <w:r>
                    <w:rPr>
                      <w:bCs/>
                      <w:color w:val="000000"/>
                      <w:kern w:val="21"/>
                      <w:szCs w:val="21"/>
                      <w:vertAlign w:val="superscript"/>
                    </w:rPr>
                    <w:t>3</w:t>
                  </w:r>
                  <w:r>
                    <w:rPr>
                      <w:bCs/>
                      <w:color w:val="000000"/>
                      <w:kern w:val="21"/>
                      <w:szCs w:val="21"/>
                    </w:rPr>
                    <w:t>)有机废气的治理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bCs/>
                      <w:color w:val="000000"/>
                      <w:spacing w:val="-4"/>
                      <w:kern w:val="21"/>
                      <w:szCs w:val="21"/>
                    </w:rPr>
                  </w:pPr>
                  <w:r>
                    <w:rPr>
                      <w:bCs/>
                      <w:color w:val="000000"/>
                      <w:kern w:val="21"/>
                      <w:szCs w:val="21"/>
                    </w:rPr>
                    <w:t>UV光氧化法</w:t>
                  </w:r>
                </w:p>
              </w:tc>
              <w:tc>
                <w:tcPr>
                  <w:tcW w:w="219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bCs/>
                      <w:color w:val="000000"/>
                      <w:spacing w:val="-4"/>
                      <w:kern w:val="21"/>
                      <w:szCs w:val="21"/>
                    </w:rPr>
                  </w:pPr>
                  <w:r>
                    <w:rPr>
                      <w:bCs/>
                      <w:color w:val="000000"/>
                      <w:kern w:val="21"/>
                      <w:szCs w:val="21"/>
                    </w:rPr>
                    <w:t>利用高能高臭氧UV紫外线光束分解空气中的氧分子产生游离氧，游离氧与氧分子结合产生臭氧。UV＋O</w:t>
                  </w:r>
                  <w:r>
                    <w:rPr>
                      <w:bCs/>
                      <w:color w:val="000000"/>
                      <w:kern w:val="21"/>
                      <w:szCs w:val="21"/>
                      <w:vertAlign w:val="subscript"/>
                    </w:rPr>
                    <w:t>2</w:t>
                  </w:r>
                  <w:r>
                    <w:rPr>
                      <w:bCs/>
                      <w:color w:val="000000"/>
                      <w:kern w:val="21"/>
                      <w:szCs w:val="21"/>
                    </w:rPr>
                    <w:t>→O</w:t>
                  </w:r>
                  <w:r>
                    <w:rPr>
                      <w:bCs/>
                      <w:color w:val="000000"/>
                      <w:kern w:val="21"/>
                      <w:szCs w:val="21"/>
                      <w:vertAlign w:val="superscript"/>
                    </w:rPr>
                    <w:t>-</w:t>
                  </w:r>
                  <w:r>
                    <w:rPr>
                      <w:bCs/>
                      <w:color w:val="000000"/>
                      <w:kern w:val="21"/>
                      <w:szCs w:val="21"/>
                    </w:rPr>
                    <w:t>+O*(活性氧)O+O</w:t>
                  </w:r>
                  <w:r>
                    <w:rPr>
                      <w:bCs/>
                      <w:color w:val="000000"/>
                      <w:kern w:val="21"/>
                      <w:szCs w:val="21"/>
                      <w:vertAlign w:val="subscript"/>
                    </w:rPr>
                    <w:t>2</w:t>
                  </w:r>
                  <w:r>
                    <w:rPr>
                      <w:bCs/>
                      <w:color w:val="000000"/>
                      <w:kern w:val="21"/>
                      <w:szCs w:val="21"/>
                    </w:rPr>
                    <w:t>→O</w:t>
                  </w:r>
                  <w:r>
                    <w:rPr>
                      <w:bCs/>
                      <w:color w:val="000000"/>
                      <w:kern w:val="21"/>
                      <w:szCs w:val="21"/>
                      <w:vertAlign w:val="subscript"/>
                    </w:rPr>
                    <w:t>3</w:t>
                  </w:r>
                  <w:r>
                    <w:rPr>
                      <w:bCs/>
                      <w:color w:val="000000"/>
                      <w:kern w:val="21"/>
                      <w:szCs w:val="21"/>
                    </w:rPr>
                    <w:t>(臭氧)，臭氧将有机物废气氧化成CO</w:t>
                  </w:r>
                  <w:r>
                    <w:rPr>
                      <w:bCs/>
                      <w:color w:val="000000"/>
                      <w:kern w:val="21"/>
                      <w:szCs w:val="21"/>
                      <w:vertAlign w:val="subscript"/>
                    </w:rPr>
                    <w:t>2</w:t>
                  </w:r>
                  <w:r>
                    <w:rPr>
                      <w:bCs/>
                      <w:color w:val="000000"/>
                      <w:kern w:val="21"/>
                      <w:szCs w:val="21"/>
                    </w:rPr>
                    <w:t>和H</w:t>
                  </w:r>
                  <w:r>
                    <w:rPr>
                      <w:bCs/>
                      <w:color w:val="000000"/>
                      <w:kern w:val="21"/>
                      <w:szCs w:val="21"/>
                      <w:vertAlign w:val="subscript"/>
                    </w:rPr>
                    <w:t>2</w:t>
                  </w:r>
                  <w:r>
                    <w:rPr>
                      <w:bCs/>
                      <w:color w:val="000000"/>
                      <w:kern w:val="21"/>
                      <w:szCs w:val="21"/>
                    </w:rPr>
                    <w:t>O</w:t>
                  </w:r>
                </w:p>
              </w:tc>
              <w:tc>
                <w:tcPr>
                  <w:tcW w:w="2043"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bCs/>
                      <w:color w:val="000000"/>
                      <w:spacing w:val="-4"/>
                      <w:kern w:val="21"/>
                      <w:szCs w:val="21"/>
                    </w:rPr>
                  </w:pPr>
                  <w:r>
                    <w:rPr>
                      <w:color w:val="000000"/>
                      <w:kern w:val="21"/>
                      <w:szCs w:val="21"/>
                    </w:rPr>
                    <w:t>处理效率高，占地小，投资运行费用较低，适应性强、高效除恶臭、运行成本低、有机废气无需预处理等</w:t>
                  </w:r>
                </w:p>
              </w:tc>
              <w:tc>
                <w:tcPr>
                  <w:tcW w:w="209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bCs/>
                      <w:color w:val="000000"/>
                      <w:spacing w:val="-4"/>
                      <w:kern w:val="21"/>
                      <w:szCs w:val="21"/>
                    </w:rPr>
                  </w:pPr>
                  <w:r>
                    <w:rPr>
                      <w:color w:val="000000"/>
                      <w:kern w:val="21"/>
                      <w:szCs w:val="21"/>
                    </w:rPr>
                    <w:t>需要定期保养与维护</w:t>
                  </w:r>
                </w:p>
              </w:tc>
              <w:tc>
                <w:tcPr>
                  <w:tcW w:w="149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bCs/>
                      <w:color w:val="000000"/>
                      <w:spacing w:val="-4"/>
                      <w:kern w:val="21"/>
                      <w:szCs w:val="21"/>
                    </w:rPr>
                  </w:pPr>
                  <w:r>
                    <w:rPr>
                      <w:color w:val="000000"/>
                      <w:kern w:val="21"/>
                      <w:szCs w:val="21"/>
                    </w:rPr>
                    <w:t>适用于大部分有机废气，适用于中低浓度、中小风量的废气治理</w:t>
                  </w:r>
                </w:p>
              </w:tc>
            </w:tr>
          </w:tbl>
          <w:p>
            <w:pPr>
              <w:keepNext w:val="0"/>
              <w:keepLines w:val="0"/>
              <w:suppressLineNumbers w:val="0"/>
              <w:adjustRightInd w:val="0"/>
              <w:snapToGrid w:val="0"/>
              <w:spacing w:before="0" w:beforeAutospacing="0" w:after="0" w:afterAutospacing="0" w:line="520" w:lineRule="exact"/>
              <w:ind w:left="0" w:right="0" w:firstLine="480" w:firstLineChars="200"/>
              <w:textAlignment w:val="baseline"/>
              <w:rPr>
                <w:kern w:val="0"/>
                <w:sz w:val="24"/>
              </w:rPr>
            </w:pPr>
            <w:r>
              <w:rPr>
                <w:kern w:val="0"/>
                <w:sz w:val="24"/>
              </w:rPr>
              <w:t>由上表可知，UV光氧化法、活性炭吸附法可以处理常温、低浓度、废气量较小的废气治理，本项目产生的废气主要</w:t>
            </w:r>
            <w:r>
              <w:rPr>
                <w:kern w:val="0"/>
                <w:sz w:val="24"/>
                <w:szCs w:val="24"/>
              </w:rPr>
              <w:t>为</w:t>
            </w:r>
            <w:r>
              <w:rPr>
                <w:rFonts w:hint="default" w:ascii="Times New Roman" w:hAnsi="Times New Roman" w:eastAsia="宋体" w:cs="Times New Roman"/>
                <w:b w:val="0"/>
                <w:bCs w:val="0"/>
                <w:kern w:val="2"/>
                <w:sz w:val="24"/>
                <w:szCs w:val="24"/>
                <w:lang w:val="en-US" w:eastAsia="zh-CN" w:bidi="ar-SA"/>
              </w:rPr>
              <w:t>非甲烷总烃、HCl、NOx、硫酸雾、苯、甲苯、二甲苯、甲醇、氨、苯乙烯</w:t>
            </w:r>
            <w:r>
              <w:rPr>
                <w:kern w:val="0"/>
                <w:sz w:val="24"/>
                <w:szCs w:val="24"/>
              </w:rPr>
              <w:t>，为</w:t>
            </w:r>
            <w:r>
              <w:rPr>
                <w:kern w:val="0"/>
                <w:sz w:val="24"/>
              </w:rPr>
              <w:t>保证废气达标排放，本项目拟</w:t>
            </w:r>
            <w:r>
              <w:rPr>
                <w:rFonts w:hint="eastAsia"/>
                <w:kern w:val="0"/>
                <w:sz w:val="24"/>
              </w:rPr>
              <w:t>采用</w:t>
            </w:r>
            <w:r>
              <w:rPr>
                <w:rFonts w:hint="eastAsia"/>
                <w:kern w:val="0"/>
                <w:sz w:val="24"/>
                <w:lang w:val="en-US" w:eastAsia="zh-CN"/>
              </w:rPr>
              <w:t>三级</w:t>
            </w:r>
            <w:r>
              <w:rPr>
                <w:rFonts w:hint="eastAsia"/>
                <w:kern w:val="0"/>
                <w:sz w:val="24"/>
              </w:rPr>
              <w:t>废气治理工艺，即“</w:t>
            </w:r>
            <w:r>
              <w:rPr>
                <w:rFonts w:hint="eastAsia"/>
                <w:kern w:val="0"/>
                <w:sz w:val="24"/>
                <w:lang w:val="en-US" w:eastAsia="zh-CN"/>
              </w:rPr>
              <w:t>碱喷淋+</w:t>
            </w:r>
            <w:r>
              <w:rPr>
                <w:rFonts w:hint="eastAsia"/>
                <w:kern w:val="0"/>
                <w:sz w:val="24"/>
              </w:rPr>
              <w:t>UV光氧催化+活性炭吸附”</w:t>
            </w:r>
            <w:r>
              <w:rPr>
                <w:kern w:val="0"/>
                <w:sz w:val="24"/>
              </w:rPr>
              <w:t>，确保有机废气</w:t>
            </w:r>
            <w:r>
              <w:rPr>
                <w:rFonts w:hint="eastAsia"/>
                <w:kern w:val="0"/>
                <w:sz w:val="24"/>
                <w:lang w:val="en-US" w:eastAsia="zh-CN"/>
              </w:rPr>
              <w:t>及酸雾</w:t>
            </w:r>
            <w:r>
              <w:rPr>
                <w:kern w:val="0"/>
                <w:sz w:val="24"/>
              </w:rPr>
              <w:t>能够达标排放。</w:t>
            </w:r>
          </w:p>
          <w:p>
            <w:pPr>
              <w:keepNext w:val="0"/>
              <w:keepLines w:val="0"/>
              <w:suppressLineNumbers w:val="0"/>
              <w:adjustRightInd w:val="0"/>
              <w:snapToGrid w:val="0"/>
              <w:spacing w:before="0" w:beforeAutospacing="0" w:after="0" w:afterAutospacing="0" w:line="520" w:lineRule="exact"/>
              <w:ind w:left="0" w:right="0" w:firstLine="480" w:firstLineChars="200"/>
              <w:textAlignment w:val="baseline"/>
              <w:rPr>
                <w:kern w:val="0"/>
                <w:sz w:val="24"/>
              </w:rPr>
            </w:pPr>
            <w:r>
              <w:rPr>
                <w:kern w:val="0"/>
                <w:sz w:val="24"/>
              </w:rPr>
              <w:t xml:space="preserve">本项目为实验室项目，参考《排污许可证申请与核发技术规范 </w:t>
            </w:r>
            <w:r>
              <w:rPr>
                <w:rFonts w:hint="eastAsia"/>
                <w:kern w:val="0"/>
                <w:sz w:val="24"/>
              </w:rPr>
              <w:t>总则</w:t>
            </w:r>
            <w:r>
              <w:rPr>
                <w:kern w:val="0"/>
                <w:sz w:val="24"/>
              </w:rPr>
              <w:t>》</w:t>
            </w:r>
            <w:r>
              <w:rPr>
                <w:rFonts w:hint="eastAsia"/>
                <w:kern w:val="0"/>
                <w:sz w:val="24"/>
              </w:rPr>
              <w:t>，企业采用的</w:t>
            </w:r>
            <w:r>
              <w:rPr>
                <w:rFonts w:ascii="宋体" w:hAnsi="宋体" w:cs="宋体"/>
                <w:sz w:val="24"/>
              </w:rPr>
              <w:t>污染防治技术的污染物排放持续稳定达标性、规模应用和经济可行性</w:t>
            </w:r>
            <w:r>
              <w:rPr>
                <w:rFonts w:hint="eastAsia" w:ascii="宋体" w:hAnsi="宋体" w:cs="宋体"/>
                <w:sz w:val="24"/>
              </w:rPr>
              <w:t>，</w:t>
            </w:r>
            <w:r>
              <w:rPr>
                <w:rFonts w:hint="eastAsia"/>
                <w:kern w:val="0"/>
                <w:sz w:val="24"/>
              </w:rPr>
              <w:t>本项目采用的“</w:t>
            </w:r>
            <w:r>
              <w:rPr>
                <w:rFonts w:hint="eastAsia"/>
                <w:kern w:val="0"/>
                <w:sz w:val="24"/>
                <w:lang w:val="en-US" w:eastAsia="zh-CN"/>
              </w:rPr>
              <w:t>碱喷淋+</w:t>
            </w:r>
            <w:r>
              <w:rPr>
                <w:rFonts w:hint="eastAsia"/>
                <w:kern w:val="0"/>
                <w:sz w:val="24"/>
              </w:rPr>
              <w:t>UV光氧催化+活性炭吸附”处理工艺能够使</w:t>
            </w:r>
            <w:r>
              <w:rPr>
                <w:rFonts w:ascii="宋体" w:hAnsi="宋体" w:cs="宋体"/>
                <w:sz w:val="24"/>
              </w:rPr>
              <w:t>污染物排放持续稳定达标、</w:t>
            </w:r>
            <w:r>
              <w:rPr>
                <w:rFonts w:hint="eastAsia" w:ascii="宋体" w:hAnsi="宋体" w:cs="宋体"/>
                <w:sz w:val="24"/>
              </w:rPr>
              <w:t>应用广泛且</w:t>
            </w:r>
            <w:r>
              <w:rPr>
                <w:rFonts w:ascii="宋体" w:hAnsi="宋体" w:cs="宋体"/>
                <w:sz w:val="24"/>
              </w:rPr>
              <w:t>经济可行</w:t>
            </w:r>
            <w:r>
              <w:rPr>
                <w:kern w:val="0"/>
                <w:sz w:val="24"/>
              </w:rPr>
              <w:t>。</w:t>
            </w:r>
          </w:p>
          <w:p>
            <w:pPr>
              <w:keepNext w:val="0"/>
              <w:keepLines w:val="0"/>
              <w:pageBreakBefore w:val="0"/>
              <w:widowControl w:val="0"/>
              <w:suppressLineNumbers w:val="0"/>
              <w:tabs>
                <w:tab w:val="left" w:pos="36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bCs/>
                <w:color w:val="auto"/>
                <w:sz w:val="24"/>
              </w:rPr>
            </w:pPr>
            <w:r>
              <w:rPr>
                <w:rFonts w:hint="eastAsia"/>
                <w:kern w:val="0"/>
                <w:sz w:val="24"/>
              </w:rPr>
              <w:t>综上，本项目采用的“</w:t>
            </w:r>
            <w:r>
              <w:rPr>
                <w:rFonts w:hint="eastAsia"/>
                <w:kern w:val="0"/>
                <w:sz w:val="24"/>
                <w:lang w:val="en-US" w:eastAsia="zh-CN"/>
              </w:rPr>
              <w:t>碱喷淋+</w:t>
            </w:r>
            <w:r>
              <w:rPr>
                <w:rFonts w:hint="eastAsia"/>
                <w:kern w:val="0"/>
                <w:sz w:val="24"/>
              </w:rPr>
              <w:t>UV光氧催化+活性炭吸附”处理工艺为可行技术。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2、</w:t>
            </w:r>
            <w:r>
              <w:rPr>
                <w:rFonts w:hint="default" w:ascii="Times New Roman" w:hAnsi="Times New Roman" w:eastAsia="宋体" w:cs="Times New Roman"/>
                <w:b/>
                <w:bCs/>
                <w:color w:val="auto"/>
                <w:sz w:val="24"/>
                <w:lang w:eastAsia="zh-CN"/>
              </w:rPr>
              <w:t>废水</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本项目营运期污水主要是</w:t>
            </w:r>
            <w:r>
              <w:rPr>
                <w:rFonts w:hint="eastAsia"/>
                <w:sz w:val="24"/>
                <w:lang w:val="en-US" w:eastAsia="zh-CN"/>
              </w:rPr>
              <w:t>职工</w:t>
            </w:r>
            <w:r>
              <w:rPr>
                <w:sz w:val="24"/>
              </w:rPr>
              <w:t>生活污水、</w:t>
            </w:r>
            <w:r>
              <w:rPr>
                <w:rFonts w:hint="eastAsia"/>
                <w:sz w:val="24"/>
                <w:lang w:val="en-US" w:eastAsia="zh-CN"/>
              </w:rPr>
              <w:t>地面清洗废水、</w:t>
            </w:r>
            <w:r>
              <w:rPr>
                <w:rFonts w:hint="eastAsia"/>
                <w:sz w:val="24"/>
              </w:rPr>
              <w:t>实验</w:t>
            </w:r>
            <w:r>
              <w:rPr>
                <w:rFonts w:hint="eastAsia"/>
                <w:sz w:val="24"/>
                <w:lang w:val="en-US" w:eastAsia="zh-CN"/>
              </w:rPr>
              <w:t>器材</w:t>
            </w:r>
            <w:r>
              <w:rPr>
                <w:rFonts w:hint="eastAsia"/>
                <w:sz w:val="24"/>
              </w:rPr>
              <w:t>清洗废水</w:t>
            </w:r>
            <w:r>
              <w:rPr>
                <w:sz w:val="24"/>
              </w:rPr>
              <w:t>、纯水制备产生的浓水。</w:t>
            </w:r>
          </w:p>
          <w:p>
            <w:pPr>
              <w:keepNext w:val="0"/>
              <w:keepLines w:val="0"/>
              <w:suppressLineNumbers w:val="0"/>
              <w:spacing w:before="0" w:beforeAutospacing="0" w:after="0" w:afterAutospacing="0" w:line="520" w:lineRule="exact"/>
              <w:ind w:left="0" w:right="0" w:firstLine="482"/>
              <w:textAlignment w:val="baseline"/>
              <w:rPr>
                <w:sz w:val="24"/>
              </w:rPr>
            </w:pPr>
            <w:r>
              <w:rPr>
                <w:bCs/>
                <w:kern w:val="0"/>
                <w:sz w:val="24"/>
              </w:rPr>
              <w:t>纯水制备产生的浓水为清净下水与经化粪池处理后的生活污水、经污水处理站处理后的生产废水一同经市政管网排入</w:t>
            </w:r>
            <w:r>
              <w:rPr>
                <w:rFonts w:hint="eastAsia"/>
                <w:bCs/>
                <w:kern w:val="0"/>
                <w:sz w:val="24"/>
                <w:lang w:val="en-US" w:eastAsia="zh-CN"/>
              </w:rPr>
              <w:t>新乡县综合污水处理厂</w:t>
            </w:r>
            <w:r>
              <w:rPr>
                <w:bCs/>
                <w:kern w:val="0"/>
                <w:sz w:val="24"/>
              </w:rPr>
              <w:t>。</w:t>
            </w:r>
          </w:p>
          <w:p>
            <w:pPr>
              <w:pStyle w:val="66"/>
              <w:keepNext w:val="0"/>
              <w:keepLines w:val="0"/>
              <w:suppressLineNumbers w:val="0"/>
              <w:spacing w:before="0" w:beforeAutospacing="0" w:after="0" w:afterAutospacing="0"/>
              <w:ind w:left="0" w:right="0" w:firstLine="456"/>
            </w:pPr>
            <w:r>
              <w:rPr>
                <w:spacing w:val="-6"/>
              </w:rPr>
              <w:t>（1）</w:t>
            </w:r>
            <w:r>
              <w:t>废水源强分析</w:t>
            </w:r>
          </w:p>
          <w:p>
            <w:pPr>
              <w:pStyle w:val="66"/>
              <w:keepNext w:val="0"/>
              <w:keepLines w:val="0"/>
              <w:suppressLineNumbers w:val="0"/>
              <w:spacing w:before="0" w:beforeAutospacing="0" w:after="0" w:afterAutospacing="0"/>
              <w:ind w:left="0" w:right="0" w:firstLine="480"/>
            </w:pPr>
            <w:r>
              <w:rPr>
                <w:bCs/>
              </w:rPr>
              <w:t>本项目废水主要为生产废水、生活污水。</w:t>
            </w:r>
          </w:p>
          <w:p>
            <w:pPr>
              <w:keepNext w:val="0"/>
              <w:keepLines w:val="0"/>
              <w:suppressLineNumbers w:val="0"/>
              <w:spacing w:before="0" w:beforeAutospacing="0" w:after="0" w:afterAutospacing="0" w:line="520" w:lineRule="exact"/>
              <w:ind w:left="0" w:right="0" w:firstLine="480" w:firstLineChars="200"/>
              <w:rPr>
                <w:sz w:val="24"/>
              </w:rPr>
            </w:pPr>
            <w:r>
              <w:rPr>
                <w:sz w:val="24"/>
              </w:rPr>
              <w:t>1）生活污水</w:t>
            </w:r>
          </w:p>
          <w:p>
            <w:pPr>
              <w:keepNext w:val="0"/>
              <w:keepLines w:val="0"/>
              <w:suppressLineNumbers w:val="0"/>
              <w:adjustRightInd w:val="0"/>
              <w:snapToGrid w:val="0"/>
              <w:spacing w:before="0" w:beforeAutospacing="0" w:after="0" w:afterAutospacing="0" w:line="520" w:lineRule="exact"/>
              <w:ind w:left="0" w:right="0" w:firstLine="480" w:firstLineChars="200"/>
              <w:textAlignment w:val="baseline"/>
              <w:rPr>
                <w:sz w:val="24"/>
              </w:rPr>
            </w:pPr>
            <w:r>
              <w:rPr>
                <w:bCs/>
                <w:sz w:val="24"/>
              </w:rPr>
              <w:t>由项目水平衡分析可知，</w:t>
            </w:r>
            <w:r>
              <w:rPr>
                <w:sz w:val="24"/>
                <w:szCs w:val="22"/>
              </w:rPr>
              <w:t>生活污水的产生量为</w:t>
            </w:r>
            <w:r>
              <w:rPr>
                <w:bCs/>
                <w:kern w:val="0"/>
                <w:sz w:val="24"/>
              </w:rPr>
              <w:t>0.8m</w:t>
            </w:r>
            <w:r>
              <w:rPr>
                <w:bCs/>
                <w:kern w:val="0"/>
                <w:sz w:val="24"/>
                <w:vertAlign w:val="superscript"/>
              </w:rPr>
              <w:t>3</w:t>
            </w:r>
            <w:r>
              <w:rPr>
                <w:bCs/>
                <w:kern w:val="0"/>
                <w:sz w:val="24"/>
              </w:rPr>
              <w:t>/d（</w:t>
            </w:r>
            <w:r>
              <w:rPr>
                <w:rFonts w:hint="eastAsia"/>
                <w:bCs/>
                <w:kern w:val="0"/>
                <w:sz w:val="24"/>
                <w:lang w:val="en-US" w:eastAsia="zh-CN"/>
              </w:rPr>
              <w:t>240</w:t>
            </w:r>
            <w:r>
              <w:rPr>
                <w:bCs/>
                <w:kern w:val="0"/>
                <w:sz w:val="24"/>
              </w:rPr>
              <w:t>m</w:t>
            </w:r>
            <w:r>
              <w:rPr>
                <w:bCs/>
                <w:kern w:val="0"/>
                <w:sz w:val="24"/>
                <w:vertAlign w:val="superscript"/>
              </w:rPr>
              <w:t>3</w:t>
            </w:r>
            <w:r>
              <w:rPr>
                <w:bCs/>
                <w:kern w:val="0"/>
                <w:sz w:val="24"/>
              </w:rPr>
              <w:t>/a）</w:t>
            </w:r>
            <w:r>
              <w:rPr>
                <w:sz w:val="24"/>
              </w:rPr>
              <w:t>。项目生活污水经化粪池处理后与浓水、</w:t>
            </w:r>
            <w:r>
              <w:rPr>
                <w:bCs/>
                <w:kern w:val="0"/>
                <w:sz w:val="24"/>
              </w:rPr>
              <w:t>经污水处理站处理后的生产废水一同</w:t>
            </w:r>
            <w:r>
              <w:rPr>
                <w:sz w:val="24"/>
              </w:rPr>
              <w:t>经市政污水管网排入</w:t>
            </w:r>
            <w:r>
              <w:rPr>
                <w:rFonts w:hint="eastAsia"/>
                <w:bCs/>
                <w:kern w:val="0"/>
                <w:sz w:val="24"/>
                <w:lang w:eastAsia="zh-CN"/>
              </w:rPr>
              <w:t>新乡县综合污水处理厂</w:t>
            </w:r>
            <w:r>
              <w:rPr>
                <w:sz w:val="24"/>
              </w:rPr>
              <w:t>处理。生活污水主要污染物排放浓度分别为COD300mg/L、BOD</w:t>
            </w:r>
            <w:r>
              <w:rPr>
                <w:sz w:val="24"/>
                <w:vertAlign w:val="subscript"/>
              </w:rPr>
              <w:t>5</w:t>
            </w:r>
            <w:r>
              <w:rPr>
                <w:rFonts w:hint="eastAsia"/>
                <w:sz w:val="24"/>
              </w:rPr>
              <w:t>12</w:t>
            </w:r>
            <w:r>
              <w:rPr>
                <w:sz w:val="24"/>
              </w:rPr>
              <w:t>0mg/L 、SS200mg/L、NH</w:t>
            </w:r>
            <w:r>
              <w:rPr>
                <w:sz w:val="24"/>
                <w:vertAlign w:val="subscript"/>
              </w:rPr>
              <w:t>3</w:t>
            </w:r>
            <w:r>
              <w:rPr>
                <w:sz w:val="24"/>
              </w:rPr>
              <w:t>-N25mg/L、TP2mg/L 、TN35mg/L。经化粪池处理后各污染物排放浓度及排放量分别为COD25</w:t>
            </w:r>
            <w:r>
              <w:rPr>
                <w:rFonts w:hint="eastAsia"/>
                <w:sz w:val="24"/>
              </w:rPr>
              <w:t>0</w:t>
            </w:r>
            <w:r>
              <w:rPr>
                <w:sz w:val="24"/>
              </w:rPr>
              <w:t>mg/L 0.0</w:t>
            </w:r>
            <w:r>
              <w:rPr>
                <w:rFonts w:hint="eastAsia"/>
                <w:sz w:val="24"/>
                <w:lang w:val="en-US" w:eastAsia="zh-CN"/>
              </w:rPr>
              <w:t>60</w:t>
            </w:r>
            <w:r>
              <w:rPr>
                <w:sz w:val="24"/>
              </w:rPr>
              <w:t>t/a、BOD</w:t>
            </w:r>
            <w:r>
              <w:rPr>
                <w:sz w:val="24"/>
                <w:vertAlign w:val="subscript"/>
              </w:rPr>
              <w:t>5</w:t>
            </w:r>
            <w:r>
              <w:rPr>
                <w:rFonts w:hint="eastAsia"/>
                <w:sz w:val="24"/>
              </w:rPr>
              <w:t>96</w:t>
            </w:r>
            <w:r>
              <w:rPr>
                <w:sz w:val="24"/>
              </w:rPr>
              <w:t>mg/L 0.0</w:t>
            </w:r>
            <w:r>
              <w:rPr>
                <w:rFonts w:hint="eastAsia"/>
                <w:sz w:val="24"/>
                <w:lang w:val="en-US" w:eastAsia="zh-CN"/>
              </w:rPr>
              <w:t>23</w:t>
            </w:r>
            <w:r>
              <w:rPr>
                <w:sz w:val="24"/>
              </w:rPr>
              <w:t>t/a、SS130mg/L 0.0</w:t>
            </w:r>
            <w:r>
              <w:rPr>
                <w:rFonts w:hint="eastAsia"/>
                <w:sz w:val="24"/>
                <w:lang w:val="en-US" w:eastAsia="zh-CN"/>
              </w:rPr>
              <w:t>312</w:t>
            </w:r>
            <w:r>
              <w:rPr>
                <w:sz w:val="24"/>
              </w:rPr>
              <w:t>t/a、NH</w:t>
            </w:r>
            <w:r>
              <w:rPr>
                <w:sz w:val="24"/>
                <w:vertAlign w:val="subscript"/>
              </w:rPr>
              <w:t>3</w:t>
            </w:r>
            <w:r>
              <w:rPr>
                <w:sz w:val="24"/>
              </w:rPr>
              <w:t>-N23.8mg/L 0.00</w:t>
            </w:r>
            <w:r>
              <w:rPr>
                <w:rFonts w:hint="eastAsia"/>
                <w:sz w:val="24"/>
                <w:lang w:val="en-US" w:eastAsia="zh-CN"/>
              </w:rPr>
              <w:t>57</w:t>
            </w:r>
            <w:r>
              <w:rPr>
                <w:sz w:val="24"/>
              </w:rPr>
              <w:t>t/a、TP2mg/L 0.000</w:t>
            </w:r>
            <w:r>
              <w:rPr>
                <w:rFonts w:hint="eastAsia"/>
                <w:sz w:val="24"/>
                <w:lang w:val="en-US" w:eastAsia="zh-CN"/>
              </w:rPr>
              <w:t>5</w:t>
            </w:r>
            <w:r>
              <w:rPr>
                <w:sz w:val="24"/>
              </w:rPr>
              <w:t>t/a、TN35mg/L 0.00</w:t>
            </w:r>
            <w:r>
              <w:rPr>
                <w:rFonts w:hint="eastAsia"/>
                <w:sz w:val="24"/>
                <w:lang w:val="en-US" w:eastAsia="zh-CN"/>
              </w:rPr>
              <w:t>84</w:t>
            </w:r>
            <w:r>
              <w:rPr>
                <w:sz w:val="24"/>
              </w:rPr>
              <w:t>t/a。</w:t>
            </w:r>
          </w:p>
          <w:p>
            <w:pPr>
              <w:pStyle w:val="7"/>
              <w:keepNext w:val="0"/>
              <w:keepLines w:val="0"/>
              <w:suppressLineNumbers w:val="0"/>
              <w:spacing w:before="0" w:beforeAutospacing="0" w:after="0" w:afterAutospacing="0" w:line="520" w:lineRule="exact"/>
              <w:ind w:left="0" w:right="0" w:firstLine="480"/>
              <w:rPr>
                <w:rFonts w:ascii="Times New Roman" w:hAnsi="Times New Roman"/>
                <w:b w:val="0"/>
                <w:bCs/>
                <w:sz w:val="24"/>
                <w:lang w:eastAsia="zh-CN"/>
              </w:rPr>
            </w:pPr>
            <w:r>
              <w:rPr>
                <w:rFonts w:ascii="Times New Roman" w:hAnsi="Times New Roman"/>
                <w:b w:val="0"/>
                <w:bCs/>
                <w:sz w:val="24"/>
                <w:lang w:eastAsia="zh-CN"/>
              </w:rPr>
              <w:t>2）生产废水</w:t>
            </w:r>
          </w:p>
          <w:p>
            <w:pPr>
              <w:keepNext w:val="0"/>
              <w:keepLines w:val="0"/>
              <w:suppressLineNumbers w:val="0"/>
              <w:adjustRightInd w:val="0"/>
              <w:snapToGrid w:val="0"/>
              <w:spacing w:before="0" w:beforeAutospacing="0" w:after="0" w:afterAutospacing="0" w:line="520" w:lineRule="exact"/>
              <w:ind w:left="0" w:right="0" w:firstLine="480"/>
              <w:rPr>
                <w:color w:val="auto"/>
                <w:sz w:val="32"/>
              </w:rPr>
            </w:pPr>
            <w:r>
              <w:rPr>
                <w:color w:val="auto"/>
                <w:sz w:val="24"/>
              </w:rPr>
              <w:t>生产废水主要是</w:t>
            </w:r>
            <w:r>
              <w:rPr>
                <w:rFonts w:hint="eastAsia"/>
                <w:color w:val="auto"/>
                <w:sz w:val="24"/>
              </w:rPr>
              <w:t>实验</w:t>
            </w:r>
            <w:r>
              <w:rPr>
                <w:rFonts w:hint="eastAsia"/>
                <w:color w:val="auto"/>
                <w:sz w:val="24"/>
                <w:lang w:val="en-US" w:eastAsia="zh-CN"/>
              </w:rPr>
              <w:t>器材</w:t>
            </w:r>
            <w:r>
              <w:rPr>
                <w:rFonts w:hint="eastAsia"/>
                <w:color w:val="auto"/>
                <w:sz w:val="24"/>
              </w:rPr>
              <w:t>清洗废水、地面清洗废水</w:t>
            </w:r>
            <w:r>
              <w:rPr>
                <w:color w:val="auto"/>
                <w:sz w:val="24"/>
              </w:rPr>
              <w:t>、纯水制备产生的浓水。</w:t>
            </w:r>
          </w:p>
          <w:p>
            <w:pPr>
              <w:keepNext w:val="0"/>
              <w:keepLines w:val="0"/>
              <w:suppressLineNumbers w:val="0"/>
              <w:adjustRightInd w:val="0"/>
              <w:snapToGrid w:val="0"/>
              <w:spacing w:before="0" w:beforeAutospacing="0" w:after="0" w:afterAutospacing="0" w:line="520" w:lineRule="exact"/>
              <w:ind w:left="0" w:right="0" w:firstLine="480"/>
              <w:rPr>
                <w:bCs/>
                <w:color w:val="auto"/>
                <w:sz w:val="24"/>
              </w:rPr>
            </w:pPr>
            <w:r>
              <w:rPr>
                <w:bCs/>
                <w:color w:val="auto"/>
                <w:sz w:val="24"/>
              </w:rPr>
              <w:fldChar w:fldCharType="begin"/>
            </w:r>
            <w:r>
              <w:rPr>
                <w:bCs/>
                <w:color w:val="auto"/>
                <w:sz w:val="24"/>
              </w:rPr>
              <w:instrText xml:space="preserve"> = 1 \* GB3 \* MERGEFORMAT </w:instrText>
            </w:r>
            <w:r>
              <w:rPr>
                <w:bCs/>
                <w:color w:val="auto"/>
                <w:sz w:val="24"/>
              </w:rPr>
              <w:fldChar w:fldCharType="separate"/>
            </w:r>
            <w:r>
              <w:rPr>
                <w:color w:val="auto"/>
              </w:rPr>
              <w:t>①</w:t>
            </w:r>
            <w:r>
              <w:rPr>
                <w:bCs/>
                <w:color w:val="auto"/>
                <w:sz w:val="24"/>
              </w:rPr>
              <w:fldChar w:fldCharType="end"/>
            </w:r>
            <w:r>
              <w:rPr>
                <w:rFonts w:hint="eastAsia"/>
                <w:bCs/>
                <w:color w:val="auto"/>
                <w:sz w:val="24"/>
              </w:rPr>
              <w:t>实验</w:t>
            </w:r>
            <w:r>
              <w:rPr>
                <w:rFonts w:hint="eastAsia"/>
                <w:bCs/>
                <w:color w:val="auto"/>
                <w:sz w:val="24"/>
                <w:lang w:val="en-US" w:eastAsia="zh-CN"/>
              </w:rPr>
              <w:t>器材</w:t>
            </w:r>
            <w:r>
              <w:rPr>
                <w:rFonts w:hint="eastAsia"/>
                <w:bCs/>
                <w:color w:val="auto"/>
                <w:sz w:val="24"/>
              </w:rPr>
              <w:t>清洗废水</w:t>
            </w:r>
          </w:p>
          <w:p>
            <w:pPr>
              <w:keepNext w:val="0"/>
              <w:keepLines w:val="0"/>
              <w:suppressLineNumbers w:val="0"/>
              <w:adjustRightInd w:val="0"/>
              <w:snapToGrid w:val="0"/>
              <w:spacing w:before="0" w:beforeAutospacing="0" w:after="0" w:afterAutospacing="0" w:line="520" w:lineRule="exact"/>
              <w:ind w:left="0" w:right="0" w:firstLine="480"/>
              <w:rPr>
                <w:bCs/>
                <w:color w:val="auto"/>
                <w:sz w:val="24"/>
              </w:rPr>
            </w:pPr>
            <w:r>
              <w:rPr>
                <w:rFonts w:hint="eastAsia"/>
                <w:bCs/>
                <w:color w:val="auto"/>
                <w:sz w:val="24"/>
              </w:rPr>
              <w:t>本项目实验</w:t>
            </w:r>
            <w:r>
              <w:rPr>
                <w:rFonts w:hint="eastAsia"/>
                <w:bCs/>
                <w:color w:val="auto"/>
                <w:sz w:val="24"/>
                <w:lang w:val="en-US" w:eastAsia="zh-CN"/>
              </w:rPr>
              <w:t>器材</w:t>
            </w:r>
            <w:r>
              <w:rPr>
                <w:rFonts w:hint="eastAsia"/>
                <w:bCs/>
                <w:color w:val="auto"/>
                <w:sz w:val="24"/>
              </w:rPr>
              <w:t>清洗废水主要为清洗金属铁夹、镊子、塑料槽、塑料洗架、玻璃器皿等产生的废水，</w:t>
            </w:r>
            <w:r>
              <w:rPr>
                <w:bCs/>
                <w:color w:val="auto"/>
                <w:sz w:val="24"/>
              </w:rPr>
              <w:t>根据项目水平衡图，清洗废水产生量</w:t>
            </w:r>
            <w:r>
              <w:rPr>
                <w:rFonts w:hint="eastAsia"/>
                <w:bCs/>
                <w:color w:val="auto"/>
                <w:sz w:val="24"/>
                <w:lang w:val="en-US" w:eastAsia="zh-CN"/>
              </w:rPr>
              <w:t>1080</w:t>
            </w:r>
            <w:r>
              <w:rPr>
                <w:bCs/>
                <w:color w:val="auto"/>
                <w:sz w:val="24"/>
              </w:rPr>
              <w:t>m</w:t>
            </w:r>
            <w:r>
              <w:rPr>
                <w:bCs/>
                <w:color w:val="auto"/>
                <w:sz w:val="24"/>
                <w:vertAlign w:val="superscript"/>
              </w:rPr>
              <w:t>3</w:t>
            </w:r>
            <w:r>
              <w:rPr>
                <w:bCs/>
                <w:color w:val="auto"/>
                <w:sz w:val="24"/>
              </w:rPr>
              <w:t>/a，</w:t>
            </w:r>
            <w:r>
              <w:rPr>
                <w:rFonts w:hint="eastAsia"/>
                <w:bCs/>
                <w:color w:val="auto"/>
                <w:sz w:val="24"/>
                <w:lang w:val="en-US" w:eastAsia="zh-CN"/>
              </w:rPr>
              <w:t>根据</w:t>
            </w:r>
            <w:r>
              <w:rPr>
                <w:rFonts w:hint="eastAsia"/>
                <w:bCs/>
                <w:color w:val="auto"/>
                <w:sz w:val="24"/>
              </w:rPr>
              <w:t>河南中弘国泰检测技术有限公司</w:t>
            </w:r>
            <w:r>
              <w:rPr>
                <w:rFonts w:hint="eastAsia"/>
                <w:bCs/>
                <w:color w:val="auto"/>
                <w:sz w:val="24"/>
                <w:lang w:val="en-US" w:eastAsia="zh-CN"/>
              </w:rPr>
              <w:t>对新乡县公共检验检测中心小试实验器材清洗废水的监测（监测报告见附件）</w:t>
            </w:r>
            <w:r>
              <w:rPr>
                <w:bCs/>
                <w:color w:val="auto"/>
                <w:sz w:val="24"/>
              </w:rPr>
              <w:t>，</w:t>
            </w:r>
            <w:r>
              <w:rPr>
                <w:color w:val="auto"/>
                <w:sz w:val="24"/>
              </w:rPr>
              <w:t>各污染物排放浓度及排放量分别为</w:t>
            </w:r>
            <w:r>
              <w:rPr>
                <w:rFonts w:hint="eastAsia"/>
                <w:color w:val="auto"/>
                <w:sz w:val="24"/>
                <w:lang w:val="en-US" w:eastAsia="zh-CN"/>
              </w:rPr>
              <w:t>pH6.9、</w:t>
            </w:r>
            <w:r>
              <w:rPr>
                <w:color w:val="auto"/>
                <w:sz w:val="24"/>
              </w:rPr>
              <w:t>COD</w:t>
            </w:r>
            <w:r>
              <w:rPr>
                <w:rFonts w:hint="eastAsia"/>
                <w:color w:val="auto"/>
                <w:sz w:val="24"/>
                <w:lang w:val="en-US" w:eastAsia="zh-CN"/>
              </w:rPr>
              <w:t>133</w:t>
            </w:r>
            <w:r>
              <w:rPr>
                <w:color w:val="auto"/>
                <w:sz w:val="24"/>
              </w:rPr>
              <w:t xml:space="preserve">mg/L </w:t>
            </w:r>
            <w:r>
              <w:rPr>
                <w:rFonts w:hint="eastAsia"/>
                <w:color w:val="auto"/>
                <w:sz w:val="24"/>
                <w:lang w:val="en-US" w:eastAsia="zh-CN"/>
              </w:rPr>
              <w:t>0.1436</w:t>
            </w:r>
            <w:r>
              <w:rPr>
                <w:color w:val="auto"/>
                <w:sz w:val="24"/>
              </w:rPr>
              <w:t>t/a、SS</w:t>
            </w:r>
            <w:r>
              <w:rPr>
                <w:rFonts w:hint="eastAsia"/>
                <w:color w:val="auto"/>
                <w:sz w:val="24"/>
                <w:lang w:val="en-US" w:eastAsia="zh-CN"/>
              </w:rPr>
              <w:t>104</w:t>
            </w:r>
            <w:r>
              <w:rPr>
                <w:color w:val="auto"/>
                <w:sz w:val="24"/>
              </w:rPr>
              <w:t xml:space="preserve">mg/L </w:t>
            </w:r>
            <w:r>
              <w:rPr>
                <w:rFonts w:hint="eastAsia"/>
                <w:color w:val="auto"/>
                <w:sz w:val="24"/>
                <w:lang w:val="en-US" w:eastAsia="zh-CN"/>
              </w:rPr>
              <w:t>0.1123</w:t>
            </w:r>
            <w:r>
              <w:rPr>
                <w:color w:val="auto"/>
                <w:sz w:val="24"/>
              </w:rPr>
              <w:t>t/a</w:t>
            </w:r>
            <w:r>
              <w:rPr>
                <w:rFonts w:hint="eastAsia"/>
                <w:color w:val="auto"/>
                <w:sz w:val="24"/>
              </w:rPr>
              <w:t>、BOD</w:t>
            </w:r>
            <w:r>
              <w:rPr>
                <w:rFonts w:hint="eastAsia"/>
                <w:color w:val="auto"/>
                <w:sz w:val="24"/>
                <w:vertAlign w:val="subscript"/>
              </w:rPr>
              <w:t>5</w:t>
            </w:r>
            <w:r>
              <w:rPr>
                <w:rFonts w:hint="eastAsia"/>
                <w:color w:val="auto"/>
                <w:sz w:val="24"/>
                <w:lang w:val="en-US" w:eastAsia="zh-CN"/>
              </w:rPr>
              <w:t>45.4</w:t>
            </w:r>
            <w:r>
              <w:rPr>
                <w:color w:val="auto"/>
                <w:sz w:val="24"/>
              </w:rPr>
              <w:t xml:space="preserve">mg/L </w:t>
            </w:r>
            <w:r>
              <w:rPr>
                <w:rFonts w:hint="eastAsia"/>
                <w:color w:val="auto"/>
                <w:sz w:val="24"/>
              </w:rPr>
              <w:t>0.</w:t>
            </w:r>
            <w:r>
              <w:rPr>
                <w:rFonts w:hint="eastAsia"/>
                <w:color w:val="auto"/>
                <w:sz w:val="24"/>
                <w:lang w:val="en-US" w:eastAsia="zh-CN"/>
              </w:rPr>
              <w:t>049</w:t>
            </w:r>
            <w:r>
              <w:rPr>
                <w:color w:val="auto"/>
                <w:sz w:val="24"/>
              </w:rPr>
              <w:t>t/a</w:t>
            </w:r>
            <w:r>
              <w:rPr>
                <w:rFonts w:hint="eastAsia"/>
                <w:color w:val="auto"/>
                <w:sz w:val="24"/>
              </w:rPr>
              <w:t>、</w:t>
            </w:r>
            <w:r>
              <w:rPr>
                <w:color w:val="auto"/>
                <w:sz w:val="24"/>
              </w:rPr>
              <w:t>NH</w:t>
            </w:r>
            <w:r>
              <w:rPr>
                <w:color w:val="auto"/>
                <w:sz w:val="24"/>
                <w:vertAlign w:val="subscript"/>
              </w:rPr>
              <w:t>3</w:t>
            </w:r>
            <w:r>
              <w:rPr>
                <w:color w:val="auto"/>
                <w:sz w:val="24"/>
              </w:rPr>
              <w:t>-N</w:t>
            </w:r>
            <w:r>
              <w:rPr>
                <w:rFonts w:hint="eastAsia"/>
                <w:color w:val="auto"/>
                <w:sz w:val="24"/>
                <w:lang w:val="en-US" w:eastAsia="zh-CN"/>
              </w:rPr>
              <w:t>10.8</w:t>
            </w:r>
            <w:r>
              <w:rPr>
                <w:color w:val="auto"/>
                <w:sz w:val="24"/>
              </w:rPr>
              <w:t>mg/L</w:t>
            </w:r>
            <w:r>
              <w:rPr>
                <w:rFonts w:hint="eastAsia"/>
                <w:color w:val="auto"/>
                <w:sz w:val="24"/>
              </w:rPr>
              <w:t>0.01</w:t>
            </w:r>
            <w:r>
              <w:rPr>
                <w:rFonts w:hint="eastAsia"/>
                <w:color w:val="auto"/>
                <w:sz w:val="24"/>
                <w:lang w:val="en-US" w:eastAsia="zh-CN"/>
              </w:rPr>
              <w:t>17</w:t>
            </w:r>
            <w:r>
              <w:rPr>
                <w:color w:val="auto"/>
                <w:sz w:val="24"/>
              </w:rPr>
              <w:t>t/a、TP</w:t>
            </w:r>
            <w:r>
              <w:rPr>
                <w:rFonts w:hint="eastAsia"/>
                <w:color w:val="auto"/>
                <w:sz w:val="24"/>
                <w:lang w:val="en-US" w:eastAsia="zh-CN"/>
              </w:rPr>
              <w:t>0.51</w:t>
            </w:r>
            <w:r>
              <w:rPr>
                <w:color w:val="auto"/>
                <w:sz w:val="24"/>
              </w:rPr>
              <w:t xml:space="preserve">mg/L </w:t>
            </w:r>
            <w:r>
              <w:rPr>
                <w:rFonts w:hint="eastAsia"/>
                <w:color w:val="auto"/>
                <w:sz w:val="24"/>
              </w:rPr>
              <w:t>0.000</w:t>
            </w:r>
            <w:r>
              <w:rPr>
                <w:rFonts w:hint="eastAsia"/>
                <w:color w:val="auto"/>
                <w:sz w:val="24"/>
                <w:lang w:val="en-US" w:eastAsia="zh-CN"/>
              </w:rPr>
              <w:t>6</w:t>
            </w:r>
            <w:r>
              <w:rPr>
                <w:color w:val="auto"/>
                <w:sz w:val="24"/>
              </w:rPr>
              <w:t>t/a、TN</w:t>
            </w:r>
            <w:r>
              <w:rPr>
                <w:rFonts w:hint="eastAsia"/>
                <w:color w:val="auto"/>
                <w:sz w:val="24"/>
                <w:lang w:val="en-US" w:eastAsia="zh-CN"/>
              </w:rPr>
              <w:t>17.5</w:t>
            </w:r>
            <w:r>
              <w:rPr>
                <w:color w:val="auto"/>
                <w:sz w:val="24"/>
              </w:rPr>
              <w:t>mg/L0.</w:t>
            </w:r>
            <w:r>
              <w:rPr>
                <w:rFonts w:hint="eastAsia"/>
                <w:color w:val="auto"/>
                <w:sz w:val="24"/>
              </w:rPr>
              <w:t>0</w:t>
            </w:r>
            <w:r>
              <w:rPr>
                <w:rFonts w:hint="eastAsia"/>
                <w:color w:val="auto"/>
                <w:sz w:val="24"/>
                <w:lang w:val="en-US" w:eastAsia="zh-CN"/>
              </w:rPr>
              <w:t>189</w:t>
            </w:r>
            <w:r>
              <w:rPr>
                <w:color w:val="auto"/>
                <w:sz w:val="24"/>
              </w:rPr>
              <w:t>t/a。</w:t>
            </w:r>
          </w:p>
          <w:p>
            <w:pPr>
              <w:keepNext w:val="0"/>
              <w:keepLines w:val="0"/>
              <w:suppressLineNumbers w:val="0"/>
              <w:adjustRightInd w:val="0"/>
              <w:snapToGrid w:val="0"/>
              <w:spacing w:before="0" w:beforeAutospacing="0" w:after="0" w:afterAutospacing="0" w:line="520" w:lineRule="exact"/>
              <w:ind w:left="0" w:right="0" w:firstLine="480"/>
              <w:rPr>
                <w:bCs/>
                <w:color w:val="auto"/>
                <w:sz w:val="24"/>
              </w:rPr>
            </w:pPr>
            <w:r>
              <w:rPr>
                <w:bCs/>
                <w:color w:val="auto"/>
                <w:sz w:val="24"/>
              </w:rPr>
              <w:fldChar w:fldCharType="begin"/>
            </w:r>
            <w:r>
              <w:rPr>
                <w:bCs/>
                <w:color w:val="auto"/>
                <w:sz w:val="24"/>
              </w:rPr>
              <w:instrText xml:space="preserve"> = 2 \* GB3 \* MERGEFORMAT </w:instrText>
            </w:r>
            <w:r>
              <w:rPr>
                <w:bCs/>
                <w:color w:val="auto"/>
                <w:sz w:val="24"/>
              </w:rPr>
              <w:fldChar w:fldCharType="separate"/>
            </w:r>
            <w:r>
              <w:rPr>
                <w:color w:val="auto"/>
              </w:rPr>
              <w:t>②</w:t>
            </w:r>
            <w:r>
              <w:rPr>
                <w:bCs/>
                <w:color w:val="auto"/>
                <w:sz w:val="24"/>
              </w:rPr>
              <w:fldChar w:fldCharType="end"/>
            </w:r>
            <w:r>
              <w:rPr>
                <w:rFonts w:hint="eastAsia"/>
                <w:bCs/>
                <w:color w:val="auto"/>
                <w:sz w:val="24"/>
              </w:rPr>
              <w:t>地面清洗废水</w:t>
            </w:r>
          </w:p>
          <w:p>
            <w:pPr>
              <w:keepNext w:val="0"/>
              <w:keepLines w:val="0"/>
              <w:suppressLineNumbers w:val="0"/>
              <w:adjustRightInd w:val="0"/>
              <w:snapToGrid w:val="0"/>
              <w:spacing w:before="0" w:beforeAutospacing="0" w:after="0" w:afterAutospacing="0" w:line="520" w:lineRule="exact"/>
              <w:ind w:left="0" w:right="0" w:firstLine="480"/>
              <w:rPr>
                <w:bCs/>
                <w:color w:val="auto"/>
                <w:sz w:val="24"/>
              </w:rPr>
            </w:pPr>
            <w:r>
              <w:rPr>
                <w:rFonts w:hint="eastAsia"/>
                <w:bCs/>
                <w:color w:val="auto"/>
                <w:sz w:val="24"/>
              </w:rPr>
              <w:t>本项目地面</w:t>
            </w:r>
            <w:r>
              <w:rPr>
                <w:bCs/>
                <w:color w:val="auto"/>
                <w:sz w:val="24"/>
              </w:rPr>
              <w:t>清洗废水产生量</w:t>
            </w:r>
            <w:r>
              <w:rPr>
                <w:rFonts w:hint="eastAsia"/>
                <w:bCs/>
                <w:color w:val="auto"/>
                <w:sz w:val="24"/>
                <w:lang w:val="en-US" w:eastAsia="zh-CN"/>
              </w:rPr>
              <w:t>540</w:t>
            </w:r>
            <w:r>
              <w:rPr>
                <w:bCs/>
                <w:color w:val="auto"/>
                <w:sz w:val="24"/>
              </w:rPr>
              <w:t>m</w:t>
            </w:r>
            <w:r>
              <w:rPr>
                <w:bCs/>
                <w:color w:val="auto"/>
                <w:sz w:val="24"/>
                <w:vertAlign w:val="superscript"/>
              </w:rPr>
              <w:t>3</w:t>
            </w:r>
            <w:r>
              <w:rPr>
                <w:bCs/>
                <w:color w:val="auto"/>
                <w:sz w:val="24"/>
              </w:rPr>
              <w:t>/a，</w:t>
            </w:r>
            <w:r>
              <w:rPr>
                <w:rFonts w:hint="eastAsia"/>
                <w:bCs/>
                <w:color w:val="auto"/>
                <w:sz w:val="24"/>
                <w:lang w:val="en-US" w:eastAsia="zh-CN"/>
              </w:rPr>
              <w:t>根据</w:t>
            </w:r>
            <w:r>
              <w:rPr>
                <w:rFonts w:hint="eastAsia"/>
                <w:bCs/>
                <w:color w:val="auto"/>
                <w:sz w:val="24"/>
              </w:rPr>
              <w:t>河南中弘国泰检测技术有限公司</w:t>
            </w:r>
            <w:r>
              <w:rPr>
                <w:rFonts w:hint="eastAsia"/>
                <w:bCs/>
                <w:color w:val="auto"/>
                <w:sz w:val="24"/>
                <w:lang w:val="en-US" w:eastAsia="zh-CN"/>
              </w:rPr>
              <w:t>对新乡县公共检验检测中心小试地面拖洗废水的监测（监测报告见附件）</w:t>
            </w:r>
            <w:r>
              <w:rPr>
                <w:bCs/>
                <w:color w:val="auto"/>
                <w:sz w:val="24"/>
              </w:rPr>
              <w:t>，</w:t>
            </w:r>
            <w:r>
              <w:rPr>
                <w:color w:val="auto"/>
                <w:sz w:val="24"/>
              </w:rPr>
              <w:t>各污染物排放浓度及排放量分别为COD</w:t>
            </w:r>
            <w:r>
              <w:rPr>
                <w:rFonts w:hint="eastAsia"/>
                <w:color w:val="auto"/>
                <w:sz w:val="24"/>
                <w:lang w:val="en-US" w:eastAsia="zh-CN"/>
              </w:rPr>
              <w:t>207</w:t>
            </w:r>
            <w:r>
              <w:rPr>
                <w:color w:val="auto"/>
                <w:sz w:val="24"/>
              </w:rPr>
              <w:t xml:space="preserve">mg/L </w:t>
            </w:r>
            <w:r>
              <w:rPr>
                <w:rFonts w:hint="eastAsia"/>
                <w:color w:val="auto"/>
                <w:sz w:val="24"/>
              </w:rPr>
              <w:t>0.11</w:t>
            </w:r>
            <w:r>
              <w:rPr>
                <w:rFonts w:hint="eastAsia"/>
                <w:color w:val="auto"/>
                <w:sz w:val="24"/>
                <w:lang w:val="en-US" w:eastAsia="zh-CN"/>
              </w:rPr>
              <w:t>18</w:t>
            </w:r>
            <w:r>
              <w:rPr>
                <w:color w:val="auto"/>
                <w:sz w:val="24"/>
              </w:rPr>
              <w:t>t/a、SS</w:t>
            </w:r>
            <w:r>
              <w:rPr>
                <w:rFonts w:hint="eastAsia"/>
                <w:color w:val="auto"/>
                <w:sz w:val="24"/>
                <w:lang w:val="en-US" w:eastAsia="zh-CN"/>
              </w:rPr>
              <w:t>178</w:t>
            </w:r>
            <w:r>
              <w:rPr>
                <w:color w:val="auto"/>
                <w:sz w:val="24"/>
              </w:rPr>
              <w:t>mg/L</w:t>
            </w:r>
            <w:r>
              <w:rPr>
                <w:rFonts w:hint="eastAsia"/>
                <w:color w:val="auto"/>
                <w:sz w:val="24"/>
              </w:rPr>
              <w:t>0.0</w:t>
            </w:r>
            <w:r>
              <w:rPr>
                <w:rFonts w:hint="eastAsia"/>
                <w:color w:val="auto"/>
                <w:sz w:val="24"/>
                <w:lang w:val="en-US" w:eastAsia="zh-CN"/>
              </w:rPr>
              <w:t>961</w:t>
            </w:r>
            <w:r>
              <w:rPr>
                <w:color w:val="auto"/>
                <w:sz w:val="24"/>
              </w:rPr>
              <w:t>t/a</w:t>
            </w:r>
            <w:r>
              <w:rPr>
                <w:rFonts w:hint="eastAsia"/>
                <w:color w:val="auto"/>
                <w:sz w:val="24"/>
              </w:rPr>
              <w:t>、BOD</w:t>
            </w:r>
            <w:r>
              <w:rPr>
                <w:rFonts w:hint="eastAsia"/>
                <w:color w:val="auto"/>
                <w:sz w:val="24"/>
                <w:vertAlign w:val="subscript"/>
              </w:rPr>
              <w:t>5</w:t>
            </w:r>
            <w:r>
              <w:rPr>
                <w:rFonts w:hint="eastAsia"/>
                <w:color w:val="auto"/>
                <w:sz w:val="24"/>
                <w:lang w:val="en-US" w:eastAsia="zh-CN"/>
              </w:rPr>
              <w:t>72.2</w:t>
            </w:r>
            <w:r>
              <w:rPr>
                <w:color w:val="auto"/>
                <w:sz w:val="24"/>
              </w:rPr>
              <w:t xml:space="preserve">mg/L </w:t>
            </w:r>
            <w:r>
              <w:rPr>
                <w:rFonts w:hint="eastAsia"/>
                <w:color w:val="auto"/>
                <w:sz w:val="24"/>
              </w:rPr>
              <w:t>0.0</w:t>
            </w:r>
            <w:r>
              <w:rPr>
                <w:rFonts w:hint="eastAsia"/>
                <w:color w:val="auto"/>
                <w:sz w:val="24"/>
                <w:lang w:val="en-US" w:eastAsia="zh-CN"/>
              </w:rPr>
              <w:t>390</w:t>
            </w:r>
            <w:r>
              <w:rPr>
                <w:color w:val="auto"/>
                <w:sz w:val="24"/>
              </w:rPr>
              <w:t>t/a</w:t>
            </w:r>
            <w:r>
              <w:rPr>
                <w:rFonts w:hint="eastAsia"/>
                <w:color w:val="auto"/>
                <w:sz w:val="24"/>
              </w:rPr>
              <w:t>、</w:t>
            </w:r>
            <w:r>
              <w:rPr>
                <w:color w:val="auto"/>
                <w:sz w:val="24"/>
              </w:rPr>
              <w:t>NH</w:t>
            </w:r>
            <w:r>
              <w:rPr>
                <w:color w:val="auto"/>
                <w:sz w:val="24"/>
                <w:vertAlign w:val="subscript"/>
              </w:rPr>
              <w:t>3</w:t>
            </w:r>
            <w:r>
              <w:rPr>
                <w:color w:val="auto"/>
                <w:sz w:val="24"/>
              </w:rPr>
              <w:t>-N</w:t>
            </w:r>
            <w:r>
              <w:rPr>
                <w:rFonts w:hint="eastAsia"/>
                <w:color w:val="auto"/>
                <w:sz w:val="24"/>
                <w:lang w:val="en-US" w:eastAsia="zh-CN"/>
              </w:rPr>
              <w:t>14.6</w:t>
            </w:r>
            <w:r>
              <w:rPr>
                <w:color w:val="auto"/>
                <w:sz w:val="24"/>
              </w:rPr>
              <w:t>mg/L</w:t>
            </w:r>
            <w:r>
              <w:rPr>
                <w:rFonts w:hint="eastAsia"/>
                <w:color w:val="auto"/>
                <w:sz w:val="24"/>
              </w:rPr>
              <w:t>0.00</w:t>
            </w:r>
            <w:r>
              <w:rPr>
                <w:rFonts w:hint="eastAsia"/>
                <w:color w:val="auto"/>
                <w:sz w:val="24"/>
                <w:lang w:val="en-US" w:eastAsia="zh-CN"/>
              </w:rPr>
              <w:t>7</w:t>
            </w:r>
            <w:r>
              <w:rPr>
                <w:rFonts w:hint="eastAsia"/>
                <w:color w:val="auto"/>
                <w:sz w:val="24"/>
              </w:rPr>
              <w:t>9</w:t>
            </w:r>
            <w:r>
              <w:rPr>
                <w:color w:val="auto"/>
                <w:sz w:val="24"/>
              </w:rPr>
              <w:t>t/a、TP</w:t>
            </w:r>
            <w:r>
              <w:rPr>
                <w:rFonts w:hint="eastAsia"/>
                <w:color w:val="auto"/>
                <w:sz w:val="24"/>
                <w:lang w:val="en-US" w:eastAsia="zh-CN"/>
              </w:rPr>
              <w:t>0.74</w:t>
            </w:r>
            <w:r>
              <w:rPr>
                <w:color w:val="auto"/>
                <w:sz w:val="24"/>
              </w:rPr>
              <w:t xml:space="preserve">mg/L </w:t>
            </w:r>
            <w:r>
              <w:rPr>
                <w:rFonts w:hint="eastAsia"/>
                <w:color w:val="auto"/>
                <w:sz w:val="24"/>
              </w:rPr>
              <w:t>0.000</w:t>
            </w:r>
            <w:r>
              <w:rPr>
                <w:rFonts w:hint="eastAsia"/>
                <w:color w:val="auto"/>
                <w:sz w:val="24"/>
                <w:lang w:val="en-US" w:eastAsia="zh-CN"/>
              </w:rPr>
              <w:t>4</w:t>
            </w:r>
            <w:r>
              <w:rPr>
                <w:color w:val="auto"/>
                <w:sz w:val="24"/>
              </w:rPr>
              <w:t>t/a、TN</w:t>
            </w:r>
            <w:r>
              <w:rPr>
                <w:rFonts w:hint="eastAsia"/>
                <w:color w:val="auto"/>
                <w:sz w:val="24"/>
                <w:lang w:val="en-US" w:eastAsia="zh-CN"/>
              </w:rPr>
              <w:t>25.3</w:t>
            </w:r>
            <w:r>
              <w:rPr>
                <w:color w:val="auto"/>
                <w:sz w:val="24"/>
              </w:rPr>
              <w:t>mg/L0.</w:t>
            </w:r>
            <w:r>
              <w:rPr>
                <w:rFonts w:hint="eastAsia"/>
                <w:color w:val="auto"/>
                <w:sz w:val="24"/>
              </w:rPr>
              <w:t>0</w:t>
            </w:r>
            <w:r>
              <w:rPr>
                <w:rFonts w:hint="eastAsia"/>
                <w:color w:val="auto"/>
                <w:sz w:val="24"/>
                <w:lang w:val="en-US" w:eastAsia="zh-CN"/>
              </w:rPr>
              <w:t>137</w:t>
            </w:r>
            <w:r>
              <w:rPr>
                <w:color w:val="auto"/>
                <w:sz w:val="24"/>
              </w:rPr>
              <w:t>t/a。</w:t>
            </w:r>
          </w:p>
          <w:p>
            <w:pPr>
              <w:keepNext w:val="0"/>
              <w:keepLines w:val="0"/>
              <w:suppressLineNumbers w:val="0"/>
              <w:adjustRightInd w:val="0"/>
              <w:snapToGrid w:val="0"/>
              <w:spacing w:before="0" w:beforeAutospacing="0" w:after="0" w:afterAutospacing="0" w:line="520" w:lineRule="exact"/>
              <w:ind w:left="0" w:right="0" w:firstLine="480"/>
              <w:rPr>
                <w:bCs/>
                <w:sz w:val="24"/>
              </w:rPr>
            </w:pPr>
            <w:r>
              <w:rPr>
                <w:rFonts w:hint="eastAsia"/>
                <w:bCs/>
                <w:sz w:val="24"/>
              </w:rPr>
              <w:fldChar w:fldCharType="begin"/>
            </w:r>
            <w:r>
              <w:rPr>
                <w:rFonts w:hint="eastAsia"/>
                <w:bCs/>
                <w:sz w:val="24"/>
              </w:rPr>
              <w:instrText xml:space="preserve"> = 3 \* GB3 \* MERGEFORMAT </w:instrText>
            </w:r>
            <w:r>
              <w:rPr>
                <w:rFonts w:hint="eastAsia"/>
                <w:bCs/>
                <w:sz w:val="24"/>
              </w:rPr>
              <w:fldChar w:fldCharType="separate"/>
            </w:r>
            <w:r>
              <w:t>③</w:t>
            </w:r>
            <w:r>
              <w:rPr>
                <w:rFonts w:hint="eastAsia"/>
                <w:bCs/>
                <w:sz w:val="24"/>
              </w:rPr>
              <w:fldChar w:fldCharType="end"/>
            </w:r>
            <w:r>
              <w:rPr>
                <w:bCs/>
                <w:sz w:val="24"/>
              </w:rPr>
              <w:t>浓水</w:t>
            </w:r>
          </w:p>
          <w:p>
            <w:pPr>
              <w:keepNext w:val="0"/>
              <w:keepLines w:val="0"/>
              <w:suppressLineNumbers w:val="0"/>
              <w:adjustRightInd w:val="0"/>
              <w:snapToGrid w:val="0"/>
              <w:spacing w:before="0" w:beforeAutospacing="0" w:after="0" w:afterAutospacing="0" w:line="520" w:lineRule="exact"/>
              <w:ind w:left="0" w:right="0" w:firstLine="480"/>
              <w:rPr>
                <w:bCs/>
                <w:sz w:val="24"/>
              </w:rPr>
            </w:pPr>
            <w:r>
              <w:rPr>
                <w:rFonts w:hint="eastAsia"/>
                <w:bCs/>
                <w:sz w:val="24"/>
              </w:rPr>
              <w:t>项目浓水</w:t>
            </w:r>
            <w:r>
              <w:rPr>
                <w:bCs/>
                <w:sz w:val="24"/>
              </w:rPr>
              <w:t>产生量</w:t>
            </w:r>
            <w:r>
              <w:rPr>
                <w:rFonts w:hint="eastAsia"/>
                <w:bCs/>
                <w:sz w:val="24"/>
                <w:lang w:val="en-US" w:eastAsia="zh-CN"/>
              </w:rPr>
              <w:t>128.6</w:t>
            </w:r>
            <w:r>
              <w:rPr>
                <w:bCs/>
                <w:sz w:val="24"/>
              </w:rPr>
              <w:t>m</w:t>
            </w:r>
            <w:r>
              <w:rPr>
                <w:bCs/>
                <w:sz w:val="24"/>
                <w:vertAlign w:val="superscript"/>
              </w:rPr>
              <w:t>3</w:t>
            </w:r>
            <w:r>
              <w:rPr>
                <w:bCs/>
                <w:sz w:val="24"/>
              </w:rPr>
              <w:t>/a，类比同类</w:t>
            </w:r>
            <w:r>
              <w:rPr>
                <w:rFonts w:hint="eastAsia"/>
                <w:bCs/>
                <w:sz w:val="24"/>
                <w:lang w:val="en-US" w:eastAsia="zh-CN"/>
              </w:rPr>
              <w:t>纯水制备</w:t>
            </w:r>
            <w:r>
              <w:rPr>
                <w:bCs/>
                <w:sz w:val="24"/>
              </w:rPr>
              <w:t>项目，</w:t>
            </w:r>
            <w:r>
              <w:rPr>
                <w:sz w:val="24"/>
              </w:rPr>
              <w:t>各污染物排放浓度及排放量分别为COD</w:t>
            </w:r>
            <w:r>
              <w:rPr>
                <w:rFonts w:hint="eastAsia"/>
                <w:sz w:val="24"/>
              </w:rPr>
              <w:t>20</w:t>
            </w:r>
            <w:r>
              <w:rPr>
                <w:sz w:val="24"/>
              </w:rPr>
              <w:t>mg/L 0.00</w:t>
            </w:r>
            <w:r>
              <w:rPr>
                <w:rFonts w:hint="eastAsia"/>
                <w:sz w:val="24"/>
                <w:lang w:val="en-US" w:eastAsia="zh-CN"/>
              </w:rPr>
              <w:t>26</w:t>
            </w:r>
            <w:r>
              <w:rPr>
                <w:sz w:val="24"/>
              </w:rPr>
              <w:t>t/a、SS</w:t>
            </w:r>
            <w:r>
              <w:rPr>
                <w:rFonts w:hint="eastAsia"/>
                <w:sz w:val="24"/>
              </w:rPr>
              <w:t>2</w:t>
            </w:r>
            <w:r>
              <w:rPr>
                <w:rFonts w:hint="eastAsia"/>
                <w:sz w:val="24"/>
                <w:lang w:val="en-US" w:eastAsia="zh-CN"/>
              </w:rPr>
              <w:t>0</w:t>
            </w:r>
            <w:r>
              <w:rPr>
                <w:sz w:val="24"/>
              </w:rPr>
              <w:t>mg/L 0.00</w:t>
            </w:r>
            <w:r>
              <w:rPr>
                <w:rFonts w:hint="eastAsia"/>
                <w:sz w:val="24"/>
                <w:lang w:val="en-US" w:eastAsia="zh-CN"/>
              </w:rPr>
              <w:t>26</w:t>
            </w:r>
            <w:r>
              <w:rPr>
                <w:sz w:val="24"/>
              </w:rPr>
              <w:t>t/a</w:t>
            </w:r>
            <w:r>
              <w:rPr>
                <w:rFonts w:hint="eastAsia"/>
                <w:sz w:val="24"/>
                <w:lang w:eastAsia="zh-CN"/>
              </w:rPr>
              <w:t>、</w:t>
            </w:r>
            <w:r>
              <w:rPr>
                <w:rFonts w:hint="eastAsia"/>
                <w:sz w:val="24"/>
                <w:lang w:val="en-US" w:eastAsia="zh-CN"/>
              </w:rPr>
              <w:t>NH3-N0.3mg/L、TP0.4mg/L 、TN1mg/L</w:t>
            </w:r>
            <w:r>
              <w:rPr>
                <w:sz w:val="24"/>
              </w:rPr>
              <w:t>。</w:t>
            </w:r>
          </w:p>
          <w:p>
            <w:pPr>
              <w:keepNext w:val="0"/>
              <w:keepLines w:val="0"/>
              <w:suppressLineNumbers w:val="0"/>
              <w:spacing w:before="0" w:beforeAutospacing="0" w:after="0" w:afterAutospacing="0" w:line="480" w:lineRule="exact"/>
              <w:ind w:left="0" w:right="0" w:firstLine="422" w:firstLineChars="176"/>
              <w:jc w:val="left"/>
              <w:rPr>
                <w:sz w:val="24"/>
              </w:rPr>
            </w:pPr>
            <w:r>
              <w:rPr>
                <w:sz w:val="24"/>
              </w:rPr>
              <w:t>处理规模及工艺：项目拟建一套污水处理设施，按日废水排放量设计，考虑1.5-2倍的保证系数，则设计处理规模为10m</w:t>
            </w:r>
            <w:r>
              <w:rPr>
                <w:sz w:val="24"/>
                <w:vertAlign w:val="superscript"/>
              </w:rPr>
              <w:t>3</w:t>
            </w:r>
            <w:r>
              <w:rPr>
                <w:sz w:val="24"/>
              </w:rPr>
              <w:t>/d，采用</w:t>
            </w:r>
            <w:r>
              <w:rPr>
                <w:bCs/>
                <w:kern w:val="0"/>
                <w:sz w:val="24"/>
              </w:rPr>
              <w:t>“酸碱中和+微电解+沉淀+过滤吸附+消毒”</w:t>
            </w:r>
            <w:r>
              <w:rPr>
                <w:sz w:val="24"/>
              </w:rPr>
              <w:t>处理工艺，污水处理工艺流程如图</w:t>
            </w:r>
            <w:r>
              <w:rPr>
                <w:rFonts w:hint="eastAsia"/>
                <w:sz w:val="24"/>
                <w:lang w:val="en-US" w:eastAsia="zh-CN"/>
              </w:rPr>
              <w:t>3</w:t>
            </w:r>
            <w:r>
              <w:rPr>
                <w:sz w:val="24"/>
              </w:rPr>
              <w:t>。</w:t>
            </w:r>
          </w:p>
          <w:p>
            <w:pPr>
              <w:keepNext w:val="0"/>
              <w:keepLines w:val="0"/>
              <w:suppressLineNumbers w:val="0"/>
              <w:spacing w:before="0" w:beforeAutospacing="0" w:after="0" w:afterAutospacing="0" w:line="480" w:lineRule="exact"/>
              <w:ind w:left="0" w:right="0" w:firstLine="422" w:firstLineChars="176"/>
              <w:jc w:val="left"/>
              <w:rPr>
                <w:color w:val="FF0000"/>
                <w:sz w:val="24"/>
              </w:rPr>
            </w:pPr>
          </w:p>
          <w:p>
            <w:pPr>
              <w:pStyle w:val="93"/>
              <w:keepNext w:val="0"/>
              <w:keepLines w:val="0"/>
              <w:suppressLineNumbers w:val="0"/>
              <w:spacing w:before="0" w:beforeAutospacing="0" w:after="0" w:afterAutospacing="0"/>
              <w:ind w:left="0" w:right="0" w:firstLine="0"/>
              <w:jc w:val="center"/>
              <w:rPr>
                <w:rFonts w:hAnsi="Times New Roman"/>
                <w:color w:val="FF0000"/>
              </w:rPr>
            </w:pPr>
            <w:r>
              <w:rPr>
                <w:rFonts w:hAnsi="Times New Roman"/>
                <w:color w:val="FF0000"/>
              </w:rPr>
              <w:object>
                <v:shape id="_x0000_i1026" o:spt="75" type="#_x0000_t75" style="height:113.65pt;width:401.2pt;" o:ole="t" filled="f" o:preferrelative="t" stroked="t" coordsize="21600,21600">
                  <v:path/>
                  <v:fill on="f" focussize="0,0"/>
                  <v:stroke joinstyle="miter"/>
                  <v:imagedata r:id="rId25" cropleft="1394f" croptop="442f" cropright="2284f" cropbottom="2691f" o:title=""/>
                  <o:lock v:ext="edit" aspectratio="f"/>
                  <w10:wrap type="none"/>
                  <w10:anchorlock/>
                </v:shape>
                <o:OLEObject Type="Embed" ProgID="Visio.Drawing.11" ShapeID="_x0000_i1026" DrawAspect="Content" ObjectID="_1468075728" r:id="rId24">
                  <o:LockedField>false</o:LockedField>
                </o:OLEObject>
              </w:object>
            </w:r>
          </w:p>
          <w:p>
            <w:pPr>
              <w:pStyle w:val="9"/>
              <w:keepNext w:val="0"/>
              <w:keepLines w:val="0"/>
              <w:numPr>
                <w:ilvl w:val="0"/>
                <w:numId w:val="0"/>
              </w:numPr>
              <w:suppressLineNumbers w:val="0"/>
              <w:spacing w:before="0" w:beforeAutospacing="0" w:after="0" w:afterAutospacing="0"/>
              <w:ind w:left="0" w:right="0"/>
              <w:jc w:val="center"/>
              <w:rPr>
                <w:rFonts w:ascii="Times New Roman" w:hAnsi="Times New Roman" w:cs="Times New Roman"/>
                <w:sz w:val="24"/>
                <w:szCs w:val="36"/>
              </w:rPr>
            </w:pPr>
            <w:r>
              <w:rPr>
                <w:rFonts w:ascii="Times New Roman" w:hAnsi="Times New Roman" w:cs="Times New Roman"/>
                <w:sz w:val="24"/>
                <w:szCs w:val="36"/>
              </w:rPr>
              <w:t>图</w:t>
            </w:r>
            <w:r>
              <w:rPr>
                <w:rFonts w:hint="eastAsia" w:ascii="Times New Roman" w:hAnsi="Times New Roman" w:cs="Times New Roman"/>
                <w:sz w:val="24"/>
                <w:szCs w:val="36"/>
                <w:lang w:val="en-US" w:eastAsia="zh-CN"/>
              </w:rPr>
              <w:t>5</w:t>
            </w:r>
            <w:r>
              <w:rPr>
                <w:rFonts w:ascii="Times New Roman" w:hAnsi="Times New Roman" w:cs="Times New Roman"/>
                <w:sz w:val="24"/>
                <w:szCs w:val="36"/>
              </w:rPr>
              <w:t xml:space="preserve">  污水处理工艺流程图</w:t>
            </w:r>
          </w:p>
          <w:p>
            <w:pPr>
              <w:keepNext w:val="0"/>
              <w:keepLines w:val="0"/>
              <w:suppressLineNumbers w:val="0"/>
              <w:spacing w:before="0" w:beforeAutospacing="0" w:after="0" w:afterAutospacing="0" w:line="520" w:lineRule="exact"/>
              <w:ind w:left="0" w:right="0" w:firstLine="480" w:firstLineChars="200"/>
              <w:rPr>
                <w:bCs/>
                <w:sz w:val="24"/>
              </w:rPr>
            </w:pPr>
            <w:r>
              <w:rPr>
                <w:bCs/>
                <w:sz w:val="24"/>
              </w:rPr>
              <w:t>污水处理工艺描述：</w:t>
            </w:r>
          </w:p>
          <w:p>
            <w:pPr>
              <w:keepNext w:val="0"/>
              <w:keepLines w:val="0"/>
              <w:suppressLineNumbers w:val="0"/>
              <w:spacing w:before="0" w:beforeAutospacing="0" w:after="0" w:afterAutospacing="0" w:line="520" w:lineRule="exact"/>
              <w:ind w:left="0" w:right="0" w:firstLine="480" w:firstLineChars="200"/>
              <w:rPr>
                <w:bCs/>
                <w:sz w:val="24"/>
              </w:rPr>
            </w:pPr>
            <w:r>
              <w:rPr>
                <w:bCs/>
                <w:sz w:val="24"/>
              </w:rPr>
              <w:t>1）采用pH 调节池。由于不同时段采用的试剂和产生的废水pH值不能确定，采用全自动酸碱调节装置向废水中投加酸</w:t>
            </w:r>
            <w:r>
              <w:rPr>
                <w:rFonts w:hint="eastAsia"/>
                <w:bCs/>
                <w:sz w:val="24"/>
              </w:rPr>
              <w:t>或</w:t>
            </w:r>
            <w:r>
              <w:rPr>
                <w:bCs/>
                <w:sz w:val="24"/>
              </w:rPr>
              <w:t>碱，对废水pH进行调节，将废水pH 调节至6-9之间。</w:t>
            </w:r>
          </w:p>
          <w:p>
            <w:pPr>
              <w:keepNext w:val="0"/>
              <w:keepLines w:val="0"/>
              <w:suppressLineNumbers w:val="0"/>
              <w:spacing w:before="0" w:beforeAutospacing="0" w:after="0" w:afterAutospacing="0" w:line="520" w:lineRule="exact"/>
              <w:ind w:left="0" w:right="0" w:firstLine="480" w:firstLineChars="200"/>
              <w:rPr>
                <w:bCs/>
                <w:sz w:val="24"/>
              </w:rPr>
            </w:pPr>
            <w:r>
              <w:rPr>
                <w:bCs/>
                <w:sz w:val="24"/>
              </w:rPr>
              <w:t>2）采用微电解槽。利用铁碳电极之间形成无数个细微原电池，将铁氧化生产亚铁混凝剂，</w:t>
            </w:r>
            <w:r>
              <w:rPr>
                <w:rFonts w:hint="eastAsia"/>
                <w:bCs/>
                <w:sz w:val="24"/>
              </w:rPr>
              <w:t>用于去除</w:t>
            </w:r>
            <w:r>
              <w:rPr>
                <w:rFonts w:hint="eastAsia"/>
                <w:bCs/>
                <w:sz w:val="24"/>
                <w:lang w:val="en-US" w:eastAsia="zh-CN"/>
              </w:rPr>
              <w:t>SS</w:t>
            </w:r>
            <w:r>
              <w:rPr>
                <w:bCs/>
                <w:sz w:val="24"/>
              </w:rPr>
              <w:t>。</w:t>
            </w:r>
          </w:p>
          <w:p>
            <w:pPr>
              <w:keepNext w:val="0"/>
              <w:keepLines w:val="0"/>
              <w:suppressLineNumbers w:val="0"/>
              <w:spacing w:before="0" w:beforeAutospacing="0" w:after="0" w:afterAutospacing="0" w:line="520" w:lineRule="exact"/>
              <w:ind w:left="0" w:right="0" w:firstLine="480" w:firstLineChars="200"/>
              <w:rPr>
                <w:bCs/>
                <w:sz w:val="24"/>
              </w:rPr>
            </w:pPr>
            <w:r>
              <w:rPr>
                <w:bCs/>
                <w:sz w:val="24"/>
              </w:rPr>
              <w:t>3）采用沉淀槽。通过加药装置向沉淀槽中投加 PAC、PAM，使水或液体中悬浮微粒集聚变大，或形成絮团，从而加快</w:t>
            </w:r>
            <w:r>
              <w:rPr>
                <w:bCs/>
                <w:sz w:val="24"/>
              </w:rPr>
              <w:fldChar w:fldCharType="begin"/>
            </w:r>
            <w:r>
              <w:rPr>
                <w:bCs/>
                <w:sz w:val="24"/>
              </w:rPr>
              <w:instrText xml:space="preserve"> HYPERLINK "http://baike.baidu.com/view/150389.htm" \h </w:instrText>
            </w:r>
            <w:r>
              <w:rPr>
                <w:bCs/>
                <w:sz w:val="24"/>
              </w:rPr>
              <w:fldChar w:fldCharType="separate"/>
            </w:r>
            <w:r>
              <w:rPr>
                <w:bCs/>
                <w:sz w:val="24"/>
              </w:rPr>
              <w:t>粒子</w:t>
            </w:r>
            <w:r>
              <w:rPr>
                <w:bCs/>
                <w:sz w:val="24"/>
              </w:rPr>
              <w:fldChar w:fldCharType="end"/>
            </w:r>
            <w:r>
              <w:rPr>
                <w:bCs/>
                <w:sz w:val="24"/>
              </w:rPr>
              <w:t>的</w:t>
            </w:r>
            <w:r>
              <w:rPr>
                <w:bCs/>
                <w:sz w:val="24"/>
              </w:rPr>
              <w:fldChar w:fldCharType="begin"/>
            </w:r>
            <w:r>
              <w:rPr>
                <w:bCs/>
                <w:sz w:val="24"/>
              </w:rPr>
              <w:instrText xml:space="preserve"> HYPERLINK "http://baike.baidu.com/view/567027.htm" \h </w:instrText>
            </w:r>
            <w:r>
              <w:rPr>
                <w:bCs/>
                <w:sz w:val="24"/>
              </w:rPr>
              <w:fldChar w:fldCharType="separate"/>
            </w:r>
            <w:r>
              <w:rPr>
                <w:bCs/>
                <w:sz w:val="24"/>
              </w:rPr>
              <w:t>聚</w:t>
            </w:r>
            <w:r>
              <w:rPr>
                <w:bCs/>
                <w:sz w:val="24"/>
              </w:rPr>
              <w:fldChar w:fldCharType="end"/>
            </w:r>
            <w:r>
              <w:rPr>
                <w:bCs/>
                <w:sz w:val="24"/>
              </w:rPr>
              <w:fldChar w:fldCharType="begin"/>
            </w:r>
            <w:r>
              <w:rPr>
                <w:bCs/>
                <w:sz w:val="24"/>
              </w:rPr>
              <w:instrText xml:space="preserve"> HYPERLINK "http://baike.baidu.com/view/567027.htm" \h </w:instrText>
            </w:r>
            <w:r>
              <w:rPr>
                <w:bCs/>
                <w:sz w:val="24"/>
              </w:rPr>
              <w:fldChar w:fldCharType="separate"/>
            </w:r>
            <w:r>
              <w:rPr>
                <w:bCs/>
                <w:sz w:val="24"/>
              </w:rPr>
              <w:t>沉</w:t>
            </w:r>
            <w:r>
              <w:rPr>
                <w:bCs/>
                <w:sz w:val="24"/>
              </w:rPr>
              <w:fldChar w:fldCharType="end"/>
            </w:r>
            <w:r>
              <w:rPr>
                <w:bCs/>
                <w:sz w:val="24"/>
              </w:rPr>
              <w:t>，达到固-液分离。</w:t>
            </w:r>
          </w:p>
          <w:p>
            <w:pPr>
              <w:keepNext w:val="0"/>
              <w:keepLines w:val="0"/>
              <w:suppressLineNumbers w:val="0"/>
              <w:spacing w:before="0" w:beforeAutospacing="0" w:after="0" w:afterAutospacing="0" w:line="520" w:lineRule="exact"/>
              <w:ind w:left="0" w:right="0" w:firstLine="480" w:firstLineChars="200"/>
              <w:rPr>
                <w:bCs/>
                <w:sz w:val="24"/>
              </w:rPr>
            </w:pPr>
            <w:r>
              <w:rPr>
                <w:bCs/>
                <w:sz w:val="24"/>
              </w:rPr>
              <w:t>4）采用过滤吸附系统，包含石英砂、活性炭过滤滤吸附对废水进行深度处理，进一步降低废水污浓度以及浑浊程染物度。</w:t>
            </w:r>
          </w:p>
          <w:p>
            <w:pPr>
              <w:keepNext w:val="0"/>
              <w:keepLines w:val="0"/>
              <w:suppressLineNumbers w:val="0"/>
              <w:spacing w:before="0" w:beforeAutospacing="0" w:after="0" w:afterAutospacing="0" w:line="520" w:lineRule="exact"/>
              <w:ind w:left="0" w:right="0" w:firstLine="480" w:firstLineChars="200"/>
              <w:rPr>
                <w:sz w:val="24"/>
              </w:rPr>
            </w:pPr>
            <w:r>
              <w:rPr>
                <w:bCs/>
                <w:sz w:val="24"/>
              </w:rPr>
              <w:t>5）污水通过</w:t>
            </w:r>
            <w:r>
              <w:rPr>
                <w:rFonts w:hint="eastAsia"/>
                <w:bCs/>
                <w:sz w:val="24"/>
              </w:rPr>
              <w:t>加入</w:t>
            </w:r>
            <w:r>
              <w:rPr>
                <w:bCs/>
                <w:sz w:val="24"/>
              </w:rPr>
              <w:t>二氧化氯消毒</w:t>
            </w:r>
            <w:r>
              <w:rPr>
                <w:rFonts w:hint="eastAsia"/>
                <w:bCs/>
                <w:sz w:val="24"/>
              </w:rPr>
              <w:t>片</w:t>
            </w:r>
            <w:r>
              <w:rPr>
                <w:bCs/>
                <w:sz w:val="24"/>
              </w:rPr>
              <w:t>进行消毒，杀灭污水中的残余细菌等，使出水达到排放标准。</w:t>
            </w:r>
          </w:p>
          <w:p>
            <w:pPr>
              <w:keepNext w:val="0"/>
              <w:keepLines w:val="0"/>
              <w:suppressLineNumbers w:val="0"/>
              <w:spacing w:before="0" w:beforeAutospacing="0" w:after="0" w:afterAutospacing="0" w:line="520" w:lineRule="exact"/>
              <w:ind w:left="0" w:right="0"/>
              <w:rPr>
                <w:bCs/>
                <w:sz w:val="24"/>
              </w:rPr>
            </w:pPr>
            <w:r>
              <w:rPr>
                <w:rFonts w:eastAsia="黑体"/>
                <w:sz w:val="24"/>
              </w:rPr>
              <w:t xml:space="preserve">    </w:t>
            </w:r>
            <w:r>
              <w:rPr>
                <w:bCs/>
                <w:sz w:val="24"/>
              </w:rPr>
              <w:t>项目废水产排情况见下表。</w:t>
            </w:r>
          </w:p>
          <w:p>
            <w:pPr>
              <w:keepNext w:val="0"/>
              <w:keepLines w:val="0"/>
              <w:suppressLineNumbers w:val="0"/>
              <w:spacing w:before="0" w:beforeAutospacing="0" w:after="0" w:afterAutospacing="0" w:line="520" w:lineRule="exact"/>
              <w:ind w:left="0" w:right="0"/>
              <w:jc w:val="center"/>
              <w:rPr>
                <w:b/>
                <w:bCs/>
                <w:sz w:val="24"/>
              </w:rPr>
            </w:pPr>
            <w:r>
              <w:rPr>
                <w:rFonts w:hint="default" w:ascii="Times New Roman" w:hAnsi="Times New Roman" w:eastAsia="黑体" w:cs="Times New Roman"/>
                <w:b w:val="0"/>
                <w:bCs w:val="0"/>
                <w:color w:val="auto"/>
                <w:sz w:val="24"/>
                <w:szCs w:val="24"/>
                <w:lang w:val="en-US" w:eastAsia="zh-CN"/>
              </w:rPr>
              <w:t>表4-1</w:t>
            </w:r>
            <w:r>
              <w:rPr>
                <w:rFonts w:hint="eastAsia" w:ascii="Times New Roman" w:hAnsi="Times New Roman" w:eastAsia="黑体" w:cs="Times New Roman"/>
                <w:b w:val="0"/>
                <w:bCs w:val="0"/>
                <w:color w:val="auto"/>
                <w:sz w:val="24"/>
                <w:szCs w:val="24"/>
                <w:lang w:val="en-US" w:eastAsia="zh-CN"/>
              </w:rPr>
              <w:t>7</w:t>
            </w:r>
            <w:r>
              <w:rPr>
                <w:rFonts w:hint="default" w:ascii="Times New Roman" w:hAnsi="Times New Roman" w:eastAsia="黑体" w:cs="Times New Roman"/>
                <w:b w:val="0"/>
                <w:bCs w:val="0"/>
                <w:color w:val="auto"/>
                <w:sz w:val="24"/>
                <w:szCs w:val="24"/>
                <w:lang w:val="en-US" w:eastAsia="zh-CN"/>
              </w:rPr>
              <w:t xml:space="preserve"> 本项目生活污水、生产废水产排情况一览表</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903"/>
              <w:gridCol w:w="846"/>
              <w:gridCol w:w="875"/>
              <w:gridCol w:w="935"/>
              <w:gridCol w:w="931"/>
              <w:gridCol w:w="832"/>
              <w:gridCol w:w="736"/>
              <w:gridCol w:w="849"/>
              <w:gridCol w:w="9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产排污环节</w:t>
                  </w:r>
                </w:p>
              </w:tc>
              <w:tc>
                <w:tcPr>
                  <w:tcW w:w="903"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类别</w:t>
                  </w:r>
                </w:p>
              </w:tc>
              <w:tc>
                <w:tcPr>
                  <w:tcW w:w="846" w:type="dxa"/>
                  <w:vMerge w:val="restart"/>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污染物种类</w:t>
                  </w:r>
                </w:p>
              </w:tc>
              <w:tc>
                <w:tcPr>
                  <w:tcW w:w="1810" w:type="dxa"/>
                  <w:gridSpan w:val="2"/>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产生情况</w:t>
                  </w:r>
                </w:p>
              </w:tc>
              <w:tc>
                <w:tcPr>
                  <w:tcW w:w="2499" w:type="dxa"/>
                  <w:gridSpan w:val="3"/>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治理设施</w:t>
                  </w:r>
                </w:p>
              </w:tc>
              <w:tc>
                <w:tcPr>
                  <w:tcW w:w="1773" w:type="dxa"/>
                  <w:gridSpan w:val="2"/>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排放情况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75"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产生浓度mg/L</w:t>
                  </w:r>
                </w:p>
              </w:tc>
              <w:tc>
                <w:tcPr>
                  <w:tcW w:w="935"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产生量t/a</w:t>
                  </w:r>
                </w:p>
              </w:tc>
              <w:tc>
                <w:tcPr>
                  <w:tcW w:w="931"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处理能力</w:t>
                  </w:r>
                </w:p>
              </w:tc>
              <w:tc>
                <w:tcPr>
                  <w:tcW w:w="832"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治理工艺</w:t>
                  </w:r>
                </w:p>
              </w:tc>
              <w:tc>
                <w:tcPr>
                  <w:tcW w:w="736"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治理效率%</w:t>
                  </w:r>
                </w:p>
              </w:tc>
              <w:tc>
                <w:tcPr>
                  <w:tcW w:w="849"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排放</w:t>
                  </w:r>
                </w:p>
                <w:p>
                  <w:pPr>
                    <w:keepNext w:val="0"/>
                    <w:keepLines w:val="0"/>
                    <w:suppressLineNumbers w:val="0"/>
                    <w:spacing w:before="0" w:beforeAutospacing="0" w:after="0" w:afterAutospacing="0" w:line="360" w:lineRule="exact"/>
                    <w:ind w:left="0" w:right="0"/>
                    <w:jc w:val="center"/>
                    <w:rPr>
                      <w:szCs w:val="21"/>
                    </w:rPr>
                  </w:pPr>
                  <w:r>
                    <w:rPr>
                      <w:szCs w:val="21"/>
                    </w:rPr>
                    <w:t>浓度mg/L</w:t>
                  </w:r>
                </w:p>
              </w:tc>
              <w:tc>
                <w:tcPr>
                  <w:tcW w:w="924"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1"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职工生活</w:t>
                  </w:r>
                </w:p>
              </w:tc>
              <w:tc>
                <w:tcPr>
                  <w:tcW w:w="903"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生活污水</w:t>
                  </w: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COD</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300</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rFonts w:hint="eastAsia"/>
                      <w:szCs w:val="21"/>
                      <w:lang w:val="en-US" w:eastAsia="zh-CN"/>
                    </w:rPr>
                    <w:t xml:space="preserve">0.0720 </w:t>
                  </w:r>
                </w:p>
              </w:tc>
              <w:tc>
                <w:tcPr>
                  <w:tcW w:w="931"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5m</w:t>
                  </w:r>
                  <w:r>
                    <w:rPr>
                      <w:szCs w:val="21"/>
                      <w:vertAlign w:val="superscript"/>
                    </w:rPr>
                    <w:t>3</w:t>
                  </w:r>
                  <w:r>
                    <w:rPr>
                      <w:szCs w:val="21"/>
                    </w:rPr>
                    <w:t>/d</w:t>
                  </w:r>
                </w:p>
              </w:tc>
              <w:tc>
                <w:tcPr>
                  <w:tcW w:w="832"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化粪池</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eastAsia="宋体"/>
                      <w:szCs w:val="21"/>
                      <w:lang w:val="en-US" w:eastAsia="zh-CN"/>
                    </w:rPr>
                  </w:pPr>
                  <w:r>
                    <w:rPr>
                      <w:rFonts w:hint="eastAsia"/>
                      <w:szCs w:val="21"/>
                      <w:lang w:val="en-US" w:eastAsia="zh-CN"/>
                    </w:rPr>
                    <w:t>17</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250</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0.0600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1"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903"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SS</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200</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rFonts w:hint="eastAsia"/>
                      <w:szCs w:val="21"/>
                      <w:lang w:val="en-US" w:eastAsia="zh-CN"/>
                    </w:rPr>
                    <w:t xml:space="preserve">0.0480 </w:t>
                  </w:r>
                </w:p>
              </w:tc>
              <w:tc>
                <w:tcPr>
                  <w:tcW w:w="931"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3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35</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130</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0.0312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1"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903"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BOD</w:t>
                  </w:r>
                  <w:r>
                    <w:rPr>
                      <w:szCs w:val="21"/>
                      <w:vertAlign w:val="subscript"/>
                    </w:rPr>
                    <w:t>5</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250</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rFonts w:hint="eastAsia"/>
                      <w:szCs w:val="21"/>
                      <w:lang w:val="en-US" w:eastAsia="zh-CN"/>
                    </w:rPr>
                    <w:t xml:space="preserve">0.0288 </w:t>
                  </w:r>
                </w:p>
              </w:tc>
              <w:tc>
                <w:tcPr>
                  <w:tcW w:w="931"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32"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30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96</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0.0230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NH</w:t>
                  </w:r>
                  <w:r>
                    <w:rPr>
                      <w:szCs w:val="21"/>
                      <w:vertAlign w:val="subscript"/>
                    </w:rPr>
                    <w:t>3</w:t>
                  </w:r>
                  <w:r>
                    <w:rPr>
                      <w:szCs w:val="21"/>
                    </w:rPr>
                    <w:t>-N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25</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rFonts w:hint="eastAsia"/>
                      <w:szCs w:val="21"/>
                      <w:lang w:val="en-US" w:eastAsia="zh-CN"/>
                    </w:rPr>
                    <w:t xml:space="preserve">0.0060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5</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23.8</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0.0057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TP</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2</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rFonts w:hint="eastAsia"/>
                      <w:szCs w:val="21"/>
                      <w:lang w:val="en-US" w:eastAsia="zh-CN"/>
                    </w:rPr>
                    <w:t xml:space="preserve">0.0005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2</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0.0005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TN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35</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rFonts w:hint="eastAsia"/>
                      <w:szCs w:val="21"/>
                      <w:lang w:val="en-US" w:eastAsia="zh-CN"/>
                    </w:rPr>
                    <w:t xml:space="preserve">0.0084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10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35</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0.0084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691" w:type="dxa"/>
                  <w:vMerge w:val="restart"/>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r>
                    <w:rPr>
                      <w:color w:val="auto"/>
                      <w:szCs w:val="21"/>
                    </w:rPr>
                    <w:t>实验过程</w:t>
                  </w:r>
                </w:p>
              </w:tc>
              <w:tc>
                <w:tcPr>
                  <w:tcW w:w="903" w:type="dxa"/>
                  <w:vMerge w:val="restart"/>
                  <w:noWrap w:val="0"/>
                  <w:vAlign w:val="center"/>
                </w:tcPr>
                <w:p>
                  <w:pPr>
                    <w:keepNext w:val="0"/>
                    <w:keepLines w:val="0"/>
                    <w:widowControl/>
                    <w:suppressLineNumbers w:val="0"/>
                    <w:spacing w:before="0" w:beforeAutospacing="0" w:after="0" w:afterAutospacing="0" w:line="360" w:lineRule="exact"/>
                    <w:ind w:left="0" w:right="0"/>
                    <w:jc w:val="center"/>
                    <w:rPr>
                      <w:rFonts w:hint="default" w:eastAsia="宋体"/>
                      <w:color w:val="auto"/>
                      <w:szCs w:val="21"/>
                      <w:lang w:val="en-US" w:eastAsia="zh-CN"/>
                    </w:rPr>
                  </w:pPr>
                  <w:r>
                    <w:rPr>
                      <w:rFonts w:hint="eastAsia"/>
                      <w:color w:val="auto"/>
                      <w:szCs w:val="21"/>
                      <w:lang w:val="en-US" w:eastAsia="zh-CN"/>
                    </w:rPr>
                    <w:t>器材清洗废水、地面清洗废水</w:t>
                  </w: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COD</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157.7 </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0.2554 </w:t>
                  </w:r>
                </w:p>
              </w:tc>
              <w:tc>
                <w:tcPr>
                  <w:tcW w:w="931" w:type="dxa"/>
                  <w:vMerge w:val="restart"/>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r>
                    <w:rPr>
                      <w:color w:val="auto"/>
                      <w:szCs w:val="21"/>
                    </w:rPr>
                    <w:t>10m</w:t>
                  </w:r>
                  <w:r>
                    <w:rPr>
                      <w:color w:val="auto"/>
                      <w:szCs w:val="21"/>
                      <w:vertAlign w:val="superscript"/>
                    </w:rPr>
                    <w:t>3</w:t>
                  </w:r>
                  <w:r>
                    <w:rPr>
                      <w:color w:val="auto"/>
                      <w:szCs w:val="21"/>
                    </w:rPr>
                    <w:t>/d</w:t>
                  </w:r>
                </w:p>
              </w:tc>
              <w:tc>
                <w:tcPr>
                  <w:tcW w:w="832" w:type="dxa"/>
                  <w:vMerge w:val="restart"/>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r>
                    <w:rPr>
                      <w:color w:val="auto"/>
                      <w:szCs w:val="21"/>
                    </w:rPr>
                    <w:t>“酸碱中和+微电解+沉淀+过滤吸附+消毒”</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80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31.5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0.0511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SS</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128.7 </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0.2084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85</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19.3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0.0313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BOD</w:t>
                  </w:r>
                  <w:r>
                    <w:rPr>
                      <w:rFonts w:hint="eastAsia"/>
                      <w:color w:val="auto"/>
                      <w:szCs w:val="21"/>
                      <w:vertAlign w:val="subscript"/>
                    </w:rPr>
                    <w:t>5</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54.3 </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0.0880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70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16.3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0.0264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NH</w:t>
                  </w:r>
                  <w:r>
                    <w:rPr>
                      <w:rFonts w:hint="eastAsia"/>
                      <w:color w:val="auto"/>
                      <w:szCs w:val="21"/>
                      <w:vertAlign w:val="subscript"/>
                    </w:rPr>
                    <w:t>3</w:t>
                  </w:r>
                  <w:r>
                    <w:rPr>
                      <w:rFonts w:hint="eastAsia"/>
                      <w:color w:val="auto"/>
                      <w:szCs w:val="21"/>
                    </w:rPr>
                    <w:t>-N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12.1 </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0.0196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30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8.5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0.0137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TP</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0.59 </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0.0010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10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0.53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0.0009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center"/>
                    <w:rPr>
                      <w:color w:val="auto"/>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TN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20.1 </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lang w:val="en-US" w:eastAsia="zh-CN"/>
                    </w:rPr>
                  </w:pPr>
                  <w:r>
                    <w:rPr>
                      <w:rFonts w:hint="eastAsia"/>
                      <w:color w:val="auto"/>
                      <w:szCs w:val="21"/>
                      <w:lang w:val="en-US" w:eastAsia="zh-CN"/>
                    </w:rPr>
                    <w:t xml:space="preserve">0.0326 </w:t>
                  </w:r>
                </w:p>
              </w:tc>
              <w:tc>
                <w:tcPr>
                  <w:tcW w:w="93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832"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color w:val="auto"/>
                      <w:szCs w:val="21"/>
                    </w:rPr>
                  </w:pP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color w:val="auto"/>
                      <w:szCs w:val="21"/>
                    </w:rPr>
                  </w:pPr>
                  <w:r>
                    <w:rPr>
                      <w:rFonts w:hint="eastAsia"/>
                      <w:color w:val="auto"/>
                      <w:szCs w:val="21"/>
                    </w:rPr>
                    <w:t>40</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12.1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color w:val="auto"/>
                      <w:szCs w:val="21"/>
                    </w:rPr>
                  </w:pPr>
                  <w:r>
                    <w:rPr>
                      <w:rFonts w:hint="eastAsia"/>
                      <w:color w:val="auto"/>
                      <w:szCs w:val="21"/>
                      <w:lang w:val="en-US" w:eastAsia="zh-CN"/>
                    </w:rPr>
                    <w:t xml:space="preserve">0.0195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restart"/>
                  <w:noWrap w:val="0"/>
                  <w:vAlign w:val="center"/>
                </w:tcPr>
                <w:p>
                  <w:pPr>
                    <w:keepNext w:val="0"/>
                    <w:keepLines w:val="0"/>
                    <w:widowControl/>
                    <w:suppressLineNumbers w:val="0"/>
                    <w:spacing w:before="0" w:beforeAutospacing="0" w:after="0" w:afterAutospacing="0" w:line="360" w:lineRule="exact"/>
                    <w:ind w:left="0" w:right="0"/>
                    <w:jc w:val="left"/>
                    <w:rPr>
                      <w:szCs w:val="21"/>
                    </w:rPr>
                  </w:pPr>
                  <w:r>
                    <w:rPr>
                      <w:szCs w:val="21"/>
                    </w:rPr>
                    <w:t>纯水制备</w:t>
                  </w:r>
                </w:p>
              </w:tc>
              <w:tc>
                <w:tcPr>
                  <w:tcW w:w="903" w:type="dxa"/>
                  <w:vMerge w:val="restart"/>
                  <w:noWrap w:val="0"/>
                  <w:vAlign w:val="center"/>
                </w:tcPr>
                <w:p>
                  <w:pPr>
                    <w:keepNext w:val="0"/>
                    <w:keepLines w:val="0"/>
                    <w:widowControl/>
                    <w:suppressLineNumbers w:val="0"/>
                    <w:spacing w:before="0" w:beforeAutospacing="0" w:after="0" w:afterAutospacing="0" w:line="360" w:lineRule="exact"/>
                    <w:ind w:left="0" w:right="0"/>
                    <w:jc w:val="left"/>
                    <w:rPr>
                      <w:szCs w:val="21"/>
                    </w:rPr>
                  </w:pPr>
                  <w:r>
                    <w:rPr>
                      <w:szCs w:val="21"/>
                    </w:rPr>
                    <w:t>浓水</w:t>
                  </w: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COD</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20</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 xml:space="preserve">0.0026 </w:t>
                  </w:r>
                </w:p>
              </w:tc>
              <w:tc>
                <w:tcPr>
                  <w:tcW w:w="931" w:type="dxa"/>
                  <w:noWrap w:val="0"/>
                  <w:vAlign w:val="center"/>
                </w:tcPr>
                <w:p>
                  <w:pPr>
                    <w:keepNext w:val="0"/>
                    <w:keepLines w:val="0"/>
                    <w:widowControl/>
                    <w:suppressLineNumbers w:val="0"/>
                    <w:spacing w:before="0" w:beforeAutospacing="0" w:after="0" w:afterAutospacing="0" w:line="360" w:lineRule="exact"/>
                    <w:ind w:left="0" w:right="0"/>
                    <w:jc w:val="center"/>
                    <w:rPr>
                      <w:szCs w:val="21"/>
                    </w:rPr>
                  </w:pPr>
                  <w:r>
                    <w:rPr>
                      <w:szCs w:val="21"/>
                    </w:rPr>
                    <w:t>/</w:t>
                  </w:r>
                </w:p>
              </w:tc>
              <w:tc>
                <w:tcPr>
                  <w:tcW w:w="832" w:type="dxa"/>
                  <w:noWrap w:val="0"/>
                  <w:vAlign w:val="center"/>
                </w:tcPr>
                <w:p>
                  <w:pPr>
                    <w:keepNext w:val="0"/>
                    <w:keepLines w:val="0"/>
                    <w:widowControl/>
                    <w:suppressLineNumbers w:val="0"/>
                    <w:spacing w:before="0" w:beforeAutospacing="0" w:after="0" w:afterAutospacing="0" w:line="360" w:lineRule="exact"/>
                    <w:ind w:left="0" w:right="0"/>
                    <w:jc w:val="center"/>
                    <w:rPr>
                      <w:szCs w:val="21"/>
                    </w:rPr>
                  </w:pPr>
                  <w:r>
                    <w:rPr>
                      <w:szCs w:val="21"/>
                    </w:rPr>
                    <w:t>/</w:t>
                  </w:r>
                </w:p>
              </w:tc>
              <w:tc>
                <w:tcPr>
                  <w:tcW w:w="736" w:type="dxa"/>
                  <w:noWrap w:val="0"/>
                  <w:vAlign w:val="center"/>
                </w:tcPr>
                <w:p>
                  <w:pPr>
                    <w:keepNext w:val="0"/>
                    <w:keepLines w:val="0"/>
                    <w:widowControl/>
                    <w:suppressLineNumbers w:val="0"/>
                    <w:spacing w:before="0" w:beforeAutospacing="0" w:after="0" w:afterAutospacing="0" w:line="360" w:lineRule="exact"/>
                    <w:ind w:left="0" w:right="0"/>
                    <w:jc w:val="center"/>
                    <w:rPr>
                      <w:szCs w:val="21"/>
                    </w:rPr>
                  </w:pPr>
                  <w:r>
                    <w:rPr>
                      <w:szCs w:val="21"/>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 xml:space="preserve">0.0026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SS</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20</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szCs w:val="21"/>
                      <w:lang w:val="en-US" w:eastAsia="zh-CN"/>
                    </w:rPr>
                  </w:pPr>
                  <w:r>
                    <w:rPr>
                      <w:rFonts w:hint="eastAsia"/>
                      <w:szCs w:val="21"/>
                      <w:lang w:val="en-US" w:eastAsia="zh-CN"/>
                    </w:rPr>
                    <w:t xml:space="preserve">0.0026 </w:t>
                  </w:r>
                </w:p>
              </w:tc>
              <w:tc>
                <w:tcPr>
                  <w:tcW w:w="931" w:type="dxa"/>
                  <w:noWrap w:val="0"/>
                  <w:vAlign w:val="center"/>
                </w:tcPr>
                <w:p>
                  <w:pPr>
                    <w:keepNext w:val="0"/>
                    <w:keepLines w:val="0"/>
                    <w:widowControl/>
                    <w:suppressLineNumbers w:val="0"/>
                    <w:spacing w:before="0" w:beforeAutospacing="0" w:after="0" w:afterAutospacing="0" w:line="360" w:lineRule="exact"/>
                    <w:ind w:left="0" w:right="0"/>
                    <w:jc w:val="center"/>
                    <w:rPr>
                      <w:szCs w:val="21"/>
                    </w:rPr>
                  </w:pPr>
                  <w:r>
                    <w:rPr>
                      <w:szCs w:val="21"/>
                    </w:rPr>
                    <w:t>/</w:t>
                  </w:r>
                </w:p>
              </w:tc>
              <w:tc>
                <w:tcPr>
                  <w:tcW w:w="832" w:type="dxa"/>
                  <w:noWrap w:val="0"/>
                  <w:vAlign w:val="center"/>
                </w:tcPr>
                <w:p>
                  <w:pPr>
                    <w:keepNext w:val="0"/>
                    <w:keepLines w:val="0"/>
                    <w:widowControl/>
                    <w:suppressLineNumbers w:val="0"/>
                    <w:spacing w:before="0" w:beforeAutospacing="0" w:after="0" w:afterAutospacing="0" w:line="360" w:lineRule="exact"/>
                    <w:ind w:left="0" w:right="0"/>
                    <w:jc w:val="center"/>
                    <w:rPr>
                      <w:szCs w:val="21"/>
                    </w:rPr>
                  </w:pPr>
                  <w:r>
                    <w:rPr>
                      <w:szCs w:val="21"/>
                    </w:rPr>
                    <w:t>/</w:t>
                  </w:r>
                </w:p>
              </w:tc>
              <w:tc>
                <w:tcPr>
                  <w:tcW w:w="736" w:type="dxa"/>
                  <w:noWrap w:val="0"/>
                  <w:vAlign w:val="center"/>
                </w:tcPr>
                <w:p>
                  <w:pPr>
                    <w:keepNext w:val="0"/>
                    <w:keepLines w:val="0"/>
                    <w:widowControl/>
                    <w:suppressLineNumbers w:val="0"/>
                    <w:spacing w:before="0" w:beforeAutospacing="0" w:after="0" w:afterAutospacing="0" w:line="360" w:lineRule="exact"/>
                    <w:ind w:left="0" w:right="0"/>
                    <w:jc w:val="center"/>
                    <w:rPr>
                      <w:szCs w:val="21"/>
                    </w:rPr>
                  </w:pPr>
                  <w:r>
                    <w:rPr>
                      <w:szCs w:val="21"/>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20</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 xml:space="preserve">0.0026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ascii="Times New Roman" w:hAnsi="Times New Roman" w:eastAsia="宋体" w:cs="Times New Roman"/>
                      <w:kern w:val="2"/>
                      <w:sz w:val="21"/>
                      <w:szCs w:val="21"/>
                      <w:lang w:val="en-US" w:eastAsia="zh-CN" w:bidi="ar-SA"/>
                    </w:rPr>
                  </w:pPr>
                  <w:r>
                    <w:rPr>
                      <w:szCs w:val="21"/>
                    </w:rPr>
                    <w:t>NH</w:t>
                  </w:r>
                  <w:r>
                    <w:rPr>
                      <w:szCs w:val="21"/>
                      <w:vertAlign w:val="subscript"/>
                    </w:rPr>
                    <w:t>3</w:t>
                  </w:r>
                  <w:r>
                    <w:rPr>
                      <w:szCs w:val="21"/>
                    </w:rPr>
                    <w:t>-N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0.3</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 xml:space="preserve">0.00004 </w:t>
                  </w:r>
                </w:p>
              </w:tc>
              <w:tc>
                <w:tcPr>
                  <w:tcW w:w="931"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832"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736"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0.3</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0.00004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ascii="Times New Roman" w:hAnsi="Times New Roman" w:eastAsia="宋体" w:cs="Times New Roman"/>
                      <w:kern w:val="2"/>
                      <w:sz w:val="21"/>
                      <w:szCs w:val="21"/>
                      <w:lang w:val="en-US" w:eastAsia="zh-CN" w:bidi="ar-SA"/>
                    </w:rPr>
                  </w:pPr>
                  <w:r>
                    <w:rPr>
                      <w:szCs w:val="21"/>
                    </w:rPr>
                    <w:t>TP</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0.4</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 xml:space="preserve">0.0001 </w:t>
                  </w:r>
                </w:p>
              </w:tc>
              <w:tc>
                <w:tcPr>
                  <w:tcW w:w="931"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832"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736"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0.4</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91"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903" w:type="dxa"/>
                  <w:vMerge w:val="continue"/>
                  <w:noWrap w:val="0"/>
                  <w:vAlign w:val="center"/>
                </w:tcPr>
                <w:p>
                  <w:pPr>
                    <w:keepNext w:val="0"/>
                    <w:keepLines w:val="0"/>
                    <w:widowControl/>
                    <w:suppressLineNumbers w:val="0"/>
                    <w:spacing w:before="0" w:beforeAutospacing="0" w:after="0" w:afterAutospacing="0" w:line="360" w:lineRule="exact"/>
                    <w:ind w:left="0" w:right="0"/>
                    <w:jc w:val="left"/>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ascii="Times New Roman" w:hAnsi="Times New Roman" w:eastAsia="宋体" w:cs="Times New Roman"/>
                      <w:kern w:val="2"/>
                      <w:sz w:val="21"/>
                      <w:szCs w:val="21"/>
                      <w:lang w:val="en-US" w:eastAsia="zh-CN" w:bidi="ar-SA"/>
                    </w:rPr>
                  </w:pPr>
                  <w:r>
                    <w:rPr>
                      <w:szCs w:val="21"/>
                    </w:rPr>
                    <w:t>TN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1</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rPr>
                  </w:pPr>
                  <w:r>
                    <w:rPr>
                      <w:rFonts w:hint="eastAsia"/>
                      <w:szCs w:val="21"/>
                      <w:lang w:val="en-US" w:eastAsia="zh-CN"/>
                    </w:rPr>
                    <w:t xml:space="preserve">0.0001 </w:t>
                  </w:r>
                </w:p>
              </w:tc>
              <w:tc>
                <w:tcPr>
                  <w:tcW w:w="931"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832"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736" w:type="dxa"/>
                  <w:noWrap w:val="0"/>
                  <w:vAlign w:val="center"/>
                </w:tcPr>
                <w:p>
                  <w:pPr>
                    <w:keepNext w:val="0"/>
                    <w:keepLines w:val="0"/>
                    <w:widowControl/>
                    <w:suppressLineNumbers w:val="0"/>
                    <w:spacing w:before="0" w:beforeAutospacing="0" w:after="0" w:afterAutospacing="0" w:line="360" w:lineRule="exact"/>
                    <w:ind w:left="0" w:leftChars="0" w:right="0" w:rightChars="0"/>
                    <w:jc w:val="center"/>
                    <w:rPr>
                      <w:szCs w:val="21"/>
                    </w:rPr>
                  </w:pPr>
                  <w:r>
                    <w:rPr>
                      <w:szCs w:val="21"/>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 xml:space="preserve">0.0001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94" w:type="dxa"/>
                  <w:gridSpan w:val="2"/>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混合废水</w:t>
                  </w: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COD</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1"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3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58.6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0.1137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94" w:type="dxa"/>
                  <w:gridSpan w:val="2"/>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SS</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1"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3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33.5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0.0651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94" w:type="dxa"/>
                  <w:gridSpan w:val="2"/>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BOD5</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1"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3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25.5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0.0494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94" w:type="dxa"/>
                  <w:gridSpan w:val="2"/>
                  <w:vMerge w:val="continue"/>
                  <w:noWrap w:val="0"/>
                  <w:vAlign w:val="center"/>
                </w:tcPr>
                <w:p>
                  <w:pPr>
                    <w:keepNext w:val="0"/>
                    <w:keepLines w:val="0"/>
                    <w:suppressLineNumbers w:val="0"/>
                    <w:adjustRightInd w:val="0"/>
                    <w:snapToGrid w:val="0"/>
                    <w:spacing w:before="0" w:beforeAutospacing="0" w:after="0" w:afterAutospacing="0" w:line="360" w:lineRule="exact"/>
                    <w:ind w:left="0" w:right="0"/>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NH3-N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1"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3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10.0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0.0194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94" w:type="dxa"/>
                  <w:gridSpan w:val="2"/>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TP</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1"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3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0.77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0.0015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94" w:type="dxa"/>
                  <w:gridSpan w:val="2"/>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p>
              </w:tc>
              <w:tc>
                <w:tcPr>
                  <w:tcW w:w="84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TN</w:t>
                  </w:r>
                </w:p>
              </w:tc>
              <w:tc>
                <w:tcPr>
                  <w:tcW w:w="87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5"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931"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32"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736"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w:t>
                  </w:r>
                </w:p>
              </w:tc>
              <w:tc>
                <w:tcPr>
                  <w:tcW w:w="84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14.4 </w:t>
                  </w:r>
                </w:p>
              </w:tc>
              <w:tc>
                <w:tcPr>
                  <w:tcW w:w="92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szCs w:val="21"/>
                      <w:lang w:val="en-US" w:eastAsia="zh-CN"/>
                    </w:rPr>
                  </w:pPr>
                  <w:r>
                    <w:rPr>
                      <w:rFonts w:hint="eastAsia"/>
                      <w:szCs w:val="21"/>
                      <w:lang w:val="en-US" w:eastAsia="zh-CN"/>
                    </w:rPr>
                    <w:t xml:space="preserve">0.0280 </w:t>
                  </w:r>
                </w:p>
              </w:tc>
            </w:tr>
          </w:tbl>
          <w:p>
            <w:pPr>
              <w:pStyle w:val="66"/>
              <w:keepNext w:val="0"/>
              <w:keepLines w:val="0"/>
              <w:suppressLineNumbers w:val="0"/>
              <w:spacing w:before="0" w:beforeAutospacing="0" w:after="0" w:afterAutospacing="0"/>
              <w:ind w:left="0" w:right="0" w:firstLine="480"/>
              <w:rPr>
                <w:snapToGrid w:val="0"/>
              </w:rPr>
            </w:pPr>
            <w:r>
              <w:rPr>
                <w:snapToGrid w:val="0"/>
              </w:rPr>
              <w:t>根据上表可知，本项目废水经处理后污染物排放浓度分别为</w:t>
            </w:r>
            <w:r>
              <w:t>COD</w:t>
            </w:r>
            <w:r>
              <w:rPr>
                <w:rFonts w:hint="eastAsia"/>
                <w:szCs w:val="21"/>
                <w:lang w:val="en-US" w:eastAsia="zh-CN"/>
              </w:rPr>
              <w:t>58.6</w:t>
            </w:r>
            <w:r>
              <w:t>mg/L、BOD</w:t>
            </w:r>
            <w:r>
              <w:rPr>
                <w:vertAlign w:val="subscript"/>
              </w:rPr>
              <w:t>5</w:t>
            </w:r>
            <w:r>
              <w:rPr>
                <w:rFonts w:hint="eastAsia"/>
                <w:szCs w:val="21"/>
                <w:lang w:val="en-US" w:eastAsia="zh-CN"/>
              </w:rPr>
              <w:t>25.5</w:t>
            </w:r>
            <w:r>
              <w:t>mg/L、SS</w:t>
            </w:r>
            <w:r>
              <w:rPr>
                <w:rFonts w:hint="eastAsia"/>
                <w:szCs w:val="21"/>
                <w:lang w:val="en-US" w:eastAsia="zh-CN"/>
              </w:rPr>
              <w:t>33.5</w:t>
            </w:r>
            <w:r>
              <w:t>mg/L、NH</w:t>
            </w:r>
            <w:r>
              <w:rPr>
                <w:vertAlign w:val="subscript"/>
              </w:rPr>
              <w:t>3</w:t>
            </w:r>
            <w:r>
              <w:t>-N</w:t>
            </w:r>
            <w:r>
              <w:rPr>
                <w:rFonts w:hint="eastAsia"/>
                <w:lang w:val="en-US" w:eastAsia="zh-CN"/>
              </w:rPr>
              <w:t>10</w:t>
            </w:r>
            <w:r>
              <w:t>mg/L、TP0.</w:t>
            </w:r>
            <w:r>
              <w:rPr>
                <w:rFonts w:hint="eastAsia"/>
                <w:lang w:val="en-US" w:eastAsia="zh-CN"/>
              </w:rPr>
              <w:t>77</w:t>
            </w:r>
            <w:r>
              <w:t>mg/L、TN</w:t>
            </w:r>
            <w:r>
              <w:rPr>
                <w:rFonts w:hint="eastAsia"/>
                <w:lang w:val="en-US" w:eastAsia="zh-CN"/>
              </w:rPr>
              <w:t>14.4</w:t>
            </w:r>
            <w:r>
              <w:t>mg/L，</w:t>
            </w:r>
            <w:r>
              <w:rPr>
                <w:bCs/>
              </w:rPr>
              <w:t>出水水质可以满足</w:t>
            </w:r>
            <w:r>
              <w:rPr>
                <w:rFonts w:hint="eastAsia"/>
                <w:bCs/>
                <w:lang w:eastAsia="zh-CN"/>
              </w:rPr>
              <w:t>《污水排入城镇下水道水质标准》（GB/T31962-2015）表1</w:t>
            </w:r>
            <w:r>
              <w:rPr>
                <w:rFonts w:hint="eastAsia"/>
                <w:bCs/>
                <w:lang w:val="en-US" w:eastAsia="zh-CN"/>
              </w:rPr>
              <w:t xml:space="preserve"> </w:t>
            </w:r>
            <w:r>
              <w:rPr>
                <w:rFonts w:hint="eastAsia"/>
                <w:bCs/>
                <w:lang w:eastAsia="zh-CN"/>
              </w:rPr>
              <w:t>C级标准COD300mg/L、</w:t>
            </w:r>
            <w:r>
              <w:rPr>
                <w:rFonts w:hint="eastAsia"/>
                <w:bCs/>
                <w:lang w:val="en-US" w:eastAsia="zh-CN"/>
              </w:rPr>
              <w:t>BOD</w:t>
            </w:r>
            <w:r>
              <w:rPr>
                <w:rFonts w:hint="eastAsia"/>
                <w:bCs/>
                <w:vertAlign w:val="subscript"/>
                <w:lang w:val="en-US" w:eastAsia="zh-CN"/>
              </w:rPr>
              <w:t>5</w:t>
            </w:r>
            <w:r>
              <w:rPr>
                <w:rFonts w:hint="eastAsia"/>
                <w:bCs/>
                <w:lang w:val="en-US" w:eastAsia="zh-CN"/>
              </w:rPr>
              <w:t>150</w:t>
            </w:r>
            <w:r>
              <w:rPr>
                <w:rFonts w:hint="eastAsia"/>
                <w:bCs/>
                <w:lang w:eastAsia="zh-CN"/>
              </w:rPr>
              <w:t>mg/L、NH</w:t>
            </w:r>
            <w:r>
              <w:rPr>
                <w:rFonts w:hint="eastAsia"/>
                <w:bCs/>
                <w:vertAlign w:val="subscript"/>
                <w:lang w:eastAsia="zh-CN"/>
              </w:rPr>
              <w:t>3</w:t>
            </w:r>
            <w:r>
              <w:rPr>
                <w:rFonts w:hint="eastAsia"/>
                <w:bCs/>
                <w:lang w:eastAsia="zh-CN"/>
              </w:rPr>
              <w:t>-N25mg/L、SS300mg/L、TP5.0mg/L、TN45mg/L的要求，同时也能满足新乡县综合污水处理厂收水标准COD400mg/L、NH</w:t>
            </w:r>
            <w:r>
              <w:rPr>
                <w:rFonts w:hint="eastAsia"/>
                <w:bCs/>
                <w:vertAlign w:val="subscript"/>
                <w:lang w:eastAsia="zh-CN"/>
              </w:rPr>
              <w:t>3</w:t>
            </w:r>
            <w:r>
              <w:rPr>
                <w:rFonts w:hint="eastAsia"/>
                <w:bCs/>
                <w:lang w:eastAsia="zh-CN"/>
              </w:rPr>
              <w:t>-N59mg/L、SS180mg/L、TP4mg/L、TN70mg/L的要求</w:t>
            </w:r>
            <w:r>
              <w:rPr>
                <w:bCs/>
              </w:rPr>
              <w:t>。</w:t>
            </w:r>
          </w:p>
          <w:p>
            <w:pPr>
              <w:pStyle w:val="94"/>
              <w:keepNext w:val="0"/>
              <w:keepLines w:val="0"/>
              <w:suppressLineNumbers w:val="0"/>
              <w:tabs>
                <w:tab w:val="left" w:pos="1320"/>
              </w:tabs>
              <w:spacing w:before="0" w:beforeAutospacing="0" w:after="0" w:afterAutospacing="0" w:line="520" w:lineRule="atLeast"/>
              <w:ind w:left="0" w:right="0" w:firstLineChars="200"/>
              <w:rPr>
                <w:rFonts w:hint="default" w:ascii="Times New Roman" w:hAnsi="Times New Roman" w:cs="Times New Roman"/>
                <w:kern w:val="0"/>
                <w:sz w:val="24"/>
                <w:lang w:val="en-US" w:bidi="ar-SA"/>
              </w:rPr>
            </w:pPr>
            <w:r>
              <w:rPr>
                <w:rFonts w:hint="eastAsia" w:ascii="Times New Roman" w:hAnsi="Times New Roman" w:cs="Times New Roman"/>
                <w:bCs/>
                <w:sz w:val="24"/>
                <w:lang w:val="en-US" w:eastAsia="zh-CN"/>
              </w:rPr>
              <w:t>新乡县综合污水处理厂出水COD、NH</w:t>
            </w:r>
            <w:r>
              <w:rPr>
                <w:rFonts w:hint="eastAsia" w:ascii="Times New Roman" w:hAnsi="Times New Roman" w:cs="Times New Roman"/>
                <w:bCs/>
                <w:sz w:val="24"/>
                <w:vertAlign w:val="subscript"/>
                <w:lang w:val="en-US" w:eastAsia="zh-CN"/>
              </w:rPr>
              <w:t>3</w:t>
            </w:r>
            <w:r>
              <w:rPr>
                <w:rFonts w:hint="eastAsia" w:ascii="Times New Roman" w:hAnsi="Times New Roman" w:cs="Times New Roman"/>
                <w:bCs/>
                <w:sz w:val="24"/>
                <w:lang w:val="en-US" w:eastAsia="zh-CN"/>
              </w:rPr>
              <w:t>-N、TP执行《地表水环境质量标准》（GB3838-2002）V类（COD40mg/L、NH</w:t>
            </w:r>
            <w:r>
              <w:rPr>
                <w:rFonts w:hint="eastAsia" w:ascii="Times New Roman" w:hAnsi="Times New Roman" w:cs="Times New Roman"/>
                <w:bCs/>
                <w:sz w:val="24"/>
                <w:vertAlign w:val="subscript"/>
                <w:lang w:val="en-US" w:eastAsia="zh-CN"/>
              </w:rPr>
              <w:t>3</w:t>
            </w:r>
            <w:r>
              <w:rPr>
                <w:rFonts w:hint="eastAsia" w:ascii="Times New Roman" w:hAnsi="Times New Roman" w:cs="Times New Roman"/>
                <w:bCs/>
                <w:sz w:val="24"/>
                <w:lang w:val="en-US" w:eastAsia="zh-CN"/>
              </w:rPr>
              <w:t>-N2mg/L、TP0.4mg/L），SS、TN执行《城镇污水处理厂污染物排放标准》（GB18918-2002）表1一级A标准（SS10mg/L、TN15mg/L）。本项目总量控制指标为：COD0.0776t/a、NH</w:t>
            </w:r>
            <w:r>
              <w:rPr>
                <w:rFonts w:hint="eastAsia" w:ascii="Times New Roman" w:hAnsi="Times New Roman" w:cs="Times New Roman"/>
                <w:bCs/>
                <w:sz w:val="24"/>
                <w:vertAlign w:val="subscript"/>
                <w:lang w:val="en-US" w:eastAsia="zh-CN"/>
              </w:rPr>
              <w:t>3</w:t>
            </w:r>
            <w:r>
              <w:rPr>
                <w:rFonts w:hint="eastAsia" w:ascii="Times New Roman" w:hAnsi="Times New Roman" w:cs="Times New Roman"/>
                <w:bCs/>
                <w:sz w:val="24"/>
                <w:lang w:val="en-US" w:eastAsia="zh-CN"/>
              </w:rPr>
              <w:t>-N0.0039t/a。</w:t>
            </w:r>
          </w:p>
          <w:p>
            <w:pPr>
              <w:keepNext w:val="0"/>
              <w:keepLines w:val="0"/>
              <w:suppressLineNumbers w:val="0"/>
              <w:spacing w:before="0" w:beforeAutospacing="0" w:after="0" w:afterAutospacing="0" w:line="520" w:lineRule="exact"/>
              <w:ind w:left="0" w:right="0" w:firstLine="480" w:firstLineChars="200"/>
              <w:rPr>
                <w:sz w:val="24"/>
              </w:rPr>
            </w:pPr>
            <w:r>
              <w:rPr>
                <w:sz w:val="24"/>
              </w:rPr>
              <w:t>（2）依托污水处理厂可行性分析</w:t>
            </w:r>
          </w:p>
          <w:p>
            <w:pPr>
              <w:keepNext w:val="0"/>
              <w:keepLines w:val="0"/>
              <w:suppressLineNumbers w:val="0"/>
              <w:spacing w:before="0" w:beforeAutospacing="0" w:after="0" w:afterAutospacing="0" w:line="520" w:lineRule="exact"/>
              <w:ind w:left="0" w:right="0" w:firstLine="480" w:firstLineChars="200"/>
              <w:rPr>
                <w:rFonts w:hint="eastAsia"/>
                <w:sz w:val="24"/>
              </w:rPr>
            </w:pPr>
            <w:r>
              <w:rPr>
                <w:rFonts w:hint="eastAsia"/>
                <w:sz w:val="24"/>
              </w:rPr>
              <w:t>新乡县综合污水处理厂位于集聚区北区（胜利路以东、青龙路以北、文化路以西、东孟姜女河以南的区域），设计处理规模为15万m³/d，总服务面积48.42km</w:t>
            </w:r>
            <w:r>
              <w:rPr>
                <w:rFonts w:hint="eastAsia"/>
                <w:sz w:val="24"/>
                <w:vertAlign w:val="superscript"/>
              </w:rPr>
              <w:t>2</w:t>
            </w:r>
            <w:r>
              <w:rPr>
                <w:rFonts w:hint="eastAsia"/>
                <w:sz w:val="24"/>
              </w:rPr>
              <w:t>。目前主体工程已完工，已进行收水调试。从基础设施角度分析：本项目外排废水</w:t>
            </w:r>
            <w:r>
              <w:rPr>
                <w:rFonts w:hint="eastAsia"/>
                <w:sz w:val="24"/>
                <w:lang w:val="en-US" w:eastAsia="zh-CN"/>
              </w:rPr>
              <w:t>市政</w:t>
            </w:r>
            <w:r>
              <w:rPr>
                <w:rFonts w:hint="eastAsia"/>
                <w:sz w:val="24"/>
              </w:rPr>
              <w:t>污水管网排入新乡县污水主管网，</w:t>
            </w:r>
            <w:r>
              <w:rPr>
                <w:rFonts w:hint="eastAsia"/>
                <w:sz w:val="24"/>
                <w:lang w:val="en-US" w:eastAsia="zh-CN"/>
              </w:rPr>
              <w:t>项目所在地</w:t>
            </w:r>
            <w:r>
              <w:rPr>
                <w:rFonts w:hint="eastAsia"/>
                <w:sz w:val="24"/>
              </w:rPr>
              <w:t>在新乡县综合污水处理厂的收水范围内。</w:t>
            </w:r>
          </w:p>
          <w:p>
            <w:pPr>
              <w:keepNext w:val="0"/>
              <w:keepLines w:val="0"/>
              <w:suppressLineNumbers w:val="0"/>
              <w:spacing w:before="0" w:beforeAutospacing="0" w:after="0" w:afterAutospacing="0" w:line="520" w:lineRule="exact"/>
              <w:ind w:left="0" w:right="0" w:firstLine="480" w:firstLineChars="200"/>
              <w:rPr>
                <w:rFonts w:hint="eastAsia"/>
                <w:sz w:val="24"/>
              </w:rPr>
            </w:pPr>
            <w:r>
              <w:rPr>
                <w:rFonts w:hint="eastAsia"/>
                <w:sz w:val="24"/>
              </w:rPr>
              <w:t>本项目废水经处理后达到《污水排入城镇下水道水质标准》（GB/T31962-2015）中C级标准，同时满足新乡县综合污水处理厂收水标准后，排入新乡县综合污水处理厂进行处理，目前该污水处理厂刚投入运行，日处理废水15万吨；从水量上分析：本项目全厂外排废水水量</w:t>
            </w:r>
            <w:r>
              <w:rPr>
                <w:rFonts w:hint="eastAsia"/>
                <w:sz w:val="24"/>
                <w:lang w:val="en-US" w:eastAsia="zh-CN"/>
              </w:rPr>
              <w:t>6.47</w:t>
            </w:r>
            <w:r>
              <w:rPr>
                <w:rFonts w:hint="eastAsia"/>
                <w:sz w:val="24"/>
              </w:rPr>
              <w:t>m</w:t>
            </w:r>
            <w:r>
              <w:rPr>
                <w:rFonts w:hint="eastAsia"/>
                <w:sz w:val="24"/>
                <w:vertAlign w:val="superscript"/>
              </w:rPr>
              <w:t>3</w:t>
            </w:r>
            <w:r>
              <w:rPr>
                <w:rFonts w:hint="eastAsia"/>
                <w:sz w:val="24"/>
              </w:rPr>
              <w:t>/d，占新乡县综合污水处理厂处理规模的0.00</w:t>
            </w:r>
            <w:r>
              <w:rPr>
                <w:rFonts w:hint="eastAsia"/>
                <w:sz w:val="24"/>
                <w:lang w:val="en-US" w:eastAsia="zh-CN"/>
              </w:rPr>
              <w:t>43</w:t>
            </w:r>
            <w:r>
              <w:rPr>
                <w:rFonts w:hint="eastAsia"/>
                <w:sz w:val="24"/>
              </w:rPr>
              <w:t>%，不会对新乡县综合污水处理厂造成冲击；从水质上分析：项目外排废水量为排水水质为</w:t>
            </w:r>
            <w:r>
              <w:rPr>
                <w:sz w:val="24"/>
                <w:szCs w:val="24"/>
              </w:rPr>
              <w:t>COD</w:t>
            </w:r>
            <w:r>
              <w:rPr>
                <w:rFonts w:hint="eastAsia"/>
                <w:sz w:val="24"/>
                <w:szCs w:val="24"/>
                <w:lang w:val="en-US" w:eastAsia="zh-CN"/>
              </w:rPr>
              <w:t>58.6</w:t>
            </w:r>
            <w:r>
              <w:rPr>
                <w:sz w:val="24"/>
                <w:szCs w:val="24"/>
              </w:rPr>
              <w:t>mg/L、BOD</w:t>
            </w:r>
            <w:r>
              <w:rPr>
                <w:sz w:val="24"/>
                <w:szCs w:val="24"/>
                <w:vertAlign w:val="subscript"/>
              </w:rPr>
              <w:t>5</w:t>
            </w:r>
            <w:r>
              <w:rPr>
                <w:rFonts w:hint="eastAsia"/>
                <w:sz w:val="24"/>
                <w:szCs w:val="24"/>
                <w:lang w:val="en-US" w:eastAsia="zh-CN"/>
              </w:rPr>
              <w:t>25.5</w:t>
            </w:r>
            <w:r>
              <w:rPr>
                <w:sz w:val="24"/>
                <w:szCs w:val="24"/>
              </w:rPr>
              <w:t>mg/L、SS</w:t>
            </w:r>
            <w:r>
              <w:rPr>
                <w:rFonts w:hint="eastAsia"/>
                <w:sz w:val="24"/>
                <w:szCs w:val="24"/>
                <w:lang w:val="en-US" w:eastAsia="zh-CN"/>
              </w:rPr>
              <w:t>33.5</w:t>
            </w:r>
            <w:r>
              <w:rPr>
                <w:sz w:val="24"/>
                <w:szCs w:val="24"/>
              </w:rPr>
              <w:t>mg/L、NH</w:t>
            </w:r>
            <w:r>
              <w:rPr>
                <w:sz w:val="24"/>
                <w:szCs w:val="24"/>
                <w:vertAlign w:val="subscript"/>
              </w:rPr>
              <w:t>3</w:t>
            </w:r>
            <w:r>
              <w:rPr>
                <w:sz w:val="24"/>
                <w:szCs w:val="24"/>
              </w:rPr>
              <w:t>-N</w:t>
            </w:r>
            <w:r>
              <w:rPr>
                <w:rFonts w:hint="eastAsia"/>
                <w:sz w:val="24"/>
                <w:szCs w:val="24"/>
                <w:lang w:val="en-US" w:eastAsia="zh-CN"/>
              </w:rPr>
              <w:t>10</w:t>
            </w:r>
            <w:r>
              <w:rPr>
                <w:sz w:val="24"/>
                <w:szCs w:val="24"/>
              </w:rPr>
              <w:t>mg/L、TP0.</w:t>
            </w:r>
            <w:r>
              <w:rPr>
                <w:rFonts w:hint="eastAsia"/>
                <w:sz w:val="24"/>
                <w:szCs w:val="24"/>
                <w:lang w:val="en-US" w:eastAsia="zh-CN"/>
              </w:rPr>
              <w:t>77</w:t>
            </w:r>
            <w:r>
              <w:rPr>
                <w:sz w:val="24"/>
                <w:szCs w:val="24"/>
              </w:rPr>
              <w:t>mg/L、TN</w:t>
            </w:r>
            <w:r>
              <w:rPr>
                <w:rFonts w:hint="eastAsia"/>
                <w:sz w:val="24"/>
                <w:szCs w:val="24"/>
                <w:lang w:val="en-US" w:eastAsia="zh-CN"/>
              </w:rPr>
              <w:t>14.4</w:t>
            </w:r>
            <w:r>
              <w:rPr>
                <w:sz w:val="24"/>
                <w:szCs w:val="24"/>
              </w:rPr>
              <w:t>mg/L</w:t>
            </w:r>
            <w:r>
              <w:rPr>
                <w:rFonts w:hint="eastAsia"/>
                <w:color w:val="auto"/>
                <w:sz w:val="24"/>
                <w:szCs w:val="24"/>
              </w:rPr>
              <w:t>，</w:t>
            </w:r>
            <w:r>
              <w:rPr>
                <w:rFonts w:hint="eastAsia"/>
                <w:sz w:val="24"/>
              </w:rPr>
              <w:t>与该污水处理厂进水指标对比，外排废水满足污水处理厂收水水质要求，同时满足《污水排入城镇下水道水质标准》（GB/T31962-2015）表1C级标准COD300mg/L、NH3-N25mg/L、</w:t>
            </w:r>
            <w:r>
              <w:rPr>
                <w:rFonts w:hint="eastAsia"/>
                <w:bCs/>
                <w:sz w:val="24"/>
                <w:szCs w:val="32"/>
                <w:lang w:val="en-US" w:eastAsia="zh-CN"/>
              </w:rPr>
              <w:t>BOD</w:t>
            </w:r>
            <w:r>
              <w:rPr>
                <w:rFonts w:hint="eastAsia"/>
                <w:bCs/>
                <w:sz w:val="24"/>
                <w:szCs w:val="32"/>
                <w:vertAlign w:val="subscript"/>
                <w:lang w:val="en-US" w:eastAsia="zh-CN"/>
              </w:rPr>
              <w:t>5</w:t>
            </w:r>
            <w:r>
              <w:rPr>
                <w:rFonts w:hint="eastAsia"/>
                <w:bCs/>
                <w:sz w:val="24"/>
                <w:szCs w:val="32"/>
                <w:lang w:val="en-US" w:eastAsia="zh-CN"/>
              </w:rPr>
              <w:t>150</w:t>
            </w:r>
            <w:r>
              <w:rPr>
                <w:rFonts w:hint="eastAsia"/>
                <w:bCs/>
                <w:sz w:val="24"/>
                <w:szCs w:val="32"/>
                <w:lang w:eastAsia="zh-CN"/>
              </w:rPr>
              <w:t>mg/L、</w:t>
            </w:r>
            <w:r>
              <w:rPr>
                <w:rFonts w:hint="eastAsia"/>
                <w:sz w:val="24"/>
              </w:rPr>
              <w:t>SS300mg/L、TP5.0mg/L、TN45mg/L的要求，不会对新乡县综合污水处理厂生化处理系统产生冲击。</w:t>
            </w:r>
          </w:p>
          <w:p>
            <w:pPr>
              <w:keepNext w:val="0"/>
              <w:keepLines w:val="0"/>
              <w:suppressLineNumbers w:val="0"/>
              <w:spacing w:before="0" w:beforeAutospacing="0" w:after="0" w:afterAutospacing="0" w:line="520" w:lineRule="exact"/>
              <w:ind w:left="0" w:right="0" w:firstLine="480" w:firstLineChars="200"/>
              <w:rPr>
                <w:sz w:val="24"/>
              </w:rPr>
            </w:pPr>
            <w:r>
              <w:rPr>
                <w:rFonts w:hint="eastAsia"/>
                <w:sz w:val="24"/>
              </w:rPr>
              <w:t>综上，从水量、水质及基础设施的角度进行分析，本项目废水进入新乡县综合污水处理厂是可行的。</w:t>
            </w:r>
          </w:p>
          <w:p>
            <w:pPr>
              <w:pStyle w:val="95"/>
              <w:keepNext w:val="0"/>
              <w:keepLines w:val="0"/>
              <w:suppressLineNumbers w:val="0"/>
              <w:spacing w:before="0" w:beforeAutospacing="0" w:after="0" w:afterAutospacing="0"/>
              <w:ind w:left="0" w:right="0" w:firstLine="480"/>
              <w:rPr>
                <w:rFonts w:cs="Times New Roman"/>
                <w:bCs/>
                <w:color w:val="000000"/>
                <w:sz w:val="24"/>
                <w:szCs w:val="24"/>
              </w:rPr>
            </w:pPr>
            <w:r>
              <w:rPr>
                <w:rFonts w:cs="Times New Roman"/>
                <w:bCs/>
                <w:color w:val="000000"/>
                <w:sz w:val="24"/>
                <w:szCs w:val="24"/>
              </w:rPr>
              <w:t>（3）污染物排放信息</w:t>
            </w:r>
          </w:p>
          <w:p>
            <w:pPr>
              <w:pStyle w:val="95"/>
              <w:keepNext w:val="0"/>
              <w:keepLines w:val="0"/>
              <w:suppressLineNumbers w:val="0"/>
              <w:spacing w:before="0" w:beforeAutospacing="0" w:after="0" w:afterAutospacing="0"/>
              <w:ind w:left="0" w:right="0" w:firstLine="480"/>
              <w:rPr>
                <w:rFonts w:cs="Times New Roman"/>
                <w:color w:val="000000"/>
                <w:sz w:val="24"/>
                <w:szCs w:val="24"/>
              </w:rPr>
            </w:pPr>
            <w:r>
              <w:rPr>
                <w:rFonts w:cs="Times New Roman"/>
                <w:color w:val="000000"/>
                <w:sz w:val="24"/>
                <w:szCs w:val="24"/>
              </w:rPr>
              <w:t>①废水类别、污染物及污染治理设施信息表</w:t>
            </w:r>
          </w:p>
          <w:p>
            <w:pPr>
              <w:pStyle w:val="95"/>
              <w:keepNext w:val="0"/>
              <w:keepLines w:val="0"/>
              <w:suppressLineNumbers w:val="0"/>
              <w:spacing w:before="0" w:beforeAutospacing="0" w:after="0" w:afterAutospacing="0"/>
              <w:ind w:left="0" w:right="0" w:firstLine="0" w:firstLineChars="0"/>
              <w:jc w:val="center"/>
              <w:rPr>
                <w:rFonts w:cs="Times New Roman"/>
                <w:b/>
                <w:bCs/>
                <w:color w:val="000000"/>
                <w:sz w:val="24"/>
                <w:szCs w:val="24"/>
              </w:rPr>
            </w:pPr>
            <w:r>
              <w:rPr>
                <w:rFonts w:hint="default" w:ascii="Times New Roman" w:hAnsi="Times New Roman" w:eastAsia="黑体" w:cs="Times New Roman"/>
                <w:b w:val="0"/>
                <w:bCs w:val="0"/>
                <w:color w:val="auto"/>
                <w:kern w:val="2"/>
                <w:sz w:val="24"/>
                <w:szCs w:val="24"/>
                <w:lang w:val="en-US" w:eastAsia="zh-CN" w:bidi="ar-SA"/>
              </w:rPr>
              <w:t>表4-1</w:t>
            </w:r>
            <w:r>
              <w:rPr>
                <w:rFonts w:hint="eastAsia" w:ascii="Times New Roman" w:hAnsi="Times New Roman" w:eastAsia="黑体" w:cs="Times New Roman"/>
                <w:b w:val="0"/>
                <w:bCs w:val="0"/>
                <w:color w:val="auto"/>
                <w:kern w:val="2"/>
                <w:sz w:val="24"/>
                <w:szCs w:val="24"/>
                <w:lang w:val="en-US" w:eastAsia="zh-CN" w:bidi="ar-SA"/>
              </w:rPr>
              <w:t>8</w:t>
            </w:r>
            <w:r>
              <w:rPr>
                <w:rFonts w:hint="default" w:ascii="Times New Roman" w:hAnsi="Times New Roman" w:eastAsia="黑体" w:cs="Times New Roman"/>
                <w:b w:val="0"/>
                <w:bCs w:val="0"/>
                <w:color w:val="auto"/>
                <w:kern w:val="2"/>
                <w:sz w:val="24"/>
                <w:szCs w:val="24"/>
                <w:lang w:val="en-US" w:eastAsia="zh-CN" w:bidi="ar-SA"/>
              </w:rPr>
              <w:t xml:space="preserve"> 废水类别、污染物及污染治理设施信息表</w:t>
            </w:r>
          </w:p>
          <w:tbl>
            <w:tblPr>
              <w:tblStyle w:val="30"/>
              <w:tblW w:w="85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9"/>
              <w:gridCol w:w="991"/>
              <w:gridCol w:w="548"/>
              <w:gridCol w:w="906"/>
              <w:gridCol w:w="858"/>
              <w:gridCol w:w="674"/>
              <w:gridCol w:w="995"/>
              <w:gridCol w:w="881"/>
              <w:gridCol w:w="693"/>
              <w:gridCol w:w="11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序号</w:t>
                  </w:r>
                </w:p>
              </w:tc>
              <w:tc>
                <w:tcPr>
                  <w:tcW w:w="429"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废水类别</w:t>
                  </w:r>
                </w:p>
              </w:tc>
              <w:tc>
                <w:tcPr>
                  <w:tcW w:w="991"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污染物种类</w:t>
                  </w:r>
                </w:p>
              </w:tc>
              <w:tc>
                <w:tcPr>
                  <w:tcW w:w="548"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排放去向</w:t>
                  </w:r>
                </w:p>
              </w:tc>
              <w:tc>
                <w:tcPr>
                  <w:tcW w:w="906"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排放规律</w:t>
                  </w:r>
                </w:p>
              </w:tc>
              <w:tc>
                <w:tcPr>
                  <w:tcW w:w="2527" w:type="dxa"/>
                  <w:gridSpan w:val="3"/>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污染治理措施</w:t>
                  </w:r>
                </w:p>
              </w:tc>
              <w:tc>
                <w:tcPr>
                  <w:tcW w:w="881"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排放口编号</w:t>
                  </w:r>
                </w:p>
              </w:tc>
              <w:tc>
                <w:tcPr>
                  <w:tcW w:w="693"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排放口设置是否符合要求</w:t>
                  </w:r>
                </w:p>
              </w:tc>
              <w:tc>
                <w:tcPr>
                  <w:tcW w:w="1119"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排放口类型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42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99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54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90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858"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污染治理措施编号</w:t>
                  </w:r>
                </w:p>
              </w:tc>
              <w:tc>
                <w:tcPr>
                  <w:tcW w:w="674"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污染治理措施名称</w:t>
                  </w:r>
                </w:p>
              </w:tc>
              <w:tc>
                <w:tcPr>
                  <w:tcW w:w="99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污染治理措施工艺</w:t>
                  </w:r>
                </w:p>
              </w:tc>
              <w:tc>
                <w:tcPr>
                  <w:tcW w:w="88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
                      <w:color w:val="000000"/>
                      <w:szCs w:val="21"/>
                    </w:rPr>
                  </w:pPr>
                </w:p>
              </w:tc>
              <w:tc>
                <w:tcPr>
                  <w:tcW w:w="693"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
                      <w:color w:val="000000"/>
                      <w:szCs w:val="21"/>
                    </w:rPr>
                  </w:pPr>
                </w:p>
              </w:tc>
              <w:tc>
                <w:tcPr>
                  <w:tcW w:w="111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1</w:t>
                  </w:r>
                </w:p>
              </w:tc>
              <w:tc>
                <w:tcPr>
                  <w:tcW w:w="429" w:type="dxa"/>
                  <w:noWrap w:val="0"/>
                  <w:vAlign w:val="center"/>
                </w:tcPr>
                <w:p>
                  <w:pPr>
                    <w:pStyle w:val="95"/>
                    <w:keepNext w:val="0"/>
                    <w:keepLines w:val="0"/>
                    <w:suppressLineNumbers w:val="0"/>
                    <w:spacing w:before="0" w:beforeAutospacing="0" w:after="0" w:afterAutospacing="0" w:line="360" w:lineRule="exact"/>
                    <w:ind w:left="0" w:right="0" w:firstLine="0" w:firstLineChars="0"/>
                    <w:rPr>
                      <w:rFonts w:cs="Times New Roman"/>
                      <w:color w:val="000000"/>
                      <w:szCs w:val="21"/>
                    </w:rPr>
                  </w:pPr>
                  <w:r>
                    <w:rPr>
                      <w:rFonts w:cs="Times New Roman"/>
                      <w:color w:val="000000"/>
                      <w:szCs w:val="21"/>
                    </w:rPr>
                    <w:t>生产废水</w:t>
                  </w:r>
                </w:p>
              </w:tc>
              <w:tc>
                <w:tcPr>
                  <w:tcW w:w="991" w:type="dxa"/>
                  <w:noWrap w:val="0"/>
                  <w:vAlign w:val="center"/>
                </w:tcPr>
                <w:p>
                  <w:pPr>
                    <w:keepNext w:val="0"/>
                    <w:keepLines w:val="0"/>
                    <w:suppressLineNumbers w:val="0"/>
                    <w:spacing w:before="0" w:beforeAutospacing="0" w:after="0" w:afterAutospacing="0" w:line="360" w:lineRule="exact"/>
                    <w:ind w:left="0" w:right="0"/>
                    <w:jc w:val="center"/>
                    <w:rPr>
                      <w:bCs/>
                      <w:color w:val="000000"/>
                      <w:spacing w:val="-4"/>
                      <w:szCs w:val="21"/>
                    </w:rPr>
                  </w:pPr>
                  <w:r>
                    <w:rPr>
                      <w:bCs/>
                      <w:color w:val="000000"/>
                      <w:spacing w:val="-4"/>
                      <w:szCs w:val="21"/>
                    </w:rPr>
                    <w:t>COD、</w:t>
                  </w:r>
                </w:p>
                <w:p>
                  <w:pPr>
                    <w:keepNext w:val="0"/>
                    <w:keepLines w:val="0"/>
                    <w:suppressLineNumbers w:val="0"/>
                    <w:spacing w:before="0" w:beforeAutospacing="0" w:after="0" w:afterAutospacing="0" w:line="360" w:lineRule="exact"/>
                    <w:ind w:left="0" w:right="0"/>
                    <w:jc w:val="center"/>
                    <w:rPr>
                      <w:bCs/>
                      <w:color w:val="000000"/>
                      <w:spacing w:val="-4"/>
                      <w:szCs w:val="21"/>
                    </w:rPr>
                  </w:pPr>
                  <w:r>
                    <w:rPr>
                      <w:bCs/>
                      <w:color w:val="000000"/>
                      <w:spacing w:val="-4"/>
                      <w:szCs w:val="21"/>
                    </w:rPr>
                    <w:t>BOS</w:t>
                  </w:r>
                  <w:r>
                    <w:rPr>
                      <w:bCs/>
                      <w:color w:val="000000"/>
                      <w:spacing w:val="-4"/>
                      <w:szCs w:val="21"/>
                      <w:vertAlign w:val="subscript"/>
                    </w:rPr>
                    <w:t>5</w:t>
                  </w:r>
                </w:p>
                <w:p>
                  <w:pPr>
                    <w:keepNext w:val="0"/>
                    <w:keepLines w:val="0"/>
                    <w:suppressLineNumbers w:val="0"/>
                    <w:spacing w:before="0" w:beforeAutospacing="0" w:after="0" w:afterAutospacing="0" w:line="360" w:lineRule="exact"/>
                    <w:ind w:left="0" w:right="0"/>
                    <w:jc w:val="center"/>
                    <w:rPr>
                      <w:color w:val="000000"/>
                      <w:szCs w:val="21"/>
                    </w:rPr>
                  </w:pPr>
                  <w:r>
                    <w:rPr>
                      <w:bCs/>
                      <w:color w:val="000000"/>
                      <w:spacing w:val="-4"/>
                      <w:szCs w:val="21"/>
                    </w:rPr>
                    <w:t>SS、NH</w:t>
                  </w:r>
                  <w:r>
                    <w:rPr>
                      <w:bCs/>
                      <w:color w:val="000000"/>
                      <w:spacing w:val="-4"/>
                      <w:szCs w:val="21"/>
                      <w:vertAlign w:val="subscript"/>
                    </w:rPr>
                    <w:t>3</w:t>
                  </w:r>
                  <w:r>
                    <w:rPr>
                      <w:bCs/>
                      <w:color w:val="000000"/>
                      <w:spacing w:val="-4"/>
                      <w:szCs w:val="21"/>
                    </w:rPr>
                    <w:t>-N、TP、TN</w:t>
                  </w:r>
                </w:p>
              </w:tc>
              <w:tc>
                <w:tcPr>
                  <w:tcW w:w="548"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城镇污水处理厂</w:t>
                  </w:r>
                </w:p>
              </w:tc>
              <w:tc>
                <w:tcPr>
                  <w:tcW w:w="906"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间断排放，排放期间流量不稳定且无规律，但不属于冲击型排放</w:t>
                  </w:r>
                </w:p>
              </w:tc>
              <w:tc>
                <w:tcPr>
                  <w:tcW w:w="858"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TW001</w:t>
                  </w:r>
                </w:p>
              </w:tc>
              <w:tc>
                <w:tcPr>
                  <w:tcW w:w="674"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污水处理站</w:t>
                  </w:r>
                </w:p>
              </w:tc>
              <w:tc>
                <w:tcPr>
                  <w:tcW w:w="99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szCs w:val="21"/>
                    </w:rPr>
                    <w:t>“酸碱中和+微电解+沉淀+过滤吸附+消毒”</w:t>
                  </w:r>
                </w:p>
              </w:tc>
              <w:tc>
                <w:tcPr>
                  <w:tcW w:w="881"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DW001</w:t>
                  </w:r>
                </w:p>
              </w:tc>
              <w:tc>
                <w:tcPr>
                  <w:tcW w:w="693" w:type="dxa"/>
                  <w:vMerge w:val="restart"/>
                  <w:noWrap w:val="0"/>
                  <w:vAlign w:val="center"/>
                </w:tcPr>
                <w:p>
                  <w:pPr>
                    <w:keepNext w:val="0"/>
                    <w:keepLines w:val="0"/>
                    <w:suppressLineNumbers w:val="0"/>
                    <w:spacing w:before="0" w:beforeAutospacing="0" w:after="0" w:afterAutospacing="0" w:line="360" w:lineRule="exact"/>
                    <w:ind w:left="0" w:right="0"/>
                    <w:jc w:val="center"/>
                    <w:rPr>
                      <w:color w:val="000000"/>
                      <w:szCs w:val="21"/>
                    </w:rPr>
                  </w:pPr>
                  <w:r>
                    <w:rPr>
                      <w:rFonts w:eastAsia="MS Mincho"/>
                      <w:color w:val="000000"/>
                      <w:szCs w:val="21"/>
                    </w:rPr>
                    <w:sym w:font="Wingdings" w:char="F0FE"/>
                  </w:r>
                  <w:r>
                    <w:rPr>
                      <w:color w:val="000000"/>
                      <w:szCs w:val="21"/>
                    </w:rPr>
                    <w:t>是</w:t>
                  </w:r>
                </w:p>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pacing w:val="-1"/>
                      <w:szCs w:val="21"/>
                    </w:rPr>
                    <w:t>□</w:t>
                  </w:r>
                  <w:r>
                    <w:rPr>
                      <w:rFonts w:cs="Times New Roman"/>
                      <w:color w:val="000000"/>
                      <w:szCs w:val="21"/>
                    </w:rPr>
                    <w:t>否</w:t>
                  </w:r>
                </w:p>
              </w:tc>
              <w:tc>
                <w:tcPr>
                  <w:tcW w:w="1119" w:type="dxa"/>
                  <w:vMerge w:val="restart"/>
                  <w:noWrap w:val="0"/>
                  <w:vAlign w:val="center"/>
                </w:tcPr>
                <w:p>
                  <w:pPr>
                    <w:keepNext w:val="0"/>
                    <w:keepLines w:val="0"/>
                    <w:suppressLineNumbers w:val="0"/>
                    <w:spacing w:before="0" w:beforeAutospacing="0" w:after="0" w:afterAutospacing="0" w:line="360" w:lineRule="exact"/>
                    <w:ind w:left="0" w:right="0"/>
                    <w:jc w:val="center"/>
                    <w:rPr>
                      <w:color w:val="000000"/>
                      <w:szCs w:val="21"/>
                    </w:rPr>
                  </w:pPr>
                  <w:r>
                    <w:rPr>
                      <w:rFonts w:eastAsia="MS Mincho"/>
                      <w:color w:val="000000"/>
                      <w:szCs w:val="21"/>
                    </w:rPr>
                    <w:sym w:font="Wingdings" w:char="F0FE"/>
                  </w:r>
                  <w:r>
                    <w:rPr>
                      <w:color w:val="000000"/>
                      <w:szCs w:val="21"/>
                    </w:rPr>
                    <w:t>企业总排口</w:t>
                  </w:r>
                </w:p>
                <w:p>
                  <w:pPr>
                    <w:keepNext w:val="0"/>
                    <w:keepLines w:val="0"/>
                    <w:suppressLineNumbers w:val="0"/>
                    <w:spacing w:before="0" w:beforeAutospacing="0" w:after="0" w:afterAutospacing="0" w:line="360" w:lineRule="exact"/>
                    <w:ind w:left="0" w:right="0"/>
                    <w:jc w:val="center"/>
                    <w:rPr>
                      <w:color w:val="000000"/>
                      <w:szCs w:val="21"/>
                    </w:rPr>
                  </w:pPr>
                  <w:r>
                    <w:rPr>
                      <w:color w:val="000000"/>
                      <w:spacing w:val="-1"/>
                      <w:szCs w:val="21"/>
                    </w:rPr>
                    <w:t>□</w:t>
                  </w:r>
                  <w:r>
                    <w:rPr>
                      <w:color w:val="000000"/>
                      <w:szCs w:val="21"/>
                    </w:rPr>
                    <w:t>雨水排放</w:t>
                  </w:r>
                </w:p>
                <w:p>
                  <w:pPr>
                    <w:keepNext w:val="0"/>
                    <w:keepLines w:val="0"/>
                    <w:suppressLineNumbers w:val="0"/>
                    <w:spacing w:before="0" w:beforeAutospacing="0" w:after="0" w:afterAutospacing="0" w:line="360" w:lineRule="exact"/>
                    <w:ind w:left="0" w:right="0"/>
                    <w:jc w:val="center"/>
                    <w:rPr>
                      <w:color w:val="000000"/>
                      <w:szCs w:val="21"/>
                    </w:rPr>
                  </w:pPr>
                  <w:r>
                    <w:rPr>
                      <w:color w:val="000000"/>
                      <w:spacing w:val="-1"/>
                      <w:szCs w:val="21"/>
                    </w:rPr>
                    <w:t>□</w:t>
                  </w:r>
                  <w:r>
                    <w:rPr>
                      <w:color w:val="000000"/>
                      <w:szCs w:val="21"/>
                    </w:rPr>
                    <w:t>清净下水排放</w:t>
                  </w:r>
                </w:p>
                <w:p>
                  <w:pPr>
                    <w:keepNext w:val="0"/>
                    <w:keepLines w:val="0"/>
                    <w:suppressLineNumbers w:val="0"/>
                    <w:spacing w:before="0" w:beforeAutospacing="0" w:after="0" w:afterAutospacing="0" w:line="360" w:lineRule="exact"/>
                    <w:ind w:left="0" w:right="0"/>
                    <w:jc w:val="center"/>
                    <w:rPr>
                      <w:color w:val="000000"/>
                      <w:szCs w:val="21"/>
                    </w:rPr>
                  </w:pPr>
                  <w:r>
                    <w:rPr>
                      <w:color w:val="000000"/>
                      <w:spacing w:val="-1"/>
                      <w:szCs w:val="21"/>
                    </w:rPr>
                    <w:t>□</w:t>
                  </w:r>
                  <w:r>
                    <w:rPr>
                      <w:color w:val="000000"/>
                      <w:szCs w:val="21"/>
                    </w:rPr>
                    <w:t>温排水排放</w:t>
                  </w:r>
                </w:p>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pacing w:val="-1"/>
                      <w:szCs w:val="21"/>
                    </w:rPr>
                    <w:t>□</w:t>
                  </w:r>
                  <w:r>
                    <w:rPr>
                      <w:rFonts w:cs="Times New Roman"/>
                      <w:color w:val="000000"/>
                      <w:szCs w:val="21"/>
                    </w:rPr>
                    <w:t>车间或车间处理设施排放口排放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29" w:type="dxa"/>
                  <w:noWrap w:val="0"/>
                  <w:vAlign w:val="center"/>
                </w:tcPr>
                <w:p>
                  <w:pPr>
                    <w:pStyle w:val="95"/>
                    <w:keepNext w:val="0"/>
                    <w:keepLines w:val="0"/>
                    <w:suppressLineNumbers w:val="0"/>
                    <w:spacing w:before="0" w:beforeAutospacing="0" w:after="0" w:afterAutospacing="0" w:line="360" w:lineRule="exact"/>
                    <w:ind w:left="0" w:right="0" w:firstLine="0" w:firstLineChars="0"/>
                    <w:rPr>
                      <w:rFonts w:hint="eastAsia" w:eastAsia="宋体" w:cs="Times New Roman"/>
                      <w:color w:val="000000"/>
                      <w:szCs w:val="21"/>
                      <w:lang w:val="en-US" w:eastAsia="zh-CN"/>
                    </w:rPr>
                  </w:pPr>
                  <w:r>
                    <w:rPr>
                      <w:rFonts w:hint="eastAsia" w:cs="Times New Roman"/>
                      <w:color w:val="000000"/>
                      <w:szCs w:val="21"/>
                      <w:lang w:val="en-US" w:eastAsia="zh-CN"/>
                    </w:rPr>
                    <w:t>浓水</w:t>
                  </w:r>
                </w:p>
              </w:tc>
              <w:tc>
                <w:tcPr>
                  <w:tcW w:w="991" w:type="dxa"/>
                  <w:noWrap w:val="0"/>
                  <w:vAlign w:val="center"/>
                </w:tcPr>
                <w:p>
                  <w:pPr>
                    <w:keepNext w:val="0"/>
                    <w:keepLines w:val="0"/>
                    <w:suppressLineNumbers w:val="0"/>
                    <w:spacing w:before="0" w:beforeAutospacing="0" w:after="0" w:afterAutospacing="0" w:line="360" w:lineRule="exact"/>
                    <w:ind w:left="0" w:right="0"/>
                    <w:jc w:val="center"/>
                    <w:rPr>
                      <w:bCs/>
                      <w:color w:val="000000"/>
                      <w:spacing w:val="-4"/>
                      <w:szCs w:val="21"/>
                    </w:rPr>
                  </w:pPr>
                  <w:r>
                    <w:rPr>
                      <w:bCs/>
                      <w:color w:val="000000"/>
                      <w:spacing w:val="-4"/>
                      <w:szCs w:val="21"/>
                    </w:rPr>
                    <w:t>COD、</w:t>
                  </w:r>
                </w:p>
                <w:p>
                  <w:pPr>
                    <w:keepNext w:val="0"/>
                    <w:keepLines w:val="0"/>
                    <w:suppressLineNumbers w:val="0"/>
                    <w:spacing w:before="0" w:beforeAutospacing="0" w:after="0" w:afterAutospacing="0" w:line="360" w:lineRule="exact"/>
                    <w:ind w:left="0" w:right="0"/>
                    <w:jc w:val="center"/>
                    <w:rPr>
                      <w:bCs/>
                      <w:color w:val="000000"/>
                      <w:spacing w:val="-4"/>
                      <w:szCs w:val="21"/>
                    </w:rPr>
                  </w:pPr>
                  <w:r>
                    <w:rPr>
                      <w:bCs/>
                      <w:color w:val="000000"/>
                      <w:spacing w:val="-4"/>
                      <w:szCs w:val="21"/>
                    </w:rPr>
                    <w:t>SS、NH</w:t>
                  </w:r>
                  <w:r>
                    <w:rPr>
                      <w:bCs/>
                      <w:color w:val="000000"/>
                      <w:spacing w:val="-4"/>
                      <w:szCs w:val="21"/>
                      <w:vertAlign w:val="subscript"/>
                    </w:rPr>
                    <w:t>3</w:t>
                  </w:r>
                  <w:r>
                    <w:rPr>
                      <w:bCs/>
                      <w:color w:val="000000"/>
                      <w:spacing w:val="-4"/>
                      <w:szCs w:val="21"/>
                    </w:rPr>
                    <w:t>-N、TP、TN</w:t>
                  </w:r>
                </w:p>
              </w:tc>
              <w:tc>
                <w:tcPr>
                  <w:tcW w:w="54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90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5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674"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w:t>
                  </w:r>
                </w:p>
              </w:tc>
              <w:tc>
                <w:tcPr>
                  <w:tcW w:w="99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szCs w:val="21"/>
                    </w:rPr>
                  </w:pPr>
                  <w:r>
                    <w:rPr>
                      <w:rFonts w:cs="Times New Roman"/>
                      <w:color w:val="000000"/>
                      <w:szCs w:val="21"/>
                    </w:rPr>
                    <w:t>/</w:t>
                  </w:r>
                </w:p>
              </w:tc>
              <w:tc>
                <w:tcPr>
                  <w:tcW w:w="88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693"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pacing w:val="-1"/>
                      <w:szCs w:val="21"/>
                    </w:rPr>
                  </w:pPr>
                </w:p>
              </w:tc>
              <w:tc>
                <w:tcPr>
                  <w:tcW w:w="111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pacing w:val="-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29"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生活污水</w:t>
                  </w:r>
                </w:p>
              </w:tc>
              <w:tc>
                <w:tcPr>
                  <w:tcW w:w="991" w:type="dxa"/>
                  <w:noWrap w:val="0"/>
                  <w:vAlign w:val="center"/>
                </w:tcPr>
                <w:p>
                  <w:pPr>
                    <w:keepNext w:val="0"/>
                    <w:keepLines w:val="0"/>
                    <w:suppressLineNumbers w:val="0"/>
                    <w:spacing w:before="0" w:beforeAutospacing="0" w:after="0" w:afterAutospacing="0" w:line="360" w:lineRule="exact"/>
                    <w:ind w:left="0" w:right="0"/>
                    <w:jc w:val="center"/>
                    <w:rPr>
                      <w:bCs/>
                      <w:color w:val="000000"/>
                      <w:spacing w:val="-4"/>
                      <w:szCs w:val="21"/>
                    </w:rPr>
                  </w:pPr>
                  <w:r>
                    <w:rPr>
                      <w:bCs/>
                      <w:color w:val="000000"/>
                      <w:spacing w:val="-4"/>
                      <w:szCs w:val="21"/>
                    </w:rPr>
                    <w:t>COD、</w:t>
                  </w:r>
                </w:p>
                <w:p>
                  <w:pPr>
                    <w:keepNext w:val="0"/>
                    <w:keepLines w:val="0"/>
                    <w:suppressLineNumbers w:val="0"/>
                    <w:spacing w:before="0" w:beforeAutospacing="0" w:after="0" w:afterAutospacing="0" w:line="360" w:lineRule="exact"/>
                    <w:ind w:left="0" w:right="0"/>
                    <w:jc w:val="center"/>
                    <w:rPr>
                      <w:bCs/>
                      <w:color w:val="000000"/>
                      <w:spacing w:val="-4"/>
                      <w:szCs w:val="21"/>
                    </w:rPr>
                  </w:pPr>
                  <w:r>
                    <w:rPr>
                      <w:bCs/>
                      <w:color w:val="000000"/>
                      <w:spacing w:val="-4"/>
                      <w:szCs w:val="21"/>
                    </w:rPr>
                    <w:t>BOS</w:t>
                  </w:r>
                  <w:r>
                    <w:rPr>
                      <w:bCs/>
                      <w:color w:val="000000"/>
                      <w:spacing w:val="-4"/>
                      <w:szCs w:val="21"/>
                      <w:vertAlign w:val="subscript"/>
                    </w:rPr>
                    <w:t>5</w:t>
                  </w:r>
                </w:p>
                <w:p>
                  <w:pPr>
                    <w:keepNext w:val="0"/>
                    <w:keepLines w:val="0"/>
                    <w:suppressLineNumbers w:val="0"/>
                    <w:spacing w:before="0" w:beforeAutospacing="0" w:after="0" w:afterAutospacing="0" w:line="360" w:lineRule="exact"/>
                    <w:ind w:left="0" w:right="0"/>
                    <w:jc w:val="center"/>
                    <w:rPr>
                      <w:bCs/>
                      <w:color w:val="000000"/>
                      <w:spacing w:val="-4"/>
                      <w:szCs w:val="21"/>
                    </w:rPr>
                  </w:pPr>
                  <w:r>
                    <w:rPr>
                      <w:bCs/>
                      <w:color w:val="000000"/>
                      <w:spacing w:val="-4"/>
                      <w:szCs w:val="21"/>
                    </w:rPr>
                    <w:t>SS、NH</w:t>
                  </w:r>
                  <w:r>
                    <w:rPr>
                      <w:bCs/>
                      <w:color w:val="000000"/>
                      <w:spacing w:val="-4"/>
                      <w:szCs w:val="21"/>
                      <w:vertAlign w:val="subscript"/>
                    </w:rPr>
                    <w:t>3</w:t>
                  </w:r>
                  <w:r>
                    <w:rPr>
                      <w:bCs/>
                      <w:color w:val="000000"/>
                      <w:spacing w:val="-4"/>
                      <w:szCs w:val="21"/>
                    </w:rPr>
                    <w:t>-N、TP、TN</w:t>
                  </w:r>
                </w:p>
              </w:tc>
              <w:tc>
                <w:tcPr>
                  <w:tcW w:w="54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90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5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674"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化粪池</w:t>
                  </w:r>
                </w:p>
              </w:tc>
              <w:tc>
                <w:tcPr>
                  <w:tcW w:w="99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w:t>
                  </w:r>
                </w:p>
              </w:tc>
              <w:tc>
                <w:tcPr>
                  <w:tcW w:w="88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693" w:type="dxa"/>
                  <w:vMerge w:val="continue"/>
                  <w:noWrap w:val="0"/>
                  <w:vAlign w:val="center"/>
                </w:tcPr>
                <w:p>
                  <w:pPr>
                    <w:keepNext w:val="0"/>
                    <w:keepLines w:val="0"/>
                    <w:suppressLineNumbers w:val="0"/>
                    <w:spacing w:before="0" w:beforeAutospacing="0" w:after="0" w:afterAutospacing="0" w:line="360" w:lineRule="exact"/>
                    <w:ind w:left="0" w:right="0"/>
                    <w:jc w:val="center"/>
                    <w:rPr>
                      <w:rFonts w:eastAsia="MS Mincho"/>
                      <w:color w:val="000000"/>
                      <w:szCs w:val="21"/>
                    </w:rPr>
                  </w:pPr>
                </w:p>
              </w:tc>
              <w:tc>
                <w:tcPr>
                  <w:tcW w:w="1119" w:type="dxa"/>
                  <w:vMerge w:val="continue"/>
                  <w:noWrap w:val="0"/>
                  <w:vAlign w:val="center"/>
                </w:tcPr>
                <w:p>
                  <w:pPr>
                    <w:keepNext w:val="0"/>
                    <w:keepLines w:val="0"/>
                    <w:suppressLineNumbers w:val="0"/>
                    <w:spacing w:before="0" w:beforeAutospacing="0" w:after="0" w:afterAutospacing="0" w:line="360" w:lineRule="exact"/>
                    <w:ind w:left="0" w:right="0"/>
                    <w:jc w:val="center"/>
                    <w:rPr>
                      <w:rFonts w:eastAsia="MS Mincho"/>
                      <w:color w:val="000000"/>
                      <w:szCs w:val="21"/>
                    </w:rPr>
                  </w:pPr>
                </w:p>
              </w:tc>
            </w:tr>
          </w:tbl>
          <w:p>
            <w:pPr>
              <w:pStyle w:val="95"/>
              <w:keepNext w:val="0"/>
              <w:keepLines w:val="0"/>
              <w:suppressLineNumbers w:val="0"/>
              <w:spacing w:before="0" w:beforeAutospacing="0" w:after="0" w:afterAutospacing="0"/>
              <w:ind w:left="0" w:right="0" w:firstLine="480"/>
              <w:rPr>
                <w:rFonts w:cs="Times New Roman"/>
                <w:color w:val="000000"/>
              </w:rPr>
            </w:pPr>
            <w:r>
              <w:rPr>
                <w:rFonts w:cs="Times New Roman"/>
                <w:color w:val="000000"/>
                <w:sz w:val="24"/>
                <w:szCs w:val="22"/>
              </w:rPr>
              <w:t>②废水间接排放口基本情况</w:t>
            </w:r>
          </w:p>
          <w:p>
            <w:pPr>
              <w:pStyle w:val="95"/>
              <w:keepNext w:val="0"/>
              <w:keepLines w:val="0"/>
              <w:suppressLineNumbers w:val="0"/>
              <w:spacing w:before="0" w:beforeAutospacing="0" w:after="0" w:afterAutospacing="0"/>
              <w:ind w:left="0" w:right="0" w:firstLine="482"/>
              <w:jc w:val="center"/>
              <w:rPr>
                <w:rFonts w:cs="Times New Roman"/>
                <w:color w:val="000000"/>
                <w:sz w:val="24"/>
                <w:szCs w:val="22"/>
              </w:rPr>
            </w:pPr>
            <w:r>
              <w:rPr>
                <w:rFonts w:hint="default" w:ascii="Times New Roman" w:hAnsi="Times New Roman" w:eastAsia="黑体" w:cs="Times New Roman"/>
                <w:b w:val="0"/>
                <w:bCs w:val="0"/>
                <w:color w:val="auto"/>
                <w:kern w:val="2"/>
                <w:sz w:val="24"/>
                <w:szCs w:val="24"/>
                <w:lang w:val="en-US" w:eastAsia="zh-CN" w:bidi="ar-SA"/>
              </w:rPr>
              <w:t>表4-1</w:t>
            </w:r>
            <w:r>
              <w:rPr>
                <w:rFonts w:hint="eastAsia" w:ascii="Times New Roman" w:hAnsi="Times New Roman" w:eastAsia="黑体" w:cs="Times New Roman"/>
                <w:b w:val="0"/>
                <w:bCs w:val="0"/>
                <w:color w:val="auto"/>
                <w:kern w:val="2"/>
                <w:sz w:val="24"/>
                <w:szCs w:val="24"/>
                <w:lang w:val="en-US" w:eastAsia="zh-CN" w:bidi="ar-SA"/>
              </w:rPr>
              <w:t>9</w:t>
            </w:r>
            <w:r>
              <w:rPr>
                <w:rFonts w:hint="default" w:ascii="Times New Roman" w:hAnsi="Times New Roman" w:eastAsia="黑体" w:cs="Times New Roman"/>
                <w:b w:val="0"/>
                <w:bCs w:val="0"/>
                <w:color w:val="auto"/>
                <w:kern w:val="2"/>
                <w:sz w:val="24"/>
                <w:szCs w:val="24"/>
                <w:lang w:val="en-US" w:eastAsia="zh-CN" w:bidi="ar-SA"/>
              </w:rPr>
              <w:t xml:space="preserve">   废水间接排放口基本情况表</w:t>
            </w:r>
          </w:p>
          <w:tbl>
            <w:tblPr>
              <w:tblStyle w:val="30"/>
              <w:tblW w:w="85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4"/>
              <w:gridCol w:w="816"/>
              <w:gridCol w:w="1109"/>
              <w:gridCol w:w="1021"/>
              <w:gridCol w:w="832"/>
              <w:gridCol w:w="405"/>
              <w:gridCol w:w="595"/>
              <w:gridCol w:w="1182"/>
              <w:gridCol w:w="405"/>
              <w:gridCol w:w="751"/>
              <w:gridCol w:w="10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序号</w:t>
                  </w:r>
                </w:p>
              </w:tc>
              <w:tc>
                <w:tcPr>
                  <w:tcW w:w="816"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排放口编号</w:t>
                  </w:r>
                </w:p>
              </w:tc>
              <w:tc>
                <w:tcPr>
                  <w:tcW w:w="2130" w:type="dxa"/>
                  <w:gridSpan w:val="2"/>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排放口地理坐标</w:t>
                  </w:r>
                </w:p>
              </w:tc>
              <w:tc>
                <w:tcPr>
                  <w:tcW w:w="832"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废水排放量/（万t/a）</w:t>
                  </w:r>
                </w:p>
              </w:tc>
              <w:tc>
                <w:tcPr>
                  <w:tcW w:w="405"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排放去向</w:t>
                  </w:r>
                </w:p>
              </w:tc>
              <w:tc>
                <w:tcPr>
                  <w:tcW w:w="595"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排放规律</w:t>
                  </w:r>
                </w:p>
              </w:tc>
              <w:tc>
                <w:tcPr>
                  <w:tcW w:w="1182"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间歇排放时段</w:t>
                  </w:r>
                </w:p>
              </w:tc>
              <w:tc>
                <w:tcPr>
                  <w:tcW w:w="2161" w:type="dxa"/>
                  <w:gridSpan w:val="3"/>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受纳污水处理厂信息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81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1109"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经度</w:t>
                  </w:r>
                </w:p>
              </w:tc>
              <w:tc>
                <w:tcPr>
                  <w:tcW w:w="10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纬度</w:t>
                  </w:r>
                </w:p>
              </w:tc>
              <w:tc>
                <w:tcPr>
                  <w:tcW w:w="83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59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118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4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名称</w:t>
                  </w:r>
                </w:p>
              </w:tc>
              <w:tc>
                <w:tcPr>
                  <w:tcW w:w="75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污染物种类</w:t>
                  </w:r>
                </w:p>
              </w:tc>
              <w:tc>
                <w:tcPr>
                  <w:tcW w:w="10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国家或地方污染物排放标准浓度限值/（mg/L）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04"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1</w:t>
                  </w:r>
                </w:p>
              </w:tc>
              <w:tc>
                <w:tcPr>
                  <w:tcW w:w="816"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DW001</w:t>
                  </w:r>
                </w:p>
              </w:tc>
              <w:tc>
                <w:tcPr>
                  <w:tcW w:w="1109"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default" w:eastAsia="宋体" w:cs="Times New Roman"/>
                      <w:color w:val="000000"/>
                      <w:szCs w:val="21"/>
                      <w:lang w:val="en-US" w:eastAsia="zh-CN"/>
                    </w:rPr>
                  </w:pPr>
                  <w:r>
                    <w:rPr>
                      <w:rFonts w:cs="Times New Roman"/>
                      <w:color w:val="000000"/>
                      <w:szCs w:val="21"/>
                    </w:rPr>
                    <w:t>113.</w:t>
                  </w:r>
                  <w:r>
                    <w:rPr>
                      <w:rFonts w:hint="eastAsia" w:cs="Times New Roman"/>
                      <w:color w:val="000000"/>
                      <w:szCs w:val="21"/>
                      <w:lang w:val="en-US" w:eastAsia="zh-CN"/>
                    </w:rPr>
                    <w:t>804091</w:t>
                  </w:r>
                </w:p>
              </w:tc>
              <w:tc>
                <w:tcPr>
                  <w:tcW w:w="1021"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default" w:eastAsia="宋体" w:cs="Times New Roman"/>
                      <w:color w:val="000000"/>
                      <w:szCs w:val="21"/>
                      <w:lang w:val="en-US" w:eastAsia="zh-CN"/>
                    </w:rPr>
                  </w:pPr>
                  <w:r>
                    <w:rPr>
                      <w:rFonts w:cs="Times New Roman"/>
                      <w:color w:val="000000"/>
                      <w:szCs w:val="21"/>
                    </w:rPr>
                    <w:t>35.</w:t>
                  </w:r>
                  <w:r>
                    <w:rPr>
                      <w:rFonts w:hint="eastAsia" w:cs="Times New Roman"/>
                      <w:color w:val="000000"/>
                      <w:szCs w:val="21"/>
                      <w:lang w:val="en-US" w:eastAsia="zh-CN"/>
                    </w:rPr>
                    <w:t>188316</w:t>
                  </w:r>
                </w:p>
              </w:tc>
              <w:tc>
                <w:tcPr>
                  <w:tcW w:w="832"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default" w:eastAsia="宋体" w:cs="Times New Roman"/>
                      <w:color w:val="000000"/>
                      <w:szCs w:val="21"/>
                      <w:lang w:val="en-US" w:eastAsia="zh-CN"/>
                    </w:rPr>
                  </w:pPr>
                  <w:r>
                    <w:rPr>
                      <w:rFonts w:hint="eastAsia" w:cs="Times New Roman"/>
                      <w:color w:val="000000"/>
                      <w:szCs w:val="21"/>
                      <w:lang w:val="en-US" w:eastAsia="zh-CN"/>
                    </w:rPr>
                    <w:t>0.19406</w:t>
                  </w:r>
                </w:p>
              </w:tc>
              <w:tc>
                <w:tcPr>
                  <w:tcW w:w="405"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污水处理厂</w:t>
                  </w:r>
                </w:p>
              </w:tc>
              <w:tc>
                <w:tcPr>
                  <w:tcW w:w="595"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间断排放，排放期间流量不稳定且无规律，但不属于冲击型排放</w:t>
                  </w:r>
                </w:p>
              </w:tc>
              <w:tc>
                <w:tcPr>
                  <w:tcW w:w="1182" w:type="dxa"/>
                  <w:vMerge w:val="restart"/>
                  <w:noWrap w:val="0"/>
                  <w:vAlign w:val="center"/>
                </w:tcPr>
                <w:p>
                  <w:pPr>
                    <w:keepNext w:val="0"/>
                    <w:keepLines w:val="0"/>
                    <w:suppressLineNumbers w:val="0"/>
                    <w:spacing w:before="0" w:beforeAutospacing="0" w:after="0" w:afterAutospacing="0" w:line="360" w:lineRule="exact"/>
                    <w:ind w:left="0" w:right="0"/>
                    <w:jc w:val="center"/>
                    <w:rPr>
                      <w:color w:val="000000"/>
                      <w:szCs w:val="21"/>
                    </w:rPr>
                  </w:pPr>
                  <w:r>
                    <w:rPr>
                      <w:rFonts w:hint="eastAsia"/>
                      <w:color w:val="000000"/>
                      <w:szCs w:val="21"/>
                    </w:rPr>
                    <w:t>8</w:t>
                  </w:r>
                  <w:r>
                    <w:rPr>
                      <w:color w:val="000000"/>
                      <w:szCs w:val="21"/>
                    </w:rPr>
                    <w:t>:00~</w:t>
                  </w:r>
                </w:p>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rPr>
                    <w:t>12</w:t>
                  </w:r>
                  <w:r>
                    <w:rPr>
                      <w:rFonts w:cs="Times New Roman"/>
                      <w:color w:val="000000"/>
                      <w:szCs w:val="21"/>
                    </w:rPr>
                    <w:t>:00</w:t>
                  </w:r>
                  <w:r>
                    <w:rPr>
                      <w:rFonts w:hint="eastAsia" w:cs="Times New Roman"/>
                      <w:color w:val="000000"/>
                      <w:szCs w:val="21"/>
                    </w:rPr>
                    <w:t>；14:00</w:t>
                  </w:r>
                  <w:r>
                    <w:rPr>
                      <w:rFonts w:cs="Times New Roman"/>
                      <w:color w:val="000000"/>
                      <w:szCs w:val="21"/>
                    </w:rPr>
                    <w:t>~</w:t>
                  </w:r>
                  <w:r>
                    <w:rPr>
                      <w:rFonts w:hint="eastAsia" w:cs="Times New Roman"/>
                      <w:color w:val="000000"/>
                      <w:szCs w:val="21"/>
                    </w:rPr>
                    <w:t>18:00</w:t>
                  </w:r>
                </w:p>
              </w:tc>
              <w:tc>
                <w:tcPr>
                  <w:tcW w:w="405"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eastAsia" w:eastAsia="宋体" w:cs="Times New Roman"/>
                      <w:color w:val="000000"/>
                      <w:szCs w:val="21"/>
                      <w:lang w:eastAsia="zh-CN"/>
                    </w:rPr>
                  </w:pPr>
                  <w:r>
                    <w:rPr>
                      <w:rFonts w:hint="eastAsia" w:cs="Times New Roman"/>
                      <w:color w:val="000000"/>
                      <w:szCs w:val="21"/>
                      <w:lang w:eastAsia="zh-CN"/>
                    </w:rPr>
                    <w:t>新乡县综合污水处理厂</w:t>
                  </w:r>
                </w:p>
              </w:tc>
              <w:tc>
                <w:tcPr>
                  <w:tcW w:w="75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COD</w:t>
                  </w:r>
                </w:p>
              </w:tc>
              <w:tc>
                <w:tcPr>
                  <w:tcW w:w="10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04"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1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02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3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59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82" w:type="dxa"/>
                  <w:vMerge w:val="continue"/>
                  <w:noWrap w:val="0"/>
                  <w:vAlign w:val="center"/>
                </w:tcPr>
                <w:p>
                  <w:pPr>
                    <w:keepNext w:val="0"/>
                    <w:keepLines w:val="0"/>
                    <w:suppressLineNumbers w:val="0"/>
                    <w:spacing w:before="0" w:beforeAutospacing="0" w:after="0" w:afterAutospacing="0" w:line="360" w:lineRule="exact"/>
                    <w:ind w:left="0" w:right="0"/>
                    <w:jc w:val="center"/>
                    <w:rPr>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75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SS</w:t>
                  </w:r>
                </w:p>
              </w:tc>
              <w:tc>
                <w:tcPr>
                  <w:tcW w:w="10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04"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1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02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3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59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8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75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NH</w:t>
                  </w:r>
                  <w:r>
                    <w:rPr>
                      <w:rFonts w:cs="Times New Roman"/>
                      <w:color w:val="000000"/>
                      <w:szCs w:val="21"/>
                      <w:vertAlign w:val="subscript"/>
                    </w:rPr>
                    <w:t>3</w:t>
                  </w:r>
                  <w:r>
                    <w:rPr>
                      <w:rFonts w:cs="Times New Roman"/>
                      <w:color w:val="000000"/>
                      <w:szCs w:val="21"/>
                    </w:rPr>
                    <w:t>-N</w:t>
                  </w:r>
                </w:p>
              </w:tc>
              <w:tc>
                <w:tcPr>
                  <w:tcW w:w="10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404"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1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02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3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59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8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75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TP</w:t>
                  </w:r>
                </w:p>
              </w:tc>
              <w:tc>
                <w:tcPr>
                  <w:tcW w:w="10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16"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021"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83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59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18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4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75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TN</w:t>
                  </w:r>
                </w:p>
              </w:tc>
              <w:tc>
                <w:tcPr>
                  <w:tcW w:w="10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15</w:t>
                  </w:r>
                </w:p>
              </w:tc>
            </w:tr>
          </w:tbl>
          <w:p>
            <w:pPr>
              <w:pStyle w:val="9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80"/>
              <w:textAlignment w:val="auto"/>
              <w:rPr>
                <w:rFonts w:eastAsia="黑体" w:cs="Times New Roman"/>
                <w:color w:val="000000"/>
              </w:rPr>
            </w:pPr>
            <w:r>
              <w:rPr>
                <w:rFonts w:cs="Times New Roman"/>
                <w:color w:val="000000"/>
                <w:sz w:val="24"/>
                <w:szCs w:val="22"/>
              </w:rPr>
              <w:t>③废水污染物排放执行标准表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80"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ascii="Times New Roman" w:hAnsi="Times New Roman" w:eastAsia="黑体" w:cs="Times New Roman"/>
                <w:b w:val="0"/>
                <w:bCs w:val="0"/>
                <w:color w:val="auto"/>
                <w:sz w:val="24"/>
                <w:szCs w:val="24"/>
                <w:lang w:val="en-US" w:eastAsia="zh-CN"/>
              </w:rPr>
              <w:t>20</w:t>
            </w:r>
            <w:r>
              <w:rPr>
                <w:rFonts w:hint="default" w:ascii="Times New Roman" w:hAnsi="Times New Roman" w:eastAsia="黑体" w:cs="Times New Roman"/>
                <w:b w:val="0"/>
                <w:bCs w:val="0"/>
                <w:color w:val="auto"/>
                <w:sz w:val="24"/>
                <w:szCs w:val="24"/>
                <w:lang w:val="en-US" w:eastAsia="zh-CN"/>
              </w:rPr>
              <w:t xml:space="preserve"> </w:t>
            </w:r>
            <w:r>
              <w:rPr>
                <w:rFonts w:hint="eastAsia" w:ascii="Times New Roman" w:hAnsi="Times New Roman" w:eastAsia="黑体" w:cs="Times New Roman"/>
                <w:b w:val="0"/>
                <w:bCs w:val="0"/>
                <w:color w:val="auto"/>
                <w:sz w:val="24"/>
                <w:szCs w:val="24"/>
                <w:lang w:val="en-US" w:eastAsia="zh-CN"/>
              </w:rPr>
              <w:t xml:space="preserve"> </w:t>
            </w:r>
            <w:r>
              <w:rPr>
                <w:rFonts w:hint="default" w:ascii="Times New Roman" w:hAnsi="Times New Roman" w:eastAsia="黑体" w:cs="Times New Roman"/>
                <w:b w:val="0"/>
                <w:bCs w:val="0"/>
                <w:color w:val="auto"/>
                <w:sz w:val="24"/>
                <w:szCs w:val="24"/>
                <w:lang w:val="en-US" w:eastAsia="zh-CN"/>
              </w:rPr>
              <w:t>废水污染物排放执行标准表</w:t>
            </w:r>
          </w:p>
          <w:tbl>
            <w:tblPr>
              <w:tblStyle w:val="30"/>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309"/>
              <w:gridCol w:w="1705"/>
              <w:gridCol w:w="2213"/>
              <w:gridCol w:w="22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62"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序号</w:t>
                  </w:r>
                </w:p>
              </w:tc>
              <w:tc>
                <w:tcPr>
                  <w:tcW w:w="1309"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排放口编号</w:t>
                  </w:r>
                </w:p>
              </w:tc>
              <w:tc>
                <w:tcPr>
                  <w:tcW w:w="1705"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污染物种类</w:t>
                  </w:r>
                </w:p>
              </w:tc>
              <w:tc>
                <w:tcPr>
                  <w:tcW w:w="4446" w:type="dxa"/>
                  <w:gridSpan w:val="2"/>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国家或地方污染物排放标准及其他按规定商定的排放协议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62"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13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1705"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p>
              </w:tc>
              <w:tc>
                <w:tcPr>
                  <w:tcW w:w="221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名称</w:t>
                  </w:r>
                </w:p>
              </w:tc>
              <w:tc>
                <w:tcPr>
                  <w:tcW w:w="223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浓度限值/（mg/L）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6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1</w:t>
                  </w:r>
                </w:p>
              </w:tc>
              <w:tc>
                <w:tcPr>
                  <w:tcW w:w="1309"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DW001</w:t>
                  </w:r>
                </w:p>
              </w:tc>
              <w:tc>
                <w:tcPr>
                  <w:tcW w:w="17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COD</w:t>
                  </w:r>
                </w:p>
              </w:tc>
              <w:tc>
                <w:tcPr>
                  <w:tcW w:w="2213"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eastAsia" w:cs="Times New Roman"/>
                      <w:color w:val="000000"/>
                      <w:szCs w:val="21"/>
                    </w:rPr>
                  </w:pPr>
                  <w:r>
                    <w:rPr>
                      <w:rFonts w:hint="eastAsia" w:cs="Times New Roman"/>
                      <w:color w:val="000000"/>
                      <w:szCs w:val="21"/>
                      <w:lang w:eastAsia="zh-CN"/>
                    </w:rPr>
                    <w:t>新乡县综合污水处理厂</w:t>
                  </w:r>
                  <w:r>
                    <w:rPr>
                      <w:rFonts w:cs="Times New Roman"/>
                      <w:color w:val="000000"/>
                      <w:szCs w:val="21"/>
                    </w:rPr>
                    <w:t>收水标准</w:t>
                  </w:r>
                  <w:r>
                    <w:rPr>
                      <w:rFonts w:hint="eastAsia" w:cs="Times New Roman"/>
                      <w:color w:val="000000"/>
                      <w:szCs w:val="21"/>
                    </w:rPr>
                    <w:t>、</w:t>
                  </w:r>
                  <w:r>
                    <w:rPr>
                      <w:rFonts w:hint="eastAsia"/>
                      <w:bCs/>
                      <w:lang w:eastAsia="zh-CN"/>
                    </w:rPr>
                    <w:t>《污水排入城镇下水道水质标准》（GB/T31962-2015）表1</w:t>
                  </w:r>
                  <w:r>
                    <w:rPr>
                      <w:rFonts w:hint="eastAsia"/>
                      <w:bCs/>
                      <w:lang w:val="en-US" w:eastAsia="zh-CN"/>
                    </w:rPr>
                    <w:t xml:space="preserve"> </w:t>
                  </w:r>
                  <w:r>
                    <w:rPr>
                      <w:rFonts w:hint="eastAsia"/>
                      <w:bCs/>
                      <w:lang w:eastAsia="zh-CN"/>
                    </w:rPr>
                    <w:t>C级标准</w:t>
                  </w:r>
                </w:p>
              </w:tc>
              <w:tc>
                <w:tcPr>
                  <w:tcW w:w="223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default" w:eastAsia="宋体" w:cs="Times New Roman"/>
                      <w:color w:val="000000"/>
                      <w:szCs w:val="21"/>
                      <w:lang w:val="en-US" w:eastAsia="zh-CN"/>
                    </w:rPr>
                  </w:pPr>
                  <w:r>
                    <w:rPr>
                      <w:rFonts w:hint="eastAsia" w:cs="Times New Roman"/>
                      <w:color w:val="000000"/>
                      <w:szCs w:val="21"/>
                      <w:lang w:val="en-US" w:eastAsia="zh-CN"/>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6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3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rPr>
                    <w:t>BOD</w:t>
                  </w:r>
                  <w:r>
                    <w:rPr>
                      <w:rFonts w:hint="eastAsia" w:cs="Times New Roman"/>
                      <w:color w:val="000000"/>
                      <w:szCs w:val="21"/>
                      <w:vertAlign w:val="subscript"/>
                    </w:rPr>
                    <w:t>5</w:t>
                  </w:r>
                </w:p>
              </w:tc>
              <w:tc>
                <w:tcPr>
                  <w:tcW w:w="2213"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eastAsia" w:cs="Times New Roman"/>
                      <w:color w:val="000000"/>
                      <w:szCs w:val="21"/>
                    </w:rPr>
                  </w:pPr>
                </w:p>
              </w:tc>
              <w:tc>
                <w:tcPr>
                  <w:tcW w:w="223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6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2</w:t>
                  </w:r>
                </w:p>
              </w:tc>
              <w:tc>
                <w:tcPr>
                  <w:tcW w:w="13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SS</w:t>
                  </w:r>
                </w:p>
              </w:tc>
              <w:tc>
                <w:tcPr>
                  <w:tcW w:w="2213"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223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default" w:eastAsia="宋体" w:cs="Times New Roman"/>
                      <w:color w:val="000000"/>
                      <w:szCs w:val="21"/>
                      <w:lang w:val="en-US" w:eastAsia="zh-CN"/>
                    </w:rPr>
                  </w:pPr>
                  <w:r>
                    <w:rPr>
                      <w:rFonts w:hint="eastAsia" w:cs="Times New Roman"/>
                      <w:color w:val="000000"/>
                      <w:szCs w:val="21"/>
                      <w:lang w:val="en-US" w:eastAsia="zh-CN"/>
                    </w:rPr>
                    <w:t>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6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3</w:t>
                  </w:r>
                </w:p>
              </w:tc>
              <w:tc>
                <w:tcPr>
                  <w:tcW w:w="13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NH</w:t>
                  </w:r>
                  <w:r>
                    <w:rPr>
                      <w:rFonts w:cs="Times New Roman"/>
                      <w:color w:val="000000"/>
                      <w:szCs w:val="21"/>
                      <w:vertAlign w:val="subscript"/>
                    </w:rPr>
                    <w:t>3</w:t>
                  </w:r>
                  <w:r>
                    <w:rPr>
                      <w:rFonts w:cs="Times New Roman"/>
                      <w:color w:val="000000"/>
                      <w:szCs w:val="21"/>
                    </w:rPr>
                    <w:t>-N</w:t>
                  </w:r>
                </w:p>
              </w:tc>
              <w:tc>
                <w:tcPr>
                  <w:tcW w:w="2213"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223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default" w:eastAsia="宋体" w:cs="Times New Roman"/>
                      <w:color w:val="000000"/>
                      <w:szCs w:val="21"/>
                      <w:lang w:val="en-US" w:eastAsia="zh-CN"/>
                    </w:rPr>
                  </w:pPr>
                  <w:r>
                    <w:rPr>
                      <w:rFonts w:hint="eastAsia" w:cs="Times New Roman"/>
                      <w:color w:val="000000"/>
                      <w:szCs w:val="21"/>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6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4</w:t>
                  </w:r>
                </w:p>
              </w:tc>
              <w:tc>
                <w:tcPr>
                  <w:tcW w:w="13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TP</w:t>
                  </w:r>
                </w:p>
              </w:tc>
              <w:tc>
                <w:tcPr>
                  <w:tcW w:w="2213"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223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6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5</w:t>
                  </w:r>
                </w:p>
              </w:tc>
              <w:tc>
                <w:tcPr>
                  <w:tcW w:w="1309"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05"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TN</w:t>
                  </w:r>
                </w:p>
              </w:tc>
              <w:tc>
                <w:tcPr>
                  <w:tcW w:w="2213"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2233"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45</w:t>
                  </w:r>
                </w:p>
              </w:tc>
            </w:tr>
          </w:tbl>
          <w:p>
            <w:pPr>
              <w:pStyle w:val="9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80"/>
              <w:textAlignment w:val="auto"/>
              <w:rPr>
                <w:rFonts w:cs="Times New Roman"/>
                <w:color w:val="000000"/>
                <w:sz w:val="24"/>
                <w:szCs w:val="22"/>
              </w:rPr>
            </w:pPr>
            <w:r>
              <w:rPr>
                <w:rFonts w:cs="Times New Roman"/>
                <w:color w:val="000000"/>
                <w:sz w:val="24"/>
                <w:szCs w:val="22"/>
              </w:rPr>
              <w:t>④废水污染物排放信息表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80"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ascii="Times New Roman" w:hAnsi="Times New Roman" w:eastAsia="黑体" w:cs="Times New Roman"/>
                <w:b w:val="0"/>
                <w:bCs w:val="0"/>
                <w:color w:val="auto"/>
                <w:sz w:val="24"/>
                <w:szCs w:val="24"/>
                <w:lang w:val="en-US" w:eastAsia="zh-CN"/>
              </w:rPr>
              <w:t xml:space="preserve">21 </w:t>
            </w:r>
            <w:r>
              <w:rPr>
                <w:rFonts w:hint="default" w:ascii="Times New Roman" w:hAnsi="Times New Roman" w:eastAsia="黑体" w:cs="Times New Roman"/>
                <w:b w:val="0"/>
                <w:bCs w:val="0"/>
                <w:color w:val="auto"/>
                <w:sz w:val="24"/>
                <w:szCs w:val="24"/>
                <w:lang w:val="en-US" w:eastAsia="zh-CN"/>
              </w:rPr>
              <w:t>废水污染物排放信息表</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368"/>
              <w:gridCol w:w="1780"/>
              <w:gridCol w:w="1421"/>
              <w:gridCol w:w="1422"/>
              <w:gridCol w:w="14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11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序号</w:t>
                  </w:r>
                </w:p>
              </w:tc>
              <w:tc>
                <w:tcPr>
                  <w:tcW w:w="1368"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排放口编号</w:t>
                  </w:r>
                </w:p>
              </w:tc>
              <w:tc>
                <w:tcPr>
                  <w:tcW w:w="178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污染物种类</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排放浓度/（mg/L）</w:t>
                  </w:r>
                </w:p>
              </w:tc>
              <w:tc>
                <w:tcPr>
                  <w:tcW w:w="142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日排放量/（kg/d）</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bCs/>
                      <w:color w:val="000000"/>
                      <w:szCs w:val="21"/>
                    </w:rPr>
                  </w:pPr>
                  <w:r>
                    <w:rPr>
                      <w:rFonts w:cs="Times New Roman"/>
                      <w:bCs/>
                      <w:color w:val="000000"/>
                      <w:szCs w:val="21"/>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11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1</w:t>
                  </w:r>
                </w:p>
              </w:tc>
              <w:tc>
                <w:tcPr>
                  <w:tcW w:w="1368" w:type="dxa"/>
                  <w:vMerge w:val="restart"/>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DW001</w:t>
                  </w:r>
                </w:p>
              </w:tc>
              <w:tc>
                <w:tcPr>
                  <w:tcW w:w="178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COD</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58.6 </w:t>
                  </w:r>
                </w:p>
              </w:tc>
              <w:tc>
                <w:tcPr>
                  <w:tcW w:w="142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0.3789 </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0.1137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11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2</w:t>
                  </w:r>
                </w:p>
              </w:tc>
              <w:tc>
                <w:tcPr>
                  <w:tcW w:w="136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8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SS</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33.5 </w:t>
                  </w:r>
                </w:p>
              </w:tc>
              <w:tc>
                <w:tcPr>
                  <w:tcW w:w="142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0.2170 </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0.0651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11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hint="eastAsia" w:cs="Times New Roman"/>
                      <w:color w:val="000000"/>
                      <w:szCs w:val="21"/>
                    </w:rPr>
                  </w:pPr>
                  <w:r>
                    <w:rPr>
                      <w:rFonts w:hint="eastAsia" w:cs="Times New Roman"/>
                      <w:color w:val="000000"/>
                      <w:szCs w:val="21"/>
                    </w:rPr>
                    <w:t>3</w:t>
                  </w:r>
                </w:p>
              </w:tc>
              <w:tc>
                <w:tcPr>
                  <w:tcW w:w="136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8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BOD</w:t>
                  </w:r>
                  <w:r>
                    <w:rPr>
                      <w:rFonts w:cs="Times New Roman"/>
                      <w:color w:val="000000"/>
                      <w:szCs w:val="21"/>
                      <w:vertAlign w:val="subscript"/>
                    </w:rPr>
                    <w:t>5</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25.5 </w:t>
                  </w:r>
                </w:p>
              </w:tc>
              <w:tc>
                <w:tcPr>
                  <w:tcW w:w="142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0.1648 </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0.0494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11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4</w:t>
                  </w:r>
                </w:p>
              </w:tc>
              <w:tc>
                <w:tcPr>
                  <w:tcW w:w="136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8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NH</w:t>
                  </w:r>
                  <w:r>
                    <w:rPr>
                      <w:rFonts w:cs="Times New Roman"/>
                      <w:color w:val="000000"/>
                      <w:szCs w:val="21"/>
                      <w:vertAlign w:val="subscript"/>
                    </w:rPr>
                    <w:t>3</w:t>
                  </w:r>
                  <w:r>
                    <w:rPr>
                      <w:rFonts w:cs="Times New Roman"/>
                      <w:color w:val="000000"/>
                      <w:szCs w:val="21"/>
                    </w:rPr>
                    <w:t>-N</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10.0 </w:t>
                  </w:r>
                </w:p>
              </w:tc>
              <w:tc>
                <w:tcPr>
                  <w:tcW w:w="142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0.0648 </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0.0194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11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5</w:t>
                  </w:r>
                </w:p>
              </w:tc>
              <w:tc>
                <w:tcPr>
                  <w:tcW w:w="1368" w:type="dxa"/>
                  <w:vMerge w:val="continue"/>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8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TP</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0.77 </w:t>
                  </w:r>
                </w:p>
              </w:tc>
              <w:tc>
                <w:tcPr>
                  <w:tcW w:w="142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0.0050 </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0.0015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110" w:type="dxa"/>
                  <w:noWrap w:val="0"/>
                  <w:vAlign w:val="top"/>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6</w:t>
                  </w:r>
                </w:p>
              </w:tc>
              <w:tc>
                <w:tcPr>
                  <w:tcW w:w="1368" w:type="dxa"/>
                  <w:vMerge w:val="continue"/>
                  <w:noWrap w:val="0"/>
                  <w:vAlign w:val="top"/>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p>
              </w:tc>
              <w:tc>
                <w:tcPr>
                  <w:tcW w:w="1780"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cs="Times New Roman"/>
                      <w:color w:val="000000"/>
                      <w:szCs w:val="21"/>
                    </w:rPr>
                    <w:t>TN</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14.4 </w:t>
                  </w:r>
                </w:p>
              </w:tc>
              <w:tc>
                <w:tcPr>
                  <w:tcW w:w="1422"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0.0933 </w:t>
                  </w:r>
                </w:p>
              </w:tc>
              <w:tc>
                <w:tcPr>
                  <w:tcW w:w="1421" w:type="dxa"/>
                  <w:noWrap w:val="0"/>
                  <w:vAlign w:val="center"/>
                </w:tcPr>
                <w:p>
                  <w:pPr>
                    <w:pStyle w:val="95"/>
                    <w:keepNext w:val="0"/>
                    <w:keepLines w:val="0"/>
                    <w:suppressLineNumbers w:val="0"/>
                    <w:spacing w:before="0" w:beforeAutospacing="0" w:after="0" w:afterAutospacing="0" w:line="360" w:lineRule="exact"/>
                    <w:ind w:left="0" w:right="0" w:firstLine="0" w:firstLineChars="0"/>
                    <w:jc w:val="center"/>
                    <w:rPr>
                      <w:rFonts w:cs="Times New Roman"/>
                      <w:color w:val="000000"/>
                      <w:szCs w:val="21"/>
                    </w:rPr>
                  </w:pPr>
                  <w:r>
                    <w:rPr>
                      <w:rFonts w:hint="eastAsia" w:cs="Times New Roman"/>
                      <w:color w:val="000000"/>
                      <w:szCs w:val="21"/>
                      <w:lang w:val="en-US" w:eastAsia="zh-CN"/>
                    </w:rPr>
                    <w:t xml:space="preserve">0.0280 </w:t>
                  </w:r>
                </w:p>
              </w:tc>
            </w:tr>
          </w:tbl>
          <w:p>
            <w:pPr>
              <w:pStyle w:val="66"/>
              <w:keepNext w:val="0"/>
              <w:keepLines w:val="0"/>
              <w:suppressLineNumbers w:val="0"/>
              <w:spacing w:before="0" w:beforeAutospacing="0" w:after="0" w:afterAutospacing="0"/>
              <w:ind w:left="0" w:right="0" w:firstLine="480"/>
            </w:pPr>
            <w:r>
              <w:rPr>
                <w:color w:val="000000"/>
              </w:rPr>
              <w:t xml:space="preserve">由上表可知，本项目废水污染物出厂排放总量：COD </w:t>
            </w:r>
            <w:r>
              <w:rPr>
                <w:rFonts w:hint="eastAsia"/>
                <w:color w:val="000000"/>
                <w:lang w:val="en-US" w:eastAsia="zh-CN"/>
              </w:rPr>
              <w:t>0.1137</w:t>
            </w:r>
            <w:r>
              <w:rPr>
                <w:color w:val="000000"/>
              </w:rPr>
              <w:t>t/a、SS 0.0</w:t>
            </w:r>
            <w:r>
              <w:rPr>
                <w:rFonts w:hint="eastAsia"/>
                <w:color w:val="000000"/>
                <w:lang w:val="en-US" w:eastAsia="zh-CN"/>
              </w:rPr>
              <w:t>651</w:t>
            </w:r>
            <w:r>
              <w:rPr>
                <w:color w:val="000000"/>
              </w:rPr>
              <w:t>t/a、BOD</w:t>
            </w:r>
            <w:r>
              <w:rPr>
                <w:color w:val="000000"/>
                <w:vertAlign w:val="subscript"/>
              </w:rPr>
              <w:t>5</w:t>
            </w:r>
            <w:r>
              <w:rPr>
                <w:color w:val="000000"/>
              </w:rPr>
              <w:t xml:space="preserve"> 0.0</w:t>
            </w:r>
            <w:r>
              <w:rPr>
                <w:rFonts w:hint="eastAsia"/>
                <w:color w:val="000000"/>
                <w:lang w:val="en-US" w:eastAsia="zh-CN"/>
              </w:rPr>
              <w:t>494</w:t>
            </w:r>
            <w:r>
              <w:rPr>
                <w:color w:val="000000"/>
              </w:rPr>
              <w:t>t/a、NH</w:t>
            </w:r>
            <w:r>
              <w:rPr>
                <w:color w:val="000000"/>
                <w:vertAlign w:val="subscript"/>
              </w:rPr>
              <w:t>3</w:t>
            </w:r>
            <w:r>
              <w:rPr>
                <w:color w:val="000000"/>
              </w:rPr>
              <w:t>-N 0.0</w:t>
            </w:r>
            <w:r>
              <w:rPr>
                <w:rFonts w:hint="eastAsia"/>
                <w:color w:val="000000"/>
              </w:rPr>
              <w:t>1</w:t>
            </w:r>
            <w:r>
              <w:rPr>
                <w:rFonts w:hint="eastAsia"/>
                <w:color w:val="000000"/>
                <w:lang w:val="en-US" w:eastAsia="zh-CN"/>
              </w:rPr>
              <w:t>94</w:t>
            </w:r>
            <w:r>
              <w:rPr>
                <w:color w:val="000000"/>
              </w:rPr>
              <w:t>t/a、TP 0.00</w:t>
            </w:r>
            <w:r>
              <w:rPr>
                <w:rFonts w:hint="eastAsia"/>
                <w:color w:val="000000"/>
                <w:lang w:val="en-US" w:eastAsia="zh-CN"/>
              </w:rPr>
              <w:t>15</w:t>
            </w:r>
            <w:r>
              <w:rPr>
                <w:color w:val="000000"/>
              </w:rPr>
              <w:t>t/a、TN 0.0</w:t>
            </w:r>
            <w:r>
              <w:rPr>
                <w:rFonts w:hint="eastAsia"/>
                <w:color w:val="000000"/>
              </w:rPr>
              <w:t>2</w:t>
            </w:r>
            <w:r>
              <w:rPr>
                <w:rFonts w:hint="eastAsia"/>
                <w:color w:val="000000"/>
                <w:lang w:val="en-US" w:eastAsia="zh-CN"/>
              </w:rPr>
              <w:t>80</w:t>
            </w:r>
            <w:r>
              <w:rPr>
                <w:color w:val="000000"/>
              </w:rPr>
              <w:t>t/a，经</w:t>
            </w:r>
            <w:r>
              <w:rPr>
                <w:rFonts w:hint="eastAsia"/>
                <w:color w:val="000000"/>
                <w:lang w:eastAsia="zh-CN"/>
              </w:rPr>
              <w:t>新乡县综合污水处理厂</w:t>
            </w:r>
            <w:r>
              <w:rPr>
                <w:color w:val="000000"/>
              </w:rPr>
              <w:t>处理后废水污染物排放总量为</w:t>
            </w:r>
            <w:r>
              <w:rPr>
                <w:rFonts w:ascii="Times New Roman" w:hAnsi="Times New Roman" w:cs="Times New Roman"/>
                <w:kern w:val="0"/>
                <w:sz w:val="24"/>
                <w:lang w:val="en-US" w:bidi="ar-SA"/>
              </w:rPr>
              <w:t>COD</w:t>
            </w:r>
            <w:r>
              <w:rPr>
                <w:rFonts w:hint="eastAsia" w:ascii="Times New Roman" w:hAnsi="Times New Roman" w:cs="Times New Roman"/>
                <w:kern w:val="0"/>
                <w:sz w:val="24"/>
                <w:lang w:val="en-US" w:bidi="ar-SA"/>
              </w:rPr>
              <w:t>0.0</w:t>
            </w:r>
            <w:r>
              <w:rPr>
                <w:rFonts w:hint="eastAsia" w:cs="Times New Roman"/>
                <w:kern w:val="0"/>
                <w:sz w:val="24"/>
                <w:lang w:val="en-US" w:eastAsia="zh-CN" w:bidi="ar-SA"/>
              </w:rPr>
              <w:t>776</w:t>
            </w:r>
            <w:r>
              <w:rPr>
                <w:rFonts w:ascii="Times New Roman" w:hAnsi="Times New Roman" w:cs="Times New Roman"/>
                <w:kern w:val="0"/>
                <w:sz w:val="24"/>
                <w:lang w:val="en-US" w:bidi="ar-SA"/>
              </w:rPr>
              <w:t>t/a、NH</w:t>
            </w:r>
            <w:r>
              <w:rPr>
                <w:rFonts w:ascii="Times New Roman" w:hAnsi="Times New Roman" w:cs="Times New Roman"/>
                <w:kern w:val="0"/>
                <w:sz w:val="24"/>
                <w:vertAlign w:val="subscript"/>
                <w:lang w:val="en-US" w:bidi="ar-SA"/>
              </w:rPr>
              <w:t>3</w:t>
            </w:r>
            <w:r>
              <w:rPr>
                <w:rFonts w:ascii="Times New Roman" w:hAnsi="Times New Roman" w:cs="Times New Roman"/>
                <w:kern w:val="0"/>
                <w:sz w:val="24"/>
                <w:lang w:val="en-US" w:bidi="ar-SA"/>
              </w:rPr>
              <w:t>-N0.00</w:t>
            </w:r>
            <w:r>
              <w:rPr>
                <w:rFonts w:hint="eastAsia" w:cs="Times New Roman"/>
                <w:kern w:val="0"/>
                <w:sz w:val="24"/>
                <w:lang w:val="en-US" w:eastAsia="zh-CN" w:bidi="ar-SA"/>
              </w:rPr>
              <w:t>39</w:t>
            </w:r>
            <w:r>
              <w:rPr>
                <w:rFonts w:ascii="Times New Roman" w:hAnsi="Times New Roman" w:cs="Times New Roman"/>
                <w:kern w:val="0"/>
                <w:sz w:val="24"/>
                <w:lang w:val="en-US" w:bidi="ar-SA"/>
              </w:rPr>
              <w:t>t/a</w:t>
            </w:r>
            <w:r>
              <w:rPr>
                <w:color w:val="000000"/>
              </w:rPr>
              <w:t>。</w:t>
            </w:r>
          </w:p>
          <w:p>
            <w:pPr>
              <w:pStyle w:val="66"/>
              <w:keepNext w:val="0"/>
              <w:keepLines w:val="0"/>
              <w:suppressLineNumbers w:val="0"/>
              <w:spacing w:before="0" w:beforeAutospacing="0" w:after="0" w:afterAutospacing="0"/>
              <w:ind w:left="0" w:right="0" w:firstLine="480"/>
              <w:rPr>
                <w:spacing w:val="-6"/>
              </w:rPr>
            </w:pPr>
            <w:r>
              <w:t>（4）</w:t>
            </w:r>
            <w:r>
              <w:rPr>
                <w:spacing w:val="-6"/>
              </w:rPr>
              <w:t>监测要求</w:t>
            </w:r>
          </w:p>
          <w:p>
            <w:pPr>
              <w:pStyle w:val="6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80"/>
              <w:textAlignment w:val="auto"/>
            </w:pPr>
            <w:r>
              <w:rPr>
                <w:color w:val="000000"/>
              </w:rPr>
              <w:t>根据《排污单位自行监测技术指南  总则》（HJ 819-2017）的规定，评价提出本项目在生产运行阶段的污染源监测计划，具体监测计划见</w:t>
            </w:r>
            <w:r>
              <w:rPr>
                <w:rFonts w:hint="eastAsia"/>
                <w:color w:val="000000"/>
                <w:lang w:val="en-US" w:eastAsia="zh-CN"/>
              </w:rPr>
              <w:t>下表</w:t>
            </w:r>
            <w:r>
              <w:rPr>
                <w:color w:val="000000"/>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leftChars="0" w:right="0" w:firstLine="480"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ascii="Times New Roman" w:hAnsi="Times New Roman" w:eastAsia="黑体" w:cs="Times New Roman"/>
                <w:b w:val="0"/>
                <w:bCs w:val="0"/>
                <w:color w:val="auto"/>
                <w:sz w:val="24"/>
                <w:szCs w:val="24"/>
                <w:lang w:val="en-US" w:eastAsia="zh-CN"/>
              </w:rPr>
              <w:t>22</w:t>
            </w:r>
            <w:r>
              <w:rPr>
                <w:rFonts w:hint="default" w:ascii="Times New Roman" w:hAnsi="Times New Roman" w:eastAsia="黑体" w:cs="Times New Roman"/>
                <w:b w:val="0"/>
                <w:bCs w:val="0"/>
                <w:color w:val="auto"/>
                <w:sz w:val="24"/>
                <w:szCs w:val="24"/>
                <w:lang w:val="en-US" w:eastAsia="zh-CN"/>
              </w:rPr>
              <w:t xml:space="preserve">    废水监测计划一览表</w:t>
            </w:r>
          </w:p>
          <w:tbl>
            <w:tblPr>
              <w:tblStyle w:val="30"/>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2390"/>
              <w:gridCol w:w="1256"/>
              <w:gridCol w:w="3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61" w:type="dxa"/>
                  <w:noWrap w:val="0"/>
                  <w:vAlign w:val="center"/>
                </w:tcPr>
                <w:p>
                  <w:pPr>
                    <w:pStyle w:val="14"/>
                    <w:keepNext w:val="0"/>
                    <w:keepLines w:val="0"/>
                    <w:suppressLineNumbers w:val="0"/>
                    <w:snapToGrid w:val="0"/>
                    <w:spacing w:before="0" w:beforeAutospacing="0" w:after="0" w:afterAutospacing="0" w:line="360" w:lineRule="exact"/>
                    <w:ind w:left="0" w:leftChars="0" w:right="0"/>
                    <w:jc w:val="center"/>
                    <w:rPr>
                      <w:kern w:val="2"/>
                      <w:sz w:val="21"/>
                      <w:szCs w:val="21"/>
                    </w:rPr>
                  </w:pPr>
                  <w:r>
                    <w:rPr>
                      <w:kern w:val="2"/>
                      <w:sz w:val="21"/>
                      <w:szCs w:val="21"/>
                    </w:rPr>
                    <w:t>监测点位</w:t>
                  </w:r>
                </w:p>
              </w:tc>
              <w:tc>
                <w:tcPr>
                  <w:tcW w:w="2390" w:type="dxa"/>
                  <w:noWrap w:val="0"/>
                  <w:vAlign w:val="center"/>
                </w:tcPr>
                <w:p>
                  <w:pPr>
                    <w:pStyle w:val="14"/>
                    <w:keepNext w:val="0"/>
                    <w:keepLines w:val="0"/>
                    <w:suppressLineNumbers w:val="0"/>
                    <w:snapToGrid w:val="0"/>
                    <w:spacing w:before="0" w:beforeAutospacing="0" w:after="0" w:afterAutospacing="0" w:line="360" w:lineRule="exact"/>
                    <w:ind w:left="0" w:leftChars="0" w:right="0"/>
                    <w:jc w:val="center"/>
                    <w:rPr>
                      <w:kern w:val="2"/>
                      <w:sz w:val="21"/>
                      <w:szCs w:val="21"/>
                    </w:rPr>
                  </w:pPr>
                  <w:r>
                    <w:rPr>
                      <w:kern w:val="2"/>
                      <w:sz w:val="21"/>
                      <w:szCs w:val="21"/>
                    </w:rPr>
                    <w:t>监测因子</w:t>
                  </w:r>
                </w:p>
              </w:tc>
              <w:tc>
                <w:tcPr>
                  <w:tcW w:w="1256" w:type="dxa"/>
                  <w:noWrap w:val="0"/>
                  <w:vAlign w:val="center"/>
                </w:tcPr>
                <w:p>
                  <w:pPr>
                    <w:pStyle w:val="14"/>
                    <w:keepNext w:val="0"/>
                    <w:keepLines w:val="0"/>
                    <w:suppressLineNumbers w:val="0"/>
                    <w:snapToGrid w:val="0"/>
                    <w:spacing w:before="0" w:beforeAutospacing="0" w:after="0" w:afterAutospacing="0" w:line="360" w:lineRule="exact"/>
                    <w:ind w:left="0" w:leftChars="0" w:right="0"/>
                    <w:jc w:val="center"/>
                    <w:rPr>
                      <w:kern w:val="2"/>
                      <w:sz w:val="21"/>
                      <w:szCs w:val="21"/>
                    </w:rPr>
                  </w:pPr>
                  <w:r>
                    <w:rPr>
                      <w:kern w:val="2"/>
                      <w:sz w:val="21"/>
                      <w:szCs w:val="21"/>
                    </w:rPr>
                    <w:t>监测频次</w:t>
                  </w:r>
                </w:p>
              </w:tc>
              <w:tc>
                <w:tcPr>
                  <w:tcW w:w="3415" w:type="dxa"/>
                  <w:noWrap w:val="0"/>
                  <w:vAlign w:val="center"/>
                </w:tcPr>
                <w:p>
                  <w:pPr>
                    <w:pStyle w:val="14"/>
                    <w:keepNext w:val="0"/>
                    <w:keepLines w:val="0"/>
                    <w:suppressLineNumbers w:val="0"/>
                    <w:snapToGrid w:val="0"/>
                    <w:spacing w:before="0" w:beforeAutospacing="0" w:after="0" w:afterAutospacing="0" w:line="360" w:lineRule="exact"/>
                    <w:ind w:left="0" w:leftChars="0" w:right="0"/>
                    <w:jc w:val="center"/>
                    <w:rPr>
                      <w:kern w:val="2"/>
                      <w:sz w:val="21"/>
                      <w:szCs w:val="21"/>
                    </w:rPr>
                  </w:pPr>
                  <w:r>
                    <w:rPr>
                      <w:kern w:val="2"/>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1461" w:type="dxa"/>
                  <w:noWrap w:val="0"/>
                  <w:vAlign w:val="center"/>
                </w:tcPr>
                <w:p>
                  <w:pPr>
                    <w:pStyle w:val="14"/>
                    <w:keepNext w:val="0"/>
                    <w:keepLines w:val="0"/>
                    <w:suppressLineNumbers w:val="0"/>
                    <w:snapToGrid w:val="0"/>
                    <w:spacing w:before="0" w:beforeAutospacing="0" w:after="0" w:afterAutospacing="0" w:line="360" w:lineRule="exact"/>
                    <w:ind w:left="0" w:leftChars="0" w:right="0"/>
                    <w:jc w:val="center"/>
                    <w:rPr>
                      <w:kern w:val="2"/>
                      <w:sz w:val="21"/>
                      <w:szCs w:val="21"/>
                    </w:rPr>
                  </w:pPr>
                  <w:r>
                    <w:rPr>
                      <w:kern w:val="2"/>
                      <w:sz w:val="21"/>
                      <w:szCs w:val="21"/>
                    </w:rPr>
                    <w:t>DW001厂区污水排放口</w:t>
                  </w:r>
                </w:p>
              </w:tc>
              <w:tc>
                <w:tcPr>
                  <w:tcW w:w="2390"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流量、pH、COD、BOD</w:t>
                  </w:r>
                  <w:r>
                    <w:rPr>
                      <w:szCs w:val="21"/>
                      <w:vertAlign w:val="subscript"/>
                    </w:rPr>
                    <w:t>5</w:t>
                  </w:r>
                  <w:r>
                    <w:rPr>
                      <w:szCs w:val="21"/>
                    </w:rPr>
                    <w:t>、SS、NH</w:t>
                  </w:r>
                  <w:r>
                    <w:rPr>
                      <w:szCs w:val="21"/>
                      <w:vertAlign w:val="subscript"/>
                    </w:rPr>
                    <w:t>3</w:t>
                  </w:r>
                  <w:r>
                    <w:rPr>
                      <w:szCs w:val="21"/>
                    </w:rPr>
                    <w:t>-N、TP、TN</w:t>
                  </w:r>
                </w:p>
              </w:tc>
              <w:tc>
                <w:tcPr>
                  <w:tcW w:w="1256" w:type="dxa"/>
                  <w:noWrap w:val="0"/>
                  <w:vAlign w:val="center"/>
                </w:tcPr>
                <w:p>
                  <w:pPr>
                    <w:pStyle w:val="14"/>
                    <w:keepNext w:val="0"/>
                    <w:keepLines w:val="0"/>
                    <w:suppressLineNumbers w:val="0"/>
                    <w:snapToGrid w:val="0"/>
                    <w:spacing w:before="0" w:beforeAutospacing="0" w:after="0" w:afterAutospacing="0" w:line="360" w:lineRule="exact"/>
                    <w:ind w:left="0" w:leftChars="0" w:right="0"/>
                    <w:jc w:val="center"/>
                    <w:rPr>
                      <w:kern w:val="2"/>
                      <w:sz w:val="21"/>
                      <w:szCs w:val="21"/>
                    </w:rPr>
                  </w:pPr>
                  <w:r>
                    <w:rPr>
                      <w:rFonts w:hint="eastAsia"/>
                      <w:kern w:val="2"/>
                      <w:sz w:val="21"/>
                      <w:szCs w:val="21"/>
                    </w:rPr>
                    <w:t>1</w:t>
                  </w:r>
                  <w:r>
                    <w:rPr>
                      <w:kern w:val="2"/>
                      <w:sz w:val="21"/>
                      <w:szCs w:val="21"/>
                    </w:rPr>
                    <w:t>次/年</w:t>
                  </w:r>
                </w:p>
              </w:tc>
              <w:tc>
                <w:tcPr>
                  <w:tcW w:w="3415" w:type="dxa"/>
                  <w:noWrap w:val="0"/>
                  <w:vAlign w:val="center"/>
                </w:tcPr>
                <w:p>
                  <w:pPr>
                    <w:pStyle w:val="14"/>
                    <w:keepNext w:val="0"/>
                    <w:keepLines w:val="0"/>
                    <w:suppressLineNumbers w:val="0"/>
                    <w:snapToGrid w:val="0"/>
                    <w:spacing w:before="0" w:beforeAutospacing="0" w:after="0" w:afterAutospacing="0" w:line="360" w:lineRule="exact"/>
                    <w:ind w:left="0" w:leftChars="0" w:right="0"/>
                    <w:jc w:val="center"/>
                    <w:rPr>
                      <w:rFonts w:hint="eastAsia"/>
                      <w:sz w:val="21"/>
                      <w:szCs w:val="21"/>
                    </w:rPr>
                  </w:pPr>
                  <w:r>
                    <w:rPr>
                      <w:rFonts w:hint="eastAsia"/>
                      <w:sz w:val="21"/>
                      <w:szCs w:val="21"/>
                      <w:lang w:eastAsia="zh-CN"/>
                    </w:rPr>
                    <w:t>新乡县综合污水处理厂</w:t>
                  </w:r>
                  <w:r>
                    <w:rPr>
                      <w:sz w:val="21"/>
                      <w:szCs w:val="21"/>
                    </w:rPr>
                    <w:t>收水标准</w:t>
                  </w:r>
                  <w:r>
                    <w:rPr>
                      <w:rFonts w:hint="eastAsia"/>
                      <w:sz w:val="21"/>
                      <w:szCs w:val="21"/>
                    </w:rPr>
                    <w:t>及</w:t>
                  </w:r>
                  <w:r>
                    <w:rPr>
                      <w:rFonts w:hint="eastAsia"/>
                      <w:sz w:val="21"/>
                      <w:szCs w:val="21"/>
                      <w:lang w:eastAsia="zh-CN"/>
                    </w:rPr>
                    <w:t>《污水排入城镇下水道水质标准》（GB/T31962-2015）表1</w:t>
                  </w:r>
                  <w:r>
                    <w:rPr>
                      <w:rFonts w:hint="eastAsia"/>
                      <w:sz w:val="21"/>
                      <w:szCs w:val="21"/>
                      <w:lang w:val="en-US" w:eastAsia="zh-CN"/>
                    </w:rPr>
                    <w:t xml:space="preserve"> </w:t>
                  </w:r>
                  <w:r>
                    <w:rPr>
                      <w:rFonts w:hint="eastAsia"/>
                      <w:sz w:val="21"/>
                      <w:szCs w:val="21"/>
                      <w:lang w:eastAsia="zh-CN"/>
                    </w:rPr>
                    <w:t>C级标准</w:t>
                  </w:r>
                </w:p>
              </w:tc>
            </w:tr>
          </w:tbl>
          <w:p>
            <w:pPr>
              <w:keepNext w:val="0"/>
              <w:keepLines w:val="0"/>
              <w:suppressLineNumbers w:val="0"/>
              <w:spacing w:before="0" w:beforeAutospacing="0" w:after="0" w:afterAutospacing="0" w:line="520" w:lineRule="exact"/>
              <w:ind w:left="0" w:right="0" w:firstLine="480" w:firstLineChars="200"/>
              <w:rPr>
                <w:sz w:val="24"/>
              </w:rPr>
            </w:pPr>
            <w:r>
              <w:rPr>
                <w:sz w:val="24"/>
              </w:rPr>
              <w:t>（5）废水</w:t>
            </w:r>
            <w:r>
              <w:rPr>
                <w:spacing w:val="-6"/>
                <w:sz w:val="24"/>
              </w:rPr>
              <w:t>影响分析结论</w:t>
            </w:r>
          </w:p>
          <w:p>
            <w:pPr>
              <w:pStyle w:val="66"/>
              <w:keepNext w:val="0"/>
              <w:keepLines w:val="0"/>
              <w:suppressLineNumbers w:val="0"/>
              <w:spacing w:before="0" w:beforeAutospacing="0" w:after="0" w:afterAutospacing="0"/>
              <w:ind w:left="0" w:right="0" w:firstLine="480"/>
              <w:rPr>
                <w:snapToGrid w:val="0"/>
              </w:rPr>
            </w:pPr>
            <w:r>
              <w:rPr>
                <w:snapToGrid w:val="0"/>
              </w:rPr>
              <w:t>本项目废水经处理后污染物排放浓度分别为</w:t>
            </w:r>
            <w:r>
              <w:rPr>
                <w:sz w:val="24"/>
                <w:szCs w:val="24"/>
              </w:rPr>
              <w:t>COD</w:t>
            </w:r>
            <w:r>
              <w:rPr>
                <w:rFonts w:hint="eastAsia"/>
                <w:sz w:val="24"/>
                <w:szCs w:val="24"/>
                <w:lang w:val="en-US" w:eastAsia="zh-CN"/>
              </w:rPr>
              <w:t>58.6</w:t>
            </w:r>
            <w:r>
              <w:rPr>
                <w:sz w:val="24"/>
                <w:szCs w:val="24"/>
              </w:rPr>
              <w:t>mg/L、BOD</w:t>
            </w:r>
            <w:r>
              <w:rPr>
                <w:sz w:val="24"/>
                <w:szCs w:val="24"/>
                <w:vertAlign w:val="subscript"/>
              </w:rPr>
              <w:t>5</w:t>
            </w:r>
            <w:r>
              <w:rPr>
                <w:rFonts w:hint="eastAsia"/>
                <w:sz w:val="24"/>
                <w:szCs w:val="24"/>
                <w:lang w:val="en-US" w:eastAsia="zh-CN"/>
              </w:rPr>
              <w:t>25.5</w:t>
            </w:r>
            <w:r>
              <w:rPr>
                <w:sz w:val="24"/>
                <w:szCs w:val="24"/>
              </w:rPr>
              <w:t>mg/L、SS</w:t>
            </w:r>
            <w:r>
              <w:rPr>
                <w:rFonts w:hint="eastAsia"/>
                <w:sz w:val="24"/>
                <w:szCs w:val="24"/>
                <w:lang w:val="en-US" w:eastAsia="zh-CN"/>
              </w:rPr>
              <w:t>33.5</w:t>
            </w:r>
            <w:r>
              <w:rPr>
                <w:sz w:val="24"/>
                <w:szCs w:val="24"/>
              </w:rPr>
              <w:t>mg/L、NH</w:t>
            </w:r>
            <w:r>
              <w:rPr>
                <w:sz w:val="24"/>
                <w:szCs w:val="24"/>
                <w:vertAlign w:val="subscript"/>
              </w:rPr>
              <w:t>3</w:t>
            </w:r>
            <w:r>
              <w:rPr>
                <w:sz w:val="24"/>
                <w:szCs w:val="24"/>
              </w:rPr>
              <w:t>-N</w:t>
            </w:r>
            <w:r>
              <w:rPr>
                <w:rFonts w:hint="eastAsia"/>
                <w:sz w:val="24"/>
                <w:szCs w:val="24"/>
                <w:lang w:val="en-US" w:eastAsia="zh-CN"/>
              </w:rPr>
              <w:t>10</w:t>
            </w:r>
            <w:r>
              <w:rPr>
                <w:sz w:val="24"/>
                <w:szCs w:val="24"/>
              </w:rPr>
              <w:t>mg/L、TP0.</w:t>
            </w:r>
            <w:r>
              <w:rPr>
                <w:rFonts w:hint="eastAsia"/>
                <w:sz w:val="24"/>
                <w:szCs w:val="24"/>
                <w:lang w:val="en-US" w:eastAsia="zh-CN"/>
              </w:rPr>
              <w:t>77</w:t>
            </w:r>
            <w:r>
              <w:rPr>
                <w:sz w:val="24"/>
                <w:szCs w:val="24"/>
              </w:rPr>
              <w:t>mg/L、TN</w:t>
            </w:r>
            <w:r>
              <w:rPr>
                <w:rFonts w:hint="eastAsia"/>
                <w:sz w:val="24"/>
                <w:szCs w:val="24"/>
                <w:lang w:val="en-US" w:eastAsia="zh-CN"/>
              </w:rPr>
              <w:t>14.4</w:t>
            </w:r>
            <w:r>
              <w:rPr>
                <w:sz w:val="24"/>
                <w:szCs w:val="24"/>
              </w:rPr>
              <w:t>mg/L</w:t>
            </w:r>
            <w:r>
              <w:t>，</w:t>
            </w:r>
            <w:r>
              <w:rPr>
                <w:bCs/>
              </w:rPr>
              <w:t>出水水质可以满足</w:t>
            </w:r>
            <w:r>
              <w:rPr>
                <w:rFonts w:hint="eastAsia"/>
                <w:bCs/>
                <w:lang w:eastAsia="zh-CN"/>
              </w:rPr>
              <w:t>《污水排入城镇下水道水质标准》（GB/T31962-2015）表1</w:t>
            </w:r>
            <w:r>
              <w:rPr>
                <w:rFonts w:hint="eastAsia"/>
                <w:bCs/>
                <w:lang w:val="en-US" w:eastAsia="zh-CN"/>
              </w:rPr>
              <w:t xml:space="preserve"> </w:t>
            </w:r>
            <w:r>
              <w:rPr>
                <w:rFonts w:hint="eastAsia"/>
                <w:bCs/>
                <w:lang w:eastAsia="zh-CN"/>
              </w:rPr>
              <w:t>C级标准COD300mg/L、</w:t>
            </w:r>
            <w:r>
              <w:rPr>
                <w:rFonts w:hint="eastAsia"/>
                <w:bCs/>
                <w:lang w:val="en-US" w:eastAsia="zh-CN"/>
              </w:rPr>
              <w:t>BOD</w:t>
            </w:r>
            <w:r>
              <w:rPr>
                <w:rFonts w:hint="eastAsia"/>
                <w:bCs/>
                <w:vertAlign w:val="subscript"/>
                <w:lang w:val="en-US" w:eastAsia="zh-CN"/>
              </w:rPr>
              <w:t>5</w:t>
            </w:r>
            <w:r>
              <w:rPr>
                <w:rFonts w:hint="eastAsia"/>
                <w:bCs/>
                <w:lang w:val="en-US" w:eastAsia="zh-CN"/>
              </w:rPr>
              <w:t>150</w:t>
            </w:r>
            <w:r>
              <w:rPr>
                <w:rFonts w:hint="eastAsia"/>
                <w:bCs/>
                <w:lang w:eastAsia="zh-CN"/>
              </w:rPr>
              <w:t>mg/L、NH</w:t>
            </w:r>
            <w:r>
              <w:rPr>
                <w:rFonts w:hint="eastAsia"/>
                <w:bCs/>
                <w:vertAlign w:val="subscript"/>
                <w:lang w:eastAsia="zh-CN"/>
              </w:rPr>
              <w:t>3</w:t>
            </w:r>
            <w:r>
              <w:rPr>
                <w:rFonts w:hint="eastAsia"/>
                <w:bCs/>
                <w:lang w:eastAsia="zh-CN"/>
              </w:rPr>
              <w:t>-N25mg/L、SS300mg/L、TP5.0mg/L、TN45mg/L的要求，同时也能满足新乡县综合污水处理厂收水标准COD400mg/L、NH</w:t>
            </w:r>
            <w:r>
              <w:rPr>
                <w:rFonts w:hint="eastAsia"/>
                <w:bCs/>
                <w:vertAlign w:val="subscript"/>
                <w:lang w:eastAsia="zh-CN"/>
              </w:rPr>
              <w:t>3</w:t>
            </w:r>
            <w:r>
              <w:rPr>
                <w:rFonts w:hint="eastAsia"/>
                <w:bCs/>
                <w:lang w:eastAsia="zh-CN"/>
              </w:rPr>
              <w:t>-N59mg/L、SS180mg/L、TP4mg/L、TN70mg/L的要求</w:t>
            </w:r>
            <w:r>
              <w:rPr>
                <w:bCs/>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000000"/>
                <w:sz w:val="24"/>
              </w:rPr>
            </w:pPr>
            <w:r>
              <w:rPr>
                <w:rFonts w:hint="eastAsia" w:cs="Times New Roman"/>
                <w:bCs/>
                <w:sz w:val="24"/>
                <w:lang w:val="en-US" w:eastAsia="zh-CN"/>
              </w:rPr>
              <w:t>新乡县综合污水处理厂</w:t>
            </w:r>
            <w:r>
              <w:rPr>
                <w:rFonts w:ascii="Times New Roman" w:hAnsi="Times New Roman" w:cs="Times New Roman"/>
                <w:kern w:val="0"/>
                <w:sz w:val="24"/>
                <w:lang w:val="en-US" w:bidi="ar-SA"/>
              </w:rPr>
              <w:t>出水执行COD≤40mg/L、NH</w:t>
            </w:r>
            <w:r>
              <w:rPr>
                <w:rFonts w:ascii="Times New Roman" w:hAnsi="Times New Roman" w:cs="Times New Roman"/>
                <w:kern w:val="0"/>
                <w:sz w:val="24"/>
                <w:vertAlign w:val="subscript"/>
                <w:lang w:val="en-US" w:bidi="ar-SA"/>
              </w:rPr>
              <w:t>3</w:t>
            </w:r>
            <w:r>
              <w:rPr>
                <w:rFonts w:ascii="Times New Roman" w:hAnsi="Times New Roman" w:cs="Times New Roman"/>
                <w:kern w:val="0"/>
                <w:sz w:val="24"/>
                <w:lang w:val="en-US" w:bidi="ar-SA"/>
              </w:rPr>
              <w:t>-N≤2mg/L，因此，本项目水污染物排放总量为COD</w:t>
            </w:r>
            <w:r>
              <w:rPr>
                <w:rFonts w:hint="eastAsia" w:ascii="Times New Roman" w:hAnsi="Times New Roman" w:cs="Times New Roman"/>
                <w:kern w:val="0"/>
                <w:sz w:val="24"/>
                <w:lang w:val="en-US" w:bidi="ar-SA"/>
              </w:rPr>
              <w:t>0.0</w:t>
            </w:r>
            <w:r>
              <w:rPr>
                <w:rFonts w:hint="eastAsia" w:cs="Times New Roman"/>
                <w:kern w:val="0"/>
                <w:sz w:val="24"/>
                <w:lang w:val="en-US" w:eastAsia="zh-CN" w:bidi="ar-SA"/>
              </w:rPr>
              <w:t>776</w:t>
            </w:r>
            <w:r>
              <w:rPr>
                <w:rFonts w:ascii="Times New Roman" w:hAnsi="Times New Roman" w:cs="Times New Roman"/>
                <w:kern w:val="0"/>
                <w:sz w:val="24"/>
                <w:lang w:val="en-US" w:bidi="ar-SA"/>
              </w:rPr>
              <w:t>t/a、NH</w:t>
            </w:r>
            <w:r>
              <w:rPr>
                <w:rFonts w:ascii="Times New Roman" w:hAnsi="Times New Roman" w:cs="Times New Roman"/>
                <w:kern w:val="0"/>
                <w:sz w:val="24"/>
                <w:vertAlign w:val="subscript"/>
                <w:lang w:val="en-US" w:bidi="ar-SA"/>
              </w:rPr>
              <w:t>3</w:t>
            </w:r>
            <w:r>
              <w:rPr>
                <w:rFonts w:ascii="Times New Roman" w:hAnsi="Times New Roman" w:cs="Times New Roman"/>
                <w:kern w:val="0"/>
                <w:sz w:val="24"/>
                <w:lang w:val="en-US" w:bidi="ar-SA"/>
              </w:rPr>
              <w:t>-N0.00</w:t>
            </w:r>
            <w:r>
              <w:rPr>
                <w:rFonts w:hint="eastAsia" w:cs="Times New Roman"/>
                <w:kern w:val="0"/>
                <w:sz w:val="24"/>
                <w:lang w:val="en-US" w:eastAsia="zh-CN" w:bidi="ar-SA"/>
              </w:rPr>
              <w:t>39</w:t>
            </w:r>
            <w:r>
              <w:rPr>
                <w:rFonts w:ascii="Times New Roman" w:hAnsi="Times New Roman" w:cs="Times New Roman"/>
                <w:kern w:val="0"/>
                <w:sz w:val="24"/>
                <w:lang w:val="en-US" w:bidi="ar-SA"/>
              </w:rPr>
              <w:t>t/a。</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leftChars="0" w:right="0"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3、</w:t>
            </w:r>
            <w:r>
              <w:rPr>
                <w:rFonts w:hint="default" w:ascii="Times New Roman" w:hAnsi="Times New Roman" w:eastAsia="宋体" w:cs="Times New Roman"/>
                <w:b/>
                <w:color w:val="auto"/>
                <w:sz w:val="24"/>
                <w:lang w:eastAsia="zh-CN"/>
              </w:rPr>
              <w:t>噪声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leftChars="0" w:right="0"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 xml:space="preserve">3.1 </w:t>
            </w:r>
            <w:r>
              <w:rPr>
                <w:rFonts w:hint="default" w:ascii="Times New Roman" w:hAnsi="Times New Roman" w:eastAsia="宋体" w:cs="Times New Roman"/>
                <w:b/>
                <w:bCs/>
                <w:color w:val="auto"/>
                <w:sz w:val="24"/>
                <w:lang w:val="en-US" w:eastAsia="zh-CN"/>
              </w:rPr>
              <w:t>噪声污染源及治理措施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leftChars="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宋体" w:cs="Times New Roman"/>
                <w:b w:val="0"/>
                <w:bCs w:val="0"/>
                <w:color w:val="auto"/>
                <w:sz w:val="24"/>
                <w:lang w:val="en-US" w:eastAsia="zh-CN"/>
              </w:rPr>
              <w:t>本项目的噪声源主要为</w:t>
            </w:r>
            <w:r>
              <w:rPr>
                <w:rFonts w:hint="eastAsia" w:cs="Times New Roman"/>
                <w:color w:val="auto"/>
                <w:sz w:val="24"/>
                <w:szCs w:val="24"/>
                <w:lang w:val="en-US" w:eastAsia="zh-CN"/>
              </w:rPr>
              <w:t>生物安全柜风机</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通风橱</w:t>
            </w:r>
            <w:r>
              <w:rPr>
                <w:rFonts w:hint="eastAsia" w:ascii="Times New Roman" w:hAnsi="Times New Roman" w:eastAsia="宋体" w:cs="Times New Roman"/>
                <w:color w:val="auto"/>
                <w:sz w:val="24"/>
                <w:szCs w:val="24"/>
                <w:lang w:eastAsia="zh-CN"/>
              </w:rPr>
              <w:t>风机</w:t>
            </w:r>
            <w:r>
              <w:rPr>
                <w:rFonts w:hint="default" w:ascii="Times New Roman" w:hAnsi="Times New Roman" w:eastAsia="宋体" w:cs="Times New Roman"/>
                <w:b w:val="0"/>
                <w:bCs w:val="0"/>
                <w:color w:val="auto"/>
                <w:sz w:val="24"/>
                <w:lang w:val="en-US" w:eastAsia="zh-CN"/>
              </w:rPr>
              <w:t>等设备，噪声级在7</w:t>
            </w:r>
            <w:r>
              <w:rPr>
                <w:rFonts w:hint="eastAsia" w:ascii="Times New Roman" w:hAnsi="Times New Roman" w:eastAsia="宋体" w:cs="Times New Roman"/>
                <w:b w:val="0"/>
                <w:bCs w:val="0"/>
                <w:color w:val="auto"/>
                <w:sz w:val="24"/>
                <w:lang w:val="en-US" w:eastAsia="zh-CN"/>
              </w:rPr>
              <w:t>0</w:t>
            </w:r>
            <w:r>
              <w:rPr>
                <w:rFonts w:hint="default" w:ascii="Times New Roman" w:hAnsi="Times New Roman" w:eastAsia="宋体" w:cs="Times New Roman"/>
                <w:b w:val="0"/>
                <w:bCs w:val="0"/>
                <w:color w:val="auto"/>
                <w:sz w:val="24"/>
                <w:lang w:val="en-US" w:eastAsia="zh-CN"/>
              </w:rPr>
              <w:t>~8</w:t>
            </w:r>
            <w:r>
              <w:rPr>
                <w:rFonts w:hint="eastAsia" w:ascii="Times New Roman" w:hAnsi="Times New Roman" w:eastAsia="宋体" w:cs="Times New Roman"/>
                <w:b w:val="0"/>
                <w:bCs w:val="0"/>
                <w:color w:val="auto"/>
                <w:sz w:val="24"/>
                <w:lang w:val="en-US" w:eastAsia="zh-CN"/>
              </w:rPr>
              <w:t>0</w:t>
            </w:r>
            <w:r>
              <w:rPr>
                <w:rFonts w:hint="default" w:ascii="Times New Roman" w:hAnsi="Times New Roman" w:eastAsia="宋体" w:cs="Times New Roman"/>
                <w:b w:val="0"/>
                <w:bCs w:val="0"/>
                <w:color w:val="auto"/>
                <w:sz w:val="24"/>
                <w:lang w:val="en-US" w:eastAsia="zh-CN"/>
              </w:rPr>
              <w:t>dB(A</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lang w:val="en-US" w:eastAsia="zh-CN"/>
              </w:rPr>
              <w:t>之间，</w:t>
            </w:r>
            <w:r>
              <w:rPr>
                <w:rFonts w:hint="default" w:ascii="Times New Roman" w:hAnsi="Times New Roman" w:eastAsia="宋体" w:cs="Times New Roman"/>
                <w:kern w:val="0"/>
                <w:sz w:val="24"/>
                <w:szCs w:val="28"/>
              </w:rPr>
              <w:t>评价要求设备均布置在厂房车间内，</w:t>
            </w:r>
            <w:r>
              <w:rPr>
                <w:rFonts w:hint="default" w:ascii="Times New Roman" w:hAnsi="Times New Roman" w:eastAsia="宋体" w:cs="Times New Roman"/>
                <w:kern w:val="0"/>
                <w:sz w:val="24"/>
                <w:szCs w:val="28"/>
                <w:lang w:eastAsia="zh-CN"/>
              </w:rPr>
              <w:t>高噪声</w:t>
            </w:r>
            <w:r>
              <w:rPr>
                <w:rFonts w:hint="default" w:ascii="Times New Roman" w:hAnsi="Times New Roman" w:eastAsia="宋体" w:cs="Times New Roman"/>
                <w:kern w:val="0"/>
                <w:sz w:val="24"/>
                <w:szCs w:val="28"/>
              </w:rPr>
              <w:t>设备加设减振基础。在上述条件下，噪声可减少</w:t>
            </w:r>
            <w:r>
              <w:rPr>
                <w:rFonts w:hint="default" w:ascii="Times New Roman" w:hAnsi="Times New Roman" w:eastAsia="宋体" w:cs="Times New Roman"/>
                <w:kern w:val="0"/>
                <w:sz w:val="24"/>
                <w:szCs w:val="28"/>
                <w:lang w:eastAsia="zh-CN"/>
              </w:rPr>
              <w:t>约</w:t>
            </w:r>
            <w:r>
              <w:rPr>
                <w:rFonts w:hint="default" w:ascii="Times New Roman" w:hAnsi="Times New Roman" w:eastAsia="宋体" w:cs="Times New Roman"/>
                <w:kern w:val="0"/>
                <w:sz w:val="24"/>
                <w:szCs w:val="28"/>
              </w:rPr>
              <w:t>20～</w:t>
            </w:r>
            <w:r>
              <w:rPr>
                <w:rFonts w:hint="default" w:ascii="Times New Roman" w:hAnsi="Times New Roman" w:eastAsia="宋体" w:cs="Times New Roman"/>
                <w:kern w:val="0"/>
                <w:sz w:val="24"/>
                <w:szCs w:val="28"/>
                <w:lang w:val="en-US" w:eastAsia="zh-CN"/>
              </w:rPr>
              <w:t>30</w:t>
            </w:r>
            <w:r>
              <w:rPr>
                <w:rFonts w:hint="default" w:ascii="Times New Roman" w:hAnsi="Times New Roman" w:eastAsia="宋体" w:cs="Times New Roman"/>
                <w:kern w:val="0"/>
                <w:sz w:val="24"/>
                <w:szCs w:val="28"/>
              </w:rPr>
              <w:t>dB(A)。</w:t>
            </w:r>
            <w:r>
              <w:rPr>
                <w:rFonts w:hint="default" w:ascii="Times New Roman" w:hAnsi="Times New Roman" w:eastAsia="宋体" w:cs="Times New Roman"/>
                <w:kern w:val="0"/>
                <w:sz w:val="24"/>
                <w:szCs w:val="28"/>
                <w:lang w:eastAsia="zh-CN"/>
              </w:rPr>
              <w:t>项目主要</w:t>
            </w:r>
            <w:r>
              <w:rPr>
                <w:rFonts w:hint="default" w:ascii="Times New Roman" w:hAnsi="Times New Roman" w:eastAsia="宋体" w:cs="Times New Roman"/>
                <w:kern w:val="0"/>
                <w:sz w:val="24"/>
                <w:szCs w:val="28"/>
              </w:rPr>
              <w:t>噪声源强和治理措施及效果一览表见下表。</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23</w:t>
            </w:r>
            <w:r>
              <w:rPr>
                <w:rFonts w:hint="default" w:ascii="Times New Roman" w:hAnsi="Times New Roman" w:eastAsia="黑体" w:cs="Times New Roman"/>
                <w:b w:val="0"/>
                <w:bCs w:val="0"/>
                <w:color w:val="auto"/>
                <w:sz w:val="24"/>
                <w:szCs w:val="24"/>
                <w:lang w:val="en-US" w:eastAsia="zh-CN"/>
              </w:rPr>
              <w:t xml:space="preserve">            主要噪声设备源强一览表          单位：dB(A)</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54"/>
              <w:gridCol w:w="712"/>
              <w:gridCol w:w="1265"/>
              <w:gridCol w:w="254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36"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序号</w:t>
                  </w:r>
                </w:p>
              </w:tc>
              <w:tc>
                <w:tcPr>
                  <w:tcW w:w="1654"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color w:val="auto"/>
                      <w:sz w:val="21"/>
                      <w:szCs w:val="21"/>
                    </w:rPr>
                    <w:t>噪声源</w:t>
                  </w:r>
                </w:p>
              </w:tc>
              <w:tc>
                <w:tcPr>
                  <w:tcW w:w="712"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数量</w:t>
                  </w:r>
                </w:p>
              </w:tc>
              <w:tc>
                <w:tcPr>
                  <w:tcW w:w="1265"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噪声</w:t>
                  </w:r>
                  <w:r>
                    <w:rPr>
                      <w:rFonts w:hint="default" w:ascii="Times New Roman" w:hAnsi="Times New Roman" w:eastAsia="宋体" w:cs="Times New Roman"/>
                      <w:b w:val="0"/>
                      <w:bCs w:val="0"/>
                      <w:sz w:val="21"/>
                      <w:szCs w:val="21"/>
                    </w:rPr>
                    <w:t>源强dB(A)</w:t>
                  </w:r>
                </w:p>
              </w:tc>
              <w:tc>
                <w:tcPr>
                  <w:tcW w:w="2547"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减噪措施</w:t>
                  </w:r>
                </w:p>
              </w:tc>
              <w:tc>
                <w:tcPr>
                  <w:tcW w:w="1618" w:type="dxa"/>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减噪后的噪声dB(A)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jc w:val="center"/>
              </w:trPr>
              <w:tc>
                <w:tcPr>
                  <w:tcW w:w="7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16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生物安全柜风机</w:t>
                  </w:r>
                </w:p>
              </w:tc>
              <w:tc>
                <w:tcPr>
                  <w:tcW w:w="7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w:t>
                  </w:r>
                </w:p>
              </w:tc>
              <w:tc>
                <w:tcPr>
                  <w:tcW w:w="1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val="en-US" w:eastAsia="zh-CN"/>
                    </w:rPr>
                    <w:t>75-80</w:t>
                  </w:r>
                </w:p>
              </w:tc>
              <w:tc>
                <w:tcPr>
                  <w:tcW w:w="25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基础减振、</w:t>
                  </w:r>
                  <w:r>
                    <w:rPr>
                      <w:rFonts w:hint="default" w:ascii="Times New Roman" w:hAnsi="Times New Roman" w:eastAsia="宋体" w:cs="Times New Roman"/>
                      <w:b w:val="0"/>
                      <w:bCs w:val="0"/>
                      <w:sz w:val="21"/>
                      <w:szCs w:val="21"/>
                    </w:rPr>
                    <w:t>厂房隔声</w:t>
                  </w:r>
                </w:p>
              </w:tc>
              <w:tc>
                <w:tcPr>
                  <w:tcW w:w="16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65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通风橱风机</w:t>
                  </w:r>
                </w:p>
              </w:tc>
              <w:tc>
                <w:tcPr>
                  <w:tcW w:w="7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w:t>
                  </w:r>
                </w:p>
              </w:tc>
              <w:tc>
                <w:tcPr>
                  <w:tcW w:w="1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7</w:t>
                  </w:r>
                  <w:r>
                    <w:rPr>
                      <w:rFonts w:hint="eastAsia" w:ascii="Times New Roman" w:hAnsi="Times New Roman" w:eastAsia="宋体" w:cs="Times New Roman"/>
                      <w:b w:val="0"/>
                      <w:bCs w:val="0"/>
                      <w:sz w:val="21"/>
                      <w:szCs w:val="21"/>
                      <w:lang w:val="en-US" w:eastAsia="zh-CN"/>
                    </w:rPr>
                    <w:t>0</w:t>
                  </w:r>
                  <w:r>
                    <w:rPr>
                      <w:rFonts w:hint="default" w:ascii="Times New Roman" w:hAnsi="Times New Roman" w:eastAsia="宋体" w:cs="Times New Roman"/>
                      <w:b w:val="0"/>
                      <w:bCs w:val="0"/>
                      <w:sz w:val="21"/>
                      <w:szCs w:val="21"/>
                      <w:lang w:val="en-US" w:eastAsia="zh-CN"/>
                    </w:rPr>
                    <w:t>-</w:t>
                  </w:r>
                  <w:r>
                    <w:rPr>
                      <w:rFonts w:hint="eastAsia" w:cs="Times New Roman"/>
                      <w:b w:val="0"/>
                      <w:bCs w:val="0"/>
                      <w:sz w:val="21"/>
                      <w:szCs w:val="21"/>
                      <w:lang w:val="en-US" w:eastAsia="zh-CN"/>
                    </w:rPr>
                    <w:t>80</w:t>
                  </w:r>
                </w:p>
              </w:tc>
              <w:tc>
                <w:tcPr>
                  <w:tcW w:w="25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基础减振、</w:t>
                  </w:r>
                  <w:r>
                    <w:rPr>
                      <w:rFonts w:hint="default" w:ascii="Times New Roman" w:hAnsi="Times New Roman" w:eastAsia="宋体" w:cs="Times New Roman"/>
                      <w:b w:val="0"/>
                      <w:bCs w:val="0"/>
                      <w:sz w:val="21"/>
                      <w:szCs w:val="21"/>
                    </w:rPr>
                    <w:t>厂房隔声</w:t>
                  </w:r>
                </w:p>
              </w:tc>
              <w:tc>
                <w:tcPr>
                  <w:tcW w:w="16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 xml:space="preserve">3.2 </w:t>
            </w:r>
            <w:r>
              <w:rPr>
                <w:rFonts w:hint="default" w:ascii="Times New Roman" w:hAnsi="Times New Roman" w:eastAsia="宋体" w:cs="Times New Roman"/>
                <w:b/>
                <w:bCs/>
                <w:color w:val="auto"/>
                <w:sz w:val="24"/>
                <w:lang w:val="en-US" w:eastAsia="zh-CN"/>
              </w:rPr>
              <w:t>噪声环境影响分析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根据厂区平面布置，本次评价通过距离衰减和噪声叠加对各厂界的噪声进行预测，预测模式选用点源衰减模式和噪声叠加模式：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点源衰减模式：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80" w:firstLineChars="200"/>
              <w:jc w:val="center"/>
              <w:textAlignment w:val="baseline"/>
              <w:rPr>
                <w:rFonts w:hint="default" w:ascii="Times New Roman" w:hAnsi="Times New Roman" w:eastAsia="宋体" w:cs="Times New Roman"/>
                <w:sz w:val="24"/>
                <w:szCs w:val="32"/>
              </w:rPr>
            </w:pPr>
            <w:r>
              <w:rPr>
                <w:rFonts w:hint="default" w:ascii="Times New Roman" w:hAnsi="Times New Roman" w:eastAsia="宋体" w:cs="Times New Roman"/>
                <w:sz w:val="24"/>
                <w:szCs w:val="32"/>
              </w:rPr>
              <w:t>L=L</w:t>
            </w:r>
            <w:r>
              <w:rPr>
                <w:rFonts w:hint="default" w:ascii="Times New Roman" w:hAnsi="Times New Roman" w:eastAsia="宋体" w:cs="Times New Roman"/>
                <w:sz w:val="24"/>
                <w:szCs w:val="32"/>
                <w:vertAlign w:val="subscript"/>
              </w:rPr>
              <w:t>0</w:t>
            </w:r>
            <w:r>
              <w:rPr>
                <w:rFonts w:hint="default" w:ascii="Times New Roman" w:hAnsi="Times New Roman" w:eastAsia="宋体" w:cs="Times New Roman"/>
                <w:sz w:val="24"/>
                <w:szCs w:val="32"/>
              </w:rPr>
              <w:t>—20lg(r/r</w:t>
            </w:r>
            <w:r>
              <w:rPr>
                <w:rFonts w:hint="default" w:ascii="Times New Roman" w:hAnsi="Times New Roman" w:eastAsia="宋体" w:cs="Times New Roman"/>
                <w:sz w:val="24"/>
                <w:szCs w:val="32"/>
                <w:vertAlign w:val="subscript"/>
              </w:rPr>
              <w:t>0</w:t>
            </w:r>
            <w:r>
              <w:rPr>
                <w:rFonts w:hint="default" w:ascii="Times New Roman" w:hAnsi="Times New Roman" w:eastAsia="宋体" w:cs="Times New Roman"/>
                <w:sz w:val="24"/>
                <w:szCs w:val="32"/>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式中：Lr—距声源距离为r处的等效A声级值，dB（A）；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L</w:t>
            </w:r>
            <w:r>
              <w:rPr>
                <w:rFonts w:hint="default" w:ascii="Times New Roman" w:hAnsi="Times New Roman" w:eastAsia="宋体" w:cs="Times New Roman"/>
                <w:b w:val="0"/>
                <w:bCs w:val="0"/>
                <w:color w:val="auto"/>
                <w:sz w:val="24"/>
                <w:vertAlign w:val="subscript"/>
                <w:lang w:val="en-US" w:eastAsia="zh-CN"/>
              </w:rPr>
              <w:t>0</w:t>
            </w:r>
            <w:r>
              <w:rPr>
                <w:rFonts w:hint="default" w:ascii="Times New Roman" w:hAnsi="Times New Roman" w:eastAsia="宋体" w:cs="Times New Roman"/>
                <w:b w:val="0"/>
                <w:bCs w:val="0"/>
                <w:color w:val="auto"/>
                <w:sz w:val="24"/>
                <w:lang w:val="en-US" w:eastAsia="zh-CN"/>
              </w:rPr>
              <w:t>—距声源距离为r</w:t>
            </w:r>
            <w:r>
              <w:rPr>
                <w:rFonts w:hint="default" w:ascii="Times New Roman" w:hAnsi="Times New Roman" w:eastAsia="宋体" w:cs="Times New Roman"/>
                <w:b w:val="0"/>
                <w:bCs w:val="0"/>
                <w:color w:val="auto"/>
                <w:sz w:val="24"/>
                <w:vertAlign w:val="subscript"/>
                <w:lang w:val="en-US" w:eastAsia="zh-CN"/>
              </w:rPr>
              <w:t>0</w:t>
            </w:r>
            <w:r>
              <w:rPr>
                <w:rFonts w:hint="default" w:ascii="Times New Roman" w:hAnsi="Times New Roman" w:eastAsia="宋体" w:cs="Times New Roman"/>
                <w:b w:val="0"/>
                <w:bCs w:val="0"/>
                <w:color w:val="auto"/>
                <w:sz w:val="24"/>
                <w:lang w:val="en-US" w:eastAsia="zh-CN"/>
              </w:rPr>
              <w:t>处的等效A声级值，dB（A）；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r—关心点距离噪声源距离，m；</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r</w:t>
            </w:r>
            <w:r>
              <w:rPr>
                <w:rFonts w:hint="default" w:ascii="Times New Roman" w:hAnsi="Times New Roman" w:eastAsia="宋体" w:cs="Times New Roman"/>
                <w:b w:val="0"/>
                <w:bCs w:val="0"/>
                <w:color w:val="auto"/>
                <w:sz w:val="24"/>
                <w:vertAlign w:val="subscript"/>
                <w:lang w:val="en-US" w:eastAsia="zh-CN"/>
              </w:rPr>
              <w:t>0</w:t>
            </w:r>
            <w:r>
              <w:rPr>
                <w:rFonts w:hint="default" w:ascii="Times New Roman" w:hAnsi="Times New Roman" w:eastAsia="宋体" w:cs="Times New Roman"/>
                <w:b w:val="0"/>
                <w:bCs w:val="0"/>
                <w:color w:val="auto"/>
                <w:sz w:val="24"/>
                <w:lang w:val="en-US" w:eastAsia="zh-CN"/>
              </w:rPr>
              <w:t>—声级为L</w:t>
            </w:r>
            <w:r>
              <w:rPr>
                <w:rFonts w:hint="default" w:ascii="Times New Roman" w:hAnsi="Times New Roman" w:eastAsia="宋体" w:cs="Times New Roman"/>
                <w:b w:val="0"/>
                <w:bCs w:val="0"/>
                <w:color w:val="auto"/>
                <w:sz w:val="24"/>
                <w:vertAlign w:val="subscript"/>
                <w:lang w:val="en-US" w:eastAsia="zh-CN"/>
              </w:rPr>
              <w:t>0</w:t>
            </w:r>
            <w:r>
              <w:rPr>
                <w:rFonts w:hint="default" w:ascii="Times New Roman" w:hAnsi="Times New Roman" w:eastAsia="宋体" w:cs="Times New Roman"/>
                <w:b w:val="0"/>
                <w:bCs w:val="0"/>
                <w:color w:val="auto"/>
                <w:sz w:val="24"/>
                <w:lang w:val="en-US" w:eastAsia="zh-CN"/>
              </w:rPr>
              <w:t>点距声源距离，r</w:t>
            </w:r>
            <w:r>
              <w:rPr>
                <w:rFonts w:hint="default" w:ascii="Times New Roman" w:hAnsi="Times New Roman" w:eastAsia="宋体" w:cs="Times New Roman"/>
                <w:b w:val="0"/>
                <w:bCs w:val="0"/>
                <w:color w:val="auto"/>
                <w:sz w:val="24"/>
                <w:vertAlign w:val="subscript"/>
                <w:lang w:val="en-US" w:eastAsia="zh-CN"/>
              </w:rPr>
              <w:t>0</w:t>
            </w:r>
            <w:r>
              <w:rPr>
                <w:rFonts w:hint="default" w:ascii="Times New Roman" w:hAnsi="Times New Roman" w:eastAsia="宋体" w:cs="Times New Roman"/>
                <w:b w:val="0"/>
                <w:bCs w:val="0"/>
                <w:color w:val="auto"/>
                <w:sz w:val="24"/>
                <w:lang w:val="en-US" w:eastAsia="zh-CN"/>
              </w:rPr>
              <w:t>＝1m。</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在同一受声点接受来自多个点声源的声能，可通过叠加得出该受声点的声压级。噪声叠加公式如下：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color w:val="000000"/>
                <w:sz w:val="24"/>
              </w:rPr>
              <w:drawing>
                <wp:anchor distT="0" distB="0" distL="114300" distR="114300" simplePos="0" relativeHeight="251659264" behindDoc="1" locked="0" layoutInCell="1" allowOverlap="1">
                  <wp:simplePos x="0" y="0"/>
                  <wp:positionH relativeFrom="column">
                    <wp:posOffset>1998980</wp:posOffset>
                  </wp:positionH>
                  <wp:positionV relativeFrom="paragraph">
                    <wp:posOffset>21590</wp:posOffset>
                  </wp:positionV>
                  <wp:extent cx="1141730" cy="503555"/>
                  <wp:effectExtent l="0" t="0" r="127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stretch>
                            <a:fillRect/>
                          </a:stretch>
                        </pic:blipFill>
                        <pic:spPr>
                          <a:xfrm>
                            <a:off x="0" y="0"/>
                            <a:ext cx="1141730" cy="503555"/>
                          </a:xfrm>
                          <a:prstGeom prst="rect">
                            <a:avLst/>
                          </a:prstGeom>
                          <a:noFill/>
                          <a:ln>
                            <a:noFill/>
                          </a:ln>
                        </pic:spPr>
                      </pic:pic>
                    </a:graphicData>
                  </a:graphic>
                </wp:anchor>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式中：L——总声压级，dB(A)；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rPr>
                <w:rFonts w:hint="default" w:ascii="Times New Roman" w:hAnsi="Times New Roman" w:eastAsia="黑体" w:cs="Times New Roman"/>
                <w:color w:val="auto"/>
                <w:sz w:val="24"/>
                <w:szCs w:val="24"/>
                <w:lang w:val="en-US" w:eastAsia="zh-CN"/>
              </w:rPr>
            </w:pPr>
            <w:r>
              <w:rPr>
                <w:rFonts w:hint="default" w:ascii="Times New Roman" w:hAnsi="Times New Roman" w:eastAsia="宋体" w:cs="Times New Roman"/>
                <w:b w:val="0"/>
                <w:bCs w:val="0"/>
                <w:color w:val="auto"/>
                <w:sz w:val="24"/>
                <w:lang w:val="en-US" w:eastAsia="zh-CN"/>
              </w:rPr>
              <w:t xml:space="preserve">      n——噪声源数。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kern w:val="0"/>
                <w:sz w:val="24"/>
                <w:szCs w:val="28"/>
              </w:rPr>
              <w:t>项目建成后，项目主要噪声源对各厂界</w:t>
            </w:r>
            <w:r>
              <w:rPr>
                <w:rFonts w:hint="eastAsia" w:cs="Times New Roman"/>
                <w:kern w:val="0"/>
                <w:sz w:val="24"/>
                <w:szCs w:val="28"/>
                <w:lang w:val="en-US" w:eastAsia="zh-CN"/>
              </w:rPr>
              <w:t>及敏感点</w:t>
            </w:r>
            <w:r>
              <w:rPr>
                <w:rFonts w:hint="default" w:ascii="Times New Roman" w:hAnsi="Times New Roman" w:eastAsia="宋体" w:cs="Times New Roman"/>
                <w:kern w:val="0"/>
                <w:sz w:val="24"/>
                <w:szCs w:val="28"/>
                <w:lang w:eastAsia="zh-CN"/>
              </w:rPr>
              <w:t>预测值的</w:t>
            </w:r>
            <w:r>
              <w:rPr>
                <w:rFonts w:hint="default" w:ascii="Times New Roman" w:hAnsi="Times New Roman" w:eastAsia="宋体" w:cs="Times New Roman"/>
                <w:kern w:val="0"/>
                <w:sz w:val="24"/>
                <w:szCs w:val="28"/>
              </w:rPr>
              <w:t>结果见</w:t>
            </w:r>
            <w:r>
              <w:rPr>
                <w:rFonts w:hint="eastAsia" w:cs="Times New Roman"/>
                <w:kern w:val="0"/>
                <w:sz w:val="24"/>
                <w:szCs w:val="28"/>
                <w:lang w:val="en-US" w:eastAsia="zh-CN"/>
              </w:rPr>
              <w:t>下表</w:t>
            </w:r>
            <w:r>
              <w:rPr>
                <w:rFonts w:hint="default" w:ascii="Times New Roman" w:hAnsi="Times New Roman" w:eastAsia="宋体" w:cs="Times New Roman"/>
                <w:kern w:val="0"/>
                <w:sz w:val="24"/>
                <w:szCs w:val="28"/>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480" w:firstLineChars="200"/>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表4-</w:t>
            </w:r>
            <w:r>
              <w:rPr>
                <w:rFonts w:hint="eastAsia" w:eastAsia="黑体" w:cs="Times New Roman"/>
                <w:b w:val="0"/>
                <w:bCs w:val="0"/>
                <w:color w:val="auto"/>
                <w:sz w:val="24"/>
                <w:szCs w:val="24"/>
                <w:lang w:val="en-US" w:eastAsia="zh-CN"/>
              </w:rPr>
              <w:t>24</w:t>
            </w:r>
            <w:r>
              <w:rPr>
                <w:rFonts w:hint="default" w:ascii="Times New Roman" w:hAnsi="Times New Roman" w:eastAsia="黑体" w:cs="Times New Roman"/>
                <w:b w:val="0"/>
                <w:bCs w:val="0"/>
                <w:color w:val="auto"/>
                <w:sz w:val="24"/>
                <w:szCs w:val="24"/>
                <w:lang w:val="en-US" w:eastAsia="zh-CN"/>
              </w:rPr>
              <w:t xml:space="preserve">               厂界噪声预测一览表         单位：dB(A) </w:t>
            </w:r>
          </w:p>
          <w:tbl>
            <w:tblPr>
              <w:tblStyle w:val="30"/>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972"/>
              <w:gridCol w:w="691"/>
              <w:gridCol w:w="691"/>
              <w:gridCol w:w="691"/>
              <w:gridCol w:w="4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4" w:type="dxa"/>
                  <w:vMerge w:val="restart"/>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预测</w:t>
                  </w:r>
                </w:p>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点位</w:t>
                  </w:r>
                </w:p>
              </w:tc>
              <w:tc>
                <w:tcPr>
                  <w:tcW w:w="972" w:type="dxa"/>
                  <w:vMerge w:val="restart"/>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距离</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m</w:t>
                  </w:r>
                  <w:r>
                    <w:rPr>
                      <w:rFonts w:hint="default" w:ascii="Times New Roman" w:hAnsi="Times New Roman" w:eastAsia="宋体" w:cs="Times New Roman"/>
                      <w:b w:val="0"/>
                      <w:bCs w:val="0"/>
                      <w:sz w:val="21"/>
                      <w:szCs w:val="21"/>
                      <w:lang w:eastAsia="zh-CN"/>
                    </w:rPr>
                    <w:t>）</w:t>
                  </w:r>
                </w:p>
              </w:tc>
              <w:tc>
                <w:tcPr>
                  <w:tcW w:w="691" w:type="dxa"/>
                  <w:vMerge w:val="restart"/>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贡献值</w:t>
                  </w:r>
                </w:p>
              </w:tc>
              <w:tc>
                <w:tcPr>
                  <w:tcW w:w="691" w:type="dxa"/>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现状值</w:t>
                  </w:r>
                </w:p>
              </w:tc>
              <w:tc>
                <w:tcPr>
                  <w:tcW w:w="691" w:type="dxa"/>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预测值</w:t>
                  </w:r>
                </w:p>
              </w:tc>
              <w:tc>
                <w:tcPr>
                  <w:tcW w:w="4326" w:type="dxa"/>
                  <w:vMerge w:val="restart"/>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4" w:type="dxa"/>
                  <w:vMerge w:val="continue"/>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p>
              </w:tc>
              <w:tc>
                <w:tcPr>
                  <w:tcW w:w="972" w:type="dxa"/>
                  <w:vMerge w:val="continue"/>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p>
              </w:tc>
              <w:tc>
                <w:tcPr>
                  <w:tcW w:w="691" w:type="dxa"/>
                  <w:vMerge w:val="continue"/>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p>
              </w:tc>
              <w:tc>
                <w:tcPr>
                  <w:tcW w:w="691" w:type="dxa"/>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昼间</w:t>
                  </w:r>
                </w:p>
              </w:tc>
              <w:tc>
                <w:tcPr>
                  <w:tcW w:w="691" w:type="dxa"/>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昼间</w:t>
                  </w:r>
                </w:p>
              </w:tc>
              <w:tc>
                <w:tcPr>
                  <w:tcW w:w="4326" w:type="dxa"/>
                  <w:vMerge w:val="continue"/>
                  <w:noWrap/>
                  <w:vAlign w:val="center"/>
                </w:tcPr>
                <w:p>
                  <w:pPr>
                    <w:pStyle w:val="82"/>
                    <w:keepNext w:val="0"/>
                    <w:keepLines w:val="0"/>
                    <w:suppressLineNumbers w:val="0"/>
                    <w:spacing w:before="0" w:beforeAutospacing="0" w:after="0" w:afterAutospacing="0"/>
                    <w:ind w:left="0" w:right="0"/>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4"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东厂界</w:t>
                  </w:r>
                </w:p>
              </w:tc>
              <w:tc>
                <w:tcPr>
                  <w:tcW w:w="972"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w:t>
                  </w:r>
                </w:p>
              </w:tc>
              <w:tc>
                <w:tcPr>
                  <w:tcW w:w="691" w:type="dxa"/>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 w:val="0"/>
                      <w:bCs w:val="0"/>
                      <w:sz w:val="21"/>
                      <w:szCs w:val="21"/>
                      <w:lang w:val="en-US" w:eastAsia="zh-CN"/>
                    </w:rPr>
                  </w:pPr>
                  <w:r>
                    <w:rPr>
                      <w:rFonts w:hint="eastAsia" w:cs="Times New Roman"/>
                      <w:b w:val="0"/>
                      <w:bCs w:val="0"/>
                      <w:sz w:val="21"/>
                      <w:szCs w:val="21"/>
                      <w:lang w:val="en-US" w:eastAsia="zh-CN"/>
                    </w:rPr>
                    <w:t>44.0</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4326" w:type="dxa"/>
                  <w:vMerge w:val="restart"/>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《工业企业厂界环境噪声排放标准》（GB12348-2008）2类</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昼间≤60dB（A）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4"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南厂界</w:t>
                  </w:r>
                </w:p>
              </w:tc>
              <w:tc>
                <w:tcPr>
                  <w:tcW w:w="972"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54</w:t>
                  </w:r>
                </w:p>
              </w:tc>
              <w:tc>
                <w:tcPr>
                  <w:tcW w:w="691" w:type="dxa"/>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 w:val="0"/>
                      <w:bCs w:val="0"/>
                      <w:sz w:val="21"/>
                      <w:szCs w:val="21"/>
                      <w:lang w:val="en-US" w:eastAsia="zh-CN"/>
                    </w:rPr>
                  </w:pPr>
                  <w:r>
                    <w:rPr>
                      <w:rFonts w:hint="eastAsia" w:cs="Times New Roman"/>
                      <w:b w:val="0"/>
                      <w:bCs w:val="0"/>
                      <w:sz w:val="21"/>
                      <w:szCs w:val="21"/>
                      <w:lang w:val="en-US" w:eastAsia="zh-CN"/>
                    </w:rPr>
                    <w:t xml:space="preserve">23.4 </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4326"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4"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西厂界</w:t>
                  </w:r>
                </w:p>
              </w:tc>
              <w:tc>
                <w:tcPr>
                  <w:tcW w:w="972"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4</w:t>
                  </w:r>
                </w:p>
              </w:tc>
              <w:tc>
                <w:tcPr>
                  <w:tcW w:w="691" w:type="dxa"/>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 w:val="0"/>
                      <w:bCs w:val="0"/>
                      <w:sz w:val="21"/>
                      <w:szCs w:val="21"/>
                      <w:lang w:val="en-US" w:eastAsia="zh-CN"/>
                    </w:rPr>
                  </w:pPr>
                  <w:r>
                    <w:rPr>
                      <w:rFonts w:hint="eastAsia" w:cs="Times New Roman"/>
                      <w:b w:val="0"/>
                      <w:bCs w:val="0"/>
                      <w:sz w:val="21"/>
                      <w:szCs w:val="21"/>
                      <w:lang w:val="en-US" w:eastAsia="zh-CN"/>
                    </w:rPr>
                    <w:t xml:space="preserve">46.0 </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w:t>
                  </w:r>
                </w:p>
              </w:tc>
              <w:tc>
                <w:tcPr>
                  <w:tcW w:w="4326"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4"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北厂界</w:t>
                  </w:r>
                </w:p>
              </w:tc>
              <w:tc>
                <w:tcPr>
                  <w:tcW w:w="972"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w:t>
                  </w:r>
                </w:p>
              </w:tc>
              <w:tc>
                <w:tcPr>
                  <w:tcW w:w="691" w:type="dxa"/>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 w:val="0"/>
                      <w:bCs w:val="0"/>
                      <w:sz w:val="21"/>
                      <w:szCs w:val="21"/>
                      <w:lang w:val="en-US" w:eastAsia="zh-CN"/>
                    </w:rPr>
                  </w:pPr>
                  <w:r>
                    <w:rPr>
                      <w:rFonts w:hint="eastAsia" w:cs="Times New Roman"/>
                      <w:b w:val="0"/>
                      <w:bCs w:val="0"/>
                      <w:sz w:val="21"/>
                      <w:szCs w:val="21"/>
                      <w:lang w:val="en-US" w:eastAsia="zh-CN"/>
                    </w:rPr>
                    <w:t xml:space="preserve">58.0 </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691" w:type="dxa"/>
                  <w:noWrap/>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4326" w:type="dxa"/>
                  <w:vMerge w:val="continue"/>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64"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新乡县税务局</w:t>
                  </w:r>
                </w:p>
              </w:tc>
              <w:tc>
                <w:tcPr>
                  <w:tcW w:w="972" w:type="dxa"/>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 w:val="0"/>
                      <w:bCs w:val="0"/>
                      <w:sz w:val="21"/>
                      <w:szCs w:val="21"/>
                      <w:lang w:val="en-US" w:eastAsia="zh-CN"/>
                    </w:rPr>
                  </w:pPr>
                  <w:r>
                    <w:rPr>
                      <w:rFonts w:hint="eastAsia" w:cs="Times New Roman"/>
                      <w:b w:val="0"/>
                      <w:bCs w:val="0"/>
                      <w:sz w:val="21"/>
                      <w:szCs w:val="21"/>
                      <w:lang w:val="en-US" w:eastAsia="zh-CN"/>
                    </w:rPr>
                    <w:t>15</w:t>
                  </w:r>
                </w:p>
              </w:tc>
              <w:tc>
                <w:tcPr>
                  <w:tcW w:w="691" w:type="dxa"/>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 w:val="0"/>
                      <w:bCs w:val="0"/>
                      <w:sz w:val="21"/>
                      <w:szCs w:val="21"/>
                      <w:lang w:val="en-US" w:eastAsia="zh-CN"/>
                    </w:rPr>
                  </w:pPr>
                  <w:r>
                    <w:rPr>
                      <w:rFonts w:hint="eastAsia" w:cs="Times New Roman"/>
                      <w:b w:val="0"/>
                      <w:bCs w:val="0"/>
                      <w:sz w:val="21"/>
                      <w:szCs w:val="21"/>
                      <w:lang w:val="en-US" w:eastAsia="zh-CN"/>
                    </w:rPr>
                    <w:t>34.5</w:t>
                  </w:r>
                </w:p>
              </w:tc>
              <w:tc>
                <w:tcPr>
                  <w:tcW w:w="691"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55.2</w:t>
                  </w:r>
                </w:p>
              </w:tc>
              <w:tc>
                <w:tcPr>
                  <w:tcW w:w="691"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55.2</w:t>
                  </w:r>
                </w:p>
              </w:tc>
              <w:tc>
                <w:tcPr>
                  <w:tcW w:w="432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《声环境质量标准》（GB3096-2008）2类</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昼间≤60dB（A）</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leftChars="0" w:right="0" w:rightChars="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sz w:val="24"/>
                <w:lang w:val="en-US" w:eastAsia="zh-CN"/>
              </w:rPr>
              <w:t>由上表可知，考虑距离衰减和厂房隔声的情况下，项目各厂界昼间噪声</w:t>
            </w:r>
            <w:r>
              <w:rPr>
                <w:rFonts w:hint="eastAsia" w:ascii="Times New Roman" w:hAnsi="Times New Roman" w:eastAsia="宋体" w:cs="Times New Roman"/>
                <w:b w:val="0"/>
                <w:bCs w:val="0"/>
                <w:color w:val="auto"/>
                <w:sz w:val="24"/>
                <w:lang w:val="en-US" w:eastAsia="zh-CN"/>
              </w:rPr>
              <w:t>预测</w:t>
            </w:r>
            <w:r>
              <w:rPr>
                <w:rFonts w:hint="default" w:ascii="Times New Roman" w:hAnsi="Times New Roman" w:eastAsia="宋体" w:cs="Times New Roman"/>
                <w:b w:val="0"/>
                <w:bCs w:val="0"/>
                <w:color w:val="auto"/>
                <w:sz w:val="24"/>
                <w:lang w:val="en-US" w:eastAsia="zh-CN"/>
              </w:rPr>
              <w:t>值均可满足《工业企业厂界环境噪声排放标准》（GB12348-2008）</w:t>
            </w:r>
            <w:r>
              <w:rPr>
                <w:rFonts w:hint="eastAsia" w:ascii="Times New Roman" w:hAnsi="Times New Roman" w:eastAsia="宋体" w:cs="Times New Roman"/>
                <w:b w:val="0"/>
                <w:bCs w:val="0"/>
                <w:color w:val="auto"/>
                <w:sz w:val="24"/>
                <w:szCs w:val="22"/>
                <w:lang w:val="en-US" w:eastAsia="zh-CN"/>
              </w:rPr>
              <w:t>2</w:t>
            </w:r>
            <w:r>
              <w:rPr>
                <w:rFonts w:hint="default" w:ascii="Times New Roman" w:hAnsi="Times New Roman" w:eastAsia="宋体" w:cs="Times New Roman"/>
                <w:b w:val="0"/>
                <w:bCs w:val="0"/>
                <w:color w:val="auto"/>
                <w:sz w:val="24"/>
                <w:lang w:val="en-US" w:eastAsia="zh-CN"/>
              </w:rPr>
              <w:t>类标准</w:t>
            </w:r>
            <w:r>
              <w:rPr>
                <w:rFonts w:hint="eastAsia" w:cs="Times New Roman"/>
                <w:b w:val="0"/>
                <w:bCs w:val="0"/>
                <w:color w:val="auto"/>
                <w:sz w:val="24"/>
                <w:lang w:val="en-US" w:eastAsia="zh-CN"/>
              </w:rPr>
              <w:t>（昼间≤60dB（A））</w:t>
            </w:r>
            <w:r>
              <w:rPr>
                <w:rFonts w:hint="default" w:ascii="Times New Roman" w:hAnsi="Times New Roman" w:eastAsia="宋体" w:cs="Times New Roman"/>
                <w:b w:val="0"/>
                <w:bCs w:val="0"/>
                <w:color w:val="auto"/>
                <w:sz w:val="24"/>
                <w:lang w:val="en-US" w:eastAsia="zh-CN"/>
              </w:rPr>
              <w:t>要求。</w:t>
            </w:r>
            <w:r>
              <w:rPr>
                <w:rFonts w:hint="eastAsia" w:cs="Times New Roman"/>
                <w:b w:val="0"/>
                <w:bCs w:val="0"/>
                <w:color w:val="auto"/>
                <w:sz w:val="24"/>
                <w:lang w:val="en-US" w:eastAsia="zh-CN"/>
              </w:rPr>
              <w:t>东侧敏感点噪声预测值满足《声环境质量标准》（GB3096-2008）2类标准（昼间≤60dB（A）），</w:t>
            </w:r>
            <w:r>
              <w:rPr>
                <w:rFonts w:hint="default" w:ascii="Times New Roman" w:hAnsi="Times New Roman" w:eastAsia="宋体" w:cs="Times New Roman"/>
                <w:b w:val="0"/>
                <w:bCs w:val="0"/>
                <w:color w:val="auto"/>
                <w:sz w:val="24"/>
                <w:lang w:val="en-US" w:eastAsia="zh-CN"/>
              </w:rPr>
              <w:t>因此，项目噪声对周边声环境影响</w:t>
            </w:r>
            <w:r>
              <w:rPr>
                <w:rFonts w:hint="eastAsia" w:cs="Times New Roman"/>
                <w:b w:val="0"/>
                <w:bCs w:val="0"/>
                <w:color w:val="auto"/>
                <w:sz w:val="24"/>
                <w:lang w:val="en-US" w:eastAsia="zh-CN"/>
              </w:rPr>
              <w:t>可以接受</w:t>
            </w:r>
            <w:r>
              <w:rPr>
                <w:rFonts w:hint="default" w:ascii="Times New Roman" w:hAnsi="Times New Roman" w:eastAsia="宋体" w:cs="Times New Roman"/>
                <w:b w:val="0"/>
                <w:bCs w:val="0"/>
                <w:color w:val="auto"/>
                <w:sz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leftChars="0" w:right="0" w:rightChars="0" w:firstLine="482" w:firstLineChars="200"/>
              <w:jc w:val="both"/>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 xml:space="preserve">3.3 </w:t>
            </w:r>
            <w:r>
              <w:rPr>
                <w:rFonts w:hint="default" w:ascii="Times New Roman" w:hAnsi="Times New Roman" w:eastAsia="宋体" w:cs="Times New Roman"/>
                <w:b/>
                <w:bCs/>
                <w:color w:val="auto"/>
                <w:sz w:val="24"/>
                <w:lang w:val="en-US" w:eastAsia="zh-CN"/>
              </w:rPr>
              <w:t>噪声监测计划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leftChars="0" w:right="0" w:rightChars="0" w:firstLine="480" w:firstLineChars="200"/>
              <w:jc w:val="both"/>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val="0"/>
                <w:bCs w:val="0"/>
                <w:color w:val="auto"/>
                <w:sz w:val="24"/>
                <w:lang w:val="en-US" w:eastAsia="zh-CN"/>
              </w:rPr>
              <w:t>根据相关规范，项目建成后，厂界噪声每</w:t>
            </w:r>
            <w:r>
              <w:rPr>
                <w:rFonts w:hint="eastAsia" w:ascii="Times New Roman" w:hAnsi="Times New Roman" w:eastAsia="宋体" w:cs="Times New Roman"/>
                <w:b w:val="0"/>
                <w:bCs w:val="0"/>
                <w:color w:val="auto"/>
                <w:sz w:val="24"/>
                <w:lang w:val="en-US" w:eastAsia="zh-CN"/>
              </w:rPr>
              <w:t>季度</w:t>
            </w:r>
            <w:r>
              <w:rPr>
                <w:rFonts w:hint="default" w:ascii="Times New Roman" w:hAnsi="Times New Roman" w:eastAsia="宋体" w:cs="Times New Roman"/>
                <w:b w:val="0"/>
                <w:bCs w:val="0"/>
                <w:color w:val="auto"/>
                <w:sz w:val="24"/>
                <w:lang w:val="en-US" w:eastAsia="zh-CN"/>
              </w:rPr>
              <w:t>开展一次昼、夜间监测，监测指标为等效连续A声级。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82"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w:t>
            </w:r>
            <w:r>
              <w:rPr>
                <w:rFonts w:hint="default" w:ascii="Times New Roman" w:hAnsi="Times New Roman" w:eastAsia="宋体" w:cs="Times New Roman"/>
                <w:b/>
                <w:color w:val="auto"/>
                <w:sz w:val="24"/>
                <w:lang w:eastAsia="zh-CN"/>
              </w:rPr>
              <w:t>固废</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eastAsia="宋体"/>
                <w:sz w:val="24"/>
                <w:lang w:val="en-US" w:eastAsia="zh-CN"/>
              </w:rPr>
            </w:pPr>
            <w:r>
              <w:rPr>
                <w:rFonts w:hint="eastAsia"/>
                <w:sz w:val="24"/>
                <w:lang w:val="en-US" w:eastAsia="zh-CN"/>
              </w:rPr>
              <w:t>本项目固体废物分为一般固体废物及危险废物。</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lang w:val="en-US" w:eastAsia="zh-CN"/>
              </w:rPr>
            </w:pPr>
            <w:r>
              <w:rPr>
                <w:rFonts w:hint="eastAsia"/>
                <w:sz w:val="24"/>
                <w:lang w:val="en-US" w:eastAsia="zh-CN"/>
              </w:rPr>
              <w:t>4.1生活垃圾</w:t>
            </w:r>
          </w:p>
          <w:p>
            <w:pPr>
              <w:keepNext w:val="0"/>
              <w:keepLines w:val="0"/>
              <w:suppressLineNumbers w:val="0"/>
              <w:adjustRightInd w:val="0"/>
              <w:snapToGrid w:val="0"/>
              <w:spacing w:before="0" w:beforeAutospacing="0" w:after="0" w:afterAutospacing="0" w:line="520" w:lineRule="exact"/>
              <w:ind w:left="0" w:right="0" w:firstLine="480" w:firstLineChars="200"/>
              <w:rPr>
                <w:rFonts w:hint="eastAsia"/>
                <w:sz w:val="24"/>
                <w:lang w:val="en-US" w:eastAsia="zh-CN"/>
              </w:rPr>
            </w:pPr>
            <w:r>
              <w:rPr>
                <w:bCs/>
                <w:sz w:val="24"/>
              </w:rPr>
              <w:t>本项目站区共有员工</w:t>
            </w:r>
            <w:r>
              <w:rPr>
                <w:rFonts w:hint="eastAsia"/>
                <w:bCs/>
                <w:sz w:val="24"/>
                <w:lang w:val="en-US" w:eastAsia="zh-CN"/>
              </w:rPr>
              <w:t>20</w:t>
            </w:r>
            <w:r>
              <w:rPr>
                <w:bCs/>
                <w:sz w:val="24"/>
              </w:rPr>
              <w:t>人，年工作</w:t>
            </w:r>
            <w:r>
              <w:rPr>
                <w:rFonts w:hint="eastAsia"/>
                <w:bCs/>
                <w:sz w:val="24"/>
                <w:lang w:val="en-US" w:eastAsia="zh-CN"/>
              </w:rPr>
              <w:t>30</w:t>
            </w:r>
            <w:r>
              <w:rPr>
                <w:bCs/>
                <w:sz w:val="24"/>
              </w:rPr>
              <w:t>0天，生活垃圾产生量按0.5kg/（人·d）计，则职工生活垃圾产生量为</w:t>
            </w:r>
            <w:r>
              <w:rPr>
                <w:rFonts w:hint="eastAsia"/>
                <w:bCs/>
                <w:sz w:val="24"/>
                <w:lang w:val="en-US" w:eastAsia="zh-CN"/>
              </w:rPr>
              <w:t>3</w:t>
            </w:r>
            <w:r>
              <w:rPr>
                <w:bCs/>
                <w:sz w:val="24"/>
              </w:rPr>
              <w:t>t/a，经集中收集后由环卫部门统一清运，对周围环境影响</w:t>
            </w:r>
            <w:r>
              <w:rPr>
                <w:rFonts w:hint="eastAsia"/>
                <w:bCs/>
                <w:sz w:val="24"/>
                <w:lang w:val="en-US" w:eastAsia="zh-CN"/>
              </w:rPr>
              <w:t>可以接受</w:t>
            </w:r>
            <w:r>
              <w:rPr>
                <w:bCs/>
                <w:sz w:val="24"/>
              </w:rPr>
              <w:t>。</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eastAsia="宋体"/>
                <w:sz w:val="24"/>
                <w:lang w:val="en-US" w:eastAsia="zh-CN"/>
              </w:rPr>
            </w:pPr>
            <w:r>
              <w:rPr>
                <w:rFonts w:hint="eastAsia"/>
                <w:sz w:val="24"/>
                <w:lang w:val="en-US" w:eastAsia="zh-CN"/>
              </w:rPr>
              <w:t>4.2一般固废</w:t>
            </w:r>
          </w:p>
          <w:p>
            <w:pPr>
              <w:keepNext w:val="0"/>
              <w:keepLines w:val="0"/>
              <w:suppressLineNumbers w:val="0"/>
              <w:adjustRightInd w:val="0"/>
              <w:snapToGrid w:val="0"/>
              <w:spacing w:before="0" w:beforeAutospacing="0" w:after="0" w:afterAutospacing="0" w:line="520" w:lineRule="exact"/>
              <w:ind w:left="0" w:right="0" w:firstLine="480" w:firstLineChars="200"/>
              <w:rPr>
                <w:rFonts w:hint="eastAsia"/>
                <w:sz w:val="24"/>
                <w:lang w:eastAsia="zh-CN"/>
              </w:rPr>
            </w:pPr>
            <w:r>
              <w:rPr>
                <w:rFonts w:hint="eastAsia"/>
                <w:sz w:val="24"/>
                <w:lang w:val="en-US" w:eastAsia="zh-CN"/>
              </w:rPr>
              <w:t>本项目一般固废主要为不直接接触药品的废包装、纯水制备过程定期更换的</w:t>
            </w:r>
            <w:r>
              <w:rPr>
                <w:rFonts w:hint="eastAsia"/>
                <w:sz w:val="24"/>
              </w:rPr>
              <w:t>滤芯、反渗透膜、离子交换树脂，离子交换树脂、滤芯（包括：石英砂滤芯、锰砂滤芯、活性炭滤芯、PP棉滤芯）</w:t>
            </w:r>
            <w:r>
              <w:rPr>
                <w:rFonts w:hint="eastAsia"/>
                <w:sz w:val="24"/>
                <w:lang w:eastAsia="zh-CN"/>
              </w:rPr>
              <w:t>。</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rFonts w:hint="eastAsia"/>
                <w:sz w:val="24"/>
                <w:lang w:val="en-US" w:eastAsia="zh-CN"/>
              </w:rPr>
              <w:t>不直接接触药品的废包装产生量为0.5t/a，统一收集后外售。</w:t>
            </w:r>
            <w:r>
              <w:rPr>
                <w:rFonts w:hint="eastAsia"/>
                <w:sz w:val="24"/>
              </w:rPr>
              <w:t>纯水制备过程需定期更换滤芯、反渗透膜、离子交换树脂，离子交换树脂、滤芯（包括：石英砂滤芯、锰砂滤芯、活性炭滤芯、PP棉滤芯）平均每季度更换一次，反渗透膜平均每年更换一次。废滤芯产生量为</w:t>
            </w:r>
            <w:r>
              <w:rPr>
                <w:rFonts w:hint="eastAsia"/>
                <w:sz w:val="24"/>
                <w:lang w:val="en-US" w:eastAsia="zh-CN"/>
              </w:rPr>
              <w:t>0.5</w:t>
            </w:r>
            <w:r>
              <w:rPr>
                <w:rFonts w:hint="eastAsia"/>
                <w:sz w:val="24"/>
              </w:rPr>
              <w:t>t/a、废离子交换树脂0.2t/a、废反渗透膜0.015t/a。收集后暂存于一般固废场所，由生产厂家定期回收。</w:t>
            </w:r>
          </w:p>
          <w:p>
            <w:pPr>
              <w:keepNext w:val="0"/>
              <w:keepLines w:val="0"/>
              <w:suppressLineNumbers w:val="0"/>
              <w:adjustRightInd w:val="0"/>
              <w:snapToGrid w:val="0"/>
              <w:spacing w:before="0" w:beforeAutospacing="0" w:after="0" w:afterAutospacing="0" w:line="520" w:lineRule="exact"/>
              <w:ind w:left="0" w:right="0" w:firstLine="480" w:firstLineChars="200"/>
              <w:rPr>
                <w:rFonts w:hint="eastAsia"/>
                <w:sz w:val="24"/>
                <w:lang w:val="en-US" w:eastAsia="zh-CN"/>
              </w:rPr>
            </w:pPr>
            <w:r>
              <w:rPr>
                <w:sz w:val="24"/>
              </w:rPr>
              <w:t>本项目产生的一般固废暂存于一般固废暂存场所（建筑面积</w:t>
            </w:r>
            <w:r>
              <w:rPr>
                <w:rFonts w:hint="eastAsia"/>
                <w:sz w:val="24"/>
                <w:lang w:val="en-US" w:eastAsia="zh-CN"/>
              </w:rPr>
              <w:t>1</w:t>
            </w:r>
            <w:r>
              <w:rPr>
                <w:rFonts w:hint="eastAsia"/>
                <w:sz w:val="24"/>
              </w:rPr>
              <w:t>0</w:t>
            </w:r>
            <w:r>
              <w:rPr>
                <w:sz w:val="24"/>
              </w:rPr>
              <w:t>m</w:t>
            </w:r>
            <w:r>
              <w:rPr>
                <w:sz w:val="24"/>
                <w:vertAlign w:val="superscript"/>
              </w:rPr>
              <w:t>2</w:t>
            </w:r>
            <w:r>
              <w:rPr>
                <w:sz w:val="24"/>
              </w:rPr>
              <w:t>），一般固废场所满足《一般工业固体废物贮存、处置场污染控制标准》（GB18599-20</w:t>
            </w:r>
            <w:r>
              <w:rPr>
                <w:rFonts w:hint="eastAsia"/>
                <w:sz w:val="24"/>
              </w:rPr>
              <w:t>20</w:t>
            </w:r>
            <w:r>
              <w:rPr>
                <w:sz w:val="24"/>
              </w:rPr>
              <w:t>）的相关要求，且固废场所面积能够满足本项目需求。</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eastAsia="宋体"/>
                <w:sz w:val="24"/>
                <w:lang w:val="en-US" w:eastAsia="zh-CN"/>
              </w:rPr>
            </w:pPr>
            <w:r>
              <w:rPr>
                <w:rFonts w:hint="eastAsia"/>
                <w:sz w:val="24"/>
                <w:lang w:val="en-US" w:eastAsia="zh-CN"/>
              </w:rPr>
              <w:t>4.3危险废物</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rFonts w:hint="eastAsia"/>
                <w:sz w:val="24"/>
              </w:rPr>
              <w:fldChar w:fldCharType="begin"/>
            </w:r>
            <w:r>
              <w:rPr>
                <w:rFonts w:hint="eastAsia"/>
                <w:sz w:val="24"/>
              </w:rPr>
              <w:instrText xml:space="preserve"> = 1 \* GB3 \* MERGEFORMAT </w:instrText>
            </w:r>
            <w:r>
              <w:rPr>
                <w:rFonts w:hint="eastAsia"/>
                <w:sz w:val="24"/>
              </w:rPr>
              <w:fldChar w:fldCharType="separate"/>
            </w:r>
            <w:r>
              <w:t>①</w:t>
            </w:r>
            <w:r>
              <w:rPr>
                <w:rFonts w:hint="eastAsia"/>
                <w:sz w:val="24"/>
              </w:rPr>
              <w:fldChar w:fldCharType="end"/>
            </w:r>
            <w:r>
              <w:rPr>
                <w:rFonts w:hint="eastAsia"/>
                <w:sz w:val="24"/>
              </w:rPr>
              <w:t>废实验材料</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rFonts w:hint="eastAsia"/>
                <w:sz w:val="24"/>
              </w:rPr>
              <w:t>项目检测过程中产生一定量的实验室废物，包括一次性手套、一次性口罩、试剂盒、废移液管吸头、EP管、消毒纱布等、废样本、废培养基等，产生量约0.005t/d，合计</w:t>
            </w:r>
            <w:r>
              <w:rPr>
                <w:rFonts w:hint="eastAsia"/>
                <w:sz w:val="24"/>
                <w:lang w:val="en-US" w:eastAsia="zh-CN"/>
              </w:rPr>
              <w:t>1.5</w:t>
            </w:r>
            <w:r>
              <w:rPr>
                <w:rFonts w:hint="eastAsia"/>
                <w:sz w:val="24"/>
              </w:rPr>
              <w:t>t/a。根据《国家危险废物名录》(2021版)，属于HW49</w:t>
            </w:r>
            <w:r>
              <w:rPr>
                <w:rFonts w:hint="eastAsia"/>
                <w:sz w:val="24"/>
                <w:lang w:val="en-US" w:eastAsia="zh-CN"/>
              </w:rPr>
              <w:t>其他废物</w:t>
            </w:r>
            <w:r>
              <w:rPr>
                <w:rFonts w:hint="eastAsia"/>
                <w:sz w:val="24"/>
              </w:rPr>
              <w:t>，废物代码：900-047-49“生产、研究、开发、教学、环境检测（监测）活动中，化学和生物实验室（不包含感染性医学实验室及医疗机构化验室）产生的含氰、氟、重金属无机废液及无机废液处理产生的残渣、残液，含矿物油、有机溶剂、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收集后暂存于危险废物暂存间，定期委托有相应资质的资质单位处置。</w:t>
            </w:r>
          </w:p>
          <w:p>
            <w:pPr>
              <w:keepNext w:val="0"/>
              <w:keepLines w:val="0"/>
              <w:suppressLineNumbers w:val="0"/>
              <w:adjustRightInd w:val="0"/>
              <w:snapToGrid w:val="0"/>
              <w:spacing w:before="0" w:beforeAutospacing="0" w:after="0" w:afterAutospacing="0" w:line="520" w:lineRule="exact"/>
              <w:ind w:left="0" w:right="0" w:firstLine="480" w:firstLineChars="200"/>
              <w:rPr>
                <w:rFonts w:hint="eastAsia"/>
                <w:sz w:val="24"/>
              </w:rPr>
            </w:pPr>
            <w:r>
              <w:rPr>
                <w:rFonts w:hint="eastAsia"/>
                <w:sz w:val="24"/>
              </w:rPr>
              <w:fldChar w:fldCharType="begin"/>
            </w:r>
            <w:r>
              <w:rPr>
                <w:rFonts w:hint="eastAsia"/>
                <w:sz w:val="24"/>
              </w:rPr>
              <w:instrText xml:space="preserve"> = 2 \* GB3 \* MERGEFORMAT </w:instrText>
            </w:r>
            <w:r>
              <w:rPr>
                <w:rFonts w:hint="eastAsia"/>
                <w:sz w:val="24"/>
              </w:rPr>
              <w:fldChar w:fldCharType="separate"/>
            </w:r>
            <w:r>
              <w:t>②</w:t>
            </w:r>
            <w:r>
              <w:rPr>
                <w:rFonts w:hint="eastAsia"/>
                <w:sz w:val="24"/>
              </w:rPr>
              <w:fldChar w:fldCharType="end"/>
            </w:r>
            <w:r>
              <w:rPr>
                <w:rFonts w:hint="eastAsia"/>
                <w:sz w:val="24"/>
              </w:rPr>
              <w:t>实验废液</w:t>
            </w:r>
          </w:p>
          <w:p>
            <w:pPr>
              <w:keepNext w:val="0"/>
              <w:keepLines w:val="0"/>
              <w:suppressLineNumbers w:val="0"/>
              <w:adjustRightInd w:val="0"/>
              <w:snapToGrid w:val="0"/>
              <w:spacing w:before="0" w:beforeAutospacing="0" w:after="0" w:afterAutospacing="0" w:line="520" w:lineRule="exact"/>
              <w:ind w:left="0" w:right="0" w:firstLine="480" w:firstLineChars="200"/>
              <w:rPr>
                <w:sz w:val="24"/>
                <w:szCs w:val="32"/>
              </w:rPr>
            </w:pPr>
            <w:r>
              <w:rPr>
                <w:rFonts w:hint="eastAsia"/>
                <w:sz w:val="24"/>
              </w:rPr>
              <w:t>本项目实验室废液主要</w:t>
            </w:r>
            <w:r>
              <w:rPr>
                <w:rFonts w:hint="eastAsia"/>
                <w:sz w:val="24"/>
                <w:lang w:val="en-US" w:eastAsia="zh-CN"/>
              </w:rPr>
              <w:t>为</w:t>
            </w:r>
            <w:r>
              <w:rPr>
                <w:rFonts w:hint="eastAsia"/>
                <w:sz w:val="24"/>
              </w:rPr>
              <w:t>有机溶剂废液等，总废液量为</w:t>
            </w:r>
            <w:r>
              <w:rPr>
                <w:rFonts w:hint="eastAsia"/>
                <w:sz w:val="24"/>
                <w:lang w:val="en-US" w:eastAsia="zh-CN"/>
              </w:rPr>
              <w:t>0.05</w:t>
            </w:r>
            <w:r>
              <w:rPr>
                <w:rFonts w:hint="eastAsia"/>
                <w:sz w:val="24"/>
              </w:rPr>
              <w:t>t/a。根据《国家危险废物名录》，均属于危险废物，废物代码均为HW49</w:t>
            </w:r>
            <w:r>
              <w:rPr>
                <w:rFonts w:hint="eastAsia"/>
                <w:sz w:val="24"/>
                <w:lang w:val="en-US" w:eastAsia="zh-CN"/>
              </w:rPr>
              <w:t>其他废物</w:t>
            </w:r>
            <w:r>
              <w:rPr>
                <w:rFonts w:hint="eastAsia"/>
                <w:sz w:val="24"/>
              </w:rPr>
              <w:t>，废物代码：900-047-49，集中收集</w:t>
            </w:r>
            <w:r>
              <w:rPr>
                <w:rFonts w:hint="eastAsia"/>
                <w:sz w:val="24"/>
                <w:lang w:val="en-US" w:eastAsia="zh-CN"/>
              </w:rPr>
              <w:t>后</w:t>
            </w:r>
            <w:r>
              <w:rPr>
                <w:rFonts w:hint="eastAsia"/>
                <w:sz w:val="24"/>
              </w:rPr>
              <w:t>暂存于危废暂存间，交由有资质单位处置。</w:t>
            </w:r>
          </w:p>
          <w:p>
            <w:pPr>
              <w:pStyle w:val="47"/>
              <w:keepNext w:val="0"/>
              <w:keepLines w:val="0"/>
              <w:suppressLineNumbers w:val="0"/>
              <w:spacing w:before="0" w:beforeAutospacing="0" w:after="0" w:afterAutospacing="0" w:line="520" w:lineRule="exact"/>
              <w:ind w:left="0" w:right="0" w:firstLine="480" w:firstLineChars="200"/>
              <w:rPr>
                <w:rFonts w:hint="eastAsia" w:ascii="Times New Roman" w:cs="Times New Roman"/>
                <w:color w:val="auto"/>
                <w:kern w:val="2"/>
              </w:rPr>
            </w:pPr>
            <w:r>
              <w:rPr>
                <w:rFonts w:hint="eastAsia" w:ascii="Times New Roman" w:cs="Times New Roman"/>
                <w:color w:val="auto"/>
                <w:kern w:val="2"/>
              </w:rPr>
              <w:fldChar w:fldCharType="begin"/>
            </w:r>
            <w:r>
              <w:rPr>
                <w:rFonts w:hint="eastAsia" w:ascii="Times New Roman" w:cs="Times New Roman"/>
                <w:color w:val="auto"/>
                <w:kern w:val="2"/>
              </w:rPr>
              <w:instrText xml:space="preserve"> = 3 \* GB3 \* MERGEFORMAT </w:instrText>
            </w:r>
            <w:r>
              <w:rPr>
                <w:rFonts w:hint="eastAsia" w:ascii="Times New Roman" w:cs="Times New Roman"/>
                <w:color w:val="auto"/>
                <w:kern w:val="2"/>
              </w:rPr>
              <w:fldChar w:fldCharType="separate"/>
            </w:r>
            <w:r>
              <w:rPr>
                <w:kern w:val="2"/>
              </w:rPr>
              <w:t>③</w:t>
            </w:r>
            <w:r>
              <w:rPr>
                <w:rFonts w:hint="eastAsia" w:ascii="Times New Roman" w:cs="Times New Roman"/>
                <w:color w:val="auto"/>
                <w:kern w:val="2"/>
              </w:rPr>
              <w:fldChar w:fldCharType="end"/>
            </w:r>
            <w:r>
              <w:rPr>
                <w:rFonts w:hint="eastAsia" w:ascii="Times New Roman" w:cs="Times New Roman"/>
                <w:color w:val="auto"/>
                <w:kern w:val="2"/>
              </w:rPr>
              <w:t>报废化学试剂和化学品废弃容器</w:t>
            </w:r>
          </w:p>
          <w:p>
            <w:pPr>
              <w:pStyle w:val="47"/>
              <w:keepNext w:val="0"/>
              <w:keepLines w:val="0"/>
              <w:suppressLineNumbers w:val="0"/>
              <w:spacing w:before="0" w:beforeAutospacing="0" w:after="0" w:afterAutospacing="0" w:line="520" w:lineRule="exact"/>
              <w:ind w:left="0" w:right="0" w:firstLine="480" w:firstLineChars="200"/>
              <w:rPr>
                <w:rFonts w:hint="eastAsia" w:ascii="Times New Roman" w:cs="Times New Roman"/>
                <w:color w:val="auto"/>
                <w:kern w:val="2"/>
              </w:rPr>
            </w:pPr>
            <w:r>
              <w:rPr>
                <w:rFonts w:hint="eastAsia" w:ascii="Times New Roman" w:cs="Times New Roman"/>
                <w:color w:val="auto"/>
                <w:kern w:val="2"/>
              </w:rPr>
              <w:t>本项</w:t>
            </w:r>
            <w:r>
              <w:rPr>
                <w:rFonts w:hint="default" w:ascii="Times New Roman" w:hAnsi="Times New Roman" w:cs="Times New Roman"/>
                <w:color w:val="auto"/>
                <w:kern w:val="2"/>
              </w:rPr>
              <w:t>目报废化学试剂和化学品废弃容器产生量</w:t>
            </w:r>
            <w:r>
              <w:rPr>
                <w:rFonts w:hint="eastAsia" w:ascii="Times New Roman" w:hAnsi="Times New Roman" w:cs="Times New Roman"/>
                <w:color w:val="auto"/>
                <w:kern w:val="2"/>
                <w:lang w:val="en-US" w:eastAsia="zh-CN"/>
              </w:rPr>
              <w:t>分别为0.01t/a、</w:t>
            </w:r>
            <w:r>
              <w:rPr>
                <w:rFonts w:hint="default" w:ascii="Times New Roman" w:hAnsi="Times New Roman" w:cs="Times New Roman"/>
                <w:color w:val="auto"/>
                <w:kern w:val="2"/>
              </w:rPr>
              <w:t>0.</w:t>
            </w:r>
            <w:r>
              <w:rPr>
                <w:rFonts w:hint="eastAsia" w:ascii="Times New Roman" w:cs="Times New Roman"/>
                <w:color w:val="auto"/>
                <w:kern w:val="2"/>
                <w:lang w:val="en-US" w:eastAsia="zh-CN"/>
              </w:rPr>
              <w:t>0</w:t>
            </w:r>
            <w:r>
              <w:rPr>
                <w:rFonts w:hint="eastAsia" w:ascii="Times New Roman" w:hAnsi="Times New Roman" w:cs="Times New Roman"/>
                <w:color w:val="auto"/>
                <w:kern w:val="2"/>
                <w:lang w:val="en-US" w:eastAsia="zh-CN"/>
              </w:rPr>
              <w:t>4</w:t>
            </w:r>
            <w:r>
              <w:rPr>
                <w:rFonts w:hint="default" w:ascii="Times New Roman" w:hAnsi="Times New Roman" w:cs="Times New Roman"/>
                <w:color w:val="auto"/>
                <w:kern w:val="2"/>
              </w:rPr>
              <w:t>t/a。根据《国家危险废物名录》</w:t>
            </w:r>
            <w:r>
              <w:rPr>
                <w:rFonts w:hint="default" w:ascii="Times New Roman" w:hAnsi="Times New Roman" w:cs="Times New Roman"/>
                <w:kern w:val="2"/>
                <w:sz w:val="24"/>
              </w:rPr>
              <w:t>(2021版)</w:t>
            </w:r>
            <w:r>
              <w:rPr>
                <w:rFonts w:hint="default" w:ascii="Times New Roman" w:hAnsi="Times New Roman" w:cs="Times New Roman"/>
                <w:color w:val="auto"/>
                <w:kern w:val="2"/>
              </w:rPr>
              <w:t>，均属于危险废物，废物代码分别为HW49</w:t>
            </w:r>
            <w:r>
              <w:rPr>
                <w:rFonts w:hint="eastAsia"/>
                <w:kern w:val="2"/>
                <w:sz w:val="24"/>
                <w:lang w:val="en-US" w:eastAsia="zh-CN"/>
              </w:rPr>
              <w:t>其他废物</w:t>
            </w:r>
            <w:r>
              <w:rPr>
                <w:rFonts w:hint="default" w:ascii="Times New Roman" w:hAnsi="Times New Roman" w:cs="Times New Roman"/>
                <w:color w:val="auto"/>
                <w:kern w:val="2"/>
              </w:rPr>
              <w:t>900-999-49</w:t>
            </w:r>
            <w:r>
              <w:rPr>
                <w:rFonts w:hint="eastAsia" w:ascii="Times New Roman" w:hAnsi="Times New Roman" w:cs="Times New Roman"/>
                <w:color w:val="auto"/>
                <w:kern w:val="2"/>
                <w:lang w:eastAsia="zh-CN"/>
              </w:rPr>
              <w:t>“</w:t>
            </w:r>
            <w:r>
              <w:rPr>
                <w:rFonts w:hint="eastAsia" w:ascii="Times New Roman" w:hAnsi="Times New Roman" w:cs="Times New Roman"/>
                <w:color w:val="auto"/>
                <w:kern w:val="2"/>
                <w:lang w:val="en-US" w:eastAsia="zh-CN"/>
              </w:rPr>
              <w:t>被所有者申报废弃的，或未申报废弃但被非法排放、倾倒、利用、处置的，以及有关部门依法收缴或接收且需要销毁的列入《危险化学品目录》的危险化学品（不含该目录中仅具有“加压气体”物理危险性的危险化学品）</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、HW49</w:t>
            </w:r>
            <w:r>
              <w:rPr>
                <w:rFonts w:hint="eastAsia"/>
                <w:kern w:val="2"/>
                <w:sz w:val="24"/>
                <w:lang w:val="en-US" w:eastAsia="zh-CN"/>
              </w:rPr>
              <w:t>其他废物</w:t>
            </w:r>
            <w:r>
              <w:rPr>
                <w:rFonts w:hint="default" w:ascii="Times New Roman" w:hAnsi="Times New Roman" w:cs="Times New Roman"/>
                <w:color w:val="auto"/>
                <w:kern w:val="2"/>
              </w:rPr>
              <w:t>900-041-49</w:t>
            </w:r>
            <w:r>
              <w:rPr>
                <w:rFonts w:hint="eastAsia" w:ascii="Times New Roman" w:hAnsi="Times New Roman" w:cs="Times New Roman"/>
                <w:color w:val="auto"/>
                <w:kern w:val="2"/>
                <w:lang w:eastAsia="zh-CN"/>
              </w:rPr>
              <w:t>“</w:t>
            </w:r>
            <w:r>
              <w:rPr>
                <w:rFonts w:hint="eastAsia" w:ascii="Times New Roman" w:hAnsi="Times New Roman" w:cs="Times New Roman"/>
                <w:color w:val="auto"/>
                <w:kern w:val="2"/>
                <w:lang w:val="en-US" w:eastAsia="zh-CN"/>
              </w:rPr>
              <w:t>含有或沾染毒性、感染性危险废物的废弃包装物、容器、过滤吸附介质</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，集中收集，暂存于危废暂存间，交由有资质单位处置。</w:t>
            </w:r>
          </w:p>
          <w:p>
            <w:pPr>
              <w:pStyle w:val="47"/>
              <w:keepNext w:val="0"/>
              <w:keepLines w:val="0"/>
              <w:suppressLineNumbers w:val="0"/>
              <w:spacing w:before="0" w:beforeAutospacing="0" w:after="0" w:afterAutospacing="0" w:line="520" w:lineRule="exact"/>
              <w:ind w:left="0" w:right="0" w:firstLine="480" w:firstLineChars="200"/>
              <w:rPr>
                <w:rFonts w:ascii="Times New Roman" w:cs="Times New Roman"/>
                <w:color w:val="auto"/>
                <w:kern w:val="2"/>
              </w:rPr>
            </w:pPr>
            <w:r>
              <w:rPr>
                <w:rFonts w:hint="eastAsia"/>
                <w:kern w:val="2"/>
                <w:sz w:val="24"/>
              </w:rPr>
              <w:fldChar w:fldCharType="begin"/>
            </w:r>
            <w:r>
              <w:rPr>
                <w:rFonts w:hint="eastAsia"/>
                <w:kern w:val="2"/>
                <w:sz w:val="24"/>
              </w:rPr>
              <w:instrText xml:space="preserve"> = 4 \* GB3 \* MERGEFORMAT </w:instrText>
            </w:r>
            <w:r>
              <w:rPr>
                <w:rFonts w:hint="eastAsia"/>
                <w:kern w:val="2"/>
                <w:sz w:val="24"/>
              </w:rPr>
              <w:fldChar w:fldCharType="separate"/>
            </w:r>
            <w:r>
              <w:rPr>
                <w:kern w:val="2"/>
              </w:rPr>
              <w:t>④</w:t>
            </w:r>
            <w:r>
              <w:rPr>
                <w:rFonts w:hint="eastAsia"/>
                <w:kern w:val="2"/>
                <w:sz w:val="24"/>
              </w:rPr>
              <w:fldChar w:fldCharType="end"/>
            </w:r>
            <w:r>
              <w:rPr>
                <w:rFonts w:hint="eastAsia" w:ascii="Times New Roman" w:cs="Times New Roman"/>
                <w:color w:val="auto"/>
                <w:kern w:val="2"/>
              </w:rPr>
              <w:t>废活性炭</w:t>
            </w:r>
          </w:p>
          <w:p>
            <w:pPr>
              <w:pStyle w:val="47"/>
              <w:keepNext w:val="0"/>
              <w:keepLines w:val="0"/>
              <w:suppressLineNumbers w:val="0"/>
              <w:spacing w:before="0" w:beforeAutospacing="0" w:after="0" w:afterAutospacing="0" w:line="520" w:lineRule="exact"/>
              <w:ind w:left="0" w:right="0" w:firstLine="480" w:firstLineChars="200"/>
              <w:rPr>
                <w:rFonts w:ascii="Times New Roman" w:cs="Times New Roman"/>
                <w:color w:val="auto"/>
                <w:kern w:val="2"/>
              </w:rPr>
            </w:pPr>
            <w:r>
              <w:rPr>
                <w:rFonts w:ascii="Times New Roman" w:cs="Times New Roman"/>
                <w:color w:val="auto"/>
                <w:kern w:val="2"/>
              </w:rPr>
              <w:t>本项目废气治理采用“</w:t>
            </w:r>
            <w:r>
              <w:rPr>
                <w:rFonts w:hint="eastAsia" w:ascii="Times New Roman" w:cs="Times New Roman"/>
                <w:color w:val="auto"/>
                <w:kern w:val="2"/>
                <w:lang w:val="en-US" w:eastAsia="zh-CN"/>
              </w:rPr>
              <w:t>碱喷淋+</w:t>
            </w:r>
            <w:r>
              <w:rPr>
                <w:rFonts w:hint="eastAsia" w:ascii="Times New Roman" w:cs="Times New Roman"/>
                <w:color w:val="auto"/>
                <w:kern w:val="2"/>
              </w:rPr>
              <w:t>UV光氧催化</w:t>
            </w:r>
            <w:r>
              <w:rPr>
                <w:rFonts w:ascii="Times New Roman" w:cs="Times New Roman"/>
                <w:color w:val="auto"/>
                <w:kern w:val="2"/>
              </w:rPr>
              <w:t>+活性炭吸附”处理工艺，“</w:t>
            </w:r>
            <w:r>
              <w:rPr>
                <w:rFonts w:hint="eastAsia" w:ascii="Times New Roman" w:cs="Times New Roman"/>
                <w:color w:val="auto"/>
                <w:kern w:val="2"/>
                <w:lang w:val="en-US" w:eastAsia="zh-CN"/>
              </w:rPr>
              <w:t>碱喷淋+</w:t>
            </w:r>
            <w:r>
              <w:rPr>
                <w:rFonts w:hint="eastAsia" w:ascii="Times New Roman" w:cs="Times New Roman"/>
                <w:color w:val="auto"/>
                <w:kern w:val="2"/>
              </w:rPr>
              <w:t>UV光氧催化</w:t>
            </w:r>
            <w:r>
              <w:rPr>
                <w:rFonts w:ascii="Times New Roman" w:cs="Times New Roman"/>
                <w:color w:val="auto"/>
                <w:kern w:val="2"/>
              </w:rPr>
              <w:t>+活性炭吸附”</w:t>
            </w:r>
            <w:r>
              <w:rPr>
                <w:rFonts w:hint="eastAsia" w:ascii="Times New Roman" w:cs="Times New Roman"/>
                <w:color w:val="auto"/>
                <w:kern w:val="2"/>
              </w:rPr>
              <w:t>综合治理效率为90%，其中</w:t>
            </w:r>
            <w:r>
              <w:rPr>
                <w:rFonts w:hint="eastAsia" w:ascii="Times New Roman" w:cs="Times New Roman"/>
                <w:color w:val="auto"/>
                <w:kern w:val="2"/>
                <w:lang w:val="en-US" w:eastAsia="zh-CN"/>
              </w:rPr>
              <w:t>碱喷淋主要去除酸性气体，</w:t>
            </w:r>
            <w:r>
              <w:rPr>
                <w:rFonts w:hint="eastAsia" w:ascii="Times New Roman" w:cs="Times New Roman"/>
                <w:color w:val="auto"/>
                <w:kern w:val="2"/>
              </w:rPr>
              <w:t>UV光氧催化治理</w:t>
            </w:r>
            <w:r>
              <w:rPr>
                <w:rFonts w:hint="eastAsia" w:ascii="Times New Roman" w:cs="Times New Roman"/>
                <w:color w:val="auto"/>
                <w:kern w:val="2"/>
                <w:lang w:val="en-US" w:eastAsia="zh-CN"/>
              </w:rPr>
              <w:t>VOCs废气</w:t>
            </w:r>
            <w:r>
              <w:rPr>
                <w:rFonts w:hint="eastAsia" w:ascii="Times New Roman" w:cs="Times New Roman"/>
                <w:color w:val="auto"/>
                <w:kern w:val="2"/>
              </w:rPr>
              <w:t>效率50%，活性炭吸附效率80%，有组织有机废气集气量为</w:t>
            </w:r>
            <w:r>
              <w:rPr>
                <w:rFonts w:hint="eastAsia" w:ascii="Times New Roman" w:cs="Times New Roman"/>
                <w:color w:val="auto"/>
                <w:kern w:val="2"/>
                <w:lang w:val="en-US" w:eastAsia="zh-CN"/>
              </w:rPr>
              <w:t>2.5394kg</w:t>
            </w:r>
            <w:r>
              <w:rPr>
                <w:rFonts w:hint="eastAsia" w:ascii="Times New Roman" w:cs="Times New Roman"/>
                <w:color w:val="auto"/>
                <w:kern w:val="2"/>
              </w:rPr>
              <w:t>/a，则活性炭吸附的有机废气量为</w:t>
            </w:r>
            <w:r>
              <w:rPr>
                <w:rFonts w:hint="eastAsia" w:ascii="Times New Roman" w:cs="Times New Roman"/>
                <w:color w:val="auto"/>
                <w:kern w:val="2"/>
                <w:lang w:val="en-US" w:eastAsia="zh-CN"/>
              </w:rPr>
              <w:t>1.2697 kg</w:t>
            </w:r>
            <w:r>
              <w:rPr>
                <w:rFonts w:hint="eastAsia" w:ascii="Times New Roman" w:cs="Times New Roman"/>
                <w:color w:val="auto"/>
                <w:kern w:val="2"/>
              </w:rPr>
              <w:t>/a</w:t>
            </w:r>
            <w:r>
              <w:rPr>
                <w:rFonts w:ascii="Times New Roman" w:cs="Times New Roman"/>
                <w:color w:val="auto"/>
                <w:kern w:val="2"/>
              </w:rPr>
              <w:t>，参考《简明通风设计手册》以及广东工业大学工程研究，1kg活性炭吸附有机废气量约为250g，则项目所需活性炭</w:t>
            </w:r>
            <w:r>
              <w:rPr>
                <w:rFonts w:hint="eastAsia" w:ascii="Times New Roman" w:cs="Times New Roman"/>
                <w:color w:val="auto"/>
                <w:kern w:val="2"/>
              </w:rPr>
              <w:t>理论值</w:t>
            </w:r>
            <w:r>
              <w:rPr>
                <w:rFonts w:ascii="Times New Roman" w:cs="Times New Roman"/>
                <w:color w:val="auto"/>
                <w:kern w:val="2"/>
              </w:rPr>
              <w:t>为</w:t>
            </w:r>
            <w:r>
              <w:rPr>
                <w:rFonts w:hint="eastAsia" w:ascii="Times New Roman" w:cs="Times New Roman"/>
                <w:color w:val="auto"/>
                <w:kern w:val="2"/>
                <w:lang w:val="en-US" w:eastAsia="zh-CN"/>
              </w:rPr>
              <w:t>5.0788kg</w:t>
            </w:r>
            <w:r>
              <w:rPr>
                <w:rFonts w:ascii="Times New Roman" w:cs="Times New Roman"/>
                <w:color w:val="auto"/>
                <w:kern w:val="2"/>
              </w:rPr>
              <w:t>/a。</w:t>
            </w:r>
            <w:r>
              <w:rPr>
                <w:rFonts w:hint="eastAsia" w:ascii="Times New Roman" w:cs="Times New Roman"/>
                <w:color w:val="auto"/>
                <w:kern w:val="2"/>
              </w:rPr>
              <w:t>评价建议</w:t>
            </w:r>
            <w:r>
              <w:rPr>
                <w:rFonts w:ascii="Times New Roman" w:cs="Times New Roman"/>
                <w:color w:val="auto"/>
                <w:kern w:val="2"/>
              </w:rPr>
              <w:t>建设单位每季度更换一次废活性炭，</w:t>
            </w:r>
            <w:r>
              <w:rPr>
                <w:rFonts w:hint="eastAsia" w:ascii="Times New Roman" w:cs="Times New Roman"/>
                <w:color w:val="auto"/>
                <w:kern w:val="2"/>
              </w:rPr>
              <w:t>活性炭每次填充量为</w:t>
            </w:r>
            <w:r>
              <w:rPr>
                <w:rFonts w:hint="eastAsia" w:ascii="Times New Roman" w:cs="Times New Roman"/>
                <w:color w:val="auto"/>
                <w:kern w:val="2"/>
                <w:lang w:val="en-US" w:eastAsia="zh-CN"/>
              </w:rPr>
              <w:t>20kg</w:t>
            </w:r>
            <w:r>
              <w:rPr>
                <w:rFonts w:hint="eastAsia" w:ascii="Times New Roman" w:cs="Times New Roman"/>
                <w:color w:val="auto"/>
                <w:kern w:val="2"/>
              </w:rPr>
              <w:t>，则废活性炭产生量为</w:t>
            </w:r>
            <w:r>
              <w:rPr>
                <w:rFonts w:hint="eastAsia" w:ascii="Times New Roman" w:cs="Times New Roman"/>
                <w:color w:val="auto"/>
                <w:kern w:val="2"/>
                <w:lang w:val="en-US" w:eastAsia="zh-CN"/>
              </w:rPr>
              <w:t>81kg</w:t>
            </w:r>
            <w:r>
              <w:rPr>
                <w:rFonts w:ascii="Times New Roman" w:cs="Times New Roman"/>
                <w:color w:val="auto"/>
                <w:kern w:val="2"/>
              </w:rPr>
              <w:t>/a</w:t>
            </w:r>
            <w:r>
              <w:rPr>
                <w:rFonts w:hint="eastAsia" w:ascii="Times New Roman" w:cs="Times New Roman"/>
                <w:color w:val="auto"/>
                <w:kern w:val="2"/>
              </w:rPr>
              <w:t>，废活性炭属于</w:t>
            </w:r>
            <w:r>
              <w:rPr>
                <w:rFonts w:ascii="Times New Roman" w:cs="Times New Roman"/>
                <w:color w:val="auto"/>
                <w:kern w:val="2"/>
              </w:rPr>
              <w:t>《国家危险废物名录》（2021年版）HW</w:t>
            </w:r>
            <w:r>
              <w:rPr>
                <w:rFonts w:hint="eastAsia" w:ascii="Times New Roman" w:cs="Times New Roman"/>
                <w:color w:val="auto"/>
                <w:kern w:val="2"/>
                <w:lang w:val="en-US" w:eastAsia="zh-CN"/>
              </w:rPr>
              <w:t>49</w:t>
            </w:r>
            <w:r>
              <w:rPr>
                <w:rFonts w:ascii="Times New Roman" w:cs="Times New Roman"/>
                <w:color w:val="auto"/>
                <w:kern w:val="2"/>
              </w:rPr>
              <w:t xml:space="preserve"> </w:t>
            </w:r>
            <w:r>
              <w:rPr>
                <w:rFonts w:hint="eastAsia" w:ascii="Times New Roman" w:cs="Times New Roman"/>
                <w:color w:val="auto"/>
                <w:kern w:val="2"/>
                <w:lang w:val="en-US" w:eastAsia="zh-CN"/>
              </w:rPr>
              <w:t>其他</w:t>
            </w:r>
            <w:r>
              <w:rPr>
                <w:rFonts w:ascii="Times New Roman" w:cs="Times New Roman"/>
                <w:color w:val="auto"/>
                <w:kern w:val="2"/>
              </w:rPr>
              <w:t>废物</w:t>
            </w:r>
            <w:r>
              <w:rPr>
                <w:rFonts w:hint="eastAsia" w:ascii="Times New Roman" w:cs="Times New Roman"/>
                <w:color w:val="auto"/>
                <w:kern w:val="2"/>
              </w:rPr>
              <w:t>，其代码为</w:t>
            </w:r>
            <w:r>
              <w:rPr>
                <w:rFonts w:hint="eastAsia" w:ascii="Times New Roman" w:cs="Times New Roman"/>
                <w:color w:val="auto"/>
                <w:kern w:val="2"/>
                <w:lang w:val="en-US" w:eastAsia="zh-CN"/>
              </w:rPr>
              <w:t>900-039-49</w:t>
            </w:r>
            <w:r>
              <w:rPr>
                <w:rFonts w:hint="eastAsia" w:ascii="Times New Roman" w:cs="Times New Roman"/>
                <w:color w:val="auto"/>
                <w:kern w:val="2"/>
              </w:rPr>
              <w:t>“</w:t>
            </w:r>
            <w:r>
              <w:rPr>
                <w:rFonts w:hint="eastAsia" w:ascii="Times New Roman" w:cs="Times New Roman"/>
                <w:color w:val="auto"/>
                <w:kern w:val="2"/>
                <w:lang w:val="en-US" w:eastAsia="zh-CN"/>
              </w:rPr>
              <w:t>烟气、VOCs治理过程（不包括餐饮行业油烟治理过程）产生的废活性炭，化学原料和化学制品脱色（不包括有机合成食品添加剂脱色）、除杂、净化过程产生的废活性炭</w:t>
            </w:r>
            <w:r>
              <w:rPr>
                <w:rFonts w:hint="eastAsia" w:ascii="Times New Roman" w:cs="Times New Roman"/>
                <w:color w:val="auto"/>
                <w:kern w:val="2"/>
              </w:rPr>
              <w:t>”，</w:t>
            </w:r>
            <w:r>
              <w:rPr>
                <w:rFonts w:ascii="Times New Roman" w:cs="Times New Roman"/>
                <w:color w:val="auto"/>
                <w:kern w:val="2"/>
              </w:rPr>
              <w:t>收集后交由</w:t>
            </w:r>
            <w:r>
              <w:rPr>
                <w:rFonts w:hint="eastAsia" w:ascii="Times New Roman" w:cs="Times New Roman"/>
                <w:color w:val="auto"/>
                <w:kern w:val="2"/>
              </w:rPr>
              <w:t>有危废资质</w:t>
            </w:r>
            <w:r>
              <w:rPr>
                <w:rFonts w:ascii="Times New Roman" w:cs="Times New Roman"/>
                <w:color w:val="auto"/>
                <w:kern w:val="2"/>
              </w:rPr>
              <w:t>的单位处理。</w:t>
            </w:r>
          </w:p>
          <w:p>
            <w:pPr>
              <w:keepNext w:val="0"/>
              <w:keepLines w:val="0"/>
              <w:suppressLineNumbers w:val="0"/>
              <w:spacing w:before="0" w:beforeAutospacing="0" w:after="0" w:afterAutospacing="0" w:line="520" w:lineRule="exact"/>
              <w:ind w:left="0" w:right="0" w:firstLine="480" w:firstLineChars="200"/>
              <w:rPr>
                <w:rFonts w:hint="default" w:eastAsia="宋体"/>
                <w:sz w:val="24"/>
                <w:lang w:val="en-US" w:eastAsia="zh-CN"/>
              </w:rPr>
            </w:pPr>
            <w:r>
              <w:rPr>
                <w:rFonts w:hint="eastAsia"/>
                <w:sz w:val="24"/>
              </w:rPr>
              <w:fldChar w:fldCharType="begin"/>
            </w:r>
            <w:r>
              <w:rPr>
                <w:rFonts w:hint="eastAsia"/>
                <w:sz w:val="24"/>
              </w:rPr>
              <w:instrText xml:space="preserve"> = 5 \* GB3 \* MERGEFORMAT </w:instrText>
            </w:r>
            <w:r>
              <w:rPr>
                <w:rFonts w:hint="eastAsia"/>
                <w:sz w:val="24"/>
              </w:rPr>
              <w:fldChar w:fldCharType="separate"/>
            </w:r>
            <w:r>
              <w:t>⑤</w:t>
            </w:r>
            <w:r>
              <w:rPr>
                <w:rFonts w:hint="eastAsia"/>
                <w:sz w:val="24"/>
              </w:rPr>
              <w:fldChar w:fldCharType="end"/>
            </w:r>
            <w:r>
              <w:rPr>
                <w:rFonts w:hint="eastAsia"/>
                <w:sz w:val="24"/>
                <w:lang w:val="en-US" w:eastAsia="zh-CN"/>
              </w:rPr>
              <w:t>废紫外灯管</w:t>
            </w:r>
          </w:p>
          <w:p>
            <w:pPr>
              <w:keepNext w:val="0"/>
              <w:keepLines w:val="0"/>
              <w:suppressLineNumbers w:val="0"/>
              <w:spacing w:before="0" w:beforeAutospacing="0" w:after="0" w:afterAutospacing="0" w:line="520" w:lineRule="exact"/>
              <w:ind w:left="0" w:right="0" w:firstLine="480" w:firstLineChars="200"/>
              <w:rPr>
                <w:rFonts w:hint="eastAsia"/>
                <w:sz w:val="24"/>
              </w:rPr>
            </w:pPr>
            <w:r>
              <w:rPr>
                <w:rFonts w:hint="default" w:ascii="Times New Roman" w:hAnsi="Times New Roman" w:cs="Times New Roman"/>
                <w:b w:val="0"/>
                <w:bCs w:val="0"/>
                <w:sz w:val="24"/>
                <w:szCs w:val="24"/>
                <w:u w:val="none"/>
                <w:lang w:eastAsia="zh-CN"/>
              </w:rPr>
              <w:t>本项目废气治理采用“</w:t>
            </w:r>
            <w:r>
              <w:rPr>
                <w:rFonts w:hint="default" w:ascii="Times New Roman" w:hAnsi="Times New Roman" w:cs="Times New Roman"/>
                <w:b w:val="0"/>
                <w:bCs w:val="0"/>
                <w:sz w:val="24"/>
                <w:szCs w:val="24"/>
                <w:u w:val="none"/>
                <w:lang w:val="en-US" w:eastAsia="zh-CN"/>
              </w:rPr>
              <w:t>碱喷淋+</w:t>
            </w:r>
            <w:r>
              <w:rPr>
                <w:rFonts w:hint="default" w:ascii="Times New Roman" w:hAnsi="Times New Roman" w:cs="Times New Roman"/>
                <w:b w:val="0"/>
                <w:bCs w:val="0"/>
                <w:sz w:val="24"/>
                <w:szCs w:val="24"/>
                <w:u w:val="none"/>
                <w:lang w:eastAsia="zh-CN"/>
              </w:rPr>
              <w:t>UV光氧催化+活性炭吸附”处理工艺，</w:t>
            </w:r>
            <w:r>
              <w:rPr>
                <w:rFonts w:hint="default" w:ascii="Times New Roman" w:hAnsi="Times New Roman" w:cs="Times New Roman"/>
                <w:b w:val="0"/>
                <w:bCs w:val="0"/>
                <w:sz w:val="24"/>
                <w:szCs w:val="24"/>
                <w:u w:val="none"/>
              </w:rPr>
              <w:t>UV光催化氧化装置在运行使用过程中，需要每年更换一次紫外灯管，废紫外灯管每年约产生</w:t>
            </w:r>
            <w:r>
              <w:rPr>
                <w:rFonts w:hint="eastAsia" w:cs="Times New Roman"/>
                <w:b w:val="0"/>
                <w:bCs w:val="0"/>
                <w:sz w:val="24"/>
                <w:szCs w:val="24"/>
                <w:u w:val="none"/>
                <w:lang w:val="en-US" w:eastAsia="zh-CN"/>
              </w:rPr>
              <w:t>0.003t</w:t>
            </w:r>
            <w:r>
              <w:rPr>
                <w:rFonts w:hint="default" w:ascii="Times New Roman" w:hAnsi="Times New Roman" w:cs="Times New Roman"/>
                <w:b w:val="0"/>
                <w:bCs w:val="0"/>
                <w:sz w:val="24"/>
                <w:szCs w:val="24"/>
                <w:u w:val="none"/>
              </w:rPr>
              <w:t>，</w:t>
            </w:r>
            <w:r>
              <w:rPr>
                <w:rFonts w:hint="default" w:ascii="Times New Roman" w:hAnsi="Times New Roman" w:cs="Times New Roman"/>
                <w:sz w:val="24"/>
                <w:szCs w:val="24"/>
              </w:rPr>
              <w:t>根据《国家危险废物名录》（20</w:t>
            </w:r>
            <w:r>
              <w:rPr>
                <w:rFonts w:hint="eastAsia" w:ascii="Times New Roman" w:hAnsi="Times New Roman" w:eastAsia="宋体" w:cs="Times New Roman"/>
                <w:sz w:val="24"/>
                <w:szCs w:val="24"/>
                <w:lang w:val="en-US" w:eastAsia="zh-CN"/>
              </w:rPr>
              <w:t>21</w:t>
            </w:r>
            <w:r>
              <w:rPr>
                <w:rFonts w:hint="default" w:ascii="Times New Roman" w:hAnsi="Times New Roman" w:cs="Times New Roman"/>
                <w:sz w:val="24"/>
                <w:szCs w:val="24"/>
                <w:lang w:eastAsia="zh-CN"/>
              </w:rPr>
              <w:t>年版</w:t>
            </w:r>
            <w:r>
              <w:rPr>
                <w:rFonts w:hint="default" w:ascii="Times New Roman" w:hAnsi="Times New Roman" w:cs="Times New Roman"/>
                <w:sz w:val="24"/>
                <w:szCs w:val="24"/>
              </w:rPr>
              <w:t>），废紫外灯管属于HW29含汞废物中的900-023-29（</w:t>
            </w:r>
            <w:r>
              <w:rPr>
                <w:rFonts w:hint="default" w:ascii="Times New Roman" w:hAnsi="Times New Roman" w:cs="Times New Roman"/>
                <w:sz w:val="24"/>
                <w:szCs w:val="24"/>
                <w:lang w:val="en-US" w:eastAsia="zh-CN"/>
              </w:rPr>
              <w:t>生产、销售及使用过程中产生的废含汞荧光灯管及其他废含汞电光源</w:t>
            </w:r>
            <w:r>
              <w:rPr>
                <w:rFonts w:hint="default" w:ascii="Times New Roman" w:hAnsi="Times New Roman" w:cs="Times New Roman"/>
                <w:sz w:val="24"/>
                <w:szCs w:val="24"/>
              </w:rPr>
              <w:t>）。评价要求集中收集、危废暂存间暂存后，定期委托有资质的危废处理单位进行处置。</w:t>
            </w:r>
          </w:p>
          <w:p>
            <w:pPr>
              <w:keepNext w:val="0"/>
              <w:keepLines w:val="0"/>
              <w:suppressLineNumbers w:val="0"/>
              <w:spacing w:before="0" w:beforeAutospacing="0" w:after="0" w:afterAutospacing="0" w:line="520" w:lineRule="exact"/>
              <w:ind w:left="0" w:right="0" w:firstLine="480" w:firstLineChars="200"/>
              <w:rPr>
                <w:rFonts w:hint="default"/>
                <w:sz w:val="24"/>
                <w:lang w:val="en-US" w:eastAsia="zh-CN"/>
              </w:rPr>
            </w:pPr>
            <w:r>
              <w:rPr>
                <w:rFonts w:hint="eastAsia"/>
                <w:sz w:val="24"/>
                <w:lang w:val="en-US" w:eastAsia="zh-CN"/>
              </w:rPr>
              <w:fldChar w:fldCharType="begin"/>
            </w:r>
            <w:r>
              <w:rPr>
                <w:rFonts w:hint="eastAsia"/>
                <w:sz w:val="24"/>
                <w:lang w:val="en-US" w:eastAsia="zh-CN"/>
              </w:rPr>
              <w:instrText xml:space="preserve"> = 6 \* GB3 \* MERGEFORMAT </w:instrText>
            </w:r>
            <w:r>
              <w:rPr>
                <w:rFonts w:hint="eastAsia"/>
                <w:sz w:val="24"/>
                <w:lang w:val="en-US" w:eastAsia="zh-CN"/>
              </w:rPr>
              <w:fldChar w:fldCharType="separate"/>
            </w:r>
            <w:r>
              <w:t>⑥</w:t>
            </w:r>
            <w:r>
              <w:rPr>
                <w:rFonts w:hint="eastAsia"/>
                <w:sz w:val="24"/>
                <w:lang w:val="en-US" w:eastAsia="zh-CN"/>
              </w:rPr>
              <w:fldChar w:fldCharType="end"/>
            </w:r>
            <w:r>
              <w:rPr>
                <w:rFonts w:hint="eastAsia"/>
                <w:sz w:val="24"/>
                <w:lang w:val="en-US" w:eastAsia="zh-CN"/>
              </w:rPr>
              <w:t>碱喷淋废液</w:t>
            </w:r>
          </w:p>
          <w:p>
            <w:pPr>
              <w:keepNext w:val="0"/>
              <w:keepLines w:val="0"/>
              <w:suppressLineNumbers w:val="0"/>
              <w:spacing w:before="0" w:beforeAutospacing="0" w:after="0" w:afterAutospacing="0" w:line="520" w:lineRule="exact"/>
              <w:ind w:left="0" w:right="0" w:firstLine="480" w:firstLineChars="200"/>
              <w:rPr>
                <w:rFonts w:hint="eastAsia"/>
                <w:sz w:val="24"/>
                <w:lang w:val="en-US" w:eastAsia="zh-CN"/>
              </w:rPr>
            </w:pPr>
            <w:r>
              <w:rPr>
                <w:rFonts w:hint="default" w:ascii="Times New Roman" w:hAnsi="Times New Roman" w:cs="Times New Roman"/>
                <w:b w:val="0"/>
                <w:bCs w:val="0"/>
                <w:sz w:val="24"/>
                <w:szCs w:val="24"/>
                <w:u w:val="none"/>
                <w:lang w:eastAsia="zh-CN"/>
              </w:rPr>
              <w:t>本项目废气治理采用“</w:t>
            </w:r>
            <w:r>
              <w:rPr>
                <w:rFonts w:hint="default" w:ascii="Times New Roman" w:hAnsi="Times New Roman" w:cs="Times New Roman"/>
                <w:b w:val="0"/>
                <w:bCs w:val="0"/>
                <w:sz w:val="24"/>
                <w:szCs w:val="24"/>
                <w:u w:val="none"/>
                <w:lang w:val="en-US" w:eastAsia="zh-CN"/>
              </w:rPr>
              <w:t>碱喷淋+</w:t>
            </w:r>
            <w:r>
              <w:rPr>
                <w:rFonts w:hint="default" w:ascii="Times New Roman" w:hAnsi="Times New Roman" w:cs="Times New Roman"/>
                <w:b w:val="0"/>
                <w:bCs w:val="0"/>
                <w:sz w:val="24"/>
                <w:szCs w:val="24"/>
                <w:u w:val="none"/>
                <w:lang w:eastAsia="zh-CN"/>
              </w:rPr>
              <w:t>UV光氧催化+活性炭吸附”处理工艺，</w:t>
            </w:r>
            <w:r>
              <w:rPr>
                <w:rFonts w:hint="eastAsia" w:cs="Times New Roman"/>
                <w:b w:val="0"/>
                <w:bCs w:val="0"/>
                <w:sz w:val="24"/>
                <w:szCs w:val="24"/>
                <w:u w:val="none"/>
                <w:lang w:val="en-US" w:eastAsia="zh-CN"/>
              </w:rPr>
              <w:t>碱喷淋装置需定期更换废碱液，评价建议平均每季度更换一次，每次更换量为0.5t</w:t>
            </w:r>
            <w:r>
              <w:rPr>
                <w:rFonts w:hint="default" w:ascii="Times New Roman" w:hAnsi="Times New Roman" w:cs="Times New Roman"/>
                <w:b w:val="0"/>
                <w:bCs w:val="0"/>
                <w:sz w:val="24"/>
                <w:szCs w:val="24"/>
                <w:u w:val="none"/>
              </w:rPr>
              <w:t>，</w:t>
            </w:r>
            <w:r>
              <w:rPr>
                <w:rFonts w:hint="eastAsia" w:cs="Times New Roman"/>
                <w:b w:val="0"/>
                <w:bCs w:val="0"/>
                <w:sz w:val="24"/>
                <w:szCs w:val="24"/>
                <w:u w:val="none"/>
                <w:lang w:val="en-US" w:eastAsia="zh-CN"/>
              </w:rPr>
              <w:t>年产生量为2t/a，</w:t>
            </w:r>
            <w:r>
              <w:rPr>
                <w:rFonts w:hint="default" w:ascii="Times New Roman" w:hAnsi="Times New Roman" w:cs="Times New Roman"/>
                <w:sz w:val="24"/>
                <w:szCs w:val="24"/>
              </w:rPr>
              <w:t>根据《国家危险废物名录》（20</w:t>
            </w:r>
            <w:r>
              <w:rPr>
                <w:rFonts w:hint="eastAsia" w:ascii="Times New Roman" w:hAnsi="Times New Roman" w:eastAsia="宋体" w:cs="Times New Roman"/>
                <w:sz w:val="24"/>
                <w:szCs w:val="24"/>
                <w:lang w:val="en-US" w:eastAsia="zh-CN"/>
              </w:rPr>
              <w:t>21</w:t>
            </w:r>
            <w:r>
              <w:rPr>
                <w:rFonts w:hint="default" w:ascii="Times New Roman" w:hAnsi="Times New Roman" w:cs="Times New Roman"/>
                <w:sz w:val="24"/>
                <w:szCs w:val="24"/>
                <w:lang w:eastAsia="zh-CN"/>
              </w:rPr>
              <w:t>年版</w:t>
            </w:r>
            <w:r>
              <w:rPr>
                <w:rFonts w:hint="default" w:ascii="Times New Roman" w:hAnsi="Times New Roman" w:cs="Times New Roman"/>
                <w:sz w:val="24"/>
                <w:szCs w:val="24"/>
              </w:rPr>
              <w:t>），</w:t>
            </w:r>
            <w:r>
              <w:rPr>
                <w:rFonts w:hint="eastAsia"/>
                <w:sz w:val="24"/>
                <w:lang w:val="en-US" w:eastAsia="zh-CN"/>
              </w:rPr>
              <w:t>碱喷淋废液</w:t>
            </w:r>
            <w:r>
              <w:rPr>
                <w:rFonts w:hint="default" w:ascii="Times New Roman" w:hAnsi="Times New Roman" w:cs="Times New Roman"/>
                <w:sz w:val="24"/>
                <w:szCs w:val="24"/>
              </w:rPr>
              <w:t>属于HW</w:t>
            </w:r>
            <w:r>
              <w:rPr>
                <w:rFonts w:hint="eastAsia" w:cs="Times New Roman"/>
                <w:sz w:val="24"/>
                <w:szCs w:val="24"/>
                <w:lang w:val="en-US" w:eastAsia="zh-CN"/>
              </w:rPr>
              <w:t>35废碱</w:t>
            </w:r>
            <w:r>
              <w:rPr>
                <w:rFonts w:hint="default" w:ascii="Times New Roman" w:hAnsi="Times New Roman" w:cs="Times New Roman"/>
                <w:sz w:val="24"/>
                <w:szCs w:val="24"/>
              </w:rPr>
              <w:t>中的</w:t>
            </w:r>
            <w:r>
              <w:rPr>
                <w:rFonts w:hint="default" w:ascii="Times New Roman" w:hAnsi="Times New Roman" w:cs="Times New Roman"/>
                <w:sz w:val="24"/>
                <w:szCs w:val="24"/>
                <w:lang w:val="en-US" w:eastAsia="zh-CN"/>
              </w:rPr>
              <w:t>900-352-35</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使用碱进行清洗产生的废碱液</w:t>
            </w:r>
            <w:r>
              <w:rPr>
                <w:rFonts w:hint="default" w:ascii="Times New Roman" w:hAnsi="Times New Roman" w:cs="Times New Roman"/>
                <w:sz w:val="24"/>
                <w:szCs w:val="24"/>
              </w:rPr>
              <w:t>）。评价要求</w:t>
            </w:r>
            <w:r>
              <w:rPr>
                <w:rFonts w:hint="eastAsia" w:cs="Times New Roman"/>
                <w:sz w:val="24"/>
                <w:szCs w:val="24"/>
                <w:lang w:val="en-US" w:eastAsia="zh-CN"/>
              </w:rPr>
              <w:t>采用包装桶对废碱液进行</w:t>
            </w:r>
            <w:r>
              <w:rPr>
                <w:rFonts w:hint="default" w:ascii="Times New Roman" w:hAnsi="Times New Roman" w:cs="Times New Roman"/>
                <w:sz w:val="24"/>
                <w:szCs w:val="24"/>
              </w:rPr>
              <w:t>集中收集、危废暂存间暂存后，定期委托有资质的危废处理单位进行处置。</w:t>
            </w:r>
          </w:p>
          <w:p>
            <w:pPr>
              <w:keepNext w:val="0"/>
              <w:keepLines w:val="0"/>
              <w:suppressLineNumbers w:val="0"/>
              <w:spacing w:before="0" w:beforeAutospacing="0" w:after="0" w:afterAutospacing="0" w:line="520" w:lineRule="exact"/>
              <w:ind w:left="0" w:right="0" w:firstLine="480" w:firstLineChars="200"/>
              <w:rPr>
                <w:sz w:val="24"/>
              </w:rPr>
            </w:pPr>
            <w:r>
              <w:rPr>
                <w:rFonts w:hint="eastAsia"/>
                <w:sz w:val="24"/>
                <w:lang w:val="en-US" w:eastAsia="zh-CN"/>
              </w:rPr>
              <w:fldChar w:fldCharType="begin"/>
            </w:r>
            <w:r>
              <w:rPr>
                <w:rFonts w:hint="eastAsia"/>
                <w:sz w:val="24"/>
                <w:lang w:val="en-US" w:eastAsia="zh-CN"/>
              </w:rPr>
              <w:instrText xml:space="preserve"> = 7 \* GB3 \* MERGEFORMAT </w:instrText>
            </w:r>
            <w:r>
              <w:rPr>
                <w:rFonts w:hint="eastAsia"/>
                <w:sz w:val="24"/>
                <w:lang w:val="en-US" w:eastAsia="zh-CN"/>
              </w:rPr>
              <w:fldChar w:fldCharType="separate"/>
            </w:r>
            <w:r>
              <w:t>⑦</w:t>
            </w:r>
            <w:r>
              <w:rPr>
                <w:rFonts w:hint="eastAsia"/>
                <w:sz w:val="24"/>
                <w:lang w:val="en-US" w:eastAsia="zh-CN"/>
              </w:rPr>
              <w:fldChar w:fldCharType="end"/>
            </w:r>
            <w:r>
              <w:rPr>
                <w:rFonts w:hint="eastAsia"/>
                <w:sz w:val="24"/>
              </w:rPr>
              <w:t>污泥</w:t>
            </w:r>
          </w:p>
          <w:p>
            <w:pPr>
              <w:keepNext w:val="0"/>
              <w:keepLines w:val="0"/>
              <w:suppressLineNumbers w:val="0"/>
              <w:spacing w:before="0" w:beforeAutospacing="0" w:after="0" w:afterAutospacing="0" w:line="520" w:lineRule="exact"/>
              <w:ind w:left="0" w:right="0" w:firstLine="480" w:firstLineChars="200"/>
              <w:rPr>
                <w:color w:val="FF0000"/>
                <w:sz w:val="24"/>
              </w:rPr>
            </w:pPr>
            <w:r>
              <w:rPr>
                <w:sz w:val="24"/>
              </w:rPr>
              <w:t>本项目废水处</w:t>
            </w:r>
            <w:r>
              <w:rPr>
                <w:rFonts w:ascii="Times New Roman" w:hAnsi="Times New Roman" w:eastAsia="宋体" w:cs="Times New Roman"/>
                <w:color w:val="auto"/>
                <w:kern w:val="0"/>
                <w:sz w:val="24"/>
                <w:szCs w:val="24"/>
                <w:lang w:val="en-US" w:eastAsia="zh-CN" w:bidi="ar-SA"/>
              </w:rPr>
              <w:t>理设施运行过程会产生少量污泥，污泥定期进行</w:t>
            </w:r>
            <w:r>
              <w:rPr>
                <w:rFonts w:hint="eastAsia" w:ascii="Times New Roman" w:hAnsi="Times New Roman" w:eastAsia="宋体" w:cs="Times New Roman"/>
                <w:color w:val="auto"/>
                <w:kern w:val="0"/>
                <w:sz w:val="24"/>
                <w:szCs w:val="24"/>
                <w:lang w:val="en-US" w:eastAsia="zh-CN" w:bidi="ar-SA"/>
              </w:rPr>
              <w:t>清理</w:t>
            </w:r>
            <w:r>
              <w:rPr>
                <w:rFonts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项目清洗废水排放量为</w:t>
            </w:r>
            <w:r>
              <w:rPr>
                <w:rFonts w:hint="eastAsia" w:cs="Times New Roman"/>
                <w:color w:val="auto"/>
                <w:kern w:val="0"/>
                <w:sz w:val="24"/>
                <w:szCs w:val="24"/>
                <w:lang w:val="en-US" w:eastAsia="zh-CN" w:bidi="ar-SA"/>
              </w:rPr>
              <w:t>1620</w:t>
            </w:r>
            <w:r>
              <w:rPr>
                <w:rFonts w:hint="eastAsia" w:ascii="Times New Roman" w:hAnsi="Times New Roman" w:eastAsia="宋体" w:cs="Times New Roman"/>
                <w:color w:val="auto"/>
                <w:kern w:val="0"/>
                <w:sz w:val="24"/>
                <w:szCs w:val="24"/>
                <w:lang w:val="en-US" w:eastAsia="zh-CN" w:bidi="ar-SA"/>
              </w:rPr>
              <w:t>t/a，SS产生量为</w:t>
            </w:r>
            <w:r>
              <w:rPr>
                <w:rFonts w:hint="eastAsia" w:cs="Times New Roman"/>
                <w:color w:val="auto"/>
                <w:kern w:val="0"/>
                <w:sz w:val="24"/>
                <w:szCs w:val="24"/>
                <w:lang w:val="en-US" w:eastAsia="zh-CN" w:bidi="ar-SA"/>
              </w:rPr>
              <w:t>0.2084</w:t>
            </w:r>
            <w:r>
              <w:rPr>
                <w:rFonts w:hint="eastAsia" w:ascii="Times New Roman" w:hAnsi="Times New Roman" w:eastAsia="宋体" w:cs="Times New Roman"/>
                <w:color w:val="auto"/>
                <w:kern w:val="0"/>
                <w:sz w:val="24"/>
                <w:szCs w:val="24"/>
                <w:lang w:val="en-US" w:eastAsia="zh-CN" w:bidi="ar-SA"/>
              </w:rPr>
              <w:t>t/a，去除率为85%，去除量为</w:t>
            </w:r>
            <w:r>
              <w:rPr>
                <w:rFonts w:hint="eastAsia" w:cs="Times New Roman"/>
                <w:color w:val="auto"/>
                <w:kern w:val="0"/>
                <w:sz w:val="24"/>
                <w:szCs w:val="24"/>
                <w:lang w:val="en-US" w:eastAsia="zh-CN" w:bidi="ar-SA"/>
              </w:rPr>
              <w:t>0.1771</w:t>
            </w:r>
            <w:r>
              <w:rPr>
                <w:rFonts w:hint="eastAsia" w:ascii="Times New Roman" w:hAnsi="Times New Roman" w:eastAsia="宋体" w:cs="Times New Roman"/>
                <w:color w:val="auto"/>
                <w:kern w:val="0"/>
                <w:sz w:val="24"/>
                <w:szCs w:val="24"/>
                <w:lang w:val="en-US" w:eastAsia="zh-CN" w:bidi="ar-SA"/>
              </w:rPr>
              <w:t>t/a，污泥含水率按80%计，则污泥产生量为</w:t>
            </w:r>
            <w:r>
              <w:rPr>
                <w:rFonts w:hint="eastAsia" w:cs="Times New Roman"/>
                <w:color w:val="auto"/>
                <w:kern w:val="0"/>
                <w:sz w:val="24"/>
                <w:szCs w:val="24"/>
                <w:lang w:val="en-US" w:eastAsia="zh-CN" w:bidi="ar-SA"/>
              </w:rPr>
              <w:t>0.9</w:t>
            </w:r>
            <w:r>
              <w:rPr>
                <w:rFonts w:hint="eastAsia" w:ascii="Times New Roman" w:hAnsi="Times New Roman" w:eastAsia="宋体" w:cs="Times New Roman"/>
                <w:color w:val="auto"/>
                <w:kern w:val="0"/>
                <w:sz w:val="24"/>
                <w:szCs w:val="24"/>
                <w:lang w:val="en-US" w:eastAsia="zh-CN" w:bidi="ar-SA"/>
              </w:rPr>
              <w:t>t/a。污泥属</w:t>
            </w:r>
            <w:r>
              <w:rPr>
                <w:rFonts w:hint="eastAsia"/>
                <w:sz w:val="24"/>
              </w:rPr>
              <w:t>于</w:t>
            </w:r>
            <w:r>
              <w:rPr>
                <w:sz w:val="24"/>
              </w:rPr>
              <w:t>《国家危险废物名录》（2021年版）HW</w:t>
            </w:r>
            <w:r>
              <w:rPr>
                <w:rFonts w:hint="eastAsia"/>
                <w:sz w:val="24"/>
              </w:rPr>
              <w:t>49 其他废物，其代码为772-006-49“采用物理、化学、物理化学或生物方法处理或处置毒性或感染性危险废物过程中产生的废水处理污泥、残渣（液）”，</w:t>
            </w:r>
            <w:r>
              <w:rPr>
                <w:sz w:val="24"/>
              </w:rPr>
              <w:t>收集后交由</w:t>
            </w:r>
            <w:r>
              <w:rPr>
                <w:rFonts w:hint="eastAsia"/>
                <w:sz w:val="24"/>
              </w:rPr>
              <w:t>有危废资质</w:t>
            </w:r>
            <w:r>
              <w:rPr>
                <w:sz w:val="24"/>
              </w:rPr>
              <w:t>的单位处理。</w:t>
            </w:r>
          </w:p>
          <w:p>
            <w:pPr>
              <w:keepNext w:val="0"/>
              <w:keepLines w:val="0"/>
              <w:suppressLineNumbers w:val="0"/>
              <w:spacing w:before="0" w:beforeAutospacing="0" w:after="0" w:afterAutospacing="0" w:line="520" w:lineRule="exact"/>
              <w:ind w:left="0" w:right="0" w:firstLine="480" w:firstLineChars="200"/>
              <w:rPr>
                <w:sz w:val="24"/>
              </w:rPr>
            </w:pPr>
            <w:r>
              <w:rPr>
                <w:rFonts w:hint="eastAsia"/>
                <w:sz w:val="24"/>
                <w:lang w:val="en-US" w:eastAsia="zh-CN"/>
              </w:rPr>
              <w:fldChar w:fldCharType="begin"/>
            </w:r>
            <w:r>
              <w:rPr>
                <w:rFonts w:hint="eastAsia"/>
                <w:sz w:val="24"/>
                <w:lang w:val="en-US" w:eastAsia="zh-CN"/>
              </w:rPr>
              <w:instrText xml:space="preserve"> = 8 \* GB3 \* MERGEFORMAT </w:instrText>
            </w:r>
            <w:r>
              <w:rPr>
                <w:rFonts w:hint="eastAsia"/>
                <w:sz w:val="24"/>
                <w:lang w:val="en-US" w:eastAsia="zh-CN"/>
              </w:rPr>
              <w:fldChar w:fldCharType="separate"/>
            </w:r>
            <w:r>
              <w:t>⑧</w:t>
            </w:r>
            <w:r>
              <w:rPr>
                <w:rFonts w:hint="eastAsia"/>
                <w:sz w:val="24"/>
                <w:lang w:val="en-US" w:eastAsia="zh-CN"/>
              </w:rPr>
              <w:fldChar w:fldCharType="end"/>
            </w:r>
            <w:r>
              <w:rPr>
                <w:rFonts w:hint="eastAsia"/>
                <w:sz w:val="24"/>
              </w:rPr>
              <w:t>废过滤器</w:t>
            </w:r>
          </w:p>
          <w:p>
            <w:pPr>
              <w:keepNext w:val="0"/>
              <w:keepLines w:val="0"/>
              <w:suppressLineNumbers w:val="0"/>
              <w:spacing w:before="0" w:beforeAutospacing="0" w:after="0" w:afterAutospacing="0" w:line="520" w:lineRule="exact"/>
              <w:ind w:left="0" w:right="0" w:firstLine="480" w:firstLineChars="200"/>
              <w:rPr>
                <w:rFonts w:hint="eastAsia" w:eastAsia="宋体"/>
                <w:sz w:val="24"/>
                <w:lang w:eastAsia="zh-CN"/>
              </w:rPr>
            </w:pPr>
            <w:r>
              <w:rPr>
                <w:sz w:val="24"/>
              </w:rPr>
              <w:t>本项目实验室生物安全柜均设置进排风过滤系统，过滤空气中病毒、细菌、杂质等，长时间使用后会导致过滤效率下降，需定期更换过滤器，废过滤器产生量为0.0</w:t>
            </w:r>
            <w:r>
              <w:rPr>
                <w:rFonts w:hint="eastAsia"/>
                <w:sz w:val="24"/>
                <w:lang w:val="en-US" w:eastAsia="zh-CN"/>
              </w:rPr>
              <w:t>2</w:t>
            </w:r>
            <w:r>
              <w:rPr>
                <w:sz w:val="24"/>
              </w:rPr>
              <w:t>t/a（生物安全柜每个过滤器约</w:t>
            </w:r>
            <w:r>
              <w:rPr>
                <w:rFonts w:hint="eastAsia"/>
                <w:sz w:val="24"/>
                <w:lang w:val="en-US" w:eastAsia="zh-CN"/>
              </w:rPr>
              <w:t>1</w:t>
            </w:r>
            <w:r>
              <w:rPr>
                <w:sz w:val="24"/>
              </w:rPr>
              <w:t>0kg，过滤器约每年更换1次，本项目共</w:t>
            </w:r>
            <w:r>
              <w:rPr>
                <w:rFonts w:hint="eastAsia"/>
                <w:sz w:val="24"/>
              </w:rPr>
              <w:t>2</w:t>
            </w:r>
            <w:r>
              <w:rPr>
                <w:sz w:val="24"/>
              </w:rPr>
              <w:t>台生物安全柜，约0.0</w:t>
            </w:r>
            <w:r>
              <w:rPr>
                <w:rFonts w:hint="eastAsia"/>
                <w:sz w:val="24"/>
                <w:lang w:val="en-US" w:eastAsia="zh-CN"/>
              </w:rPr>
              <w:t>2</w:t>
            </w:r>
            <w:r>
              <w:rPr>
                <w:sz w:val="24"/>
              </w:rPr>
              <w:t>t/a）</w:t>
            </w:r>
            <w:r>
              <w:rPr>
                <w:rFonts w:hint="eastAsia"/>
                <w:sz w:val="24"/>
              </w:rPr>
              <w:t>，</w:t>
            </w:r>
            <w:r>
              <w:rPr>
                <w:sz w:val="24"/>
              </w:rPr>
              <w:t>属于《国家危险废物名录》（2021 年版）HW</w:t>
            </w:r>
            <w:r>
              <w:rPr>
                <w:rFonts w:hint="eastAsia"/>
                <w:sz w:val="24"/>
                <w:lang w:val="en-US" w:eastAsia="zh-CN"/>
              </w:rPr>
              <w:t>49其他废物 ，废物代码</w:t>
            </w:r>
            <w:r>
              <w:rPr>
                <w:rFonts w:hint="eastAsia"/>
                <w:sz w:val="24"/>
              </w:rPr>
              <w:t>900-047-49“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收集后暂存于危险废物暂存间，定期委托有相应资质的资质单位处置。</w:t>
            </w:r>
          </w:p>
          <w:p>
            <w:pPr>
              <w:keepNext w:val="0"/>
              <w:keepLines w:val="0"/>
              <w:suppressLineNumbers w:val="0"/>
              <w:spacing w:before="0" w:beforeAutospacing="0" w:after="0" w:afterAutospacing="0" w:line="520" w:lineRule="exact"/>
              <w:ind w:left="0" w:right="0" w:firstLine="480" w:firstLineChars="200"/>
              <w:rPr>
                <w:sz w:val="24"/>
              </w:rPr>
            </w:pPr>
            <w:r>
              <w:rPr>
                <w:sz w:val="24"/>
              </w:rPr>
              <w:t>项目危险废物的产生情况见</w:t>
            </w:r>
            <w:r>
              <w:rPr>
                <w:rFonts w:hint="eastAsia"/>
                <w:sz w:val="24"/>
                <w:lang w:val="en-US" w:eastAsia="zh-CN"/>
              </w:rPr>
              <w:t>下表</w:t>
            </w:r>
            <w:r>
              <w:rPr>
                <w:sz w:val="24"/>
              </w:rPr>
              <w:t>：</w:t>
            </w:r>
          </w:p>
          <w:p>
            <w:pPr>
              <w:keepNext w:val="0"/>
              <w:keepLines w:val="0"/>
              <w:suppressLineNumbers w:val="0"/>
              <w:spacing w:before="0" w:beforeAutospacing="0" w:after="0" w:afterAutospacing="0" w:line="520" w:lineRule="atLeast"/>
              <w:ind w:left="0" w:right="0"/>
              <w:jc w:val="center"/>
              <w:rPr>
                <w:b/>
                <w:sz w:val="24"/>
              </w:rPr>
            </w:pPr>
            <w:r>
              <w:rPr>
                <w:b/>
                <w:sz w:val="24"/>
              </w:rPr>
              <w:t>表4-</w:t>
            </w:r>
            <w:r>
              <w:rPr>
                <w:rFonts w:hint="eastAsia"/>
                <w:b/>
                <w:sz w:val="24"/>
                <w:lang w:val="en-US" w:eastAsia="zh-CN"/>
              </w:rPr>
              <w:t>25</w:t>
            </w:r>
            <w:r>
              <w:rPr>
                <w:b/>
                <w:sz w:val="24"/>
              </w:rPr>
              <w:t xml:space="preserve"> 项目危险废物汇总一览表</w:t>
            </w:r>
          </w:p>
          <w:tbl>
            <w:tblPr>
              <w:tblStyle w:val="30"/>
              <w:tblW w:w="85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73"/>
              <w:gridCol w:w="1011"/>
              <w:gridCol w:w="1197"/>
              <w:gridCol w:w="899"/>
              <w:gridCol w:w="587"/>
              <w:gridCol w:w="467"/>
              <w:gridCol w:w="571"/>
              <w:gridCol w:w="518"/>
              <w:gridCol w:w="447"/>
              <w:gridCol w:w="871"/>
              <w:gridCol w:w="9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序号</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危险废物名称</w:t>
                  </w:r>
                </w:p>
              </w:tc>
              <w:tc>
                <w:tcPr>
                  <w:tcW w:w="101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危险废物类别</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危险废物代码</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产生量（t/a）</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产生工序及装置</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形态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主要成分</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有害成分</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产废周期</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危险</w:t>
                  </w:r>
                </w:p>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特性</w:t>
                  </w:r>
                </w:p>
              </w:tc>
              <w:tc>
                <w:tcPr>
                  <w:tcW w:w="94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1</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废实验材料</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kern w:val="0"/>
                      <w:szCs w:val="21"/>
                    </w:rPr>
                  </w:pPr>
                  <w:r>
                    <w:rPr>
                      <w:szCs w:val="21"/>
                    </w:rPr>
                    <w:t>HW49其他废物</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900-04</w:t>
                  </w:r>
                  <w:r>
                    <w:rPr>
                      <w:rFonts w:hint="eastAsia"/>
                      <w:kern w:val="0"/>
                      <w:szCs w:val="21"/>
                      <w:lang w:val="en-US" w:eastAsia="zh-CN"/>
                    </w:rPr>
                    <w:t>7</w:t>
                  </w:r>
                  <w:r>
                    <w:rPr>
                      <w:kern w:val="0"/>
                      <w:szCs w:val="21"/>
                    </w:rPr>
                    <w:t>-49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kern w:val="0"/>
                      <w:szCs w:val="21"/>
                      <w:lang w:val="en-US" w:eastAsia="zh-CN"/>
                    </w:rPr>
                    <w:t>1.5</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实验</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固态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有毒有害药剂</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药剂</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3个月</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T/C/I/R</w:t>
                  </w:r>
                </w:p>
              </w:tc>
              <w:tc>
                <w:tcPr>
                  <w:tcW w:w="948" w:type="dxa"/>
                  <w:vMerge w:val="restart"/>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r>
                    <w:rPr>
                      <w:bCs/>
                      <w:iCs/>
                      <w:kern w:val="0"/>
                      <w:szCs w:val="21"/>
                    </w:rPr>
                    <w:t>在危废暂存间暂存后定期交由</w:t>
                  </w:r>
                  <w:r>
                    <w:rPr>
                      <w:kern w:val="0"/>
                      <w:szCs w:val="21"/>
                    </w:rPr>
                    <w:t>有</w:t>
                  </w:r>
                  <w:r>
                    <w:rPr>
                      <w:rFonts w:hint="eastAsia"/>
                      <w:kern w:val="0"/>
                      <w:szCs w:val="21"/>
                    </w:rPr>
                    <w:t>危废资质</w:t>
                  </w:r>
                  <w:r>
                    <w:rPr>
                      <w:kern w:val="0"/>
                      <w:szCs w:val="21"/>
                    </w:rPr>
                    <w:t>的单位处理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2</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实验废液</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szCs w:val="21"/>
                    </w:rPr>
                    <w:t>HW49其他废物</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900-04</w:t>
                  </w:r>
                  <w:r>
                    <w:rPr>
                      <w:rFonts w:hint="eastAsia"/>
                      <w:kern w:val="0"/>
                      <w:szCs w:val="21"/>
                      <w:lang w:val="en-US" w:eastAsia="zh-CN"/>
                    </w:rPr>
                    <w:t>7</w:t>
                  </w:r>
                  <w:r>
                    <w:rPr>
                      <w:kern w:val="0"/>
                      <w:szCs w:val="21"/>
                    </w:rPr>
                    <w:t>-49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kern w:val="0"/>
                      <w:szCs w:val="21"/>
                      <w:lang w:val="en-US" w:eastAsia="zh-CN"/>
                    </w:rPr>
                    <w:t>0.05</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实验</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液态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有毒有害药剂</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药剂</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3个月</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T/C/I/R</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eastAsia="宋体"/>
                      <w:kern w:val="0"/>
                      <w:szCs w:val="21"/>
                      <w:lang w:val="en-US" w:eastAsia="zh-CN"/>
                    </w:rPr>
                  </w:pPr>
                  <w:r>
                    <w:rPr>
                      <w:rFonts w:hint="eastAsia"/>
                      <w:kern w:val="0"/>
                      <w:szCs w:val="21"/>
                      <w:lang w:val="en-US" w:eastAsia="zh-CN"/>
                    </w:rPr>
                    <w:t>3</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rFonts w:hint="eastAsia" w:ascii="Times New Roman" w:cs="Times New Roman"/>
                      <w:color w:val="auto"/>
                      <w:kern w:val="2"/>
                    </w:rPr>
                    <w:t>报废化学试剂</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HW49其他废物</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rFonts w:hint="default" w:ascii="Times New Roman" w:hAnsi="Times New Roman" w:cs="Times New Roman"/>
                      <w:color w:val="auto"/>
                      <w:kern w:val="2"/>
                    </w:rPr>
                    <w:t>900-999-49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kern w:val="0"/>
                      <w:szCs w:val="21"/>
                      <w:lang w:val="en-US" w:eastAsia="zh-CN"/>
                    </w:rPr>
                  </w:pPr>
                  <w:r>
                    <w:rPr>
                      <w:rFonts w:hint="eastAsia"/>
                      <w:kern w:val="0"/>
                      <w:szCs w:val="21"/>
                      <w:lang w:val="en-US" w:eastAsia="zh-CN"/>
                    </w:rPr>
                    <w:t>0.01</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实验</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固态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有毒有害药剂</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药剂</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3个月</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T/C/I/R</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eastAsia="宋体"/>
                      <w:kern w:val="0"/>
                      <w:szCs w:val="21"/>
                      <w:lang w:val="en-US" w:eastAsia="zh-CN"/>
                    </w:rPr>
                  </w:pPr>
                  <w:r>
                    <w:rPr>
                      <w:rFonts w:hint="eastAsia"/>
                      <w:kern w:val="0"/>
                      <w:szCs w:val="21"/>
                      <w:lang w:val="en-US" w:eastAsia="zh-CN"/>
                    </w:rPr>
                    <w:t>4</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ascii="Times New Roman" w:cs="Times New Roman"/>
                      <w:color w:val="auto"/>
                      <w:kern w:val="2"/>
                    </w:rPr>
                  </w:pPr>
                  <w:r>
                    <w:rPr>
                      <w:rFonts w:hint="eastAsia" w:ascii="Times New Roman" w:cs="Times New Roman"/>
                      <w:color w:val="auto"/>
                      <w:kern w:val="2"/>
                    </w:rPr>
                    <w:t>化学品废弃容器</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kern w:val="2"/>
                      <w:sz w:val="21"/>
                      <w:szCs w:val="21"/>
                      <w:lang w:val="en-US" w:eastAsia="zh-CN" w:bidi="ar-SA"/>
                    </w:rPr>
                  </w:pPr>
                  <w:r>
                    <w:rPr>
                      <w:szCs w:val="21"/>
                    </w:rPr>
                    <w:t>HW49其他废物</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900-041-49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kern w:val="0"/>
                      <w:szCs w:val="21"/>
                      <w:lang w:val="en-US" w:eastAsia="zh-CN"/>
                    </w:rPr>
                  </w:pPr>
                  <w:r>
                    <w:rPr>
                      <w:rFonts w:hint="eastAsia"/>
                      <w:kern w:val="0"/>
                      <w:szCs w:val="21"/>
                      <w:lang w:val="en-US" w:eastAsia="zh-CN"/>
                    </w:rPr>
                    <w:t>0.04</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实验</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固态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有毒有害药剂</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药剂</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3个月</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T/In</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eastAsia="宋体"/>
                      <w:kern w:val="0"/>
                      <w:szCs w:val="21"/>
                      <w:lang w:eastAsia="zh-CN"/>
                    </w:rPr>
                  </w:pPr>
                  <w:r>
                    <w:rPr>
                      <w:rFonts w:hint="eastAsia"/>
                      <w:kern w:val="0"/>
                      <w:szCs w:val="21"/>
                      <w:lang w:val="en-US" w:eastAsia="zh-CN"/>
                    </w:rPr>
                    <w:t>5</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废活性炭</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szCs w:val="21"/>
                    </w:rPr>
                  </w:pPr>
                  <w:r>
                    <w:rPr>
                      <w:szCs w:val="21"/>
                    </w:rPr>
                    <w:t>HW49其他废物</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900-041-49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kern w:val="0"/>
                      <w:szCs w:val="21"/>
                      <w:lang w:val="en-US" w:eastAsia="zh-CN"/>
                    </w:rPr>
                    <w:t>0.081</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废气治理设施</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固态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有机废气</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有机废气</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3个月</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T/In</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eastAsia="宋体"/>
                      <w:kern w:val="0"/>
                      <w:sz w:val="21"/>
                      <w:szCs w:val="21"/>
                      <w:lang w:val="en-US" w:eastAsia="zh-CN" w:bidi="ar-SA"/>
                    </w:rPr>
                  </w:pPr>
                  <w:r>
                    <w:rPr>
                      <w:rFonts w:hint="eastAsia"/>
                      <w:kern w:val="0"/>
                      <w:szCs w:val="21"/>
                      <w:lang w:val="en-US" w:eastAsia="zh-CN"/>
                    </w:rPr>
                    <w:t>6</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kern w:val="0"/>
                      <w:szCs w:val="21"/>
                      <w:lang w:val="en-US" w:eastAsia="zh-CN"/>
                    </w:rPr>
                    <w:t>废紫外灯管</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szCs w:val="21"/>
                    </w:rPr>
                  </w:pPr>
                  <w:r>
                    <w:rPr>
                      <w:rFonts w:hint="default"/>
                      <w:szCs w:val="21"/>
                    </w:rPr>
                    <w:t>HW29含汞废物</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rFonts w:hint="default"/>
                      <w:kern w:val="0"/>
                      <w:szCs w:val="21"/>
                    </w:rPr>
                    <w:t>900-023-29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kern w:val="0"/>
                      <w:szCs w:val="21"/>
                      <w:lang w:val="en-US" w:eastAsia="zh-CN"/>
                    </w:rPr>
                    <w:t>0.003</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 w:val="21"/>
                      <w:szCs w:val="21"/>
                      <w:lang w:val="en-US" w:eastAsia="zh-CN" w:bidi="ar-SA"/>
                    </w:rPr>
                  </w:pPr>
                  <w:r>
                    <w:rPr>
                      <w:kern w:val="0"/>
                      <w:szCs w:val="21"/>
                    </w:rPr>
                    <w:t>废气治理设施</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 w:val="21"/>
                      <w:szCs w:val="21"/>
                      <w:lang w:val="en-US" w:eastAsia="zh-CN" w:bidi="ar-SA"/>
                    </w:rPr>
                  </w:pPr>
                  <w:r>
                    <w:rPr>
                      <w:kern w:val="0"/>
                      <w:szCs w:val="21"/>
                    </w:rPr>
                    <w:t>固态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kern w:val="0"/>
                      <w:sz w:val="21"/>
                      <w:szCs w:val="21"/>
                      <w:lang w:val="en-US" w:eastAsia="zh-CN" w:bidi="ar-SA"/>
                    </w:rPr>
                  </w:pPr>
                  <w:r>
                    <w:rPr>
                      <w:rFonts w:hint="eastAsia"/>
                      <w:kern w:val="0"/>
                      <w:sz w:val="21"/>
                      <w:szCs w:val="21"/>
                      <w:lang w:val="en-US" w:eastAsia="zh-CN" w:bidi="ar-SA"/>
                    </w:rPr>
                    <w:t>汞</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 w:val="21"/>
                      <w:szCs w:val="21"/>
                      <w:lang w:val="en-US" w:eastAsia="zh-CN" w:bidi="ar-SA"/>
                    </w:rPr>
                  </w:pPr>
                  <w:r>
                    <w:rPr>
                      <w:rFonts w:hint="eastAsia"/>
                      <w:kern w:val="0"/>
                      <w:sz w:val="21"/>
                      <w:szCs w:val="21"/>
                      <w:lang w:val="en-US" w:eastAsia="zh-CN" w:bidi="ar-SA"/>
                    </w:rPr>
                    <w:t>汞</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 w:val="21"/>
                      <w:szCs w:val="21"/>
                      <w:lang w:val="en-US" w:eastAsia="zh-CN" w:bidi="ar-SA"/>
                    </w:rPr>
                  </w:pPr>
                  <w:r>
                    <w:rPr>
                      <w:kern w:val="0"/>
                      <w:szCs w:val="21"/>
                    </w:rPr>
                    <w:t>3个月</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 w:val="21"/>
                      <w:szCs w:val="21"/>
                      <w:lang w:val="en-US" w:eastAsia="zh-CN" w:bidi="ar-SA"/>
                    </w:rPr>
                  </w:pPr>
                  <w:r>
                    <w:rPr>
                      <w:kern w:val="0"/>
                      <w:szCs w:val="21"/>
                    </w:rPr>
                    <w:t>T</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7</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kern w:val="0"/>
                      <w:szCs w:val="21"/>
                      <w:lang w:val="en-US" w:eastAsia="zh-CN"/>
                    </w:rPr>
                  </w:pPr>
                  <w:r>
                    <w:rPr>
                      <w:rFonts w:hint="eastAsia"/>
                      <w:kern w:val="0"/>
                      <w:szCs w:val="21"/>
                      <w:lang w:val="en-US" w:eastAsia="zh-CN"/>
                    </w:rPr>
                    <w:t>碱喷淋废液</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HW</w:t>
                  </w:r>
                  <w:r>
                    <w:rPr>
                      <w:rFonts w:hint="default"/>
                      <w:szCs w:val="21"/>
                      <w:lang w:val="en-US" w:eastAsia="zh-CN"/>
                    </w:rPr>
                    <w:t>35废碱</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kern w:val="0"/>
                      <w:szCs w:val="21"/>
                    </w:rPr>
                  </w:pPr>
                  <w:r>
                    <w:rPr>
                      <w:rFonts w:hint="default"/>
                      <w:kern w:val="0"/>
                      <w:szCs w:val="21"/>
                      <w:lang w:val="en-US" w:eastAsia="zh-CN"/>
                    </w:rPr>
                    <w:t>900-352-35</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kern w:val="0"/>
                      <w:szCs w:val="21"/>
                      <w:lang w:val="en-US" w:eastAsia="zh-CN"/>
                    </w:rPr>
                  </w:pPr>
                  <w:r>
                    <w:rPr>
                      <w:rFonts w:hint="eastAsia"/>
                      <w:kern w:val="0"/>
                      <w:szCs w:val="21"/>
                      <w:lang w:val="en-US" w:eastAsia="zh-CN"/>
                    </w:rPr>
                    <w:t>2</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ascii="Times New Roman" w:hAnsi="Times New Roman" w:eastAsia="宋体" w:cs="Times New Roman"/>
                      <w:kern w:val="0"/>
                      <w:sz w:val="21"/>
                      <w:szCs w:val="21"/>
                      <w:lang w:val="en-US" w:eastAsia="zh-CN" w:bidi="ar-SA"/>
                    </w:rPr>
                  </w:pPr>
                  <w:r>
                    <w:rPr>
                      <w:kern w:val="0"/>
                      <w:szCs w:val="21"/>
                    </w:rPr>
                    <w:t>废气治理设施</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液态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szCs w:val="21"/>
                      <w:lang w:val="en-US" w:eastAsia="zh-CN"/>
                    </w:rPr>
                    <w:t>废碱</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default"/>
                      <w:szCs w:val="21"/>
                      <w:lang w:val="en-US" w:eastAsia="zh-CN"/>
                    </w:rPr>
                    <w:t>废碱</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ascii="Times New Roman" w:hAnsi="Times New Roman" w:eastAsia="宋体" w:cs="Times New Roman"/>
                      <w:kern w:val="0"/>
                      <w:sz w:val="21"/>
                      <w:szCs w:val="21"/>
                      <w:lang w:val="en-US" w:eastAsia="zh-CN" w:bidi="ar-SA"/>
                    </w:rPr>
                  </w:pPr>
                  <w:r>
                    <w:rPr>
                      <w:kern w:val="0"/>
                      <w:szCs w:val="21"/>
                    </w:rPr>
                    <w:t>3个月</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ascii="Times New Roman" w:hAnsi="Times New Roman" w:eastAsia="宋体" w:cs="Times New Roman"/>
                      <w:kern w:val="0"/>
                      <w:sz w:val="21"/>
                      <w:szCs w:val="21"/>
                      <w:lang w:val="en-US" w:eastAsia="zh-CN" w:bidi="ar-SA"/>
                    </w:rPr>
                  </w:pPr>
                  <w:r>
                    <w:rPr>
                      <w:rFonts w:hint="eastAsia"/>
                      <w:kern w:val="0"/>
                      <w:szCs w:val="21"/>
                      <w:lang w:val="en-US" w:eastAsia="zh-CN"/>
                    </w:rPr>
                    <w:t>C，</w:t>
                  </w:r>
                  <w:r>
                    <w:rPr>
                      <w:kern w:val="0"/>
                      <w:szCs w:val="21"/>
                    </w:rPr>
                    <w:t>T</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8</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污泥</w:t>
                  </w:r>
                </w:p>
              </w:tc>
              <w:tc>
                <w:tcPr>
                  <w:tcW w:w="1011"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szCs w:val="21"/>
                    </w:rPr>
                  </w:pPr>
                  <w:r>
                    <w:rPr>
                      <w:szCs w:val="21"/>
                    </w:rPr>
                    <w:t>HW49其他废物</w:t>
                  </w:r>
                </w:p>
              </w:tc>
              <w:tc>
                <w:tcPr>
                  <w:tcW w:w="1197"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kern w:val="0"/>
                      <w:szCs w:val="21"/>
                    </w:rPr>
                  </w:pPr>
                  <w:r>
                    <w:rPr>
                      <w:szCs w:val="21"/>
                    </w:rPr>
                    <w:t>772-006-49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color w:val="auto"/>
                      <w:kern w:val="0"/>
                      <w:szCs w:val="21"/>
                      <w:lang w:val="en-US" w:eastAsia="zh-CN"/>
                    </w:rPr>
                    <w:t>0.9</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废水治理设施</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固态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污泥</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有毒有害药剂</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1年</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T/In</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426"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eastAsia="宋体"/>
                      <w:kern w:val="0"/>
                      <w:szCs w:val="21"/>
                      <w:lang w:val="en-US" w:eastAsia="zh-CN"/>
                    </w:rPr>
                  </w:pPr>
                  <w:r>
                    <w:rPr>
                      <w:rFonts w:hint="eastAsia"/>
                      <w:kern w:val="0"/>
                      <w:szCs w:val="21"/>
                      <w:lang w:val="en-US" w:eastAsia="zh-CN"/>
                    </w:rPr>
                    <w:t>9</w:t>
                  </w:r>
                </w:p>
              </w:tc>
              <w:tc>
                <w:tcPr>
                  <w:tcW w:w="573"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rFonts w:hint="eastAsia"/>
                      <w:kern w:val="0"/>
                      <w:szCs w:val="21"/>
                    </w:rPr>
                    <w:t>废过滤器</w:t>
                  </w:r>
                </w:p>
              </w:tc>
              <w:tc>
                <w:tcPr>
                  <w:tcW w:w="1011" w:type="dxa"/>
                  <w:noWrap w:val="0"/>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szCs w:val="21"/>
                    </w:rPr>
                    <w:t>HW49其他废物</w:t>
                  </w:r>
                </w:p>
              </w:tc>
              <w:tc>
                <w:tcPr>
                  <w:tcW w:w="11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900-04</w:t>
                  </w:r>
                  <w:r>
                    <w:rPr>
                      <w:rFonts w:hint="eastAsia"/>
                      <w:kern w:val="0"/>
                      <w:szCs w:val="21"/>
                      <w:lang w:val="en-US" w:eastAsia="zh-CN"/>
                    </w:rPr>
                    <w:t>7</w:t>
                  </w:r>
                  <w:r>
                    <w:rPr>
                      <w:kern w:val="0"/>
                      <w:szCs w:val="21"/>
                    </w:rPr>
                    <w:t>-49</w:t>
                  </w:r>
                </w:p>
              </w:tc>
              <w:tc>
                <w:tcPr>
                  <w:tcW w:w="899"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eastAsia="宋体"/>
                      <w:kern w:val="0"/>
                      <w:szCs w:val="21"/>
                      <w:lang w:eastAsia="zh-CN"/>
                    </w:rPr>
                  </w:pPr>
                  <w:r>
                    <w:rPr>
                      <w:rFonts w:hint="eastAsia"/>
                      <w:kern w:val="0"/>
                      <w:szCs w:val="21"/>
                    </w:rPr>
                    <w:t>0.0</w:t>
                  </w:r>
                  <w:r>
                    <w:rPr>
                      <w:rFonts w:hint="eastAsia"/>
                      <w:kern w:val="0"/>
                      <w:szCs w:val="21"/>
                      <w:lang w:val="en-US" w:eastAsia="zh-CN"/>
                    </w:rPr>
                    <w:t>2</w:t>
                  </w:r>
                </w:p>
              </w:tc>
              <w:tc>
                <w:tcPr>
                  <w:tcW w:w="58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rFonts w:hint="eastAsia"/>
                      <w:kern w:val="0"/>
                      <w:szCs w:val="21"/>
                    </w:rPr>
                    <w:t>生物安全柜</w:t>
                  </w:r>
                </w:p>
              </w:tc>
              <w:tc>
                <w:tcPr>
                  <w:tcW w:w="46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rFonts w:hint="eastAsia"/>
                      <w:kern w:val="0"/>
                      <w:szCs w:val="21"/>
                    </w:rPr>
                    <w:t>固态</w:t>
                  </w:r>
                </w:p>
              </w:tc>
              <w:tc>
                <w:tcPr>
                  <w:tcW w:w="5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细菌</w:t>
                  </w:r>
                </w:p>
              </w:tc>
              <w:tc>
                <w:tcPr>
                  <w:tcW w:w="518"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细菌</w:t>
                  </w:r>
                </w:p>
              </w:tc>
              <w:tc>
                <w:tcPr>
                  <w:tcW w:w="44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1年</w:t>
                  </w:r>
                </w:p>
              </w:tc>
              <w:tc>
                <w:tcPr>
                  <w:tcW w:w="8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kern w:val="0"/>
                      <w:szCs w:val="21"/>
                    </w:rPr>
                  </w:pPr>
                  <w:r>
                    <w:rPr>
                      <w:kern w:val="0"/>
                      <w:szCs w:val="21"/>
                    </w:rPr>
                    <w:t>T/C/I/R</w:t>
                  </w:r>
                </w:p>
              </w:tc>
              <w:tc>
                <w:tcPr>
                  <w:tcW w:w="948" w:type="dxa"/>
                  <w:vMerge w:val="continue"/>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bCs/>
                      <w:iCs/>
                      <w:kern w:val="0"/>
                      <w:szCs w:val="21"/>
                    </w:rPr>
                  </w:pPr>
                </w:p>
              </w:tc>
            </w:tr>
          </w:tbl>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危险废物均在厂区危废暂存间储存后，定期交由具有相关危险废物经营许可证的单位处理。为防止危险废物在存放过程中出现二次污染，评价建议厂区建设1座</w:t>
            </w:r>
            <w:r>
              <w:rPr>
                <w:rFonts w:hint="eastAsia"/>
                <w:sz w:val="24"/>
              </w:rPr>
              <w:t>2</w:t>
            </w:r>
            <w:r>
              <w:rPr>
                <w:rFonts w:hint="eastAsia"/>
                <w:sz w:val="24"/>
                <w:lang w:val="en-US" w:eastAsia="zh-CN"/>
              </w:rPr>
              <w:t>0</w:t>
            </w:r>
            <w:r>
              <w:rPr>
                <w:sz w:val="24"/>
              </w:rPr>
              <w:t>m</w:t>
            </w:r>
            <w:r>
              <w:rPr>
                <w:sz w:val="24"/>
                <w:vertAlign w:val="superscript"/>
              </w:rPr>
              <w:t>2</w:t>
            </w:r>
            <w:r>
              <w:rPr>
                <w:sz w:val="24"/>
              </w:rPr>
              <w:t>的危险废物暂存间。</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本项目拟建设一座</w:t>
            </w:r>
            <w:r>
              <w:rPr>
                <w:rFonts w:hint="eastAsia"/>
                <w:sz w:val="24"/>
              </w:rPr>
              <w:t>2</w:t>
            </w:r>
            <w:r>
              <w:rPr>
                <w:rFonts w:hint="eastAsia"/>
                <w:sz w:val="24"/>
                <w:lang w:val="en-US" w:eastAsia="zh-CN"/>
              </w:rPr>
              <w:t>0</w:t>
            </w:r>
            <w:r>
              <w:rPr>
                <w:sz w:val="24"/>
              </w:rPr>
              <w:t>m</w:t>
            </w:r>
            <w:r>
              <w:rPr>
                <w:sz w:val="24"/>
                <w:vertAlign w:val="superscript"/>
              </w:rPr>
              <w:t>2</w:t>
            </w:r>
            <w:r>
              <w:rPr>
                <w:sz w:val="24"/>
              </w:rPr>
              <w:t>的危废暂存间，符合本项目危险废物暂存需要。</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同时，根据《危险废物贮存污染控制标准》（GB18597-2011）及其2013修改单，评价对本工程危险废物贮存设施、转移管理提出如下要求：</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①贮存设施（危废暂存库）的设计要求</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a地面与裙脚要用用坚固、防渗的材料建造，建筑材料必须与危险废物相容；</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b不同废物分区堆放，并进行标示；</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c设施内要有安全照明设施和观察窗口；</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d贮存场设置明显的贮存危险废物种类标志和警示标志。</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②危险废物管理要求</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a对危险废物分类进行收集包装、登记和设有专人管理；</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b危险废物的收集运输采用专用密闭容器、车辆，危废由专业危废处置单位处置，且在运输过程中需防止散落和流洒。</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③危险废物转移要求</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a按照《危险废物转移管理办法》，危险废物产生单位在转移危险废物前，须按照国家有关规定报批危险废物转移计划；经批准后，产生单位应当向移出地环境保护行政主管部门申请领取联单。</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b产生单位应当在危险废物转移前三日内报告移出地环境保护行政主管部门，并同时将预期到达时间报告接受地环境保护行政主管部门。</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c危险废物产生单位每转移一车同类危险废物，应当填写一份联单。每车有多类危险废物的，应当按每一类危险废物填写一份联单。</w:t>
            </w:r>
          </w:p>
          <w:p>
            <w:pPr>
              <w:pStyle w:val="96"/>
              <w:keepNext w:val="0"/>
              <w:keepLines w:val="0"/>
              <w:suppressLineNumbers w:val="0"/>
              <w:spacing w:before="0" w:beforeAutospacing="0" w:after="0" w:afterAutospacing="0"/>
              <w:ind w:left="0" w:right="0" w:firstLine="0" w:firstLineChars="0"/>
              <w:jc w:val="center"/>
              <w:rPr>
                <w:rFonts w:ascii="Times New Roman" w:hAnsi="Times New Roman" w:eastAsia="宋体"/>
                <w:b/>
                <w:bCs/>
              </w:rPr>
            </w:pPr>
            <w:r>
              <w:rPr>
                <w:rFonts w:ascii="Times New Roman" w:hAnsi="Times New Roman" w:eastAsia="宋体"/>
                <w:b/>
                <w:bCs/>
              </w:rPr>
              <w:t>表</w:t>
            </w:r>
            <w:r>
              <w:rPr>
                <w:rFonts w:hint="eastAsia" w:ascii="Times New Roman" w:hAnsi="Times New Roman" w:eastAsia="宋体"/>
                <w:b/>
                <w:bCs/>
              </w:rPr>
              <w:t>4-</w:t>
            </w:r>
            <w:r>
              <w:rPr>
                <w:rFonts w:hint="eastAsia" w:ascii="Times New Roman" w:hAnsi="Times New Roman" w:eastAsia="宋体"/>
                <w:b/>
                <w:bCs/>
                <w:lang w:val="en-US" w:eastAsia="zh-CN"/>
              </w:rPr>
              <w:t>26</w:t>
            </w:r>
            <w:r>
              <w:rPr>
                <w:rFonts w:ascii="Times New Roman" w:hAnsi="Times New Roman" w:eastAsia="宋体"/>
                <w:b/>
                <w:bCs/>
              </w:rPr>
              <w:t xml:space="preserve"> </w:t>
            </w:r>
            <w:r>
              <w:rPr>
                <w:rFonts w:hint="eastAsia" w:ascii="Times New Roman" w:hAnsi="Times New Roman" w:eastAsia="宋体"/>
                <w:b/>
                <w:bCs/>
              </w:rPr>
              <w:t xml:space="preserve"> </w:t>
            </w:r>
            <w:r>
              <w:rPr>
                <w:rFonts w:ascii="Times New Roman" w:hAnsi="Times New Roman" w:eastAsia="宋体"/>
                <w:b/>
                <w:bCs/>
              </w:rPr>
              <w:t>建设项目危险废物贮存场所（设施）基本情况表</w:t>
            </w:r>
          </w:p>
          <w:tbl>
            <w:tblPr>
              <w:tblStyle w:val="30"/>
              <w:tblW w:w="85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1" w:type="dxa"/>
                <w:bottom w:w="0" w:type="dxa"/>
                <w:right w:w="51" w:type="dxa"/>
              </w:tblCellMar>
            </w:tblPr>
            <w:tblGrid>
              <w:gridCol w:w="697"/>
              <w:gridCol w:w="1271"/>
              <w:gridCol w:w="1289"/>
              <w:gridCol w:w="1297"/>
              <w:gridCol w:w="608"/>
              <w:gridCol w:w="847"/>
              <w:gridCol w:w="840"/>
              <w:gridCol w:w="939"/>
              <w:gridCol w:w="7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1011" w:hRule="atLeast"/>
                <w:jc w:val="center"/>
              </w:trPr>
              <w:tc>
                <w:tcPr>
                  <w:tcW w:w="697"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贮存场所</w:t>
                  </w:r>
                </w:p>
              </w:tc>
              <w:tc>
                <w:tcPr>
                  <w:tcW w:w="1271"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危险废物名称</w:t>
                  </w:r>
                </w:p>
              </w:tc>
              <w:tc>
                <w:tcPr>
                  <w:tcW w:w="1289"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危险废物类别</w:t>
                  </w:r>
                </w:p>
              </w:tc>
              <w:tc>
                <w:tcPr>
                  <w:tcW w:w="1297"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危险废物</w:t>
                  </w:r>
                </w:p>
                <w:p>
                  <w:pPr>
                    <w:keepNext w:val="0"/>
                    <w:keepLines w:val="0"/>
                    <w:widowControl/>
                    <w:suppressLineNumbers w:val="0"/>
                    <w:tabs>
                      <w:tab w:val="left" w:pos="1110"/>
                    </w:tabs>
                    <w:spacing w:before="0" w:beforeAutospacing="0" w:after="0" w:afterAutospacing="0" w:line="280" w:lineRule="exact"/>
                    <w:ind w:left="0" w:right="0"/>
                    <w:jc w:val="center"/>
                  </w:pPr>
                  <w:r>
                    <w:t>代码</w:t>
                  </w:r>
                </w:p>
              </w:tc>
              <w:tc>
                <w:tcPr>
                  <w:tcW w:w="608"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位置</w:t>
                  </w:r>
                </w:p>
              </w:tc>
              <w:tc>
                <w:tcPr>
                  <w:tcW w:w="847"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占地面积（m</w:t>
                  </w:r>
                  <w:r>
                    <w:rPr>
                      <w:vertAlign w:val="superscript"/>
                    </w:rPr>
                    <w:t>2</w:t>
                  </w:r>
                  <w:r>
                    <w:t>）</w:t>
                  </w:r>
                </w:p>
              </w:tc>
              <w:tc>
                <w:tcPr>
                  <w:tcW w:w="840"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贮存</w:t>
                  </w:r>
                </w:p>
                <w:p>
                  <w:pPr>
                    <w:keepNext w:val="0"/>
                    <w:keepLines w:val="0"/>
                    <w:widowControl/>
                    <w:suppressLineNumbers w:val="0"/>
                    <w:tabs>
                      <w:tab w:val="left" w:pos="1110"/>
                    </w:tabs>
                    <w:spacing w:before="0" w:beforeAutospacing="0" w:after="0" w:afterAutospacing="0" w:line="280" w:lineRule="exact"/>
                    <w:ind w:left="0" w:right="0"/>
                    <w:jc w:val="center"/>
                  </w:pPr>
                  <w:r>
                    <w:t>方式</w:t>
                  </w:r>
                </w:p>
              </w:tc>
              <w:tc>
                <w:tcPr>
                  <w:tcW w:w="939"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贮存</w:t>
                  </w:r>
                </w:p>
                <w:p>
                  <w:pPr>
                    <w:keepNext w:val="0"/>
                    <w:keepLines w:val="0"/>
                    <w:widowControl/>
                    <w:suppressLineNumbers w:val="0"/>
                    <w:tabs>
                      <w:tab w:val="left" w:pos="1110"/>
                    </w:tabs>
                    <w:spacing w:before="0" w:beforeAutospacing="0" w:after="0" w:afterAutospacing="0" w:line="280" w:lineRule="exact"/>
                    <w:ind w:left="0" w:right="0"/>
                    <w:jc w:val="center"/>
                  </w:pPr>
                  <w:r>
                    <w:t>能力</w:t>
                  </w:r>
                </w:p>
              </w:tc>
              <w:tc>
                <w:tcPr>
                  <w:tcW w:w="727" w:type="dxa"/>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贮存</w:t>
                  </w:r>
                </w:p>
                <w:p>
                  <w:pPr>
                    <w:keepNext w:val="0"/>
                    <w:keepLines w:val="0"/>
                    <w:widowControl/>
                    <w:suppressLineNumbers w:val="0"/>
                    <w:tabs>
                      <w:tab w:val="left" w:pos="1110"/>
                    </w:tabs>
                    <w:spacing w:before="0" w:beforeAutospacing="0" w:after="0" w:afterAutospacing="0" w:line="280" w:lineRule="exact"/>
                    <w:ind w:left="0" w:right="0"/>
                    <w:jc w:val="center"/>
                  </w:pPr>
                  <w: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restart"/>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r>
                    <w:t>危废暂存间</w:t>
                  </w: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废实验材料</w:t>
                  </w:r>
                </w:p>
              </w:tc>
              <w:tc>
                <w:tcPr>
                  <w:tcW w:w="1289" w:type="dxa"/>
                  <w:noWrap w:val="0"/>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szCs w:val="21"/>
                    </w:rPr>
                    <w:t>HW49其他废物</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900-04</w:t>
                  </w:r>
                  <w:r>
                    <w:rPr>
                      <w:rFonts w:hint="eastAsia"/>
                      <w:kern w:val="0"/>
                      <w:szCs w:val="21"/>
                      <w:lang w:val="en-US" w:eastAsia="zh-CN"/>
                    </w:rPr>
                    <w:t>7</w:t>
                  </w:r>
                  <w:r>
                    <w:rPr>
                      <w:kern w:val="0"/>
                      <w:szCs w:val="21"/>
                    </w:rPr>
                    <w:t>-49</w:t>
                  </w:r>
                </w:p>
              </w:tc>
              <w:tc>
                <w:tcPr>
                  <w:tcW w:w="608" w:type="dxa"/>
                  <w:vMerge w:val="restart"/>
                  <w:noWrap w:val="0"/>
                  <w:vAlign w:val="center"/>
                </w:tcPr>
                <w:p>
                  <w:pPr>
                    <w:pStyle w:val="97"/>
                    <w:keepNext w:val="0"/>
                    <w:keepLines w:val="0"/>
                    <w:suppressLineNumbers w:val="0"/>
                    <w:spacing w:before="0" w:beforeAutospacing="0" w:after="0" w:afterAutospacing="0"/>
                    <w:ind w:left="0" w:right="0"/>
                    <w:rPr>
                      <w:kern w:val="2"/>
                    </w:rPr>
                  </w:pPr>
                  <w:r>
                    <w:rPr>
                      <w:rFonts w:hint="eastAsia"/>
                      <w:kern w:val="2"/>
                    </w:rPr>
                    <w:t>实验室</w:t>
                  </w:r>
                  <w:r>
                    <w:rPr>
                      <w:rFonts w:hint="eastAsia"/>
                      <w:kern w:val="2"/>
                      <w:lang w:val="en-US" w:eastAsia="zh-CN"/>
                    </w:rPr>
                    <w:t>西</w:t>
                  </w:r>
                  <w:r>
                    <w:rPr>
                      <w:rFonts w:hint="eastAsia"/>
                      <w:kern w:val="2"/>
                    </w:rPr>
                    <w:t>侧</w:t>
                  </w:r>
                </w:p>
              </w:tc>
              <w:tc>
                <w:tcPr>
                  <w:tcW w:w="847" w:type="dxa"/>
                  <w:vMerge w:val="restart"/>
                  <w:noWrap w:val="0"/>
                  <w:vAlign w:val="center"/>
                </w:tcPr>
                <w:p>
                  <w:pPr>
                    <w:pStyle w:val="97"/>
                    <w:keepNext w:val="0"/>
                    <w:keepLines w:val="0"/>
                    <w:suppressLineNumbers w:val="0"/>
                    <w:spacing w:before="0" w:beforeAutospacing="0" w:after="0" w:afterAutospacing="0"/>
                    <w:ind w:left="0" w:right="0"/>
                    <w:rPr>
                      <w:kern w:val="2"/>
                    </w:rPr>
                  </w:pPr>
                  <w:r>
                    <w:rPr>
                      <w:rFonts w:hint="eastAsia"/>
                      <w:bCs/>
                      <w:kern w:val="2"/>
                    </w:rPr>
                    <w:t>2</w:t>
                  </w:r>
                  <w:r>
                    <w:rPr>
                      <w:rFonts w:hint="eastAsia"/>
                      <w:bCs/>
                      <w:kern w:val="2"/>
                      <w:lang w:val="en-US" w:eastAsia="zh-CN"/>
                    </w:rPr>
                    <w:t>0</w:t>
                  </w:r>
                  <w:r>
                    <w:rPr>
                      <w:bCs/>
                      <w:kern w:val="2"/>
                    </w:rPr>
                    <w:t>m</w:t>
                  </w:r>
                  <w:r>
                    <w:rPr>
                      <w:bCs/>
                      <w:kern w:val="2"/>
                      <w:vertAlign w:val="superscript"/>
                    </w:rPr>
                    <w:t>2</w:t>
                  </w:r>
                </w:p>
              </w:tc>
              <w:tc>
                <w:tcPr>
                  <w:tcW w:w="840" w:type="dxa"/>
                  <w:noWrap w:val="0"/>
                  <w:vAlign w:val="center"/>
                </w:tcPr>
                <w:p>
                  <w:pPr>
                    <w:pStyle w:val="97"/>
                    <w:keepNext w:val="0"/>
                    <w:keepLines w:val="0"/>
                    <w:suppressLineNumbers w:val="0"/>
                    <w:spacing w:before="0" w:beforeAutospacing="0" w:after="0" w:afterAutospacing="0"/>
                    <w:ind w:left="0" w:right="0"/>
                    <w:rPr>
                      <w:kern w:val="2"/>
                    </w:rPr>
                  </w:pPr>
                  <w:r>
                    <w:rPr>
                      <w:kern w:val="2"/>
                    </w:rPr>
                    <w:t>桶装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kern w:val="0"/>
                      <w:szCs w:val="21"/>
                    </w:rPr>
                  </w:pPr>
                  <w:r>
                    <w:rPr>
                      <w:rFonts w:hint="eastAsia"/>
                      <w:kern w:val="0"/>
                      <w:szCs w:val="21"/>
                    </w:rPr>
                    <w:t>1t</w:t>
                  </w:r>
                </w:p>
              </w:tc>
              <w:tc>
                <w:tcPr>
                  <w:tcW w:w="727" w:type="dxa"/>
                  <w:noWrap w:val="0"/>
                  <w:vAlign w:val="center"/>
                </w:tcPr>
                <w:p>
                  <w:pPr>
                    <w:pStyle w:val="97"/>
                    <w:keepNext w:val="0"/>
                    <w:keepLines w:val="0"/>
                    <w:suppressLineNumbers w:val="0"/>
                    <w:spacing w:before="0" w:beforeAutospacing="0" w:after="0" w:afterAutospacing="0"/>
                    <w:ind w:left="0" w:right="0"/>
                    <w:rPr>
                      <w:rFonts w:hint="eastAsia"/>
                      <w:kern w:val="2"/>
                    </w:rPr>
                  </w:pPr>
                  <w:r>
                    <w:rPr>
                      <w:rFonts w:hint="eastAsia"/>
                      <w:kern w:val="2"/>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实验废液</w:t>
                  </w:r>
                </w:p>
              </w:tc>
              <w:tc>
                <w:tcPr>
                  <w:tcW w:w="1289" w:type="dxa"/>
                  <w:noWrap w:val="0"/>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szCs w:val="21"/>
                    </w:rPr>
                    <w:t>HW49其他废物</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900-04</w:t>
                  </w:r>
                  <w:r>
                    <w:rPr>
                      <w:rFonts w:hint="eastAsia"/>
                      <w:kern w:val="0"/>
                      <w:szCs w:val="21"/>
                      <w:lang w:val="en-US" w:eastAsia="zh-CN"/>
                    </w:rPr>
                    <w:t>7</w:t>
                  </w:r>
                  <w:r>
                    <w:rPr>
                      <w:kern w:val="0"/>
                      <w:szCs w:val="21"/>
                    </w:rPr>
                    <w:t>-49</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right="0"/>
                    <w:rPr>
                      <w:kern w:val="2"/>
                    </w:rPr>
                  </w:pPr>
                  <w:r>
                    <w:rPr>
                      <w:kern w:val="2"/>
                    </w:rPr>
                    <w:t>桶装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szCs w:val="21"/>
                    </w:rPr>
                  </w:pPr>
                  <w:r>
                    <w:rPr>
                      <w:rFonts w:hint="eastAsia"/>
                      <w:kern w:val="0"/>
                      <w:szCs w:val="21"/>
                    </w:rPr>
                    <w:t>1t</w:t>
                  </w:r>
                </w:p>
              </w:tc>
              <w:tc>
                <w:tcPr>
                  <w:tcW w:w="727" w:type="dxa"/>
                  <w:noWrap w:val="0"/>
                  <w:vAlign w:val="center"/>
                </w:tcPr>
                <w:p>
                  <w:pPr>
                    <w:pStyle w:val="97"/>
                    <w:keepNext w:val="0"/>
                    <w:keepLines w:val="0"/>
                    <w:suppressLineNumbers w:val="0"/>
                    <w:spacing w:before="0" w:beforeAutospacing="0" w:after="0" w:afterAutospacing="0"/>
                    <w:ind w:left="0" w:right="0"/>
                  </w:pPr>
                  <w:r>
                    <w:rPr>
                      <w:rFonts w:hint="eastAsia"/>
                      <w:kern w:val="2"/>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rFonts w:hint="eastAsia" w:ascii="Times New Roman" w:cs="Times New Roman"/>
                      <w:color w:val="auto"/>
                      <w:kern w:val="2"/>
                    </w:rPr>
                    <w:t>报废化学试剂</w:t>
                  </w:r>
                </w:p>
              </w:tc>
              <w:tc>
                <w:tcPr>
                  <w:tcW w:w="1289" w:type="dxa"/>
                  <w:noWrap w:val="0"/>
                  <w:vAlign w:val="center"/>
                </w:tcPr>
                <w:p>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kern w:val="2"/>
                      <w:sz w:val="21"/>
                      <w:szCs w:val="21"/>
                      <w:lang w:val="en-US" w:eastAsia="zh-CN" w:bidi="ar-SA"/>
                    </w:rPr>
                  </w:pPr>
                  <w:r>
                    <w:rPr>
                      <w:szCs w:val="21"/>
                    </w:rPr>
                    <w:t>HW49其他废物</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rPr>
                    <w:t>900-999-49</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right="0"/>
                    <w:rPr>
                      <w:kern w:val="2"/>
                    </w:rPr>
                  </w:pPr>
                  <w:r>
                    <w:rPr>
                      <w:kern w:val="2"/>
                    </w:rPr>
                    <w:t>桶装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rFonts w:hint="eastAsia"/>
                      <w:kern w:val="0"/>
                      <w:szCs w:val="21"/>
                    </w:rPr>
                  </w:pPr>
                  <w:r>
                    <w:rPr>
                      <w:rFonts w:hint="eastAsia"/>
                      <w:kern w:val="0"/>
                      <w:szCs w:val="21"/>
                    </w:rPr>
                    <w:t>1t</w:t>
                  </w:r>
                </w:p>
              </w:tc>
              <w:tc>
                <w:tcPr>
                  <w:tcW w:w="727" w:type="dxa"/>
                  <w:noWrap w:val="0"/>
                  <w:vAlign w:val="center"/>
                </w:tcPr>
                <w:p>
                  <w:pPr>
                    <w:pStyle w:val="97"/>
                    <w:keepNext w:val="0"/>
                    <w:keepLines w:val="0"/>
                    <w:suppressLineNumbers w:val="0"/>
                    <w:spacing w:before="0" w:beforeAutospacing="0" w:after="0" w:afterAutospacing="0"/>
                    <w:ind w:left="0" w:right="0"/>
                    <w:rPr>
                      <w:rFonts w:hint="eastAsia"/>
                      <w:kern w:val="2"/>
                    </w:rPr>
                  </w:pPr>
                  <w:r>
                    <w:rPr>
                      <w:rFonts w:hint="eastAsia"/>
                      <w:kern w:val="2"/>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kern w:val="2"/>
                      <w:sz w:val="21"/>
                      <w:szCs w:val="24"/>
                      <w:lang w:val="en-US" w:eastAsia="zh-CN" w:bidi="ar-SA"/>
                    </w:rPr>
                  </w:pPr>
                  <w:r>
                    <w:rPr>
                      <w:rFonts w:hint="eastAsia" w:ascii="Times New Roman" w:cs="Times New Roman"/>
                      <w:color w:val="auto"/>
                      <w:kern w:val="2"/>
                    </w:rPr>
                    <w:t>化学品废弃容器</w:t>
                  </w:r>
                </w:p>
              </w:tc>
              <w:tc>
                <w:tcPr>
                  <w:tcW w:w="1289" w:type="dxa"/>
                  <w:noWrap w:val="0"/>
                  <w:vAlign w:val="center"/>
                </w:tcPr>
                <w:p>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kern w:val="2"/>
                      <w:sz w:val="21"/>
                      <w:szCs w:val="21"/>
                      <w:lang w:val="en-US" w:eastAsia="zh-CN" w:bidi="ar-SA"/>
                    </w:rPr>
                  </w:pPr>
                  <w:r>
                    <w:rPr>
                      <w:szCs w:val="21"/>
                    </w:rPr>
                    <w:t>HW49其他废物</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ascii="Times New Roman" w:hAnsi="Times New Roman" w:eastAsia="宋体" w:cs="Times New Roman"/>
                      <w:kern w:val="0"/>
                      <w:sz w:val="21"/>
                      <w:szCs w:val="21"/>
                      <w:lang w:val="en-US" w:eastAsia="zh-CN" w:bidi="ar-SA"/>
                    </w:rPr>
                  </w:pPr>
                  <w:r>
                    <w:rPr>
                      <w:kern w:val="0"/>
                      <w:szCs w:val="21"/>
                    </w:rPr>
                    <w:t>900-041-49</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right="0"/>
                    <w:rPr>
                      <w:kern w:val="2"/>
                    </w:rPr>
                  </w:pPr>
                  <w:r>
                    <w:rPr>
                      <w:kern w:val="2"/>
                    </w:rPr>
                    <w:t>桶装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rFonts w:hint="eastAsia"/>
                      <w:kern w:val="0"/>
                      <w:szCs w:val="21"/>
                    </w:rPr>
                  </w:pPr>
                  <w:r>
                    <w:rPr>
                      <w:rFonts w:hint="eastAsia"/>
                      <w:kern w:val="0"/>
                      <w:szCs w:val="21"/>
                    </w:rPr>
                    <w:t>1t</w:t>
                  </w:r>
                </w:p>
              </w:tc>
              <w:tc>
                <w:tcPr>
                  <w:tcW w:w="727" w:type="dxa"/>
                  <w:noWrap w:val="0"/>
                  <w:vAlign w:val="center"/>
                </w:tcPr>
                <w:p>
                  <w:pPr>
                    <w:pStyle w:val="97"/>
                    <w:keepNext w:val="0"/>
                    <w:keepLines w:val="0"/>
                    <w:suppressLineNumbers w:val="0"/>
                    <w:spacing w:before="0" w:beforeAutospacing="0" w:after="0" w:afterAutospacing="0"/>
                    <w:ind w:left="0" w:right="0"/>
                    <w:rPr>
                      <w:rFonts w:hint="eastAsia"/>
                      <w:kern w:val="2"/>
                    </w:rPr>
                  </w:pPr>
                  <w:r>
                    <w:rPr>
                      <w:rFonts w:hint="eastAsia"/>
                      <w:kern w:val="2"/>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废活性炭</w:t>
                  </w:r>
                </w:p>
              </w:tc>
              <w:tc>
                <w:tcPr>
                  <w:tcW w:w="1289" w:type="dxa"/>
                  <w:noWrap w:val="0"/>
                  <w:vAlign w:val="center"/>
                </w:tcPr>
                <w:p>
                  <w:pPr>
                    <w:keepNext w:val="0"/>
                    <w:keepLines w:val="0"/>
                    <w:suppressLineNumbers w:val="0"/>
                    <w:spacing w:before="0" w:beforeAutospacing="0" w:after="0" w:afterAutospacing="0" w:line="360" w:lineRule="exact"/>
                    <w:ind w:left="0" w:right="0"/>
                    <w:jc w:val="center"/>
                    <w:rPr>
                      <w:rFonts w:ascii="Times New Roman" w:hAnsi="Times New Roman" w:eastAsia="宋体" w:cs="Times New Roman"/>
                      <w:kern w:val="2"/>
                      <w:sz w:val="21"/>
                      <w:szCs w:val="21"/>
                      <w:lang w:val="en-US" w:eastAsia="zh-CN" w:bidi="ar-SA"/>
                    </w:rPr>
                  </w:pPr>
                  <w:r>
                    <w:rPr>
                      <w:szCs w:val="21"/>
                    </w:rPr>
                    <w:t>HW49其他废物</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900-041-49</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right="0"/>
                    <w:rPr>
                      <w:rFonts w:hint="eastAsia"/>
                      <w:kern w:val="2"/>
                    </w:rPr>
                  </w:pPr>
                  <w:r>
                    <w:rPr>
                      <w:rFonts w:hint="eastAsia"/>
                      <w:kern w:val="2"/>
                    </w:rPr>
                    <w:t>袋装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szCs w:val="21"/>
                    </w:rPr>
                  </w:pPr>
                  <w:r>
                    <w:rPr>
                      <w:rFonts w:hint="eastAsia"/>
                      <w:kern w:val="0"/>
                      <w:szCs w:val="21"/>
                    </w:rPr>
                    <w:t>0.5t</w:t>
                  </w:r>
                </w:p>
              </w:tc>
              <w:tc>
                <w:tcPr>
                  <w:tcW w:w="727" w:type="dxa"/>
                  <w:noWrap w:val="0"/>
                  <w:vAlign w:val="center"/>
                </w:tcPr>
                <w:p>
                  <w:pPr>
                    <w:pStyle w:val="97"/>
                    <w:keepNext w:val="0"/>
                    <w:keepLines w:val="0"/>
                    <w:suppressLineNumbers w:val="0"/>
                    <w:spacing w:before="0" w:beforeAutospacing="0" w:after="0" w:afterAutospacing="0"/>
                    <w:ind w:left="0" w:right="0"/>
                    <w:rPr>
                      <w:kern w:val="2"/>
                    </w:rPr>
                  </w:pPr>
                  <w:r>
                    <w:rPr>
                      <w:rFonts w:hint="eastAsia"/>
                      <w:kern w:val="2"/>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废紫外灯管</w:t>
                  </w:r>
                </w:p>
              </w:tc>
              <w:tc>
                <w:tcPr>
                  <w:tcW w:w="1289"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kern w:val="2"/>
                      <w:sz w:val="21"/>
                      <w:szCs w:val="21"/>
                      <w:lang w:val="en-US" w:eastAsia="zh-CN" w:bidi="ar-SA"/>
                    </w:rPr>
                  </w:pPr>
                  <w:r>
                    <w:rPr>
                      <w:rFonts w:hint="default"/>
                      <w:szCs w:val="21"/>
                    </w:rPr>
                    <w:t>HW29含汞废物</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rFonts w:hint="default"/>
                      <w:kern w:val="0"/>
                      <w:szCs w:val="21"/>
                    </w:rPr>
                    <w:t>900-023-29</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right="0"/>
                    <w:rPr>
                      <w:rFonts w:hint="eastAsia"/>
                      <w:kern w:val="2"/>
                      <w:sz w:val="21"/>
                      <w:szCs w:val="21"/>
                      <w:lang w:val="en-US" w:eastAsia="zh-CN" w:bidi="ar-SA"/>
                    </w:rPr>
                  </w:pPr>
                  <w:r>
                    <w:rPr>
                      <w:rFonts w:hint="eastAsia"/>
                      <w:kern w:val="2"/>
                    </w:rPr>
                    <w:t>袋装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rFonts w:hint="eastAsia"/>
                      <w:kern w:val="2"/>
                      <w:sz w:val="21"/>
                      <w:szCs w:val="21"/>
                      <w:lang w:val="en-US" w:eastAsia="zh-CN" w:bidi="ar-SA"/>
                    </w:rPr>
                  </w:pPr>
                  <w:r>
                    <w:rPr>
                      <w:rFonts w:hint="eastAsia"/>
                      <w:kern w:val="0"/>
                      <w:szCs w:val="21"/>
                      <w:lang w:val="en-US" w:eastAsia="zh-CN"/>
                    </w:rPr>
                    <w:t>0.01</w:t>
                  </w:r>
                  <w:r>
                    <w:rPr>
                      <w:rFonts w:hint="eastAsia"/>
                      <w:kern w:val="0"/>
                      <w:szCs w:val="21"/>
                    </w:rPr>
                    <w:t>t</w:t>
                  </w:r>
                </w:p>
              </w:tc>
              <w:tc>
                <w:tcPr>
                  <w:tcW w:w="727" w:type="dxa"/>
                  <w:noWrap w:val="0"/>
                  <w:vAlign w:val="center"/>
                </w:tcPr>
                <w:p>
                  <w:pPr>
                    <w:pStyle w:val="97"/>
                    <w:keepNext w:val="0"/>
                    <w:keepLines w:val="0"/>
                    <w:suppressLineNumbers w:val="0"/>
                    <w:spacing w:before="0" w:beforeAutospacing="0" w:after="0" w:afterAutospacing="0"/>
                    <w:ind w:left="0" w:right="0"/>
                    <w:rPr>
                      <w:rFonts w:hint="eastAsia" w:eastAsia="宋体"/>
                      <w:kern w:val="2"/>
                      <w:sz w:val="21"/>
                      <w:szCs w:val="21"/>
                      <w:lang w:val="en-US" w:eastAsia="zh-CN" w:bidi="ar-SA"/>
                    </w:rPr>
                  </w:pPr>
                  <w:r>
                    <w:rPr>
                      <w:rFonts w:hint="eastAsia"/>
                      <w:kern w:val="2"/>
                      <w:lang w:val="en-US" w:eastAsia="zh-CN"/>
                    </w:rPr>
                    <w:t>一年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碱喷淋废液</w:t>
                  </w:r>
                </w:p>
              </w:tc>
              <w:tc>
                <w:tcPr>
                  <w:tcW w:w="1289"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szCs w:val="21"/>
                    </w:rPr>
                    <w:t>HW</w:t>
                  </w:r>
                  <w:r>
                    <w:rPr>
                      <w:rFonts w:hint="default"/>
                      <w:szCs w:val="21"/>
                      <w:lang w:val="en-US" w:eastAsia="zh-CN"/>
                    </w:rPr>
                    <w:t>35废碱</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kern w:val="0"/>
                      <w:szCs w:val="21"/>
                      <w:lang w:val="en-US" w:eastAsia="zh-CN"/>
                    </w:rPr>
                    <w:t>900-352-35</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r>
                    <w:rPr>
                      <w:kern w:val="2"/>
                    </w:rPr>
                    <w:t>桶装</w:t>
                  </w:r>
                </w:p>
              </w:tc>
              <w:tc>
                <w:tcPr>
                  <w:tcW w:w="939" w:type="dxa"/>
                  <w:noWrap w:val="0"/>
                  <w:vAlign w:val="center"/>
                </w:tcPr>
                <w:p>
                  <w:pPr>
                    <w:keepNext w:val="0"/>
                    <w:keepLines w:val="0"/>
                    <w:suppressLineNumbers w:val="0"/>
                    <w:snapToGrid w:val="0"/>
                    <w:spacing w:before="60" w:beforeAutospacing="0" w:after="0" w:afterAutospacing="0"/>
                    <w:ind w:left="0" w:leftChars="0" w:right="0" w:rightChars="0"/>
                    <w:jc w:val="center"/>
                    <w:textAlignment w:val="baseline"/>
                    <w:rPr>
                      <w:rFonts w:hint="eastAsia" w:ascii="Times New Roman" w:hAnsi="Times New Roman" w:eastAsia="宋体" w:cs="Times New Roman"/>
                      <w:kern w:val="0"/>
                      <w:sz w:val="21"/>
                      <w:szCs w:val="21"/>
                      <w:lang w:val="en-US" w:eastAsia="zh-CN" w:bidi="ar-SA"/>
                    </w:rPr>
                  </w:pPr>
                  <w:r>
                    <w:rPr>
                      <w:rFonts w:hint="eastAsia"/>
                      <w:kern w:val="0"/>
                      <w:szCs w:val="21"/>
                    </w:rPr>
                    <w:t>1t</w:t>
                  </w:r>
                </w:p>
              </w:tc>
              <w:tc>
                <w:tcPr>
                  <w:tcW w:w="727" w:type="dxa"/>
                  <w:noWrap w:val="0"/>
                  <w:vAlign w:val="center"/>
                </w:tcPr>
                <w:p>
                  <w:pPr>
                    <w:pStyle w:val="97"/>
                    <w:keepNext w:val="0"/>
                    <w:keepLines w:val="0"/>
                    <w:suppressLineNumbers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r>
                    <w:rPr>
                      <w:rFonts w:hint="eastAsia"/>
                      <w:kern w:val="2"/>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hint="eastAsia" w:ascii="Times New Roman" w:hAnsi="Times New Roman" w:eastAsia="宋体" w:cs="Times New Roman"/>
                      <w:kern w:val="0"/>
                      <w:sz w:val="21"/>
                      <w:szCs w:val="21"/>
                      <w:lang w:val="en-US" w:eastAsia="zh-CN" w:bidi="ar-SA"/>
                    </w:rPr>
                  </w:pPr>
                  <w:r>
                    <w:rPr>
                      <w:kern w:val="0"/>
                      <w:szCs w:val="21"/>
                    </w:rPr>
                    <w:t>污泥</w:t>
                  </w:r>
                </w:p>
              </w:tc>
              <w:tc>
                <w:tcPr>
                  <w:tcW w:w="1289"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kern w:val="2"/>
                      <w:sz w:val="21"/>
                      <w:szCs w:val="21"/>
                      <w:lang w:val="en-US" w:eastAsia="zh-CN" w:bidi="ar-SA"/>
                    </w:rPr>
                  </w:pPr>
                  <w:r>
                    <w:rPr>
                      <w:szCs w:val="21"/>
                    </w:rPr>
                    <w:t>HW49其他废物</w:t>
                  </w:r>
                </w:p>
              </w:tc>
              <w:tc>
                <w:tcPr>
                  <w:tcW w:w="1297"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szCs w:val="21"/>
                    </w:rPr>
                    <w:t>772-006-49</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right="0"/>
                    <w:rPr>
                      <w:kern w:val="2"/>
                    </w:rPr>
                  </w:pPr>
                  <w:r>
                    <w:rPr>
                      <w:kern w:val="2"/>
                    </w:rPr>
                    <w:t>桶装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rFonts w:hint="eastAsia"/>
                      <w:kern w:val="0"/>
                      <w:szCs w:val="21"/>
                    </w:rPr>
                  </w:pPr>
                  <w:r>
                    <w:rPr>
                      <w:rFonts w:hint="eastAsia"/>
                      <w:kern w:val="0"/>
                      <w:szCs w:val="21"/>
                    </w:rPr>
                    <w:t>1t</w:t>
                  </w:r>
                </w:p>
              </w:tc>
              <w:tc>
                <w:tcPr>
                  <w:tcW w:w="727" w:type="dxa"/>
                  <w:noWrap w:val="0"/>
                  <w:vAlign w:val="center"/>
                </w:tcPr>
                <w:p>
                  <w:pPr>
                    <w:pStyle w:val="97"/>
                    <w:keepNext w:val="0"/>
                    <w:keepLines w:val="0"/>
                    <w:suppressLineNumbers w:val="0"/>
                    <w:spacing w:before="0" w:beforeAutospacing="0" w:after="0" w:afterAutospacing="0"/>
                    <w:ind w:left="0" w:right="0"/>
                    <w:rPr>
                      <w:rFonts w:hint="eastAsia"/>
                      <w:kern w:val="2"/>
                    </w:rPr>
                  </w:pPr>
                  <w:r>
                    <w:rPr>
                      <w:rFonts w:hint="eastAsia"/>
                      <w:kern w:val="2"/>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576" w:hRule="atLeast"/>
                <w:jc w:val="center"/>
              </w:trPr>
              <w:tc>
                <w:tcPr>
                  <w:tcW w:w="69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1271"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rFonts w:hint="eastAsia"/>
                      <w:kern w:val="0"/>
                      <w:szCs w:val="21"/>
                    </w:rPr>
                    <w:t>废过滤器</w:t>
                  </w:r>
                </w:p>
              </w:tc>
              <w:tc>
                <w:tcPr>
                  <w:tcW w:w="1289" w:type="dxa"/>
                  <w:noWrap w:val="0"/>
                  <w:vAlign w:val="center"/>
                </w:tcPr>
                <w:p>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kern w:val="0"/>
                      <w:sz w:val="21"/>
                      <w:szCs w:val="21"/>
                      <w:lang w:val="en-US" w:eastAsia="zh-CN" w:bidi="ar-SA"/>
                    </w:rPr>
                  </w:pPr>
                  <w:r>
                    <w:rPr>
                      <w:szCs w:val="21"/>
                    </w:rPr>
                    <w:t>HW49其他废物</w:t>
                  </w:r>
                </w:p>
              </w:tc>
              <w:tc>
                <w:tcPr>
                  <w:tcW w:w="1297" w:type="dxa"/>
                  <w:noWrap w:val="0"/>
                  <w:vAlign w:val="center"/>
                </w:tcPr>
                <w:p>
                  <w:pPr>
                    <w:keepNext w:val="0"/>
                    <w:keepLines w:val="0"/>
                    <w:suppressLineNumbers w:val="0"/>
                    <w:topLinePunct/>
                    <w:adjustRightInd w:val="0"/>
                    <w:snapToGrid w:val="0"/>
                    <w:spacing w:before="0" w:beforeAutospacing="0" w:after="0" w:afterAutospacing="0" w:line="360" w:lineRule="exact"/>
                    <w:ind w:left="0" w:right="0"/>
                    <w:jc w:val="center"/>
                    <w:rPr>
                      <w:rFonts w:ascii="Times New Roman" w:hAnsi="Times New Roman" w:eastAsia="宋体" w:cs="Times New Roman"/>
                      <w:kern w:val="0"/>
                      <w:sz w:val="21"/>
                      <w:szCs w:val="21"/>
                      <w:lang w:val="en-US" w:eastAsia="zh-CN" w:bidi="ar-SA"/>
                    </w:rPr>
                  </w:pPr>
                  <w:r>
                    <w:rPr>
                      <w:kern w:val="0"/>
                      <w:szCs w:val="21"/>
                    </w:rPr>
                    <w:t>900-04</w:t>
                  </w:r>
                  <w:r>
                    <w:rPr>
                      <w:rFonts w:hint="eastAsia"/>
                      <w:kern w:val="0"/>
                      <w:szCs w:val="21"/>
                      <w:lang w:val="en-US" w:eastAsia="zh-CN"/>
                    </w:rPr>
                    <w:t>7</w:t>
                  </w:r>
                  <w:r>
                    <w:rPr>
                      <w:kern w:val="0"/>
                      <w:szCs w:val="21"/>
                    </w:rPr>
                    <w:t>-49</w:t>
                  </w:r>
                </w:p>
              </w:tc>
              <w:tc>
                <w:tcPr>
                  <w:tcW w:w="608"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7" w:type="dxa"/>
                  <w:vMerge w:val="continue"/>
                  <w:noWrap w:val="0"/>
                  <w:vAlign w:val="center"/>
                </w:tcPr>
                <w:p>
                  <w:pPr>
                    <w:keepNext w:val="0"/>
                    <w:keepLines w:val="0"/>
                    <w:widowControl/>
                    <w:suppressLineNumbers w:val="0"/>
                    <w:tabs>
                      <w:tab w:val="left" w:pos="1110"/>
                    </w:tabs>
                    <w:spacing w:before="0" w:beforeAutospacing="0" w:after="0" w:afterAutospacing="0" w:line="280" w:lineRule="exact"/>
                    <w:ind w:left="0" w:right="0"/>
                    <w:jc w:val="center"/>
                  </w:pPr>
                </w:p>
              </w:tc>
              <w:tc>
                <w:tcPr>
                  <w:tcW w:w="840" w:type="dxa"/>
                  <w:noWrap w:val="0"/>
                  <w:vAlign w:val="center"/>
                </w:tcPr>
                <w:p>
                  <w:pPr>
                    <w:pStyle w:val="97"/>
                    <w:keepNext w:val="0"/>
                    <w:keepLines w:val="0"/>
                    <w:suppressLineNumbers w:val="0"/>
                    <w:spacing w:before="0" w:beforeAutospacing="0" w:after="0" w:afterAutospacing="0"/>
                    <w:ind w:left="0" w:right="0"/>
                    <w:rPr>
                      <w:kern w:val="2"/>
                    </w:rPr>
                  </w:pPr>
                  <w:r>
                    <w:rPr>
                      <w:kern w:val="2"/>
                    </w:rPr>
                    <w:t>桶装</w:t>
                  </w:r>
                </w:p>
              </w:tc>
              <w:tc>
                <w:tcPr>
                  <w:tcW w:w="939" w:type="dxa"/>
                  <w:noWrap w:val="0"/>
                  <w:vAlign w:val="center"/>
                </w:tcPr>
                <w:p>
                  <w:pPr>
                    <w:keepNext w:val="0"/>
                    <w:keepLines w:val="0"/>
                    <w:suppressLineNumbers w:val="0"/>
                    <w:snapToGrid w:val="0"/>
                    <w:spacing w:before="60" w:beforeAutospacing="0" w:after="0" w:afterAutospacing="0"/>
                    <w:ind w:left="0" w:right="0"/>
                    <w:jc w:val="center"/>
                    <w:textAlignment w:val="baseline"/>
                    <w:rPr>
                      <w:rFonts w:hint="eastAsia"/>
                      <w:kern w:val="0"/>
                      <w:szCs w:val="21"/>
                    </w:rPr>
                  </w:pPr>
                  <w:r>
                    <w:rPr>
                      <w:rFonts w:hint="eastAsia"/>
                      <w:kern w:val="0"/>
                      <w:szCs w:val="21"/>
                    </w:rPr>
                    <w:t>0.1t</w:t>
                  </w:r>
                </w:p>
              </w:tc>
              <w:tc>
                <w:tcPr>
                  <w:tcW w:w="727" w:type="dxa"/>
                  <w:noWrap w:val="0"/>
                  <w:vAlign w:val="center"/>
                </w:tcPr>
                <w:p>
                  <w:pPr>
                    <w:pStyle w:val="97"/>
                    <w:keepNext w:val="0"/>
                    <w:keepLines w:val="0"/>
                    <w:suppressLineNumbers w:val="0"/>
                    <w:spacing w:before="0" w:beforeAutospacing="0" w:after="0" w:afterAutospacing="0"/>
                    <w:ind w:left="0" w:right="0"/>
                    <w:rPr>
                      <w:rFonts w:hint="eastAsia"/>
                      <w:kern w:val="2"/>
                    </w:rPr>
                  </w:pPr>
                  <w:r>
                    <w:rPr>
                      <w:rFonts w:hint="eastAsia"/>
                      <w:kern w:val="2"/>
                    </w:rPr>
                    <w:t>三个月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szCs w:val="24"/>
              </w:rPr>
            </w:pPr>
            <w:r>
              <w:rPr>
                <w:sz w:val="24"/>
                <w:lang w:val="zh-CN"/>
              </w:rPr>
              <w:t>综上所述，项目产生的固体废物均能得到妥善的处理和处置，不会对周围环境造成二次污染。</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kern w:val="24"/>
                <w:sz w:val="24"/>
                <w:szCs w:val="24"/>
                <w:lang w:val="en-US" w:eastAsia="zh-CN"/>
              </w:rPr>
              <w:t>5</w:t>
            </w:r>
            <w:r>
              <w:rPr>
                <w:rFonts w:hint="default" w:ascii="Times New Roman" w:hAnsi="Times New Roman" w:eastAsia="宋体" w:cs="Times New Roman"/>
                <w:b/>
                <w:bCs/>
                <w:color w:val="auto"/>
                <w:kern w:val="24"/>
                <w:sz w:val="24"/>
                <w:szCs w:val="24"/>
                <w:lang w:eastAsia="zh-CN"/>
              </w:rPr>
              <w:t>、</w:t>
            </w:r>
            <w:r>
              <w:rPr>
                <w:rFonts w:hint="default" w:ascii="Times New Roman" w:hAnsi="Times New Roman" w:eastAsia="宋体" w:cs="Times New Roman"/>
                <w:b/>
                <w:bCs/>
                <w:color w:val="auto"/>
                <w:sz w:val="24"/>
                <w:szCs w:val="24"/>
                <w:lang w:eastAsia="zh-CN"/>
              </w:rPr>
              <w:t>地下水、土壤</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本项目</w:t>
            </w:r>
            <w:r>
              <w:rPr>
                <w:rFonts w:hint="eastAsia"/>
                <w:sz w:val="24"/>
              </w:rPr>
              <w:t>污水处理设施、危废暂存间</w:t>
            </w:r>
            <w:r>
              <w:rPr>
                <w:rFonts w:hint="eastAsia"/>
                <w:sz w:val="24"/>
                <w:lang w:eastAsia="zh-CN"/>
              </w:rPr>
              <w:t>、</w:t>
            </w:r>
            <w:r>
              <w:rPr>
                <w:rFonts w:hint="eastAsia"/>
                <w:sz w:val="24"/>
                <w:lang w:val="en-US" w:eastAsia="zh-CN"/>
              </w:rPr>
              <w:t>试剂原料等</w:t>
            </w:r>
            <w:r>
              <w:rPr>
                <w:rFonts w:hint="eastAsia"/>
                <w:sz w:val="24"/>
              </w:rPr>
              <w:t>均在</w:t>
            </w:r>
            <w:r>
              <w:rPr>
                <w:rFonts w:hint="eastAsia"/>
                <w:sz w:val="24"/>
                <w:lang w:val="en-US" w:eastAsia="zh-CN"/>
              </w:rPr>
              <w:t>二楼及以上</w:t>
            </w:r>
            <w:r>
              <w:rPr>
                <w:rFonts w:hint="eastAsia"/>
                <w:sz w:val="24"/>
              </w:rPr>
              <w:t>，</w:t>
            </w:r>
            <w:r>
              <w:rPr>
                <w:sz w:val="24"/>
              </w:rPr>
              <w:t>不存在污染</w:t>
            </w:r>
            <w:r>
              <w:rPr>
                <w:rFonts w:hint="eastAsia"/>
                <w:sz w:val="24"/>
              </w:rPr>
              <w:t>土壤及地下水</w:t>
            </w:r>
            <w:r>
              <w:rPr>
                <w:sz w:val="24"/>
              </w:rPr>
              <w:t>的途径。</w:t>
            </w:r>
            <w:r>
              <w:rPr>
                <w:rFonts w:hint="eastAsia"/>
                <w:sz w:val="24"/>
              </w:rPr>
              <w:t>评价建议实验室地面均按要求进行分区防渗，</w:t>
            </w:r>
            <w:r>
              <w:rPr>
                <w:rFonts w:hint="eastAsia"/>
                <w:sz w:val="24"/>
                <w:lang w:val="en-US" w:eastAsia="zh-CN"/>
              </w:rPr>
              <w:t>污水处理站、</w:t>
            </w:r>
            <w:r>
              <w:rPr>
                <w:rFonts w:hint="eastAsia"/>
                <w:sz w:val="24"/>
              </w:rPr>
              <w:t>危废暂存间、实验区域（含试剂库）等重点区域应进行重点防渗，以确保等效黏土防渗层 Mb≥6.0m、渗透系数 K≤10</w:t>
            </w:r>
            <w:r>
              <w:rPr>
                <w:rFonts w:hint="eastAsia"/>
                <w:sz w:val="24"/>
                <w:vertAlign w:val="superscript"/>
              </w:rPr>
              <w:t>-7</w:t>
            </w:r>
            <w:r>
              <w:rPr>
                <w:rFonts w:hint="eastAsia"/>
                <w:sz w:val="24"/>
              </w:rPr>
              <w:t>cm/s（其中危废暂存间达到渗透系数K≤10</w:t>
            </w:r>
            <w:r>
              <w:rPr>
                <w:rFonts w:hint="eastAsia"/>
                <w:sz w:val="24"/>
                <w:vertAlign w:val="superscript"/>
              </w:rPr>
              <w:t>-10</w:t>
            </w:r>
            <w:r>
              <w:rPr>
                <w:rFonts w:hint="eastAsia"/>
                <w:sz w:val="24"/>
              </w:rPr>
              <w:t>cm/s）的要求。</w:t>
            </w:r>
            <w:r>
              <w:rPr>
                <w:sz w:val="24"/>
              </w:rPr>
              <w:t>除重点防渗区外的其他区域，地面为抗渗混凝土地面满足简单防渗要求。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Calibri" w:hAnsi="Calibri" w:eastAsia="宋体" w:cs="Times New Roman"/>
                <w:sz w:val="24"/>
                <w:szCs w:val="24"/>
                <w:lang w:eastAsia="zh-CN"/>
              </w:rPr>
            </w:pPr>
            <w:r>
              <w:rPr>
                <w:sz w:val="24"/>
              </w:rPr>
              <w:t>综上分析，本项目不存在地下水、土壤污染途径，不再进行地下水及土壤环境影响分析。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eastAsia="zh-CN"/>
              </w:rPr>
              <w:t>生态环境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520" w:lineRule="exact"/>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本项目位于</w:t>
            </w:r>
            <w:r>
              <w:rPr>
                <w:rFonts w:hint="eastAsia" w:cs="Times New Roman"/>
                <w:color w:val="auto"/>
                <w:sz w:val="24"/>
                <w:szCs w:val="24"/>
                <w:lang w:val="en-US" w:eastAsia="zh-CN"/>
              </w:rPr>
              <w:t>新乡县中央大道与民乐路交叉口东北角民乐路一号（新乡县市场监督管理局院内）</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2"/>
                <w:lang w:val="en-US" w:eastAsia="zh-CN"/>
              </w:rPr>
              <w:t>在</w:t>
            </w:r>
            <w:r>
              <w:rPr>
                <w:rFonts w:hint="eastAsia" w:cs="Times New Roman"/>
                <w:sz w:val="24"/>
                <w:szCs w:val="22"/>
                <w:lang w:val="en-US" w:eastAsia="zh-CN"/>
              </w:rPr>
              <w:t>新乡县市场监督管理局院内新建一座5层的实验楼</w:t>
            </w:r>
            <w:r>
              <w:rPr>
                <w:rFonts w:hint="default" w:ascii="Times New Roman" w:hAnsi="Times New Roman" w:eastAsia="宋体" w:cs="Times New Roman"/>
                <w:bCs/>
                <w:color w:val="auto"/>
                <w:kern w:val="0"/>
                <w:sz w:val="24"/>
                <w:szCs w:val="24"/>
                <w:highlight w:val="none"/>
                <w:lang w:val="en-US" w:eastAsia="zh-CN" w:bidi="ar-SA"/>
              </w:rPr>
              <w:t>，不新征用地，同时根据调查，目前项目用地范围内无生态环境保护目标，项目建设不会对周边生态环境产生影响。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eastAsia="zh-CN"/>
              </w:rPr>
              <w:t>环境风险</w:t>
            </w:r>
          </w:p>
          <w:p>
            <w:pPr>
              <w:keepNext w:val="0"/>
              <w:keepLines w:val="0"/>
              <w:suppressLineNumbers w:val="0"/>
              <w:adjustRightInd w:val="0"/>
              <w:snapToGrid w:val="0"/>
              <w:spacing w:before="0" w:beforeAutospacing="0" w:after="0" w:afterAutospacing="0" w:line="520" w:lineRule="exact"/>
              <w:ind w:left="0" w:right="0" w:firstLine="480" w:firstLineChars="200"/>
              <w:rPr>
                <w:bCs/>
                <w:sz w:val="24"/>
              </w:rPr>
            </w:pPr>
            <w:r>
              <w:rPr>
                <w:bCs/>
                <w:sz w:val="24"/>
              </w:rPr>
              <w:t>（一）风险调查</w:t>
            </w:r>
          </w:p>
          <w:p>
            <w:pPr>
              <w:keepNext w:val="0"/>
              <w:keepLines w:val="0"/>
              <w:suppressLineNumbers w:val="0"/>
              <w:adjustRightInd w:val="0"/>
              <w:snapToGrid w:val="0"/>
              <w:spacing w:before="0" w:beforeAutospacing="0" w:after="0" w:afterAutospacing="0" w:line="520" w:lineRule="exact"/>
              <w:ind w:left="0" w:right="0" w:firstLine="480" w:firstLineChars="200"/>
              <w:rPr>
                <w:bCs/>
                <w:sz w:val="24"/>
              </w:rPr>
            </w:pPr>
            <w:r>
              <w:rPr>
                <w:bCs/>
                <w:sz w:val="24"/>
              </w:rPr>
              <w:t>①建设项目风险源识别</w:t>
            </w:r>
          </w:p>
          <w:p>
            <w:pPr>
              <w:keepNext w:val="0"/>
              <w:keepLines w:val="0"/>
              <w:suppressLineNumbers w:val="0"/>
              <w:spacing w:before="0" w:beforeAutospacing="0" w:after="0" w:afterAutospacing="0" w:line="520" w:lineRule="exact"/>
              <w:ind w:left="0" w:right="0" w:firstLine="480" w:firstLineChars="200"/>
              <w:rPr>
                <w:sz w:val="24"/>
              </w:rPr>
            </w:pPr>
            <w:r>
              <w:rPr>
                <w:sz w:val="24"/>
              </w:rPr>
              <w:t>项目运营过程中使用到部分化学品作为溶剂或分析介质，相关化学品风险辨识情况见下表。</w:t>
            </w:r>
          </w:p>
          <w:p>
            <w:pPr>
              <w:keepNext w:val="0"/>
              <w:keepLines w:val="0"/>
              <w:suppressLineNumbers w:val="0"/>
              <w:adjustRightInd w:val="0"/>
              <w:snapToGrid w:val="0"/>
              <w:spacing w:before="0" w:beforeAutospacing="0" w:after="0" w:afterAutospacing="0" w:line="520" w:lineRule="exact"/>
              <w:ind w:left="0" w:right="0" w:firstLine="482" w:firstLineChars="200"/>
              <w:jc w:val="center"/>
              <w:rPr>
                <w:b/>
                <w:bCs/>
                <w:sz w:val="24"/>
                <w:lang w:val="zh-CN"/>
              </w:rPr>
            </w:pPr>
            <w:r>
              <w:rPr>
                <w:b/>
                <w:bCs/>
                <w:sz w:val="24"/>
                <w:lang w:val="zh-CN"/>
              </w:rPr>
              <w:t>表</w:t>
            </w:r>
            <w:r>
              <w:rPr>
                <w:b/>
                <w:bCs/>
                <w:sz w:val="24"/>
              </w:rPr>
              <w:t>4-</w:t>
            </w:r>
            <w:r>
              <w:rPr>
                <w:rFonts w:hint="eastAsia"/>
                <w:b/>
                <w:bCs/>
                <w:sz w:val="24"/>
              </w:rPr>
              <w:t>2</w:t>
            </w:r>
            <w:r>
              <w:rPr>
                <w:rFonts w:hint="eastAsia"/>
                <w:b/>
                <w:bCs/>
                <w:sz w:val="24"/>
                <w:lang w:val="en-US" w:eastAsia="zh-CN"/>
              </w:rPr>
              <w:t>7</w:t>
            </w:r>
            <w:r>
              <w:rPr>
                <w:b/>
                <w:bCs/>
                <w:sz w:val="24"/>
                <w:lang w:val="zh-CN"/>
              </w:rPr>
              <w:t xml:space="preserve"> 项目化学品风险辨识一览表</w:t>
            </w:r>
          </w:p>
          <w:tbl>
            <w:tblPr>
              <w:tblStyle w:val="30"/>
              <w:tblW w:w="85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452"/>
              <w:gridCol w:w="1597"/>
              <w:gridCol w:w="1452"/>
              <w:gridCol w:w="1452"/>
              <w:gridCol w:w="14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83"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序号</w:t>
                  </w:r>
                </w:p>
              </w:tc>
              <w:tc>
                <w:tcPr>
                  <w:tcW w:w="1452"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物质名称</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储存方式</w:t>
                  </w:r>
                </w:p>
              </w:tc>
              <w:tc>
                <w:tcPr>
                  <w:tcW w:w="1452"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临界量（</w:t>
                  </w:r>
                  <w:r>
                    <w:rPr>
                      <w:rFonts w:hint="default" w:ascii="Times New Roman" w:hAnsi="Times New Roman" w:cs="Times New Roman"/>
                      <w:bCs/>
                      <w:szCs w:val="21"/>
                      <w:lang w:val="en-US" w:eastAsia="zh-CN"/>
                    </w:rPr>
                    <w:t>kg</w:t>
                  </w:r>
                  <w:r>
                    <w:rPr>
                      <w:rFonts w:hint="default" w:ascii="Times New Roman" w:hAnsi="Times New Roman" w:cs="Times New Roman"/>
                      <w:bCs/>
                      <w:szCs w:val="21"/>
                    </w:rPr>
                    <w:t>）</w:t>
                  </w:r>
                </w:p>
              </w:tc>
              <w:tc>
                <w:tcPr>
                  <w:tcW w:w="1452"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项目最大储存量（</w:t>
                  </w:r>
                  <w:r>
                    <w:rPr>
                      <w:rFonts w:hint="default" w:ascii="Times New Roman" w:hAnsi="Times New Roman" w:cs="Times New Roman"/>
                      <w:bCs/>
                      <w:szCs w:val="21"/>
                      <w:lang w:val="en-US" w:eastAsia="zh-CN"/>
                    </w:rPr>
                    <w:t>kg</w:t>
                  </w:r>
                  <w:r>
                    <w:rPr>
                      <w:rFonts w:hint="default" w:ascii="Times New Roman" w:hAnsi="Times New Roman" w:cs="Times New Roman"/>
                      <w:bCs/>
                      <w:szCs w:val="21"/>
                    </w:rPr>
                    <w:t>）</w:t>
                  </w:r>
                </w:p>
              </w:tc>
              <w:tc>
                <w:tcPr>
                  <w:tcW w:w="1484"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rPr>
                    <w:t>辨识结果</w:t>
                  </w:r>
                  <w:r>
                    <w:rPr>
                      <w:rFonts w:hint="default" w:ascii="Times New Roman" w:hAnsi="Times New Roman" w:cs="Times New Roman"/>
                      <w:bCs/>
                      <w:szCs w:val="21"/>
                      <w:lang w:val="en-US" w:eastAsia="zh-CN"/>
                    </w:rPr>
                    <w:t>Q值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丙酮</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3.95</w:t>
                  </w: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0.000395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乙腈</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7.857</w:t>
                  </w: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0.000350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乙酸铵</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0.000117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冰乙酸</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2.625</w:t>
                  </w: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0.000263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无水乙醚</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1.788</w:t>
                  </w: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0.000179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95%乙醇</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500000</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0.000008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无水乙醇</w:t>
                  </w:r>
                </w:p>
              </w:tc>
              <w:tc>
                <w:tcPr>
                  <w:tcW w:w="1597" w:type="dxa"/>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500000</w:t>
                  </w:r>
                </w:p>
              </w:tc>
              <w:tc>
                <w:tcPr>
                  <w:tcW w:w="145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7.893</w:t>
                  </w:r>
                </w:p>
              </w:tc>
              <w:tc>
                <w:tcPr>
                  <w:tcW w:w="14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0.000008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15.94</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0.001063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正己烷</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石油醚</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0.000330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0.000210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异丙酮</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氯仿</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2.96</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0.000592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异辛烷</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1.418</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0.000284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环已烷</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0.000158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三乙醇胺</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乙酸酐</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三氯乙酸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六号溶剂</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三氯甲烷</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一氯二溴甲烷</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二氯一溴甲烷</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三溴甲烷</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丙烯酰胺</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邻苯二甲酸二酯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六氯丁二烯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丙烯醛</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三氯乙醛</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二氯乙酸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三氯乙酸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盐酸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0.000387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硝酸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8.245</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0.000550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硫酸</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4.576</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19.795</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0.000935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甲醛</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0.003262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氨水</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2.275</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0.000228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敌敌畏</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0.0100</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呋喃丹</w:t>
                  </w:r>
                </w:p>
              </w:tc>
              <w:tc>
                <w:tcPr>
                  <w:tcW w:w="1597"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瓶装</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452"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0.0100</w:t>
                  </w:r>
                </w:p>
              </w:tc>
              <w:tc>
                <w:tcPr>
                  <w:tcW w:w="1484"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520" w:type="dxa"/>
                  <w:gridSpan w:val="6"/>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E</w:t>
                  </w:r>
                  <w:r>
                    <w:rPr>
                      <w:rFonts w:hint="default" w:ascii="Times New Roman" w:hAnsi="Times New Roman" w:cs="Times New Roman"/>
                      <w:szCs w:val="21"/>
                      <w:vertAlign w:val="subscript"/>
                    </w:rPr>
                    <w:t>q</w:t>
                  </w:r>
                  <w:r>
                    <w:rPr>
                      <w:rFonts w:hint="default" w:ascii="Times New Roman" w:hAnsi="Times New Roman" w:cs="Times New Roman"/>
                      <w:szCs w:val="21"/>
                    </w:rPr>
                    <w:t>=</w:t>
                  </w:r>
                  <w:r>
                    <w:rPr>
                      <w:rFonts w:hint="eastAsia" w:ascii="Times New Roman" w:hAnsi="Times New Roman" w:cs="Times New Roman"/>
                      <w:szCs w:val="21"/>
                      <w:lang w:val="en-US" w:eastAsia="zh-CN"/>
                    </w:rPr>
                    <w:t>0.01</w:t>
                  </w:r>
                  <w:r>
                    <w:rPr>
                      <w:rFonts w:hint="eastAsia" w:cs="Times New Roman"/>
                      <w:szCs w:val="21"/>
                      <w:lang w:val="en-US" w:eastAsia="zh-CN"/>
                    </w:rPr>
                    <w:t>05</w:t>
                  </w:r>
                  <w:r>
                    <w:rPr>
                      <w:rFonts w:hint="default" w:ascii="Times New Roman" w:hAnsi="Times New Roman" w:cs="Times New Roman"/>
                      <w:szCs w:val="21"/>
                    </w:rPr>
                    <w:t>＜1</w:t>
                  </w:r>
                </w:p>
              </w:tc>
            </w:tr>
          </w:tbl>
          <w:p>
            <w:pPr>
              <w:keepNext w:val="0"/>
              <w:keepLines w:val="0"/>
              <w:suppressLineNumbers w:val="0"/>
              <w:adjustRightInd w:val="0"/>
              <w:snapToGrid w:val="0"/>
              <w:spacing w:before="0" w:beforeAutospacing="0" w:after="0" w:afterAutospacing="0" w:line="520" w:lineRule="exact"/>
              <w:ind w:left="0" w:right="0" w:firstLine="480" w:firstLineChars="200"/>
              <w:rPr>
                <w:bCs/>
                <w:color w:val="FF0000"/>
                <w:sz w:val="24"/>
              </w:rPr>
            </w:pPr>
            <w:r>
              <w:rPr>
                <w:sz w:val="24"/>
              </w:rPr>
              <w:t>根据建设单位提供资料可知,项目各类化学物质采购过程遵循频进货、少存储的原则，项目内整体贮存量较低；项目运营过程中不涉及重大危险性实验项目，按照相关分类标准，项目实验室定义为普通洁净实验室。由表</w:t>
            </w:r>
            <w:r>
              <w:rPr>
                <w:rFonts w:hint="eastAsia"/>
                <w:sz w:val="24"/>
              </w:rPr>
              <w:t>4-2</w:t>
            </w:r>
            <w:r>
              <w:rPr>
                <w:rFonts w:hint="eastAsia"/>
                <w:sz w:val="24"/>
                <w:lang w:val="en-US" w:eastAsia="zh-CN"/>
              </w:rPr>
              <w:t>7</w:t>
            </w:r>
            <w:r>
              <w:rPr>
                <w:sz w:val="24"/>
              </w:rPr>
              <w:t>辨识结果可知，项目Eq值为</w:t>
            </w:r>
            <w:r>
              <w:rPr>
                <w:rFonts w:hint="eastAsia"/>
                <w:sz w:val="24"/>
                <w:lang w:val="en-US" w:eastAsia="zh-CN"/>
              </w:rPr>
              <w:t>0.0105</w:t>
            </w:r>
            <w:r>
              <w:rPr>
                <w:sz w:val="24"/>
              </w:rPr>
              <w:t>＜1，项目未构成重大风险源。根据《建设项目环境风险评价技术导则》(HJ169-2018)，本项目环境风险潜势属I，故根据《建设项目环境风险评价技术导则》(HJ169-2018)中表1评价工作等级划分，本项目评价工作等级为简单分析。</w:t>
            </w:r>
          </w:p>
          <w:p>
            <w:pPr>
              <w:keepNext w:val="0"/>
              <w:keepLines w:val="0"/>
              <w:suppressLineNumbers w:val="0"/>
              <w:adjustRightInd w:val="0"/>
              <w:snapToGrid w:val="0"/>
              <w:spacing w:before="0" w:beforeAutospacing="0" w:after="0" w:afterAutospacing="0" w:line="520" w:lineRule="exact"/>
              <w:ind w:left="0" w:right="0" w:firstLine="480" w:firstLineChars="200"/>
              <w:rPr>
                <w:bCs/>
                <w:sz w:val="24"/>
              </w:rPr>
            </w:pPr>
            <w:r>
              <w:rPr>
                <w:bCs/>
                <w:sz w:val="24"/>
              </w:rPr>
              <w:t>②生物安全性识别</w:t>
            </w:r>
          </w:p>
          <w:p>
            <w:pPr>
              <w:keepNext w:val="0"/>
              <w:keepLines w:val="0"/>
              <w:suppressLineNumbers w:val="0"/>
              <w:adjustRightInd w:val="0"/>
              <w:snapToGrid w:val="0"/>
              <w:spacing w:before="0" w:beforeAutospacing="0" w:after="0" w:afterAutospacing="0" w:line="520" w:lineRule="exact"/>
              <w:ind w:left="0" w:right="0" w:firstLine="480" w:firstLineChars="200"/>
              <w:rPr>
                <w:bCs/>
                <w:color w:val="FF0000"/>
                <w:sz w:val="24"/>
              </w:rPr>
            </w:pPr>
            <w:r>
              <w:rPr>
                <w:sz w:val="24"/>
              </w:rPr>
              <w:t>本项目</w:t>
            </w:r>
            <w:r>
              <w:rPr>
                <w:rFonts w:hint="eastAsia"/>
                <w:sz w:val="24"/>
                <w:lang w:val="en-US" w:eastAsia="zh-CN"/>
              </w:rPr>
              <w:t>所建微生物</w:t>
            </w:r>
            <w:r>
              <w:rPr>
                <w:sz w:val="24"/>
              </w:rPr>
              <w:t>实验室为一级生物安全防护实验室。按照《病原微生物实验室生物安全管理条例》第二十一条“一级、二级实验室不得从事高致病性病原微生物实验活动”。本项目不涉及高致病性病原微生物，不涉及病毒，生物安全风险较低。虽然一级、二级生物安全实验室涉及的微生物是有限群体危害，但若生物安全设备、操作流程或应急程序措施不完善依然存在对实验室人员和周边环境的影响。本报告将对项目的生物安全防护设备及个体防护、实验室设计与建造、管理制度、有关生物安全的污染控制措施等进行分析，并提出确保环境安全的措施和建议，以最大程度减少微生物实验活动对周围环境的影响。</w:t>
            </w:r>
          </w:p>
          <w:p>
            <w:pPr>
              <w:keepNext w:val="0"/>
              <w:keepLines w:val="0"/>
              <w:suppressLineNumbers w:val="0"/>
              <w:adjustRightInd w:val="0"/>
              <w:snapToGrid w:val="0"/>
              <w:spacing w:before="0" w:beforeAutospacing="0" w:after="0" w:afterAutospacing="0" w:line="520" w:lineRule="exact"/>
              <w:ind w:left="0" w:right="0" w:firstLine="480" w:firstLineChars="200"/>
              <w:rPr>
                <w:bCs/>
                <w:sz w:val="24"/>
              </w:rPr>
            </w:pPr>
            <w:r>
              <w:rPr>
                <w:bCs/>
                <w:sz w:val="24"/>
              </w:rPr>
              <w:t>（二）项目潜在危险性识别</w:t>
            </w:r>
          </w:p>
          <w:p>
            <w:pPr>
              <w:keepNext w:val="0"/>
              <w:keepLines w:val="0"/>
              <w:suppressLineNumbers w:val="0"/>
              <w:adjustRightInd w:val="0"/>
              <w:snapToGrid w:val="0"/>
              <w:spacing w:before="0" w:beforeAutospacing="0" w:after="0" w:afterAutospacing="0" w:line="520" w:lineRule="exact"/>
              <w:ind w:left="0" w:right="0" w:firstLine="480" w:firstLineChars="200"/>
              <w:rPr>
                <w:bCs/>
                <w:sz w:val="24"/>
              </w:rPr>
            </w:pPr>
            <w:r>
              <w:rPr>
                <w:bCs/>
                <w:sz w:val="24"/>
              </w:rPr>
              <w:t>（1）化学物质危险性识别</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结合项目实际运行状况，类比国内同类项目，在项目运行过程中由于输送管网破损、人为搬运转移过程中发生的意外事故导致项目实验室设备清洗废水及</w:t>
            </w:r>
            <w:r>
              <w:rPr>
                <w:rFonts w:hint="eastAsia"/>
                <w:sz w:val="24"/>
              </w:rPr>
              <w:t>实验废液</w:t>
            </w:r>
            <w:r>
              <w:rPr>
                <w:sz w:val="24"/>
              </w:rPr>
              <w:t>等液态危险固废发生泄漏事故，在项目运行过程中必须采取相应的风险防范措施；项目使用的相关化学品具有一定的毒性、且部分化学品为易燃物品，在化学品使用过程中可能造成中毒、火灾爆炸事故等环境风险事故发生，在项目运行过程中必须做好实验人员的个人防护工作，并严格按照防火设计规范要求做好项目内防火防灾措施。</w:t>
            </w:r>
          </w:p>
          <w:p>
            <w:pPr>
              <w:keepNext w:val="0"/>
              <w:keepLines w:val="0"/>
              <w:suppressLineNumbers w:val="0"/>
              <w:adjustRightInd w:val="0"/>
              <w:snapToGrid w:val="0"/>
              <w:spacing w:before="0" w:beforeAutospacing="0" w:after="0" w:afterAutospacing="0" w:line="520" w:lineRule="exact"/>
              <w:ind w:left="0" w:right="0" w:firstLine="480" w:firstLineChars="200"/>
              <w:rPr>
                <w:bCs/>
                <w:sz w:val="24"/>
              </w:rPr>
            </w:pPr>
            <w:r>
              <w:rPr>
                <w:bCs/>
                <w:sz w:val="24"/>
              </w:rPr>
              <w:t>（2）生物危险性识别</w:t>
            </w:r>
          </w:p>
          <w:p>
            <w:pPr>
              <w:keepNext w:val="0"/>
              <w:keepLines w:val="0"/>
              <w:suppressLineNumbers w:val="0"/>
              <w:adjustRightInd w:val="0"/>
              <w:snapToGrid w:val="0"/>
              <w:spacing w:before="0" w:beforeAutospacing="0" w:after="0" w:afterAutospacing="0" w:line="520" w:lineRule="exact"/>
              <w:ind w:left="0" w:right="0" w:firstLine="480" w:firstLineChars="200"/>
              <w:rPr>
                <w:sz w:val="24"/>
              </w:rPr>
            </w:pPr>
            <w:r>
              <w:rPr>
                <w:sz w:val="24"/>
              </w:rPr>
              <w:t>病原微生物或生物活性物质一旦释放进入环境，可导致实验人员感染，事故影响方式可以概况为事故性感染及气溶胶感染。从影响途径来看，致病微生物或其携带者通过直接接触或以气溶胶形式通过空气传播而对吸入者造成感染。从影响范围来看，轻则限于实验室范围内，重则造成大范围感染。从风险环节来看，安全隐患存在于病原微生物或其携带者的储存、运输、使用甚至废气排放、固废处置的全过程。因此，采取有效的隔离、防护、灭活措施、实施全过程安全监管是防范生物安全事故的必要措施。</w:t>
            </w:r>
          </w:p>
          <w:p>
            <w:pPr>
              <w:keepNext w:val="0"/>
              <w:keepLines w:val="0"/>
              <w:suppressLineNumbers w:val="0"/>
              <w:autoSpaceDE w:val="0"/>
              <w:autoSpaceDN w:val="0"/>
              <w:adjustRightInd w:val="0"/>
              <w:spacing w:before="0" w:beforeAutospacing="0" w:after="0" w:afterAutospacing="0" w:line="520" w:lineRule="exact"/>
              <w:ind w:left="0" w:right="0" w:firstLine="480" w:firstLineChars="200"/>
              <w:jc w:val="left"/>
              <w:rPr>
                <w:bCs/>
                <w:sz w:val="24"/>
              </w:rPr>
            </w:pPr>
            <w:r>
              <w:rPr>
                <w:bCs/>
                <w:sz w:val="24"/>
              </w:rPr>
              <w:t>（三）风险防范措施</w:t>
            </w:r>
          </w:p>
          <w:p>
            <w:pPr>
              <w:keepNext w:val="0"/>
              <w:keepLines w:val="0"/>
              <w:suppressLineNumbers w:val="0"/>
              <w:autoSpaceDE w:val="0"/>
              <w:autoSpaceDN w:val="0"/>
              <w:adjustRightInd w:val="0"/>
              <w:spacing w:before="0" w:beforeAutospacing="0" w:after="0" w:afterAutospacing="0" w:line="520" w:lineRule="exact"/>
              <w:ind w:left="0" w:right="0" w:firstLine="480" w:firstLineChars="200"/>
              <w:jc w:val="left"/>
              <w:rPr>
                <w:bCs/>
                <w:sz w:val="24"/>
              </w:rPr>
            </w:pPr>
            <w:r>
              <w:rPr>
                <w:sz w:val="24"/>
              </w:rPr>
              <w:t>针对本项目可能产生的事故性排放的污染因素，建设单位可采取的以下应急和防范对策：</w:t>
            </w:r>
          </w:p>
          <w:p>
            <w:pPr>
              <w:keepNext w:val="0"/>
              <w:keepLines w:val="0"/>
              <w:suppressLineNumbers w:val="0"/>
              <w:autoSpaceDE w:val="0"/>
              <w:autoSpaceDN w:val="0"/>
              <w:adjustRightInd w:val="0"/>
              <w:spacing w:before="0" w:beforeAutospacing="0" w:after="0" w:afterAutospacing="0" w:line="520" w:lineRule="exact"/>
              <w:ind w:left="0" w:right="0" w:firstLine="480" w:firstLineChars="200"/>
              <w:jc w:val="left"/>
              <w:rPr>
                <w:bCs/>
                <w:color w:val="auto"/>
                <w:sz w:val="24"/>
              </w:rPr>
            </w:pPr>
            <w:r>
              <w:rPr>
                <w:sz w:val="24"/>
              </w:rPr>
              <w:t>（1）严格按照相关环保工程要求，切实做好项目区域废水收集、贮存措施，并安排人员做好废水收集贮存设施日常运营维护保养工作，及时排除设施可能存在的风险隐患；在进行废水处理过程中，应切实做好各项防泄漏措施，确保废水安全进入污水处理站内进行达标处理排放</w:t>
            </w:r>
            <w:r>
              <w:rPr>
                <w:rFonts w:hint="eastAsia"/>
                <w:sz w:val="24"/>
              </w:rPr>
              <w:t>；</w:t>
            </w:r>
            <w:r>
              <w:rPr>
                <w:rFonts w:hint="eastAsia"/>
                <w:color w:val="auto"/>
                <w:sz w:val="24"/>
                <w:lang w:val="en-US" w:eastAsia="zh-CN"/>
              </w:rPr>
              <w:t>按《医院污水处理工程技术规范》（HJ2029 -2013）要求设置事故池，以贮存处理系统事故或其它突发事件时医疗污水。事故池有效容积不低于日废水处理量，本项目废水日处理水量为6.47m</w:t>
            </w:r>
            <w:r>
              <w:rPr>
                <w:rFonts w:hint="eastAsia"/>
                <w:color w:val="auto"/>
                <w:sz w:val="24"/>
                <w:vertAlign w:val="superscript"/>
                <w:lang w:val="en-US" w:eastAsia="zh-CN"/>
              </w:rPr>
              <w:t>3</w:t>
            </w:r>
            <w:r>
              <w:rPr>
                <w:rFonts w:hint="eastAsia"/>
                <w:color w:val="auto"/>
                <w:sz w:val="24"/>
                <w:lang w:val="en-US" w:eastAsia="zh-CN"/>
              </w:rPr>
              <w:t>，则事故池大小约为8m</w:t>
            </w:r>
            <w:r>
              <w:rPr>
                <w:rFonts w:hint="eastAsia"/>
                <w:color w:val="auto"/>
                <w:sz w:val="24"/>
                <w:vertAlign w:val="superscript"/>
                <w:lang w:val="en-US" w:eastAsia="zh-CN"/>
              </w:rPr>
              <w:t>3</w:t>
            </w:r>
            <w:r>
              <w:rPr>
                <w:rFonts w:hint="eastAsia"/>
                <w:color w:val="auto"/>
                <w:sz w:val="24"/>
                <w:lang w:val="en-US" w:eastAsia="zh-CN"/>
              </w:rPr>
              <w:t>，建议事故池和调节池合建。</w:t>
            </w:r>
          </w:p>
          <w:p>
            <w:pPr>
              <w:keepNext w:val="0"/>
              <w:keepLines w:val="0"/>
              <w:suppressLineNumbers w:val="0"/>
              <w:autoSpaceDE w:val="0"/>
              <w:autoSpaceDN w:val="0"/>
              <w:adjustRightInd w:val="0"/>
              <w:spacing w:before="0" w:beforeAutospacing="0" w:after="0" w:afterAutospacing="0" w:line="520" w:lineRule="exact"/>
              <w:ind w:left="0" w:right="0" w:firstLine="480" w:firstLineChars="200"/>
              <w:jc w:val="left"/>
              <w:rPr>
                <w:sz w:val="24"/>
              </w:rPr>
            </w:pPr>
            <w:r>
              <w:rPr>
                <w:rFonts w:hint="eastAsia"/>
                <w:sz w:val="24"/>
              </w:rPr>
              <w:t>（2）废气治理设施及时更换活性炭，避免因活性炭吸附饱和造成废气超标排放。</w:t>
            </w:r>
          </w:p>
          <w:p>
            <w:pPr>
              <w:keepNext w:val="0"/>
              <w:keepLines w:val="0"/>
              <w:suppressLineNumbers w:val="0"/>
              <w:autoSpaceDE w:val="0"/>
              <w:autoSpaceDN w:val="0"/>
              <w:adjustRightInd w:val="0"/>
              <w:spacing w:before="0" w:beforeAutospacing="0" w:after="0" w:afterAutospacing="0" w:line="520" w:lineRule="exact"/>
              <w:ind w:left="0" w:right="0" w:firstLine="480" w:firstLineChars="200"/>
              <w:jc w:val="left"/>
              <w:rPr>
                <w:sz w:val="24"/>
              </w:rPr>
            </w:pPr>
            <w:r>
              <w:rPr>
                <w:sz w:val="24"/>
              </w:rPr>
              <w:t>（</w:t>
            </w:r>
            <w:r>
              <w:rPr>
                <w:rFonts w:hint="eastAsia"/>
                <w:sz w:val="24"/>
              </w:rPr>
              <w:t>3</w:t>
            </w:r>
            <w:r>
              <w:rPr>
                <w:sz w:val="24"/>
              </w:rPr>
              <w:t>）项目应当按照环保要求设置专门的危险废物收集暂存区，危废暂存区应当按要求做好防腐防渗措施，并配套设置泄露物质收集设施。</w:t>
            </w:r>
          </w:p>
          <w:p>
            <w:pPr>
              <w:keepNext w:val="0"/>
              <w:keepLines w:val="0"/>
              <w:suppressLineNumbers w:val="0"/>
              <w:spacing w:before="0" w:beforeAutospacing="0" w:after="0" w:afterAutospacing="0" w:line="520" w:lineRule="exact"/>
              <w:ind w:left="0" w:right="0" w:firstLine="480" w:firstLineChars="200"/>
              <w:rPr>
                <w:color w:val="FF0000"/>
                <w:sz w:val="24"/>
              </w:rPr>
            </w:pPr>
            <w:r>
              <w:rPr>
                <w:sz w:val="24"/>
              </w:rPr>
              <w:t>（</w:t>
            </w:r>
            <w:r>
              <w:rPr>
                <w:rFonts w:hint="eastAsia"/>
                <w:sz w:val="24"/>
              </w:rPr>
              <w:t>4</w:t>
            </w:r>
            <w:r>
              <w:rPr>
                <w:sz w:val="24"/>
              </w:rPr>
              <w:t>）项目运营过程中合理安排项目实验进度，根据实验进度进行实验试剂的采购，尽可能降低各类化学物质在项目内的贮存量。各类化学试剂应当安排专人管理，存放区域应当按照化学品仓储区相关要求做好防腐防渗、防火等措施，并按要求配套灭火器、收集容器等应急处置设施。</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w:t>
            </w:r>
            <w:r>
              <w:rPr>
                <w:rFonts w:hint="eastAsia"/>
                <w:sz w:val="24"/>
              </w:rPr>
              <w:t>5</w:t>
            </w:r>
            <w:r>
              <w:rPr>
                <w:sz w:val="24"/>
              </w:rPr>
              <w:t>）项目实验区域按照要求使用防火隔板进行了隔断处理，并在各个实验区域内设置了消火栓、灭火器等消防设施。建设单位应当安排工程人员做好项目内配套消防设备设施的日常巡查工作，确保其处在安全可用状态下。</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w:t>
            </w:r>
            <w:r>
              <w:rPr>
                <w:rFonts w:hint="eastAsia"/>
                <w:sz w:val="24"/>
              </w:rPr>
              <w:t>6</w:t>
            </w:r>
            <w:r>
              <w:rPr>
                <w:sz w:val="24"/>
              </w:rPr>
              <w:t>）由于项目涉及到部分有毒、易燃性化学品使用，建设单位应当严格按照实验操作要求，配套完善的个人防护器械，积极做好实验区域通风条件，避免人员中毒事件发生。实验区域配备应急要求，确保出现人员受伤、中毒等事件时在第一时间得到妥善救治。</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w:t>
            </w:r>
            <w:r>
              <w:rPr>
                <w:rFonts w:hint="eastAsia"/>
                <w:sz w:val="24"/>
              </w:rPr>
              <w:t>7</w:t>
            </w:r>
            <w:r>
              <w:rPr>
                <w:sz w:val="24"/>
              </w:rPr>
              <w:t>）项目应当制定完善的实验室管理制度，严格做好实验室各项管理工作，加强实验人员风险意识培养，实验区域严禁出现明火或易产生火花类物质。</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w:t>
            </w:r>
            <w:r>
              <w:rPr>
                <w:rFonts w:hint="eastAsia"/>
                <w:sz w:val="24"/>
              </w:rPr>
              <w:t>8</w:t>
            </w:r>
            <w:r>
              <w:rPr>
                <w:sz w:val="24"/>
              </w:rPr>
              <w:t>）生物安全风险防范措施如下</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1)操作员工在进行操作活动时，所有的操作环节必须佩戴一次性无菌乳胶手套，操作完成后收集于灭菌袋中灭菌。</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2)取样检测分析完毕后，必须将样本及接触到样本的耗材收集于灭菌袋中灭菌处理，必须将所有接触到样本的玻璃器皿放入灭菌锅中灭菌处理。</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3)装桶及取样过程中如遇到</w:t>
            </w:r>
            <w:r>
              <w:rPr>
                <w:rFonts w:hint="eastAsia"/>
                <w:sz w:val="24"/>
                <w:lang w:val="en-US" w:eastAsia="zh-CN"/>
              </w:rPr>
              <w:t>废液</w:t>
            </w:r>
            <w:r>
              <w:rPr>
                <w:sz w:val="24"/>
              </w:rPr>
              <w:t>外泄，先用纱布擦拭污染位置后喷洒5%氢氧化钠溶液，6小时后再用清水清洁，纱布收集于灭菌袋中灭菌。</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4)车间不得有食物，饮料及存在(手—口)接触可能的其他物质。</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5)每周生产完毕后，必须用3%双氧水及0.2%新洁尔灭对车间进行消毒。</w:t>
            </w:r>
          </w:p>
          <w:p>
            <w:pPr>
              <w:keepNext w:val="0"/>
              <w:keepLines w:val="0"/>
              <w:suppressLineNumbers w:val="0"/>
              <w:spacing w:before="0" w:beforeAutospacing="0" w:after="0" w:afterAutospacing="0" w:line="520" w:lineRule="exact"/>
              <w:ind w:left="0" w:right="0" w:firstLine="480" w:firstLineChars="200"/>
              <w:jc w:val="left"/>
              <w:rPr>
                <w:sz w:val="24"/>
              </w:rPr>
            </w:pPr>
            <w:r>
              <w:rPr>
                <w:sz w:val="24"/>
              </w:rPr>
              <w:t>6)实验室内所有接触到样本的废弃物(手套、纸巾、枪头，吸管等)都收集于专用灭菌袋中，高压蒸汽灭菌条件为121°C/30分钟，灭菌条件可有效灭杀</w:t>
            </w:r>
            <w:r>
              <w:rPr>
                <w:rFonts w:hint="eastAsia"/>
                <w:sz w:val="24"/>
                <w:lang w:val="en-US" w:eastAsia="zh-CN"/>
              </w:rPr>
              <w:t>部分细菌</w:t>
            </w:r>
            <w:r>
              <w:rPr>
                <w:sz w:val="24"/>
              </w:rPr>
              <w:t>，每次灭菌时必须粘贴进口灭菌指示纸，依据指示纸的显色情况保证灭菌效果。</w:t>
            </w:r>
          </w:p>
          <w:p>
            <w:pPr>
              <w:keepNext w:val="0"/>
              <w:keepLines w:val="0"/>
              <w:suppressLineNumbers w:val="0"/>
              <w:spacing w:before="0" w:beforeAutospacing="0" w:after="0" w:afterAutospacing="0" w:line="500" w:lineRule="exact"/>
              <w:ind w:left="0" w:right="0" w:firstLine="480" w:firstLineChars="200"/>
              <w:jc w:val="left"/>
              <w:rPr>
                <w:bCs/>
                <w:sz w:val="24"/>
              </w:rPr>
            </w:pPr>
            <w:r>
              <w:rPr>
                <w:bCs/>
                <w:sz w:val="24"/>
              </w:rPr>
              <w:t>（四）风险评价结论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default" w:ascii="Times New Roman" w:hAnsi="Times New Roman" w:eastAsia="宋体" w:cs="Times New Roman"/>
                <w:b w:val="0"/>
                <w:bCs w:val="0"/>
                <w:color w:val="auto"/>
                <w:sz w:val="24"/>
                <w:szCs w:val="32"/>
                <w:u w:val="none"/>
                <w:lang w:val="en-US" w:eastAsia="zh-CN"/>
              </w:rPr>
            </w:pPr>
            <w:r>
              <w:rPr>
                <w:sz w:val="24"/>
              </w:rPr>
              <w:t>项目实验室运营过程中的风险事故并不突出，通过采用严格、完善的管理手段可大大减少事故的可能性，能够最大限度地减少可能发生地环境风险。在认真贯彻“安全第一、预防为主”的方针，并合理采用预防和应急风险发生的措施的前提下，本项目的环境风险是可接受的。</w:t>
            </w:r>
          </w:p>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firstLineChars="200"/>
              <w:textAlignment w:val="auto"/>
              <w:rPr>
                <w:rFonts w:hint="default" w:ascii="Times New Roman" w:hAnsi="Times New Roman" w:eastAsia="宋体" w:cs="Times New Roman"/>
                <w:b/>
                <w:sz w:val="24"/>
                <w:lang w:val="en-US" w:eastAsia="zh-CN"/>
              </w:rPr>
            </w:pPr>
            <w:r>
              <w:rPr>
                <w:rFonts w:hint="default" w:ascii="Times New Roman" w:hAnsi="Times New Roman" w:eastAsia="宋体" w:cs="Times New Roman"/>
                <w:b/>
                <w:sz w:val="24"/>
                <w:lang w:val="en-US" w:eastAsia="zh-CN"/>
              </w:rPr>
              <w:t>8、电磁辐射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32"/>
                <w:u w:val="none"/>
                <w:lang w:val="en-US" w:eastAsia="zh-CN"/>
              </w:rPr>
              <w:t>本项目不涉及电磁辐射影响。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default" w:ascii="Times New Roman" w:hAnsi="Times New Roman" w:eastAsia="宋体"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outlineLvl w:val="9"/>
              <w:rPr>
                <w:rFonts w:hint="eastAsia" w:cs="Times New Roman"/>
                <w:b w:val="0"/>
                <w:bCs w:val="0"/>
                <w:color w:val="auto"/>
                <w:sz w:val="24"/>
                <w:szCs w:val="24"/>
                <w:u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outlineLvl w:val="9"/>
              <w:rPr>
                <w:rFonts w:hint="eastAsia" w:cs="Times New Roman"/>
                <w:b w:val="0"/>
                <w:bCs w:val="0"/>
                <w:color w:val="auto"/>
                <w:sz w:val="24"/>
                <w:szCs w:val="24"/>
                <w:u w:val="none"/>
                <w:lang w:val="en-US" w:eastAsia="zh-CN"/>
              </w:rPr>
            </w:pP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spacing w:val="-10"/>
                <w:kern w:val="2"/>
                <w:sz w:val="21"/>
                <w:szCs w:val="21"/>
                <w:lang w:val="en-US" w:eastAsia="zh-CN" w:bidi="ar-SA"/>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3" w:name="_Hlk54167917"/>
      <w:r>
        <w:rPr>
          <w:rFonts w:hint="default" w:ascii="Times New Roman" w:hAnsi="Times New Roman" w:eastAsia="黑体" w:cs="Times New Roman"/>
          <w:snapToGrid w:val="0"/>
          <w:color w:val="auto"/>
          <w:sz w:val="30"/>
          <w:szCs w:val="30"/>
        </w:rPr>
        <w:t>环境保护措施监督检查清单</w:t>
      </w:r>
      <w:bookmarkEnd w:id="3"/>
    </w:p>
    <w:tbl>
      <w:tblPr>
        <w:tblStyle w:val="30"/>
        <w:tblW w:w="90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600"/>
        <w:gridCol w:w="1200"/>
        <w:gridCol w:w="1257"/>
        <w:gridCol w:w="2580"/>
        <w:gridCol w:w="23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066" w:type="dxa"/>
            <w:tcBorders>
              <w:tl2br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val="0"/>
                <w:snapToGrid w:val="0"/>
                <w:spacing w:val="0"/>
                <w:sz w:val="21"/>
                <w:szCs w:val="21"/>
                <w:u w:val="none"/>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要素</w:t>
            </w:r>
          </w:p>
        </w:tc>
        <w:tc>
          <w:tcPr>
            <w:tcW w:w="180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排放口(编号、名称)/污染源</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污染物项目</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环境保护措施</w:t>
            </w:r>
          </w:p>
        </w:tc>
        <w:tc>
          <w:tcPr>
            <w:tcW w:w="23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5" w:hRule="exact"/>
          <w:jc w:val="center"/>
        </w:trPr>
        <w:tc>
          <w:tcPr>
            <w:tcW w:w="106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eastAsia="zh-CN"/>
              </w:rPr>
            </w:pPr>
            <w:r>
              <w:rPr>
                <w:rFonts w:hint="default" w:ascii="Times New Roman" w:hAnsi="Times New Roman" w:eastAsia="宋体" w:cs="Times New Roman"/>
                <w:b w:val="0"/>
                <w:bCs w:val="0"/>
                <w:snapToGrid w:val="0"/>
                <w:spacing w:val="0"/>
                <w:sz w:val="21"/>
                <w:szCs w:val="21"/>
                <w:u w:val="none"/>
              </w:rPr>
              <w:t>大气环境</w:t>
            </w:r>
          </w:p>
        </w:tc>
        <w:tc>
          <w:tcPr>
            <w:tcW w:w="6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val="0"/>
                <w:snapToGrid w:val="0"/>
                <w:spacing w:val="0"/>
                <w:sz w:val="21"/>
                <w:szCs w:val="21"/>
                <w:u w:val="none"/>
                <w:lang w:eastAsia="zh-CN"/>
              </w:rPr>
              <w:t>有组织</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cs="Times New Roman"/>
                <w:b w:val="0"/>
                <w:bCs/>
                <w:sz w:val="21"/>
                <w:szCs w:val="21"/>
                <w:u w:val="none"/>
                <w:lang w:val="en-US" w:eastAsia="zh-CN"/>
              </w:rPr>
            </w:pPr>
            <w:r>
              <w:rPr>
                <w:rFonts w:hint="eastAsia" w:cs="Times New Roman"/>
                <w:b w:val="0"/>
                <w:bCs/>
                <w:sz w:val="21"/>
                <w:szCs w:val="21"/>
                <w:u w:val="none"/>
                <w:lang w:val="en-US" w:eastAsia="zh-CN"/>
              </w:rPr>
              <w:t>理化实验室（DA001）</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eastAsia="zh-CN"/>
              </w:rPr>
            </w:pPr>
            <w:r>
              <w:rPr>
                <w:rFonts w:hint="default" w:ascii="Times New Roman" w:hAnsi="Times New Roman" w:eastAsia="宋体" w:cs="Times New Roman"/>
                <w:b w:val="0"/>
                <w:bCs w:val="0"/>
                <w:kern w:val="2"/>
                <w:sz w:val="21"/>
                <w:szCs w:val="21"/>
                <w:lang w:val="en-US" w:eastAsia="zh-CN" w:bidi="ar-SA"/>
              </w:rPr>
              <w:t>非甲烷总烃、HCl、NOx、硫酸雾、苯、甲苯、二甲苯、甲醇、甲醛、氨、苯乙烯</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szCs w:val="21"/>
                <w:lang w:val="en-US" w:eastAsia="zh-CN"/>
              </w:rPr>
              <w:t>通风橱+碱液喷淋</w:t>
            </w:r>
            <w:r>
              <w:rPr>
                <w:szCs w:val="21"/>
              </w:rPr>
              <w:t>+</w:t>
            </w:r>
            <w:r>
              <w:rPr>
                <w:rFonts w:hint="eastAsia"/>
                <w:szCs w:val="21"/>
              </w:rPr>
              <w:t>UV光氧催化</w:t>
            </w:r>
            <w:r>
              <w:rPr>
                <w:szCs w:val="21"/>
              </w:rPr>
              <w:t>+活性炭</w:t>
            </w:r>
          </w:p>
        </w:tc>
        <w:tc>
          <w:tcPr>
            <w:tcW w:w="23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szCs w:val="21"/>
                <w:lang w:val="en-US" w:eastAsia="zh-CN"/>
              </w:rPr>
            </w:pPr>
            <w:r>
              <w:rPr>
                <w:szCs w:val="21"/>
              </w:rPr>
              <w:t>《大气污染物综合排放标准》（GB1629-1996）表2标准、《关于全省开展工业企业挥发性有机物专项治理工作中排放建议值的通知》豫环攻坚办[2017]162号文</w:t>
            </w:r>
            <w:r>
              <w:rPr>
                <w:rFonts w:hint="eastAsia"/>
                <w:szCs w:val="21"/>
                <w:lang w:eastAsia="zh-CN"/>
              </w:rPr>
              <w:t>、《恶臭污染物排放标准》（GB14554-93）表2</w:t>
            </w:r>
            <w:r>
              <w:rPr>
                <w:rFonts w:hint="eastAsia"/>
                <w:szCs w:val="21"/>
                <w:lang w:val="en-US" w:eastAsia="zh-CN"/>
              </w:rPr>
              <w:t>标准要求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Times New Roman" w:hAnsi="Times New Roman" w:eastAsia="宋体" w:cs="Times New Roman"/>
                <w:b w:val="0"/>
                <w:bCs w:val="0"/>
                <w:snapToGrid w:val="0"/>
                <w:spacing w:val="0"/>
                <w:sz w:val="21"/>
                <w:szCs w:val="21"/>
                <w:u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5" w:hRule="exact"/>
          <w:jc w:val="center"/>
        </w:trPr>
        <w:tc>
          <w:tcPr>
            <w:tcW w:w="10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eastAsia="zh-CN"/>
              </w:rPr>
            </w:pPr>
          </w:p>
        </w:tc>
        <w:tc>
          <w:tcPr>
            <w:tcW w:w="6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val="0"/>
                <w:snapToGrid w:val="0"/>
                <w:spacing w:val="0"/>
                <w:sz w:val="21"/>
                <w:szCs w:val="21"/>
                <w:u w:val="none"/>
                <w:lang w:eastAsia="zh-CN"/>
              </w:rPr>
              <w:t>无组织</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cs="Times New Roman"/>
                <w:b w:val="0"/>
                <w:bCs/>
                <w:sz w:val="21"/>
                <w:szCs w:val="21"/>
                <w:u w:val="none"/>
                <w:lang w:val="en-US" w:eastAsia="zh-CN"/>
              </w:rPr>
            </w:pPr>
            <w:r>
              <w:rPr>
                <w:rFonts w:hint="eastAsia" w:cs="Times New Roman"/>
                <w:b w:val="0"/>
                <w:bCs/>
                <w:sz w:val="21"/>
                <w:szCs w:val="21"/>
                <w:u w:val="none"/>
                <w:lang w:val="en-US" w:eastAsia="zh-CN"/>
              </w:rPr>
              <w:t>厂界</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eastAsia="zh-CN"/>
              </w:rPr>
            </w:pPr>
            <w:r>
              <w:rPr>
                <w:rFonts w:hint="default" w:ascii="Times New Roman" w:hAnsi="Times New Roman" w:eastAsia="宋体" w:cs="Times New Roman"/>
                <w:b w:val="0"/>
                <w:bCs w:val="0"/>
                <w:kern w:val="2"/>
                <w:sz w:val="21"/>
                <w:szCs w:val="21"/>
                <w:lang w:val="en-US" w:eastAsia="zh-CN" w:bidi="ar-SA"/>
              </w:rPr>
              <w:t>非甲烷总烃、HCl、NOx、硫酸雾、苯、甲苯、二甲苯、甲醇、甲醛、氨、苯乙烯</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密闭实验室</w:t>
            </w:r>
          </w:p>
        </w:tc>
        <w:tc>
          <w:tcPr>
            <w:tcW w:w="23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10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eastAsia="zh-CN"/>
              </w:rPr>
            </w:pPr>
          </w:p>
        </w:tc>
        <w:tc>
          <w:tcPr>
            <w:tcW w:w="180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微生物实验室</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kern w:val="2"/>
                <w:sz w:val="21"/>
                <w:szCs w:val="21"/>
                <w:u w:val="none"/>
                <w:lang w:val="en-US" w:eastAsia="zh-CN" w:bidi="ar-SA"/>
              </w:rPr>
            </w:pPr>
            <w:r>
              <w:rPr>
                <w:rFonts w:hint="eastAsia"/>
                <w:szCs w:val="21"/>
              </w:rPr>
              <w:t>气溶胶</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kern w:val="2"/>
                <w:sz w:val="21"/>
                <w:szCs w:val="21"/>
                <w:u w:val="none"/>
                <w:lang w:val="en-US" w:eastAsia="zh-CN" w:bidi="ar-SA"/>
              </w:rPr>
            </w:pPr>
            <w:r>
              <w:rPr>
                <w:szCs w:val="21"/>
              </w:rPr>
              <w:t>经过</w:t>
            </w:r>
            <w:r>
              <w:rPr>
                <w:rFonts w:hint="eastAsia"/>
                <w:szCs w:val="21"/>
              </w:rPr>
              <w:t>生物安全柜</w:t>
            </w:r>
            <w:r>
              <w:rPr>
                <w:szCs w:val="21"/>
              </w:rPr>
              <w:t>内部</w:t>
            </w:r>
            <w:r>
              <w:rPr>
                <w:rFonts w:hint="eastAsia"/>
                <w:szCs w:val="21"/>
              </w:rPr>
              <w:t>“</w:t>
            </w:r>
            <w:r>
              <w:rPr>
                <w:szCs w:val="21"/>
              </w:rPr>
              <w:t>紫外光消毒+高效空气过滤器</w:t>
            </w:r>
            <w:r>
              <w:rPr>
                <w:rFonts w:hint="eastAsia"/>
                <w:szCs w:val="21"/>
              </w:rPr>
              <w:t>”</w:t>
            </w:r>
            <w:r>
              <w:rPr>
                <w:szCs w:val="21"/>
              </w:rPr>
              <w:t>过滤</w:t>
            </w:r>
            <w:r>
              <w:rPr>
                <w:rFonts w:hint="eastAsia"/>
                <w:szCs w:val="21"/>
              </w:rPr>
              <w:t>后，在实</w:t>
            </w:r>
            <w:r>
              <w:rPr>
                <w:szCs w:val="21"/>
              </w:rPr>
              <w:t>验室内循环</w:t>
            </w:r>
          </w:p>
        </w:tc>
        <w:tc>
          <w:tcPr>
            <w:tcW w:w="23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eastAsia" w:cs="Times New Roman"/>
                <w:b w:val="0"/>
                <w:bCs w:val="0"/>
                <w:snapToGrid w:val="0"/>
                <w:spacing w:val="0"/>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106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地表水环境</w:t>
            </w:r>
          </w:p>
        </w:tc>
        <w:tc>
          <w:tcPr>
            <w:tcW w:w="180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水洗废水</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喷淋塔废水</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szCs w:val="21"/>
              </w:rPr>
              <w:t>生活污水（COD、BOD</w:t>
            </w:r>
            <w:r>
              <w:rPr>
                <w:szCs w:val="21"/>
                <w:vertAlign w:val="subscript"/>
              </w:rPr>
              <w:t>5</w:t>
            </w:r>
            <w:r>
              <w:rPr>
                <w:szCs w:val="21"/>
              </w:rPr>
              <w:t>、SS、NH</w:t>
            </w:r>
            <w:r>
              <w:rPr>
                <w:szCs w:val="21"/>
                <w:vertAlign w:val="subscript"/>
              </w:rPr>
              <w:t>3</w:t>
            </w:r>
            <w:r>
              <w:rPr>
                <w:szCs w:val="21"/>
              </w:rPr>
              <w:t>-N、TP、TN）</w:t>
            </w:r>
          </w:p>
        </w:tc>
        <w:tc>
          <w:tcPr>
            <w:tcW w:w="258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szCs w:val="21"/>
              </w:rPr>
              <w:t>生活污水经化粪池处理、实验废水经污水处理站处理后与浓水一同经市政污水管网排入新乡</w:t>
            </w:r>
            <w:r>
              <w:rPr>
                <w:rFonts w:hint="eastAsia"/>
                <w:szCs w:val="21"/>
                <w:lang w:val="en-US" w:eastAsia="zh-CN"/>
              </w:rPr>
              <w:t>县综合污水处理厂</w:t>
            </w:r>
          </w:p>
        </w:tc>
        <w:tc>
          <w:tcPr>
            <w:tcW w:w="23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color w:val="000000"/>
                <w:szCs w:val="21"/>
                <w:lang w:eastAsia="zh-CN"/>
              </w:rPr>
              <w:t>新乡县综合污水处理厂</w:t>
            </w:r>
            <w:r>
              <w:rPr>
                <w:rFonts w:cs="Times New Roman"/>
                <w:color w:val="000000"/>
                <w:szCs w:val="21"/>
              </w:rPr>
              <w:t>收水标准</w:t>
            </w:r>
            <w:r>
              <w:rPr>
                <w:rFonts w:hint="eastAsia" w:cs="Times New Roman"/>
                <w:color w:val="000000"/>
                <w:szCs w:val="21"/>
              </w:rPr>
              <w:t>、</w:t>
            </w:r>
            <w:r>
              <w:rPr>
                <w:rFonts w:hint="eastAsia"/>
                <w:bCs/>
                <w:lang w:eastAsia="zh-CN"/>
              </w:rPr>
              <w:t>《污水排入城镇下水道水质标准》（GB/T31962-2015）表1</w:t>
            </w:r>
            <w:r>
              <w:rPr>
                <w:rFonts w:hint="eastAsia"/>
                <w:bCs/>
                <w:lang w:val="en-US" w:eastAsia="zh-CN"/>
              </w:rPr>
              <w:t xml:space="preserve"> </w:t>
            </w:r>
            <w:r>
              <w:rPr>
                <w:rFonts w:hint="eastAsia"/>
                <w:bCs/>
                <w:lang w:eastAsia="zh-CN"/>
              </w:rPr>
              <w:t>C级标准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p>
        </w:tc>
        <w:tc>
          <w:tcPr>
            <w:tcW w:w="180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szCs w:val="21"/>
              </w:rPr>
              <w:t>实验室废水（COD、BOD</w:t>
            </w:r>
            <w:r>
              <w:rPr>
                <w:szCs w:val="21"/>
                <w:vertAlign w:val="subscript"/>
              </w:rPr>
              <w:t>5</w:t>
            </w:r>
            <w:r>
              <w:rPr>
                <w:szCs w:val="21"/>
              </w:rPr>
              <w:t>、SS、NH</w:t>
            </w:r>
            <w:r>
              <w:rPr>
                <w:szCs w:val="21"/>
                <w:vertAlign w:val="subscript"/>
              </w:rPr>
              <w:t>3</w:t>
            </w:r>
            <w:r>
              <w:rPr>
                <w:szCs w:val="21"/>
              </w:rPr>
              <w:t>-N、TP、TN）</w:t>
            </w:r>
          </w:p>
        </w:tc>
        <w:tc>
          <w:tcPr>
            <w:tcW w:w="258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000000"/>
                <w:sz w:val="21"/>
                <w:szCs w:val="21"/>
              </w:rPr>
            </w:pPr>
          </w:p>
        </w:tc>
        <w:tc>
          <w:tcPr>
            <w:tcW w:w="23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p>
        </w:tc>
        <w:tc>
          <w:tcPr>
            <w:tcW w:w="180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kern w:val="2"/>
                <w:sz w:val="21"/>
                <w:szCs w:val="21"/>
                <w:lang w:val="en-US" w:eastAsia="zh-CN" w:bidi="ar-SA"/>
              </w:rPr>
            </w:pPr>
            <w:r>
              <w:rPr>
                <w:szCs w:val="21"/>
              </w:rPr>
              <w:t>浓水（COD、SS、NH</w:t>
            </w:r>
            <w:r>
              <w:rPr>
                <w:szCs w:val="21"/>
                <w:vertAlign w:val="subscript"/>
              </w:rPr>
              <w:t>3</w:t>
            </w:r>
            <w:r>
              <w:rPr>
                <w:szCs w:val="21"/>
              </w:rPr>
              <w:t>-N、TP、TN）</w:t>
            </w:r>
          </w:p>
        </w:tc>
        <w:tc>
          <w:tcPr>
            <w:tcW w:w="258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000000"/>
                <w:sz w:val="21"/>
                <w:szCs w:val="21"/>
              </w:rPr>
            </w:pPr>
          </w:p>
        </w:tc>
        <w:tc>
          <w:tcPr>
            <w:tcW w:w="23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0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声环境</w:t>
            </w:r>
          </w:p>
        </w:tc>
        <w:tc>
          <w:tcPr>
            <w:tcW w:w="180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color w:val="000000"/>
                <w:spacing w:val="0"/>
                <w:sz w:val="21"/>
                <w:szCs w:val="21"/>
                <w:u w:val="none"/>
                <w:lang w:eastAsia="zh-CN"/>
              </w:rPr>
              <w:t>生产过程</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color w:val="000000"/>
                <w:spacing w:val="0"/>
                <w:sz w:val="21"/>
                <w:szCs w:val="21"/>
                <w:u w:val="none"/>
              </w:rPr>
              <w:t>噪声</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color w:val="000000"/>
                <w:spacing w:val="0"/>
                <w:sz w:val="21"/>
                <w:szCs w:val="21"/>
                <w:u w:val="none"/>
                <w:lang w:eastAsia="zh-CN"/>
              </w:rPr>
              <w:t>基础</w:t>
            </w:r>
            <w:r>
              <w:rPr>
                <w:rFonts w:hint="default" w:ascii="Times New Roman" w:hAnsi="Times New Roman" w:eastAsia="宋体" w:cs="Times New Roman"/>
                <w:b w:val="0"/>
                <w:bCs w:val="0"/>
                <w:snapToGrid w:val="0"/>
                <w:color w:val="000000"/>
                <w:spacing w:val="0"/>
                <w:sz w:val="21"/>
                <w:szCs w:val="21"/>
                <w:u w:val="none"/>
              </w:rPr>
              <w:t>减振、</w:t>
            </w:r>
            <w:r>
              <w:rPr>
                <w:rFonts w:hint="default" w:ascii="Times New Roman" w:hAnsi="Times New Roman" w:eastAsia="宋体" w:cs="Times New Roman"/>
                <w:b w:val="0"/>
                <w:bCs w:val="0"/>
                <w:snapToGrid w:val="0"/>
                <w:color w:val="000000"/>
                <w:spacing w:val="0"/>
                <w:sz w:val="21"/>
                <w:szCs w:val="21"/>
                <w:u w:val="none"/>
                <w:lang w:eastAsia="zh-CN"/>
              </w:rPr>
              <w:t>厂房</w:t>
            </w:r>
            <w:r>
              <w:rPr>
                <w:rFonts w:hint="default" w:ascii="Times New Roman" w:hAnsi="Times New Roman" w:eastAsia="宋体" w:cs="Times New Roman"/>
                <w:b w:val="0"/>
                <w:bCs w:val="0"/>
                <w:snapToGrid w:val="0"/>
                <w:color w:val="000000"/>
                <w:spacing w:val="0"/>
                <w:sz w:val="21"/>
                <w:szCs w:val="21"/>
                <w:u w:val="none"/>
              </w:rPr>
              <w:t>隔声</w:t>
            </w:r>
          </w:p>
        </w:tc>
        <w:tc>
          <w:tcPr>
            <w:tcW w:w="23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color w:val="000000"/>
                <w:spacing w:val="0"/>
                <w:sz w:val="21"/>
                <w:szCs w:val="21"/>
                <w:u w:val="none"/>
              </w:rPr>
              <w:t>《工业企业厂界环境噪声排放标准》（GB12348-2008）</w:t>
            </w:r>
            <w:r>
              <w:rPr>
                <w:rFonts w:hint="default" w:ascii="Times New Roman" w:hAnsi="Times New Roman" w:eastAsia="宋体" w:cs="Times New Roman"/>
                <w:b w:val="0"/>
                <w:bCs w:val="0"/>
                <w:snapToGrid w:val="0"/>
                <w:color w:val="000000"/>
                <w:spacing w:val="0"/>
                <w:sz w:val="21"/>
                <w:szCs w:val="21"/>
                <w:u w:val="none"/>
                <w:lang w:val="en-US" w:eastAsia="zh-CN"/>
              </w:rPr>
              <w:t>2</w:t>
            </w:r>
            <w:r>
              <w:rPr>
                <w:rFonts w:hint="default" w:ascii="Times New Roman" w:hAnsi="Times New Roman" w:eastAsia="宋体" w:cs="Times New Roman"/>
                <w:b w:val="0"/>
                <w:bCs w:val="0"/>
                <w:snapToGrid w:val="0"/>
                <w:color w:val="000000"/>
                <w:spacing w:val="0"/>
                <w:sz w:val="21"/>
                <w:szCs w:val="21"/>
                <w:u w:val="none"/>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10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电磁辐射</w:t>
            </w:r>
          </w:p>
        </w:tc>
        <w:tc>
          <w:tcPr>
            <w:tcW w:w="180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val="en-US" w:eastAsia="zh-CN"/>
              </w:rPr>
            </w:pPr>
            <w:r>
              <w:rPr>
                <w:rFonts w:hint="default" w:ascii="Times New Roman" w:hAnsi="Times New Roman" w:eastAsia="宋体" w:cs="Times New Roman"/>
                <w:b w:val="0"/>
                <w:bCs w:val="0"/>
                <w:snapToGrid w:val="0"/>
                <w:spacing w:val="0"/>
                <w:sz w:val="21"/>
                <w:szCs w:val="21"/>
                <w:u w:val="none"/>
                <w:lang w:val="en-US" w:eastAsia="zh-CN"/>
              </w:rPr>
              <w:t>/</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val="en-US" w:eastAsia="zh-CN"/>
              </w:rPr>
            </w:pPr>
            <w:r>
              <w:rPr>
                <w:rFonts w:hint="default" w:ascii="Times New Roman" w:hAnsi="Times New Roman" w:eastAsia="宋体" w:cs="Times New Roman"/>
                <w:b w:val="0"/>
                <w:bCs w:val="0"/>
                <w:snapToGrid w:val="0"/>
                <w:spacing w:val="0"/>
                <w:sz w:val="21"/>
                <w:szCs w:val="21"/>
                <w:u w:val="none"/>
                <w:lang w:val="en-US" w:eastAsia="zh-CN"/>
              </w:rPr>
              <w:t>/</w:t>
            </w:r>
          </w:p>
        </w:tc>
        <w:tc>
          <w:tcPr>
            <w:tcW w:w="258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val="en-US" w:eastAsia="zh-CN"/>
              </w:rPr>
            </w:pPr>
            <w:r>
              <w:rPr>
                <w:rFonts w:hint="default" w:ascii="Times New Roman" w:hAnsi="Times New Roman" w:eastAsia="宋体" w:cs="Times New Roman"/>
                <w:b w:val="0"/>
                <w:bCs w:val="0"/>
                <w:snapToGrid w:val="0"/>
                <w:spacing w:val="0"/>
                <w:sz w:val="21"/>
                <w:szCs w:val="21"/>
                <w:u w:val="none"/>
                <w:lang w:val="en-US" w:eastAsia="zh-CN"/>
              </w:rPr>
              <w:t>/</w:t>
            </w:r>
          </w:p>
        </w:tc>
        <w:tc>
          <w:tcPr>
            <w:tcW w:w="23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val="en-US" w:eastAsia="zh-CN"/>
              </w:rPr>
            </w:pPr>
            <w:r>
              <w:rPr>
                <w:rFonts w:hint="default" w:ascii="Times New Roman" w:hAnsi="Times New Roman" w:eastAsia="宋体" w:cs="Times New Roman"/>
                <w:b w:val="0"/>
                <w:bCs w:val="0"/>
                <w:snapToGrid w:val="0"/>
                <w:spacing w:val="0"/>
                <w:sz w:val="21"/>
                <w:szCs w:val="21"/>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5" w:hRule="exact"/>
          <w:jc w:val="center"/>
        </w:trPr>
        <w:tc>
          <w:tcPr>
            <w:tcW w:w="10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固体废物</w:t>
            </w:r>
          </w:p>
        </w:tc>
        <w:tc>
          <w:tcPr>
            <w:tcW w:w="7972"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snapToGrid w:val="0"/>
                <w:spacing w:val="0"/>
                <w:sz w:val="21"/>
                <w:szCs w:val="21"/>
                <w:u w:val="none"/>
              </w:rPr>
            </w:pPr>
            <w:r>
              <w:rPr>
                <w:bCs/>
                <w:szCs w:val="21"/>
              </w:rPr>
              <w:t>一般固废</w:t>
            </w:r>
            <w:r>
              <w:rPr>
                <w:rFonts w:hint="eastAsia"/>
                <w:bCs/>
                <w:szCs w:val="21"/>
              </w:rPr>
              <w:t>主要为废滤芯（废石英砂滤芯、废锰砂滤芯、废活性炭滤芯、废PP棉滤芯）、废离子交换树脂、废反渗透膜，收集后暂存于一般固废间，有厂家回收，一般固废</w:t>
            </w:r>
            <w:r>
              <w:rPr>
                <w:bCs/>
                <w:szCs w:val="21"/>
              </w:rPr>
              <w:t>暂存区符合《一般工业固体废物贮存、处置场污染控制标准》（GB18599-20</w:t>
            </w:r>
            <w:r>
              <w:rPr>
                <w:rFonts w:hint="eastAsia"/>
                <w:bCs/>
                <w:szCs w:val="21"/>
                <w:lang w:val="en-US" w:eastAsia="zh-CN"/>
              </w:rPr>
              <w:t>20</w:t>
            </w:r>
            <w:r>
              <w:rPr>
                <w:bCs/>
                <w:szCs w:val="21"/>
              </w:rPr>
              <w:t>）</w:t>
            </w:r>
            <w:r>
              <w:rPr>
                <w:rFonts w:hint="eastAsia"/>
                <w:bCs/>
                <w:szCs w:val="21"/>
                <w:lang w:val="en-US" w:eastAsia="zh-CN"/>
              </w:rPr>
              <w:t>的</w:t>
            </w:r>
            <w:r>
              <w:rPr>
                <w:bCs/>
                <w:szCs w:val="21"/>
              </w:rPr>
              <w:t>要求</w:t>
            </w:r>
            <w:r>
              <w:rPr>
                <w:rFonts w:hint="eastAsia"/>
                <w:bCs/>
                <w:szCs w:val="21"/>
              </w:rPr>
              <w:t>；危险废物主要为废实验材料、实验废液、污泥、废活性炭、</w:t>
            </w:r>
            <w:r>
              <w:rPr>
                <w:rFonts w:hint="eastAsia"/>
                <w:bCs/>
                <w:szCs w:val="21"/>
                <w:lang w:val="en-US" w:eastAsia="zh-CN"/>
              </w:rPr>
              <w:t>废紫外灯管、碱喷淋废液、</w:t>
            </w:r>
            <w:r>
              <w:rPr>
                <w:rFonts w:hint="eastAsia"/>
                <w:bCs/>
                <w:szCs w:val="21"/>
              </w:rPr>
              <w:t>废过滤器</w:t>
            </w:r>
            <w:r>
              <w:rPr>
                <w:rFonts w:hint="eastAsia"/>
                <w:bCs/>
                <w:szCs w:val="21"/>
                <w:lang w:eastAsia="zh-CN"/>
              </w:rPr>
              <w:t>、报废化学试剂和化学品废弃容器</w:t>
            </w:r>
            <w:r>
              <w:rPr>
                <w:rFonts w:hint="eastAsia"/>
                <w:bCs/>
                <w:szCs w:val="21"/>
                <w:lang w:val="en-US" w:eastAsia="zh-CN"/>
              </w:rPr>
              <w:t>等</w:t>
            </w:r>
            <w:r>
              <w:rPr>
                <w:rFonts w:hint="eastAsia"/>
                <w:bCs/>
                <w:szCs w:val="21"/>
              </w:rPr>
              <w:t>，危废暂存间</w:t>
            </w:r>
            <w:r>
              <w:rPr>
                <w:bCs/>
                <w:szCs w:val="21"/>
              </w:rPr>
              <w:t>符合</w:t>
            </w:r>
            <w:r>
              <w:rPr>
                <w:szCs w:val="21"/>
              </w:rPr>
              <w:t>《危险废物贮存污染控制标准》（GB 18597-2001）及其修改单中的要求。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10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土壤及地下水污染防治措施</w:t>
            </w:r>
          </w:p>
        </w:tc>
        <w:tc>
          <w:tcPr>
            <w:tcW w:w="7972" w:type="dxa"/>
            <w:gridSpan w:val="5"/>
            <w:noWrap w:val="0"/>
            <w:vAlign w:val="center"/>
          </w:tcPr>
          <w:p>
            <w:pPr>
              <w:pStyle w:val="8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auto"/>
              <w:rPr>
                <w:rFonts w:hint="default" w:ascii="Times New Roman" w:hAnsi="Times New Roman" w:eastAsia="宋体" w:cs="Times New Roman"/>
                <w:b w:val="0"/>
                <w:bCs w:val="0"/>
                <w:snapToGrid w:val="0"/>
                <w:spacing w:val="0"/>
                <w:sz w:val="21"/>
                <w:szCs w:val="21"/>
                <w:u w:val="none"/>
                <w:lang w:val="en-US" w:eastAsia="zh-CN"/>
              </w:rPr>
            </w:pPr>
            <w:r>
              <w:rPr>
                <w:rFonts w:hint="eastAsia"/>
                <w:bCs/>
                <w:szCs w:val="21"/>
              </w:rPr>
              <w:t>建议实验室地面均按要求进行分区防渗，</w:t>
            </w:r>
            <w:r>
              <w:rPr>
                <w:rFonts w:hint="eastAsia"/>
                <w:bCs/>
                <w:szCs w:val="21"/>
                <w:lang w:val="en-US" w:eastAsia="zh-CN"/>
              </w:rPr>
              <w:t>污水处理站、</w:t>
            </w:r>
            <w:r>
              <w:rPr>
                <w:rFonts w:hint="eastAsia"/>
                <w:bCs/>
                <w:szCs w:val="21"/>
              </w:rPr>
              <w:t>危废暂存间、实验区域（含试剂库）等重点区域应进行重点防渗，以确保等效黏土防渗层 Mb≥6.0m、渗透系数 K≤10</w:t>
            </w:r>
            <w:r>
              <w:rPr>
                <w:rFonts w:hint="eastAsia"/>
                <w:bCs/>
                <w:szCs w:val="21"/>
                <w:vertAlign w:val="superscript"/>
              </w:rPr>
              <w:t>-7</w:t>
            </w:r>
            <w:r>
              <w:rPr>
                <w:rFonts w:hint="eastAsia"/>
                <w:bCs/>
                <w:szCs w:val="21"/>
              </w:rPr>
              <w:t>cm/s（其中危废暂存间达到渗透系数K≤10</w:t>
            </w:r>
            <w:r>
              <w:rPr>
                <w:rFonts w:hint="eastAsia"/>
                <w:bCs/>
                <w:szCs w:val="21"/>
                <w:vertAlign w:val="superscript"/>
              </w:rPr>
              <w:t>-10</w:t>
            </w:r>
            <w:r>
              <w:rPr>
                <w:rFonts w:hint="eastAsia"/>
                <w:bCs/>
                <w:szCs w:val="21"/>
              </w:rPr>
              <w:t>cm/s）的要求。</w:t>
            </w:r>
            <w:r>
              <w:rPr>
                <w:bCs/>
                <w:szCs w:val="21"/>
              </w:rPr>
              <w:t>除重点防渗区外的其他区域，地面为抗渗混凝土地面满足简单防渗要求。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生态保护措施</w:t>
            </w:r>
          </w:p>
        </w:tc>
        <w:tc>
          <w:tcPr>
            <w:tcW w:w="7972"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lang w:val="en-US" w:eastAsia="zh-CN"/>
              </w:rPr>
            </w:pPr>
            <w:r>
              <w:rPr>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3" w:hRule="atLeast"/>
          <w:jc w:val="center"/>
        </w:trPr>
        <w:tc>
          <w:tcPr>
            <w:tcW w:w="10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环境风险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防范措施</w:t>
            </w:r>
          </w:p>
        </w:tc>
        <w:tc>
          <w:tcPr>
            <w:tcW w:w="7972"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1）严格按照相关环保工程要求，切实做好项目区域废水收集、贮存措施，并安排人员做好废水收集贮存设施日常运营维护保养工作，及时排除设施可能存在的风险隐患；在进行废水处理过程中，应切实做好各项防泄漏措施，确保废水安全进入污水处理站内进行达标处理排放；</w:t>
            </w:r>
            <w:r>
              <w:rPr>
                <w:rFonts w:hint="default" w:ascii="Times New Roman" w:hAnsi="Times New Roman" w:eastAsia="宋体" w:cs="Times New Roman"/>
                <w:b w:val="0"/>
                <w:bCs w:val="0"/>
                <w:snapToGrid w:val="0"/>
                <w:spacing w:val="0"/>
                <w:sz w:val="21"/>
                <w:szCs w:val="21"/>
                <w:u w:val="none"/>
                <w:lang w:val="en-US" w:eastAsia="zh-CN"/>
              </w:rPr>
              <w:t>按《医院污水处理工程技术规范》（HJ2029-2013）要求设置事故池，以贮存处理系统事故或其它突发事件时医疗污水。事故池有效容积</w:t>
            </w:r>
            <w:r>
              <w:rPr>
                <w:rFonts w:hint="eastAsia" w:cs="Times New Roman"/>
                <w:b w:val="0"/>
                <w:bCs w:val="0"/>
                <w:snapToGrid w:val="0"/>
                <w:spacing w:val="0"/>
                <w:sz w:val="21"/>
                <w:szCs w:val="21"/>
                <w:u w:val="none"/>
                <w:lang w:val="en-US" w:eastAsia="zh-CN"/>
              </w:rPr>
              <w:t>不低于废水</w:t>
            </w:r>
            <w:r>
              <w:rPr>
                <w:rFonts w:hint="default" w:ascii="Times New Roman" w:hAnsi="Times New Roman" w:eastAsia="宋体" w:cs="Times New Roman"/>
                <w:b w:val="0"/>
                <w:bCs w:val="0"/>
                <w:snapToGrid w:val="0"/>
                <w:spacing w:val="0"/>
                <w:sz w:val="21"/>
                <w:szCs w:val="21"/>
                <w:u w:val="none"/>
                <w:lang w:val="en-US" w:eastAsia="zh-CN"/>
              </w:rPr>
              <w:t>日处理量，本项目废水日处理水量为</w:t>
            </w:r>
            <w:r>
              <w:rPr>
                <w:rFonts w:hint="eastAsia" w:cs="Times New Roman"/>
                <w:b w:val="0"/>
                <w:bCs w:val="0"/>
                <w:snapToGrid w:val="0"/>
                <w:spacing w:val="0"/>
                <w:sz w:val="21"/>
                <w:szCs w:val="21"/>
                <w:u w:val="none"/>
                <w:lang w:val="en-US" w:eastAsia="zh-CN"/>
              </w:rPr>
              <w:t>6.47</w:t>
            </w:r>
            <w:r>
              <w:rPr>
                <w:rFonts w:hint="default" w:ascii="Times New Roman" w:hAnsi="Times New Roman" w:eastAsia="宋体" w:cs="Times New Roman"/>
                <w:b w:val="0"/>
                <w:bCs w:val="0"/>
                <w:snapToGrid w:val="0"/>
                <w:spacing w:val="0"/>
                <w:sz w:val="21"/>
                <w:szCs w:val="21"/>
                <w:u w:val="none"/>
                <w:lang w:val="en-US" w:eastAsia="zh-CN"/>
              </w:rPr>
              <w:t>m</w:t>
            </w:r>
            <w:r>
              <w:rPr>
                <w:rFonts w:hint="default" w:ascii="Times New Roman" w:hAnsi="Times New Roman" w:eastAsia="宋体" w:cs="Times New Roman"/>
                <w:b w:val="0"/>
                <w:bCs w:val="0"/>
                <w:snapToGrid w:val="0"/>
                <w:spacing w:val="0"/>
                <w:sz w:val="21"/>
                <w:szCs w:val="21"/>
                <w:u w:val="none"/>
                <w:vertAlign w:val="superscript"/>
                <w:lang w:val="en-US" w:eastAsia="zh-CN"/>
              </w:rPr>
              <w:t>3</w:t>
            </w:r>
            <w:r>
              <w:rPr>
                <w:rFonts w:hint="default" w:ascii="Times New Roman" w:hAnsi="Times New Roman" w:eastAsia="宋体" w:cs="Times New Roman"/>
                <w:b w:val="0"/>
                <w:bCs w:val="0"/>
                <w:snapToGrid w:val="0"/>
                <w:spacing w:val="0"/>
                <w:sz w:val="21"/>
                <w:szCs w:val="21"/>
                <w:u w:val="none"/>
                <w:lang w:val="en-US" w:eastAsia="zh-CN"/>
              </w:rPr>
              <w:t>，则事故池大小约为</w:t>
            </w:r>
            <w:r>
              <w:rPr>
                <w:rFonts w:hint="eastAsia" w:cs="Times New Roman"/>
                <w:b w:val="0"/>
                <w:bCs w:val="0"/>
                <w:snapToGrid w:val="0"/>
                <w:spacing w:val="0"/>
                <w:sz w:val="21"/>
                <w:szCs w:val="21"/>
                <w:u w:val="none"/>
                <w:lang w:val="en-US" w:eastAsia="zh-CN"/>
              </w:rPr>
              <w:t>8</w:t>
            </w:r>
            <w:r>
              <w:rPr>
                <w:rFonts w:hint="default" w:ascii="Times New Roman" w:hAnsi="Times New Roman" w:eastAsia="宋体" w:cs="Times New Roman"/>
                <w:b w:val="0"/>
                <w:bCs w:val="0"/>
                <w:snapToGrid w:val="0"/>
                <w:spacing w:val="0"/>
                <w:sz w:val="21"/>
                <w:szCs w:val="21"/>
                <w:u w:val="none"/>
                <w:lang w:val="en-US" w:eastAsia="zh-CN"/>
              </w:rPr>
              <w:t>m</w:t>
            </w:r>
            <w:r>
              <w:rPr>
                <w:rFonts w:hint="default" w:ascii="Times New Roman" w:hAnsi="Times New Roman" w:eastAsia="宋体" w:cs="Times New Roman"/>
                <w:b w:val="0"/>
                <w:bCs w:val="0"/>
                <w:snapToGrid w:val="0"/>
                <w:spacing w:val="0"/>
                <w:sz w:val="21"/>
                <w:szCs w:val="21"/>
                <w:u w:val="none"/>
                <w:vertAlign w:val="superscript"/>
                <w:lang w:val="en-US" w:eastAsia="zh-CN"/>
              </w:rPr>
              <w:t>3</w:t>
            </w:r>
            <w:r>
              <w:rPr>
                <w:rFonts w:hint="default" w:ascii="Times New Roman" w:hAnsi="Times New Roman" w:eastAsia="宋体" w:cs="Times New Roman"/>
                <w:b w:val="0"/>
                <w:bCs w:val="0"/>
                <w:snapToGrid w:val="0"/>
                <w:spacing w:val="0"/>
                <w:sz w:val="21"/>
                <w:szCs w:val="21"/>
                <w:u w:val="none"/>
                <w:lang w:val="en-US" w:eastAsia="zh-CN"/>
              </w:rPr>
              <w:t>，建议事故池和调节池合建。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（2）废气治理设施及时更换活性炭，避免因活性炭吸附饱和造成废气超标排放。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（3）项目应当按照环保要求设置专门的危险废物收集暂存区，危废暂存区应当按要求做好防腐防渗措施，并配套设置泄露物质收集设施。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4）项目运营过程中合理安排项目实验进度，根据实验进度进行实验试剂的采购，尽可能降低各类化学物质在项目内的贮存量。各类化学试剂应当安排专人管理，存放区域应当按照化学品仓储区相关要求做好防腐防渗、防火等措施，并按要求配套灭火器、收集容器等应急处置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5）项目实验区域按照要求使用防火隔板进行了隔断处理，并在各个实验区域内设置了消火栓、灭火器等消防设施。建设单位应当安排工程人员做好项目内配套消防设备设施的日常巡查工作，确保其处在安全可用状态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6）由于项目涉及到部分有毒、易燃性化学品使用，建设单位应当严格按照实验操作要求，配套完善的个人防护器械，积极做好实验区域通风条件，避免人员中毒事件发生。实验区域配备应急要求，确保出现人员受伤、中毒等事件时在第一时间得到妥善救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（7）项目应当制定完善的实验室管理制度，严格做好实验室各项管理工作，加强实验人员风险意识培养，实验区域严禁出现明火或易产生火花类物质。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（8）生物安全风险防范措施如下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1)操作员工在进行操作活动时，所有的操作环节必须佩戴一次性无菌乳胶手套，操作完成后收集于灭菌袋中灭菌。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2)取样检测分析完毕后，必须将样本及接触到样本的耗材收集于灭菌袋中灭菌处理，必须将所有接触到样本的玻璃器皿放入灭菌锅中灭菌处理。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3)装桶及取样过程中如遇到菌液外泄，先用纱布擦拭污染位置后喷洒5%氢氧化钠溶液，6小时后再用清水清洁，纱布收集于灭菌袋中灭菌。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4)车间不得有食物，饮料及存在(手—口)接触可能的其他物质。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5)每周生产完毕后，必须用3%双氧水及0.2%新洁尔灭对车间进行消毒。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6)实验室内所有接触到样本的废弃物(手套、纸巾、枪头，吸管、离心管等)都收集于专用灭菌袋中，高压蒸汽灭菌条件为121°C/30分钟，灭菌条件可有效灭杀大肠杆菌，每次灭菌时必须粘贴进口灭菌指示纸，依据指示纸的显色情况保证灭菌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5" w:hRule="atLeast"/>
          <w:jc w:val="center"/>
        </w:trPr>
        <w:tc>
          <w:tcPr>
            <w:tcW w:w="10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其他环境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spacing w:val="0"/>
                <w:sz w:val="21"/>
                <w:szCs w:val="21"/>
                <w:u w:val="none"/>
              </w:rPr>
            </w:pPr>
            <w:r>
              <w:rPr>
                <w:rFonts w:hint="default" w:ascii="Times New Roman" w:hAnsi="Times New Roman" w:eastAsia="宋体" w:cs="Times New Roman"/>
                <w:b w:val="0"/>
                <w:bCs w:val="0"/>
                <w:snapToGrid w:val="0"/>
                <w:spacing w:val="0"/>
                <w:sz w:val="21"/>
                <w:szCs w:val="21"/>
                <w:u w:val="none"/>
              </w:rPr>
              <w:t>管理要求</w:t>
            </w:r>
          </w:p>
        </w:tc>
        <w:tc>
          <w:tcPr>
            <w:tcW w:w="7972"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rPr>
            </w:pPr>
            <w:r>
              <w:rPr>
                <w:rFonts w:hint="default" w:ascii="Times New Roman" w:hAnsi="Times New Roman" w:eastAsia="宋体" w:cs="Times New Roman"/>
                <w:b w:val="0"/>
                <w:bCs w:val="0"/>
                <w:snapToGrid w:val="0"/>
                <w:spacing w:val="0"/>
                <w:sz w:val="21"/>
                <w:szCs w:val="21"/>
              </w:rPr>
              <w:t>1、排污许可证管理要求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default" w:ascii="Times New Roman" w:hAnsi="Times New Roman" w:eastAsia="宋体" w:cs="Times New Roman"/>
                <w:b w:val="0"/>
                <w:bCs w:val="0"/>
                <w:snapToGrid w:val="0"/>
                <w:spacing w:val="0"/>
                <w:sz w:val="21"/>
                <w:szCs w:val="21"/>
              </w:rPr>
            </w:pPr>
            <w:r>
              <w:rPr>
                <w:rFonts w:hint="default" w:ascii="Times New Roman" w:hAnsi="Times New Roman" w:eastAsia="宋体" w:cs="Times New Roman"/>
                <w:b w:val="0"/>
                <w:bCs w:val="0"/>
                <w:snapToGrid w:val="0"/>
                <w:spacing w:val="0"/>
                <w:sz w:val="21"/>
                <w:szCs w:val="21"/>
              </w:rPr>
              <w:t>根据《固定污染源排污许可分类管理名录（2019年版）》（生态环境部 第11号）要求进行填报排污许可。因此，建设单位应当在启动生产设施或者发生实际排污之前在全国排污许可证管理信息平台进行排污许可填报。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rPr>
            </w:pPr>
            <w:r>
              <w:rPr>
                <w:rFonts w:hint="default" w:ascii="Times New Roman" w:hAnsi="Times New Roman" w:eastAsia="宋体" w:cs="Times New Roman"/>
                <w:b w:val="0"/>
                <w:bCs w:val="0"/>
                <w:snapToGrid w:val="0"/>
                <w:spacing w:val="0"/>
                <w:sz w:val="21"/>
                <w:szCs w:val="21"/>
              </w:rPr>
              <w:t>2、竣工环境保护验收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default" w:ascii="Times New Roman" w:hAnsi="Times New Roman" w:eastAsia="宋体" w:cs="Times New Roman"/>
                <w:b w:val="0"/>
                <w:bCs w:val="0"/>
                <w:snapToGrid w:val="0"/>
                <w:spacing w:val="0"/>
                <w:sz w:val="21"/>
                <w:szCs w:val="21"/>
              </w:rPr>
            </w:pPr>
            <w:r>
              <w:rPr>
                <w:rFonts w:hint="default" w:ascii="Times New Roman" w:hAnsi="Times New Roman" w:eastAsia="宋体" w:cs="Times New Roman"/>
                <w:b w:val="0"/>
                <w:bCs w:val="0"/>
                <w:snapToGrid w:val="0"/>
                <w:spacing w:val="0"/>
                <w:sz w:val="21"/>
                <w:szCs w:val="21"/>
              </w:rPr>
              <w:t>根据《建设项目竣工环境保护验收暂行办法》的规定，建设项目竣工后，建设单位应当如实查验、监测、记载建设项目环境保护设施的建设和调试情况，编制验收监测报告表。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default" w:ascii="Times New Roman" w:hAnsi="Times New Roman" w:eastAsia="宋体" w:cs="Times New Roman"/>
                <w:b w:val="0"/>
                <w:bCs w:val="0"/>
                <w:snapToGrid w:val="0"/>
                <w:spacing w:val="0"/>
                <w:sz w:val="21"/>
                <w:szCs w:val="21"/>
                <w:lang w:eastAsia="zh-CN"/>
              </w:rPr>
            </w:pPr>
            <w:r>
              <w:rPr>
                <w:rFonts w:hint="default" w:ascii="Times New Roman" w:hAnsi="Times New Roman" w:eastAsia="宋体" w:cs="Times New Roman"/>
                <w:b w:val="0"/>
                <w:bCs w:val="0"/>
                <w:snapToGrid w:val="0"/>
                <w:spacing w:val="0"/>
                <w:sz w:val="21"/>
                <w:szCs w:val="21"/>
              </w:rPr>
              <w:t>3、</w:t>
            </w:r>
            <w:r>
              <w:rPr>
                <w:rFonts w:hint="default" w:ascii="Times New Roman" w:hAnsi="Times New Roman" w:eastAsia="宋体" w:cs="Times New Roman"/>
                <w:b w:val="0"/>
                <w:bCs w:val="0"/>
                <w:snapToGrid w:val="0"/>
                <w:spacing w:val="0"/>
                <w:sz w:val="21"/>
                <w:szCs w:val="21"/>
                <w:lang w:eastAsia="zh-CN"/>
              </w:rPr>
              <w:t>监控系统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default" w:ascii="Times New Roman" w:hAnsi="Times New Roman" w:eastAsia="宋体" w:cs="Times New Roman"/>
                <w:b w:val="0"/>
                <w:bCs w:val="0"/>
                <w:snapToGrid w:val="0"/>
                <w:spacing w:val="0"/>
                <w:kern w:val="2"/>
                <w:sz w:val="21"/>
                <w:szCs w:val="21"/>
                <w:u w:val="none"/>
                <w:lang w:val="en-US" w:eastAsia="zh-CN" w:bidi="ar-SA"/>
              </w:rPr>
            </w:pPr>
            <w:r>
              <w:rPr>
                <w:rFonts w:hint="default" w:ascii="Times New Roman" w:hAnsi="Times New Roman" w:eastAsia="宋体" w:cs="Times New Roman"/>
                <w:b w:val="0"/>
                <w:bCs w:val="0"/>
                <w:snapToGrid w:val="0"/>
                <w:spacing w:val="0"/>
                <w:kern w:val="2"/>
                <w:sz w:val="21"/>
                <w:szCs w:val="21"/>
                <w:lang w:val="en-US" w:eastAsia="zh-CN" w:bidi="ar-SA"/>
              </w:rPr>
              <w:t>按照环保部门要求</w:t>
            </w:r>
            <w:r>
              <w:rPr>
                <w:rFonts w:hint="default" w:ascii="Times New Roman" w:hAnsi="Times New Roman" w:eastAsia="宋体" w:cs="Times New Roman"/>
                <w:snapToGrid w:val="0"/>
                <w:spacing w:val="0"/>
                <w:kern w:val="2"/>
                <w:sz w:val="21"/>
                <w:szCs w:val="21"/>
                <w:lang w:val="en-US" w:eastAsia="zh-CN" w:bidi="ar-SA"/>
              </w:rPr>
              <w:t>安装视频监控系统、用电量监控系统，并与环保部门联网。</w:t>
            </w:r>
          </w:p>
        </w:tc>
      </w:tr>
    </w:tbl>
    <w:p>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rPr>
        <w:br w:type="page"/>
      </w:r>
      <w:r>
        <w:drawing>
          <wp:inline distT="0" distB="0" distL="114300" distR="114300">
            <wp:extent cx="5894705" cy="7785100"/>
            <wp:effectExtent l="0" t="0" r="0" b="635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7"/>
                    <a:srcRect r="-2529" b="5815"/>
                    <a:stretch>
                      <a:fillRect/>
                    </a:stretch>
                  </pic:blipFill>
                  <pic:spPr>
                    <a:xfrm>
                      <a:off x="0" y="0"/>
                      <a:ext cx="5894705" cy="7785100"/>
                    </a:xfrm>
                    <a:prstGeom prst="rect">
                      <a:avLst/>
                    </a:prstGeom>
                    <a:noFill/>
                    <a:ln>
                      <a:noFill/>
                    </a:ln>
                  </pic:spPr>
                </pic:pic>
              </a:graphicData>
            </a:graphic>
          </wp:inline>
        </w:drawing>
      </w:r>
    </w:p>
    <w:p>
      <w:pPr>
        <w:pStyle w:val="26"/>
        <w:adjustRightInd w:val="0"/>
        <w:snapToGrid w:val="0"/>
        <w:spacing w:before="0" w:beforeAutospacing="0" w:after="0" w:afterAutospacing="0" w:line="520" w:lineRule="exact"/>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26"/>
        <w:adjustRightInd w:val="0"/>
        <w:snapToGrid w:val="0"/>
        <w:spacing w:before="0" w:beforeAutospacing="0" w:after="0" w:afterAutospacing="0" w:line="480" w:lineRule="auto"/>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30"/>
        <w:tblW w:w="1391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338"/>
        <w:gridCol w:w="1616"/>
        <w:gridCol w:w="1200"/>
        <w:gridCol w:w="1616"/>
        <w:gridCol w:w="1669"/>
        <w:gridCol w:w="1484"/>
        <w:gridCol w:w="1869"/>
        <w:gridCol w:w="1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505" w:type="dxa"/>
            <w:tcBorders>
              <w:tl2br w:val="single" w:color="auto" w:sz="4" w:space="0"/>
            </w:tcBorders>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jc w:val="right"/>
              <w:rPr>
                <w:rFonts w:ascii="Times New Roman" w:eastAsia="黑体"/>
                <w:snapToGrid w:val="0"/>
                <w:color w:val="000000"/>
                <w:spacing w:val="-6"/>
                <w:kern w:val="21"/>
                <w:szCs w:val="21"/>
              </w:rPr>
            </w:pPr>
            <w:r>
              <w:rPr>
                <w:rFonts w:ascii="Times New Roman" w:eastAsia="黑体"/>
                <w:snapToGrid w:val="0"/>
                <w:color w:val="000000"/>
                <w:spacing w:val="-6"/>
                <w:kern w:val="21"/>
                <w:szCs w:val="21"/>
              </w:rPr>
              <w:t>项目</w:t>
            </w:r>
          </w:p>
          <w:p>
            <w:pPr>
              <w:pStyle w:val="51"/>
              <w:keepNext w:val="0"/>
              <w:keepLines w:val="0"/>
              <w:suppressLineNumbers w:val="0"/>
              <w:spacing w:before="0" w:beforeLines="0" w:beforeAutospacing="0" w:after="0" w:afterLines="0" w:afterAutospacing="0" w:line="240" w:lineRule="auto"/>
              <w:ind w:left="0" w:right="0"/>
              <w:jc w:val="left"/>
              <w:rPr>
                <w:rFonts w:ascii="Times New Roman" w:eastAsia="黑体"/>
                <w:snapToGrid w:val="0"/>
                <w:color w:val="000000"/>
                <w:spacing w:val="-6"/>
                <w:kern w:val="21"/>
                <w:szCs w:val="21"/>
              </w:rPr>
            </w:pPr>
            <w:r>
              <w:rPr>
                <w:rFonts w:ascii="Times New Roman" w:eastAsia="黑体"/>
                <w:snapToGrid w:val="0"/>
                <w:color w:val="000000"/>
                <w:spacing w:val="-6"/>
                <w:kern w:val="21"/>
                <w:szCs w:val="21"/>
              </w:rPr>
              <w:t>分类</w:t>
            </w:r>
          </w:p>
        </w:tc>
        <w:tc>
          <w:tcPr>
            <w:tcW w:w="1338"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污染物名称</w:t>
            </w:r>
          </w:p>
        </w:tc>
        <w:tc>
          <w:tcPr>
            <w:tcW w:w="1616"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1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①</w:t>
            </w:r>
            <w:r>
              <w:rPr>
                <w:rFonts w:ascii="Times New Roman" w:eastAsia="黑体"/>
                <w:snapToGrid w:val="0"/>
                <w:color w:val="000000"/>
                <w:spacing w:val="-6"/>
                <w:kern w:val="21"/>
                <w:szCs w:val="21"/>
              </w:rPr>
              <w:fldChar w:fldCharType="end"/>
            </w:r>
          </w:p>
        </w:tc>
        <w:tc>
          <w:tcPr>
            <w:tcW w:w="1200"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许可排放量</w:t>
            </w:r>
          </w:p>
          <w:p>
            <w:pPr>
              <w:pStyle w:val="51"/>
              <w:keepNext w:val="0"/>
              <w:keepLines w:val="0"/>
              <w:suppressLineNumbers w:val="0"/>
              <w:spacing w:before="0" w:beforeLines="0" w:beforeAutospacing="0" w:after="0" w:afterLines="0" w:afterAutospacing="0"/>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2 \* GB3 \* MERGEFORMAT </w:instrText>
            </w:r>
            <w:r>
              <w:rPr>
                <w:rFonts w:ascii="Times New Roman" w:eastAsia="黑体"/>
                <w:snapToGrid w:val="0"/>
                <w:color w:val="000000"/>
                <w:spacing w:val="-6"/>
                <w:kern w:val="21"/>
                <w:szCs w:val="21"/>
              </w:rPr>
              <w:fldChar w:fldCharType="separate"/>
            </w:r>
            <w:r>
              <w:rPr>
                <w:rFonts w:ascii="Times New Roman" w:eastAsia="黑体"/>
                <w:snapToGrid w:val="0"/>
                <w:color w:val="000000"/>
                <w:spacing w:val="-6"/>
                <w:kern w:val="21"/>
                <w:szCs w:val="21"/>
              </w:rPr>
              <w:t>②</w:t>
            </w:r>
            <w:r>
              <w:rPr>
                <w:rFonts w:ascii="Times New Roman" w:eastAsia="黑体"/>
                <w:snapToGrid w:val="0"/>
                <w:color w:val="000000"/>
                <w:spacing w:val="-6"/>
                <w:kern w:val="21"/>
                <w:szCs w:val="21"/>
              </w:rPr>
              <w:fldChar w:fldCharType="end"/>
            </w:r>
          </w:p>
        </w:tc>
        <w:tc>
          <w:tcPr>
            <w:tcW w:w="1616"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在建工程</w:t>
            </w:r>
          </w:p>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3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③</w:t>
            </w:r>
            <w:r>
              <w:rPr>
                <w:rFonts w:ascii="Times New Roman" w:eastAsia="黑体"/>
                <w:snapToGrid w:val="0"/>
                <w:color w:val="000000"/>
                <w:spacing w:val="-6"/>
                <w:kern w:val="21"/>
                <w:szCs w:val="21"/>
              </w:rPr>
              <w:fldChar w:fldCharType="end"/>
            </w:r>
          </w:p>
        </w:tc>
        <w:tc>
          <w:tcPr>
            <w:tcW w:w="1669"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本项目</w:t>
            </w:r>
          </w:p>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4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④</w:t>
            </w:r>
            <w:r>
              <w:rPr>
                <w:rFonts w:ascii="Times New Roman" w:eastAsia="黑体"/>
                <w:snapToGrid w:val="0"/>
                <w:color w:val="000000"/>
                <w:spacing w:val="-6"/>
                <w:kern w:val="21"/>
                <w:szCs w:val="21"/>
              </w:rPr>
              <w:fldChar w:fldCharType="end"/>
            </w:r>
          </w:p>
        </w:tc>
        <w:tc>
          <w:tcPr>
            <w:tcW w:w="1484"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16"/>
                <w:kern w:val="21"/>
                <w:szCs w:val="21"/>
              </w:rPr>
            </w:pPr>
            <w:r>
              <w:rPr>
                <w:rFonts w:ascii="Times New Roman" w:eastAsia="黑体"/>
                <w:snapToGrid w:val="0"/>
                <w:color w:val="000000"/>
                <w:spacing w:val="-16"/>
                <w:kern w:val="21"/>
                <w:szCs w:val="21"/>
              </w:rPr>
              <w:t>以新带老削减量</w:t>
            </w:r>
          </w:p>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（新建项目不填）</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5 \* GB3 \* MERGEFORMAT </w:instrText>
            </w:r>
            <w:r>
              <w:rPr>
                <w:rFonts w:ascii="Times New Roman" w:eastAsia="黑体"/>
                <w:snapToGrid w:val="0"/>
                <w:color w:val="000000"/>
                <w:spacing w:val="-16"/>
                <w:kern w:val="21"/>
                <w:szCs w:val="21"/>
              </w:rPr>
              <w:fldChar w:fldCharType="separate"/>
            </w:r>
            <w:r>
              <w:rPr>
                <w:rFonts w:ascii="Times New Roman" w:eastAsia="黑体"/>
                <w:kern w:val="2"/>
                <w:szCs w:val="21"/>
              </w:rPr>
              <w:t>⑤</w:t>
            </w:r>
            <w:r>
              <w:rPr>
                <w:rFonts w:ascii="Times New Roman" w:eastAsia="黑体"/>
                <w:snapToGrid w:val="0"/>
                <w:color w:val="000000"/>
                <w:spacing w:val="-16"/>
                <w:kern w:val="21"/>
                <w:szCs w:val="21"/>
              </w:rPr>
              <w:fldChar w:fldCharType="end"/>
            </w:r>
          </w:p>
        </w:tc>
        <w:tc>
          <w:tcPr>
            <w:tcW w:w="1869"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本项目建成后</w:t>
            </w:r>
          </w:p>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16"/>
                <w:kern w:val="21"/>
                <w:szCs w:val="21"/>
              </w:rPr>
            </w:pPr>
            <w:r>
              <w:rPr>
                <w:rFonts w:ascii="Times New Roman" w:eastAsia="黑体"/>
                <w:snapToGrid w:val="0"/>
                <w:color w:val="000000"/>
                <w:spacing w:val="-16"/>
                <w:kern w:val="21"/>
                <w:szCs w:val="21"/>
              </w:rPr>
              <w:t>全厂排放量（固体废物产生量）</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6 \* GB3 \* MERGEFORMAT </w:instrText>
            </w:r>
            <w:r>
              <w:rPr>
                <w:rFonts w:ascii="Times New Roman" w:eastAsia="黑体"/>
                <w:snapToGrid w:val="0"/>
                <w:color w:val="000000"/>
                <w:spacing w:val="-16"/>
                <w:kern w:val="21"/>
                <w:szCs w:val="21"/>
              </w:rPr>
              <w:fldChar w:fldCharType="separate"/>
            </w:r>
            <w:r>
              <w:rPr>
                <w:rFonts w:ascii="Times New Roman" w:eastAsia="黑体"/>
                <w:kern w:val="2"/>
                <w:szCs w:val="21"/>
              </w:rPr>
              <w:t>⑥</w:t>
            </w:r>
            <w:r>
              <w:rPr>
                <w:rFonts w:ascii="Times New Roman" w:eastAsia="黑体"/>
                <w:snapToGrid w:val="0"/>
                <w:color w:val="000000"/>
                <w:spacing w:val="-16"/>
                <w:kern w:val="21"/>
                <w:szCs w:val="21"/>
              </w:rPr>
              <w:fldChar w:fldCharType="end"/>
            </w:r>
          </w:p>
        </w:tc>
        <w:tc>
          <w:tcPr>
            <w:tcW w:w="1614" w:type="dxa"/>
            <w:noWrap w:val="0"/>
            <w:tcMar>
              <w:left w:w="28" w:type="dxa"/>
              <w:right w:w="28" w:type="dxa"/>
            </w:tcMar>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t>变化量</w:t>
            </w:r>
          </w:p>
          <w:p>
            <w:pPr>
              <w:pStyle w:val="51"/>
              <w:keepNext w:val="0"/>
              <w:keepLines w:val="0"/>
              <w:suppressLineNumbers w:val="0"/>
              <w:spacing w:before="0" w:beforeLines="0" w:beforeAutospacing="0" w:after="0" w:afterLines="0" w:afterAutospacing="0" w:line="240" w:lineRule="auto"/>
              <w:ind w:left="0" w:right="0"/>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7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⑦</w:t>
            </w:r>
            <w:r>
              <w:rPr>
                <w:rFonts w:ascii="Times New Roman"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restart"/>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废气</w:t>
            </w: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000000"/>
                <w:kern w:val="21"/>
                <w:szCs w:val="21"/>
                <w:lang w:eastAsia="zh-CN"/>
              </w:rPr>
            </w:pPr>
            <w:r>
              <w:rPr>
                <w:rFonts w:hint="eastAsia" w:ascii="Times New Roman"/>
                <w:snapToGrid w:val="0"/>
                <w:color w:val="000000"/>
                <w:kern w:val="21"/>
                <w:szCs w:val="21"/>
                <w:lang w:val="en-US" w:eastAsia="zh-CN"/>
              </w:rPr>
              <w:t>VOCs</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lang w:val="en-US" w:eastAsia="zh-CN"/>
              </w:rPr>
              <w:t>0.0005</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0.0005</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+0.0005</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HCl</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 w:val="21"/>
                <w:szCs w:val="21"/>
                <w:lang w:val="en-US" w:eastAsia="zh-CN" w:bidi="ar-SA"/>
              </w:rPr>
              <w:t>0.0342</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 w:val="21"/>
                <w:szCs w:val="21"/>
                <w:lang w:val="en-US" w:eastAsia="zh-CN" w:bidi="ar-SA"/>
              </w:rPr>
              <w:t>0.0342</w:t>
            </w:r>
            <w:r>
              <w:rPr>
                <w:rFonts w:hint="eastAsia" w:ascii="Times New Roman"/>
                <w:snapToGrid w:val="0"/>
                <w:color w:val="000000"/>
                <w:kern w:val="21"/>
                <w:szCs w:val="21"/>
              </w:rPr>
              <w:t>t/a</w:t>
            </w:r>
          </w:p>
        </w:tc>
        <w:tc>
          <w:tcPr>
            <w:tcW w:w="161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hAnsi="Times New Roman" w:eastAsia="宋体" w:cs="Times New Roman"/>
                <w:snapToGrid w:val="0"/>
                <w:color w:val="000000"/>
                <w:kern w:val="21"/>
                <w:sz w:val="21"/>
                <w:szCs w:val="21"/>
                <w:lang w:val="en-US" w:eastAsia="zh-CN" w:bidi="ar-SA"/>
              </w:rPr>
              <w:t>0.0342</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NOx</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 w:val="21"/>
                <w:szCs w:val="21"/>
                <w:lang w:val="en-US" w:eastAsia="zh-CN" w:bidi="ar-SA"/>
              </w:rPr>
              <w:t>0.1732</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 w:val="21"/>
                <w:szCs w:val="21"/>
                <w:lang w:val="en-US" w:eastAsia="zh-CN" w:bidi="ar-SA"/>
              </w:rPr>
              <w:t>0.1732</w:t>
            </w:r>
            <w:r>
              <w:rPr>
                <w:rFonts w:hint="eastAsia" w:ascii="Times New Roman"/>
                <w:snapToGrid w:val="0"/>
                <w:color w:val="000000"/>
                <w:kern w:val="21"/>
                <w:szCs w:val="21"/>
              </w:rPr>
              <w:t>t/a</w:t>
            </w:r>
          </w:p>
        </w:tc>
        <w:tc>
          <w:tcPr>
            <w:tcW w:w="161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hAnsi="Times New Roman" w:eastAsia="宋体" w:cs="Times New Roman"/>
                <w:snapToGrid w:val="0"/>
                <w:color w:val="000000"/>
                <w:kern w:val="21"/>
                <w:sz w:val="21"/>
                <w:szCs w:val="21"/>
                <w:lang w:val="en-US" w:eastAsia="zh-CN" w:bidi="ar-SA"/>
              </w:rPr>
              <w:t>0.1732</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硫酸雾</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 w:val="21"/>
                <w:szCs w:val="21"/>
                <w:lang w:val="en-US" w:eastAsia="zh-CN" w:bidi="ar-SA"/>
              </w:rPr>
              <w:t>0.026</w:t>
            </w:r>
            <w:r>
              <w:rPr>
                <w:rFonts w:hint="eastAsia" w:cs="Times New Roman"/>
                <w:snapToGrid w:val="0"/>
                <w:color w:val="000000"/>
                <w:kern w:val="21"/>
                <w:sz w:val="21"/>
                <w:szCs w:val="21"/>
                <w:lang w:val="en-US" w:eastAsia="zh-CN" w:bidi="ar-SA"/>
              </w:rPr>
              <w:t>6</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 w:val="21"/>
                <w:szCs w:val="21"/>
                <w:lang w:val="en-US" w:eastAsia="zh-CN" w:bidi="ar-SA"/>
              </w:rPr>
              <w:t>0.026</w:t>
            </w:r>
            <w:r>
              <w:rPr>
                <w:rFonts w:hint="eastAsia" w:cs="Times New Roman"/>
                <w:snapToGrid w:val="0"/>
                <w:color w:val="000000"/>
                <w:kern w:val="21"/>
                <w:sz w:val="21"/>
                <w:szCs w:val="21"/>
                <w:lang w:val="en-US" w:eastAsia="zh-CN" w:bidi="ar-SA"/>
              </w:rPr>
              <w:t>6</w:t>
            </w:r>
            <w:r>
              <w:rPr>
                <w:rFonts w:hint="eastAsia" w:ascii="Times New Roman"/>
                <w:snapToGrid w:val="0"/>
                <w:color w:val="000000"/>
                <w:kern w:val="21"/>
                <w:szCs w:val="21"/>
              </w:rPr>
              <w:t>t/a</w:t>
            </w:r>
          </w:p>
        </w:tc>
        <w:tc>
          <w:tcPr>
            <w:tcW w:w="161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hAnsi="Times New Roman" w:eastAsia="宋体" w:cs="Times New Roman"/>
                <w:snapToGrid w:val="0"/>
                <w:color w:val="000000"/>
                <w:kern w:val="21"/>
                <w:sz w:val="21"/>
                <w:szCs w:val="21"/>
                <w:lang w:val="en-US" w:eastAsia="zh-CN" w:bidi="ar-SA"/>
              </w:rPr>
              <w:t>0.026</w:t>
            </w:r>
            <w:r>
              <w:rPr>
                <w:rFonts w:hint="eastAsia" w:cs="Times New Roman"/>
                <w:snapToGrid w:val="0"/>
                <w:color w:val="000000"/>
                <w:kern w:val="21"/>
                <w:sz w:val="21"/>
                <w:szCs w:val="21"/>
                <w:lang w:val="en-US" w:eastAsia="zh-CN" w:bidi="ar-SA"/>
              </w:rPr>
              <w:t>6</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氨</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0.0132</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0.0132</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+0.0132</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restart"/>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废水</w:t>
            </w: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COD</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lang w:val="en-US" w:eastAsia="zh-CN"/>
              </w:rPr>
              <w:t>0.0776</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0.0776</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+0.0776</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NH</w:t>
            </w:r>
            <w:r>
              <w:rPr>
                <w:rFonts w:ascii="Times New Roman"/>
                <w:snapToGrid w:val="0"/>
                <w:color w:val="000000"/>
                <w:kern w:val="21"/>
                <w:szCs w:val="21"/>
                <w:vertAlign w:val="subscript"/>
              </w:rPr>
              <w:t>3</w:t>
            </w:r>
            <w:r>
              <w:rPr>
                <w:rFonts w:ascii="Times New Roman"/>
                <w:snapToGrid w:val="0"/>
                <w:color w:val="000000"/>
                <w:kern w:val="21"/>
                <w:szCs w:val="21"/>
              </w:rPr>
              <w:t>-N</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rPr>
              <w:t>0.00</w:t>
            </w:r>
            <w:r>
              <w:rPr>
                <w:rFonts w:hint="eastAsia" w:ascii="Times New Roman"/>
                <w:snapToGrid w:val="0"/>
                <w:color w:val="000000"/>
                <w:kern w:val="21"/>
                <w:szCs w:val="21"/>
                <w:lang w:val="en-US" w:eastAsia="zh-CN"/>
              </w:rPr>
              <w:t>39</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rPr>
              <w:t>0.00</w:t>
            </w:r>
            <w:r>
              <w:rPr>
                <w:rFonts w:hint="eastAsia" w:ascii="Times New Roman"/>
                <w:snapToGrid w:val="0"/>
                <w:color w:val="000000"/>
                <w:kern w:val="21"/>
                <w:szCs w:val="21"/>
                <w:lang w:val="en-US" w:eastAsia="zh-CN"/>
              </w:rPr>
              <w:t>39</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snapToGrid w:val="0"/>
                <w:color w:val="000000"/>
                <w:kern w:val="21"/>
                <w:szCs w:val="21"/>
              </w:rPr>
              <w:t>0.00</w:t>
            </w:r>
            <w:r>
              <w:rPr>
                <w:rFonts w:hint="eastAsia" w:ascii="Times New Roman"/>
                <w:snapToGrid w:val="0"/>
                <w:color w:val="000000"/>
                <w:kern w:val="21"/>
                <w:szCs w:val="21"/>
                <w:lang w:val="en-US" w:eastAsia="zh-CN"/>
              </w:rPr>
              <w:t>39</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restart"/>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rPr>
            </w:pPr>
            <w:r>
              <w:rPr>
                <w:rFonts w:hint="eastAsia" w:ascii="Times New Roman"/>
                <w:snapToGrid w:val="0"/>
                <w:color w:val="000000"/>
                <w:kern w:val="21"/>
                <w:szCs w:val="21"/>
              </w:rPr>
              <w:t>一般固废</w:t>
            </w: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废包装</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0.5t/a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0.5t/a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zCs w:val="21"/>
              </w:rPr>
              <w:t>废滤芯</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rPr>
            </w:pPr>
            <w:r>
              <w:rPr>
                <w:rFonts w:hint="eastAsia" w:ascii="Times New Roman"/>
                <w:szCs w:val="21"/>
                <w:lang w:val="en-US" w:eastAsia="zh-CN"/>
              </w:rPr>
              <w:t>0.5</w:t>
            </w:r>
            <w:r>
              <w:rPr>
                <w:rFonts w:hint="eastAsia" w:ascii="Times New Roman"/>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zCs w:val="21"/>
                <w:lang w:val="en-US" w:eastAsia="zh-CN"/>
              </w:rPr>
              <w:t>0.5</w:t>
            </w:r>
            <w:r>
              <w:rPr>
                <w:rFonts w:hint="eastAsia" w:ascii="Times New Roman"/>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szCs w:val="21"/>
                <w:lang w:val="en-US" w:eastAsia="zh-CN"/>
              </w:rPr>
              <w:t>0.5</w:t>
            </w:r>
            <w:r>
              <w:rPr>
                <w:rFonts w:hint="eastAsia" w:ascii="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zCs w:val="21"/>
              </w:rPr>
            </w:pPr>
            <w:r>
              <w:rPr>
                <w:rFonts w:hint="eastAsia" w:ascii="Times New Roman"/>
                <w:szCs w:val="21"/>
              </w:rPr>
              <w:t>废离子交换树脂</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zCs w:val="21"/>
              </w:rPr>
            </w:pPr>
            <w:r>
              <w:rPr>
                <w:rFonts w:hint="eastAsia" w:ascii="Times New Roman"/>
                <w:szCs w:val="21"/>
                <w:lang w:val="en-US" w:eastAsia="zh-CN"/>
              </w:rPr>
              <w:t>0.2</w:t>
            </w:r>
            <w:r>
              <w:rPr>
                <w:rFonts w:hint="eastAsia" w:ascii="Times New Roman"/>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kern w:val="0"/>
                <w:sz w:val="21"/>
                <w:szCs w:val="21"/>
                <w:lang w:val="en-US" w:eastAsia="zh-CN" w:bidi="ar-SA"/>
              </w:rPr>
            </w:pPr>
            <w:r>
              <w:rPr>
                <w:rFonts w:hint="eastAsia" w:ascii="Times New Roman"/>
                <w:szCs w:val="21"/>
                <w:lang w:val="en-US" w:eastAsia="zh-CN"/>
              </w:rPr>
              <w:t>0.2</w:t>
            </w:r>
            <w:r>
              <w:rPr>
                <w:rFonts w:hint="eastAsia" w:ascii="Times New Roman"/>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kern w:val="0"/>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szCs w:val="21"/>
                <w:lang w:val="en-US" w:eastAsia="zh-CN"/>
              </w:rPr>
              <w:t>0.2</w:t>
            </w:r>
            <w:r>
              <w:rPr>
                <w:rFonts w:hint="eastAsia" w:ascii="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zCs w:val="21"/>
              </w:rPr>
              <w:t>废反渗透膜</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rPr>
            </w:pPr>
            <w:r>
              <w:rPr>
                <w:rFonts w:hint="eastAsia" w:ascii="Times New Roman"/>
                <w:szCs w:val="21"/>
              </w:rPr>
              <w:t>0.015t/a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zCs w:val="21"/>
              </w:rPr>
              <w:t>0.015t/a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szCs w:val="21"/>
              </w:rPr>
              <w:t>0.015t/a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生活垃圾</w:t>
            </w: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eastAsia="宋体"/>
                <w:szCs w:val="21"/>
                <w:lang w:val="en-US" w:eastAsia="zh-CN"/>
              </w:rPr>
            </w:pPr>
            <w:r>
              <w:rPr>
                <w:rFonts w:hint="eastAsia" w:ascii="Times New Roman"/>
                <w:szCs w:val="21"/>
                <w:lang w:val="en-US" w:eastAsia="zh-CN"/>
              </w:rPr>
              <w:t>生活垃圾</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zCs w:val="21"/>
                <w:lang w:val="en-US" w:eastAsia="zh-CN"/>
              </w:rPr>
            </w:pPr>
            <w:r>
              <w:rPr>
                <w:rFonts w:hint="eastAsia" w:ascii="Times New Roman"/>
                <w:szCs w:val="21"/>
                <w:lang w:val="en-US" w:eastAsia="zh-CN"/>
              </w:rPr>
              <w:t>3t/a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zCs w:val="21"/>
              </w:rPr>
            </w:pPr>
            <w:r>
              <w:rPr>
                <w:rFonts w:hint="eastAsia" w:ascii="Times New Roman"/>
                <w:szCs w:val="21"/>
                <w:lang w:val="en-US" w:eastAsia="zh-CN"/>
              </w:rPr>
              <w:t>3t/a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lang w:val="en-US" w:eastAsia="zh-CN"/>
              </w:rPr>
            </w:pPr>
            <w:r>
              <w:rPr>
                <w:rFonts w:hint="eastAsia" w:ascii="Times New Roman"/>
                <w:szCs w:val="21"/>
                <w:lang w:val="en-US" w:eastAsia="zh-CN"/>
              </w:rPr>
              <w:t>+3t/a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restart"/>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危险废物</w:t>
            </w: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auto"/>
                <w:kern w:val="21"/>
                <w:szCs w:val="21"/>
              </w:rPr>
            </w:pPr>
            <w:r>
              <w:rPr>
                <w:rFonts w:ascii="Times New Roman"/>
                <w:snapToGrid w:val="0"/>
                <w:color w:val="auto"/>
                <w:kern w:val="21"/>
                <w:szCs w:val="21"/>
              </w:rPr>
              <w:t>污泥</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auto"/>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auto"/>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auto"/>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0.9t/a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auto"/>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eastAsia="zh-CN"/>
              </w:rPr>
              <w:t>0.9t/a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r>
              <w:rPr>
                <w:rFonts w:hint="eastAsia" w:ascii="Times New Roman"/>
                <w:snapToGrid w:val="0"/>
                <w:color w:val="auto"/>
                <w:kern w:val="21"/>
                <w:szCs w:val="21"/>
                <w:lang w:eastAsia="zh-CN"/>
              </w:rPr>
              <w:t>0.9t/a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lang w:val="en-US" w:eastAsia="zh-CN"/>
              </w:rPr>
              <w:t>废</w:t>
            </w:r>
            <w:r>
              <w:rPr>
                <w:rFonts w:ascii="Times New Roman"/>
                <w:snapToGrid w:val="0"/>
                <w:color w:val="000000"/>
                <w:kern w:val="21"/>
                <w:szCs w:val="21"/>
              </w:rPr>
              <w:t>实验材料</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lang w:val="en-US" w:eastAsia="zh-CN"/>
              </w:rPr>
              <w:t>1</w:t>
            </w:r>
            <w:r>
              <w:rPr>
                <w:rFonts w:ascii="Times New Roman"/>
                <w:snapToGrid w:val="0"/>
                <w:color w:val="000000"/>
                <w:kern w:val="21"/>
                <w:szCs w:val="21"/>
              </w:rPr>
              <w:t>.5</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1</w:t>
            </w:r>
            <w:r>
              <w:rPr>
                <w:rFonts w:ascii="Times New Roman"/>
                <w:snapToGrid w:val="0"/>
                <w:color w:val="000000"/>
                <w:kern w:val="21"/>
                <w:szCs w:val="21"/>
              </w:rPr>
              <w:t>.5</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+1</w:t>
            </w:r>
            <w:r>
              <w:rPr>
                <w:rFonts w:ascii="Times New Roman"/>
                <w:snapToGrid w:val="0"/>
                <w:color w:val="000000"/>
                <w:kern w:val="21"/>
                <w:szCs w:val="21"/>
              </w:rPr>
              <w:t>.5</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实验废液</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rPr>
              <w:t>0.</w:t>
            </w:r>
            <w:r>
              <w:rPr>
                <w:rFonts w:hint="eastAsia" w:ascii="Times New Roman"/>
                <w:snapToGrid w:val="0"/>
                <w:color w:val="000000"/>
                <w:kern w:val="21"/>
                <w:szCs w:val="21"/>
                <w:lang w:val="en-US" w:eastAsia="zh-CN"/>
              </w:rPr>
              <w:t>05</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rPr>
              <w:t>0.</w:t>
            </w:r>
            <w:r>
              <w:rPr>
                <w:rFonts w:hint="eastAsia" w:ascii="Times New Roman"/>
                <w:snapToGrid w:val="0"/>
                <w:color w:val="000000"/>
                <w:kern w:val="21"/>
                <w:szCs w:val="21"/>
                <w:lang w:val="en-US" w:eastAsia="zh-CN"/>
              </w:rPr>
              <w:t>05</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snapToGrid w:val="0"/>
                <w:color w:val="000000"/>
                <w:kern w:val="21"/>
                <w:szCs w:val="21"/>
              </w:rPr>
              <w:t>0.</w:t>
            </w:r>
            <w:r>
              <w:rPr>
                <w:rFonts w:hint="eastAsia" w:ascii="Times New Roman"/>
                <w:snapToGrid w:val="0"/>
                <w:color w:val="000000"/>
                <w:kern w:val="21"/>
                <w:szCs w:val="21"/>
                <w:lang w:val="en-US" w:eastAsia="zh-CN"/>
              </w:rPr>
              <w:t>05</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废活性炭</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lang w:val="en-US" w:eastAsia="zh-CN"/>
              </w:rPr>
              <w:t>0.081</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0.081</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+0.081</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废紫外灯管</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0.003t/a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0.003t/a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碱喷淋废液</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2t/a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2t/a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ascii="Times New Roman"/>
                <w:snapToGrid w:val="0"/>
                <w:color w:val="000000"/>
                <w:kern w:val="21"/>
                <w:szCs w:val="21"/>
              </w:rPr>
              <w:t>废过滤器</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r>
              <w:rPr>
                <w:rFonts w:hint="eastAsia" w:ascii="Times New Roman"/>
                <w:snapToGrid w:val="0"/>
                <w:color w:val="000000"/>
                <w:kern w:val="21"/>
                <w:szCs w:val="21"/>
              </w:rPr>
              <w:t>0.0</w:t>
            </w:r>
            <w:r>
              <w:rPr>
                <w:rFonts w:hint="eastAsia" w:ascii="Times New Roman"/>
                <w:snapToGrid w:val="0"/>
                <w:color w:val="000000"/>
                <w:kern w:val="21"/>
                <w:szCs w:val="21"/>
                <w:lang w:val="en-US" w:eastAsia="zh-CN"/>
              </w:rPr>
              <w:t>2</w:t>
            </w:r>
            <w:r>
              <w:rPr>
                <w:rFonts w:hint="eastAsia" w:ascii="Times New Roman"/>
                <w:snapToGrid w:val="0"/>
                <w:color w:val="000000"/>
                <w:kern w:val="21"/>
                <w:szCs w:val="21"/>
              </w:rPr>
              <w:t>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rPr>
              <w:t>0.0</w:t>
            </w:r>
            <w:r>
              <w:rPr>
                <w:rFonts w:hint="eastAsia" w:ascii="Times New Roman"/>
                <w:snapToGrid w:val="0"/>
                <w:color w:val="000000"/>
                <w:kern w:val="21"/>
                <w:szCs w:val="21"/>
                <w:lang w:val="en-US" w:eastAsia="zh-CN"/>
              </w:rPr>
              <w:t>2</w:t>
            </w:r>
            <w:r>
              <w:rPr>
                <w:rFonts w:hint="eastAsia" w:ascii="Times New Roman"/>
                <w:snapToGrid w:val="0"/>
                <w:color w:val="000000"/>
                <w:kern w:val="21"/>
                <w:szCs w:val="21"/>
              </w:rPr>
              <w:t>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r>
              <w:rPr>
                <w:rFonts w:hint="eastAsia" w:ascii="Times New Roman"/>
                <w:snapToGrid w:val="0"/>
                <w:color w:val="000000"/>
                <w:kern w:val="21"/>
                <w:szCs w:val="21"/>
              </w:rPr>
              <w:t>0.0</w:t>
            </w:r>
            <w:r>
              <w:rPr>
                <w:rFonts w:hint="eastAsia" w:ascii="Times New Roman"/>
                <w:snapToGrid w:val="0"/>
                <w:color w:val="000000"/>
                <w:kern w:val="21"/>
                <w:szCs w:val="21"/>
                <w:lang w:val="en-US" w:eastAsia="zh-CN"/>
              </w:rPr>
              <w:t>2</w:t>
            </w:r>
            <w:r>
              <w:rPr>
                <w:rFonts w:hint="eastAsia" w:ascii="Times New Roman"/>
                <w:snapToGrid w:val="0"/>
                <w:color w:val="00000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报废化学试剂</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0.01t/a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0.01t/a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05" w:type="dxa"/>
            <w:vMerge w:val="continue"/>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338"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lang w:val="en-US" w:eastAsia="zh-CN"/>
              </w:rPr>
            </w:pPr>
            <w:r>
              <w:rPr>
                <w:rFonts w:hint="eastAsia" w:ascii="Times New Roman"/>
                <w:snapToGrid w:val="0"/>
                <w:color w:val="000000"/>
                <w:kern w:val="21"/>
                <w:szCs w:val="21"/>
                <w:lang w:val="en-US" w:eastAsia="zh-CN"/>
              </w:rPr>
              <w:t>化学品废弃容器</w:t>
            </w: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200"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16"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6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0.04t/a</w:t>
            </w:r>
          </w:p>
        </w:tc>
        <w:tc>
          <w:tcPr>
            <w:tcW w:w="148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ascii="Times New Roman"/>
                <w:snapToGrid w:val="0"/>
                <w:color w:val="000000"/>
                <w:kern w:val="21"/>
                <w:szCs w:val="21"/>
              </w:rPr>
            </w:pPr>
          </w:p>
        </w:tc>
        <w:tc>
          <w:tcPr>
            <w:tcW w:w="1869"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0.04t/a</w:t>
            </w:r>
          </w:p>
        </w:tc>
        <w:tc>
          <w:tcPr>
            <w:tcW w:w="1614" w:type="dxa"/>
            <w:noWrap w:val="0"/>
            <w:vAlign w:val="center"/>
          </w:tcPr>
          <w:p>
            <w:pPr>
              <w:pStyle w:val="5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+0.04t/a</w:t>
            </w:r>
          </w:p>
        </w:tc>
      </w:tr>
    </w:tbl>
    <w:p>
      <w:pPr>
        <w:pStyle w:val="51"/>
        <w:spacing w:before="192" w:beforeLines="80" w:after="24"/>
        <w:jc w:val="left"/>
        <w:rPr>
          <w:rFonts w:ascii="Times New Roman"/>
          <w:snapToGrid w:val="0"/>
          <w:color w:val="000000"/>
          <w:spacing w:val="-6"/>
          <w:kern w:val="21"/>
          <w:szCs w:val="21"/>
        </w:rPr>
        <w:sectPr>
          <w:footerReference r:id="rId6" w:type="default"/>
          <w:pgSz w:w="16838" w:h="11906" w:orient="landscape"/>
          <w:pgMar w:top="1531" w:right="1701" w:bottom="1531" w:left="1701" w:header="851" w:footer="851" w:gutter="0"/>
          <w:pgNumType w:fmt="decimal"/>
          <w:cols w:space="720" w:num="1"/>
          <w:docGrid w:linePitch="312" w:charSpace="0"/>
        </w:sect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szCs w:val="21"/>
        </w:rPr>
        <w:t>①</w:t>
      </w:r>
      <w:r>
        <w:rPr>
          <w:rFonts w:ascii="Times New Roman"/>
          <w:snapToGrid w:val="0"/>
          <w:color w:val="000000"/>
          <w:spacing w:val="-6"/>
          <w:kern w:val="21"/>
          <w:szCs w:val="21"/>
        </w:rPr>
        <w:fldChar w:fldCharType="end"/>
      </w:r>
    </w:p>
    <w:p>
      <w:pPr>
        <w:sectPr>
          <w:footerReference r:id="rId7" w:type="default"/>
          <w:pgSz w:w="11906" w:h="16838"/>
          <w:pgMar w:top="1701" w:right="1531" w:bottom="1701" w:left="1531" w:header="851" w:footer="851" w:gutter="0"/>
          <w:pgNumType w:fmt="decimal"/>
          <w:cols w:space="720" w:num="1"/>
          <w:docGrid w:linePitch="312" w:charSpace="0"/>
        </w:sectPr>
      </w:pPr>
      <w:r>
        <w:drawing>
          <wp:inline distT="0" distB="0" distL="114300" distR="114300">
            <wp:extent cx="5480050" cy="8152130"/>
            <wp:effectExtent l="0" t="0" r="6350" b="127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8"/>
                    <a:stretch>
                      <a:fillRect/>
                    </a:stretch>
                  </pic:blipFill>
                  <pic:spPr>
                    <a:xfrm>
                      <a:off x="0" y="0"/>
                      <a:ext cx="5480050" cy="8152130"/>
                    </a:xfrm>
                    <a:prstGeom prst="rect">
                      <a:avLst/>
                    </a:prstGeom>
                    <a:noFill/>
                    <a:ln>
                      <a:noFill/>
                    </a:ln>
                  </pic:spPr>
                </pic:pic>
              </a:graphicData>
            </a:graphic>
          </wp:inline>
        </w:drawing>
      </w:r>
    </w:p>
    <w:p>
      <w:pPr>
        <w:pStyle w:val="2"/>
        <w:jc w:val="center"/>
        <w:sectPr>
          <w:pgSz w:w="16838" w:h="11906" w:orient="landscape"/>
          <w:pgMar w:top="1531" w:right="1701" w:bottom="1531" w:left="1701" w:header="851" w:footer="851" w:gutter="0"/>
          <w:pgNumType w:fmt="decimal"/>
          <w:cols w:space="720" w:num="1"/>
          <w:docGrid w:linePitch="312" w:charSpace="0"/>
        </w:sectPr>
      </w:pPr>
      <w:r>
        <w:drawing>
          <wp:inline distT="0" distB="0" distL="114300" distR="114300">
            <wp:extent cx="7500620" cy="5554980"/>
            <wp:effectExtent l="0" t="0" r="5080" b="762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9"/>
                    <a:stretch>
                      <a:fillRect/>
                    </a:stretch>
                  </pic:blipFill>
                  <pic:spPr>
                    <a:xfrm>
                      <a:off x="0" y="0"/>
                      <a:ext cx="7500620" cy="5554980"/>
                    </a:xfrm>
                    <a:prstGeom prst="rect">
                      <a:avLst/>
                    </a:prstGeom>
                    <a:noFill/>
                    <a:ln>
                      <a:noFill/>
                    </a:ln>
                  </pic:spPr>
                </pic:pic>
              </a:graphicData>
            </a:graphic>
          </wp:inline>
        </w:drawing>
      </w:r>
      <w:r>
        <w:drawing>
          <wp:inline distT="0" distB="0" distL="114300" distR="114300">
            <wp:extent cx="6838950" cy="505777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0"/>
                    <a:stretch>
                      <a:fillRect/>
                    </a:stretch>
                  </pic:blipFill>
                  <pic:spPr>
                    <a:xfrm>
                      <a:off x="0" y="0"/>
                      <a:ext cx="6838950" cy="5057775"/>
                    </a:xfrm>
                    <a:prstGeom prst="rect">
                      <a:avLst/>
                    </a:prstGeom>
                    <a:noFill/>
                    <a:ln>
                      <a:noFill/>
                    </a:ln>
                  </pic:spPr>
                </pic:pic>
              </a:graphicData>
            </a:graphic>
          </wp:inline>
        </w:drawing>
      </w:r>
      <w:r>
        <w:drawing>
          <wp:inline distT="0" distB="0" distL="114300" distR="114300">
            <wp:extent cx="6934200" cy="4562475"/>
            <wp:effectExtent l="0" t="0" r="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1"/>
                    <a:stretch>
                      <a:fillRect/>
                    </a:stretch>
                  </pic:blipFill>
                  <pic:spPr>
                    <a:xfrm>
                      <a:off x="0" y="0"/>
                      <a:ext cx="6934200" cy="4562475"/>
                    </a:xfrm>
                    <a:prstGeom prst="rect">
                      <a:avLst/>
                    </a:prstGeom>
                    <a:noFill/>
                    <a:ln>
                      <a:noFill/>
                    </a:ln>
                  </pic:spPr>
                </pic:pic>
              </a:graphicData>
            </a:graphic>
          </wp:inline>
        </w:drawing>
      </w:r>
      <w:r>
        <w:drawing>
          <wp:inline distT="0" distB="0" distL="114300" distR="114300">
            <wp:extent cx="6753225" cy="435292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2"/>
                    <a:stretch>
                      <a:fillRect/>
                    </a:stretch>
                  </pic:blipFill>
                  <pic:spPr>
                    <a:xfrm>
                      <a:off x="0" y="0"/>
                      <a:ext cx="6753225" cy="4352925"/>
                    </a:xfrm>
                    <a:prstGeom prst="rect">
                      <a:avLst/>
                    </a:prstGeom>
                    <a:noFill/>
                    <a:ln>
                      <a:noFill/>
                    </a:ln>
                  </pic:spPr>
                </pic:pic>
              </a:graphicData>
            </a:graphic>
          </wp:inline>
        </w:drawing>
      </w:r>
      <w:r>
        <w:drawing>
          <wp:inline distT="0" distB="0" distL="114300" distR="114300">
            <wp:extent cx="7038975" cy="43910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3"/>
                    <a:stretch>
                      <a:fillRect/>
                    </a:stretch>
                  </pic:blipFill>
                  <pic:spPr>
                    <a:xfrm>
                      <a:off x="0" y="0"/>
                      <a:ext cx="7038975" cy="4391025"/>
                    </a:xfrm>
                    <a:prstGeom prst="rect">
                      <a:avLst/>
                    </a:prstGeom>
                    <a:noFill/>
                    <a:ln>
                      <a:noFill/>
                    </a:ln>
                  </pic:spPr>
                </pic:pic>
              </a:graphicData>
            </a:graphic>
          </wp:inline>
        </w:drawing>
      </w:r>
    </w:p>
    <w:p>
      <w:pPr>
        <w:rPr>
          <w:rFonts w:hint="default"/>
        </w:rPr>
      </w:pPr>
      <w:r>
        <w:rPr>
          <w:sz w:val="21"/>
        </w:rPr>
        <mc:AlternateContent>
          <mc:Choice Requires="wps">
            <w:drawing>
              <wp:anchor distT="0" distB="0" distL="114300" distR="114300" simplePos="0" relativeHeight="251662336" behindDoc="0" locked="0" layoutInCell="1" allowOverlap="1">
                <wp:simplePos x="0" y="0"/>
                <wp:positionH relativeFrom="column">
                  <wp:posOffset>4822190</wp:posOffset>
                </wp:positionH>
                <wp:positionV relativeFrom="paragraph">
                  <wp:posOffset>26670</wp:posOffset>
                </wp:positionV>
                <wp:extent cx="967740" cy="517525"/>
                <wp:effectExtent l="0" t="0" r="3810" b="15875"/>
                <wp:wrapNone/>
                <wp:docPr id="24" name="矩形 24"/>
                <wp:cNvGraphicFramePr/>
                <a:graphic xmlns:a="http://schemas.openxmlformats.org/drawingml/2006/main">
                  <a:graphicData uri="http://schemas.microsoft.com/office/word/2010/wordprocessingShape">
                    <wps:wsp>
                      <wps:cNvSpPr/>
                      <wps:spPr>
                        <a:xfrm>
                          <a:off x="5794375" y="1106805"/>
                          <a:ext cx="967740" cy="517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附件</w:t>
                            </w:r>
                            <w:r>
                              <w:rPr>
                                <w:rFonts w:hint="eastAsia"/>
                                <w:b/>
                                <w:bCs/>
                                <w:color w:val="000000" w:themeColor="text1"/>
                                <w:sz w:val="24"/>
                                <w:szCs w:val="32"/>
                                <w:lang w:val="en-US" w:eastAsia="zh-CN"/>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9.7pt;margin-top:2.1pt;height:40.75pt;width:76.2pt;z-index:251662336;v-text-anchor:middle;mso-width-relative:page;mso-height-relative:page;" filled="f" stroked="f" coordsize="21600,21600" o:gfxdata="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9VSX92AAAAAgBAAAPAAAAAAAAAAEAIAAAACIAAABkcnMvZG93bnJldi54bWxQSwECFAAUAAAA&#10;CACHTuJAAsiAAmACAACjBAAADgAAAAAAAAABACAAAAAnAQAAZHJzL2Uyb0RvYy54bWxQSwUGAAAA&#10;AAYABgBZAQAA+QUAAAAA&#10;">
                <v:fill on="f" focussize="0,0"/>
                <v:stroke on="f" weight="2pt"/>
                <v:imagedata o:title=""/>
                <o:lock v:ext="edit" aspectratio="f"/>
                <v:textbox>
                  <w:txbxContent>
                    <w:p>
                      <w:pPr>
                        <w:jc w:val="center"/>
                        <w:rPr>
                          <w:rFonts w:hint="default" w:eastAsia="宋体"/>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附件</w:t>
                      </w:r>
                      <w:r>
                        <w:rPr>
                          <w:rFonts w:hint="eastAsia"/>
                          <w:b/>
                          <w:bCs/>
                          <w:color w:val="000000" w:themeColor="text1"/>
                          <w:sz w:val="24"/>
                          <w:szCs w:val="32"/>
                          <w:lang w:val="en-US" w:eastAsia="zh-CN"/>
                          <w14:textFill>
                            <w14:solidFill>
                              <w14:schemeClr w14:val="tx1"/>
                            </w14:solidFill>
                          </w14:textFill>
                        </w:rPr>
                        <w:t>1</w:t>
                      </w:r>
                    </w:p>
                  </w:txbxContent>
                </v:textbox>
              </v:rect>
            </w:pict>
          </mc:Fallback>
        </mc:AlternateContent>
      </w:r>
      <w:r>
        <w:drawing>
          <wp:inline distT="0" distB="0" distL="114300" distR="114300">
            <wp:extent cx="5614670" cy="7848600"/>
            <wp:effectExtent l="0" t="0" r="508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4"/>
                    <a:stretch>
                      <a:fillRect/>
                    </a:stretch>
                  </pic:blipFill>
                  <pic:spPr>
                    <a:xfrm>
                      <a:off x="0" y="0"/>
                      <a:ext cx="5614670" cy="7848600"/>
                    </a:xfrm>
                    <a:prstGeom prst="rect">
                      <a:avLst/>
                    </a:prstGeom>
                    <a:noFill/>
                    <a:ln>
                      <a:noFill/>
                    </a:ln>
                  </pic:spPr>
                </pic:pic>
              </a:graphicData>
            </a:graphic>
          </wp:inline>
        </w:drawing>
      </w:r>
      <w:r>
        <w:drawing>
          <wp:inline distT="0" distB="0" distL="114300" distR="114300">
            <wp:extent cx="5313680" cy="7981315"/>
            <wp:effectExtent l="0" t="0" r="1270" b="63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5"/>
                    <a:stretch>
                      <a:fillRect/>
                    </a:stretch>
                  </pic:blipFill>
                  <pic:spPr>
                    <a:xfrm>
                      <a:off x="0" y="0"/>
                      <a:ext cx="5313680" cy="7981315"/>
                    </a:xfrm>
                    <a:prstGeom prst="rect">
                      <a:avLst/>
                    </a:prstGeom>
                    <a:noFill/>
                    <a:ln>
                      <a:noFill/>
                    </a:ln>
                  </pic:spPr>
                </pic:pic>
              </a:graphicData>
            </a:graphic>
          </wp:inline>
        </w:drawing>
      </w:r>
      <w:r>
        <w:drawing>
          <wp:inline distT="0" distB="0" distL="114300" distR="114300">
            <wp:extent cx="5682615" cy="7618095"/>
            <wp:effectExtent l="0" t="0" r="13335" b="190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6"/>
                    <a:stretch>
                      <a:fillRect/>
                    </a:stretch>
                  </pic:blipFill>
                  <pic:spPr>
                    <a:xfrm>
                      <a:off x="0" y="0"/>
                      <a:ext cx="5682615" cy="7618095"/>
                    </a:xfrm>
                    <a:prstGeom prst="rect">
                      <a:avLst/>
                    </a:prstGeom>
                    <a:noFill/>
                    <a:ln>
                      <a:noFill/>
                    </a:ln>
                  </pic:spPr>
                </pic:pic>
              </a:graphicData>
            </a:graphic>
          </wp:inline>
        </w:drawing>
      </w:r>
      <w:r>
        <w:drawing>
          <wp:inline distT="0" distB="0" distL="114300" distR="114300">
            <wp:extent cx="5745480" cy="7729220"/>
            <wp:effectExtent l="0" t="0" r="7620" b="508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7"/>
                    <a:stretch>
                      <a:fillRect/>
                    </a:stretch>
                  </pic:blipFill>
                  <pic:spPr>
                    <a:xfrm>
                      <a:off x="0" y="0"/>
                      <a:ext cx="5745480" cy="7729220"/>
                    </a:xfrm>
                    <a:prstGeom prst="rect">
                      <a:avLst/>
                    </a:prstGeom>
                    <a:noFill/>
                    <a:ln>
                      <a:noFill/>
                    </a:ln>
                  </pic:spPr>
                </pic:pic>
              </a:graphicData>
            </a:graphic>
          </wp:inline>
        </w:drawing>
      </w:r>
      <w:r>
        <w:drawing>
          <wp:inline distT="0" distB="0" distL="114300" distR="114300">
            <wp:extent cx="5577840" cy="7992745"/>
            <wp:effectExtent l="0" t="0" r="3810" b="825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8"/>
                    <a:stretch>
                      <a:fillRect/>
                    </a:stretch>
                  </pic:blipFill>
                  <pic:spPr>
                    <a:xfrm>
                      <a:off x="0" y="0"/>
                      <a:ext cx="5577840" cy="7992745"/>
                    </a:xfrm>
                    <a:prstGeom prst="rect">
                      <a:avLst/>
                    </a:prstGeom>
                    <a:noFill/>
                    <a:ln>
                      <a:noFill/>
                    </a:ln>
                  </pic:spPr>
                </pic:pic>
              </a:graphicData>
            </a:graphic>
          </wp:inline>
        </w:drawing>
      </w:r>
      <w:r>
        <w:drawing>
          <wp:inline distT="0" distB="0" distL="114300" distR="114300">
            <wp:extent cx="5599430" cy="8326755"/>
            <wp:effectExtent l="0" t="0" r="1270" b="1714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39"/>
                    <a:stretch>
                      <a:fillRect/>
                    </a:stretch>
                  </pic:blipFill>
                  <pic:spPr>
                    <a:xfrm>
                      <a:off x="0" y="0"/>
                      <a:ext cx="5599430" cy="8326755"/>
                    </a:xfrm>
                    <a:prstGeom prst="rect">
                      <a:avLst/>
                    </a:prstGeom>
                    <a:noFill/>
                    <a:ln>
                      <a:noFill/>
                    </a:ln>
                  </pic:spPr>
                </pic:pic>
              </a:graphicData>
            </a:graphic>
          </wp:inline>
        </w:drawing>
      </w:r>
      <w:r>
        <w:drawing>
          <wp:inline distT="0" distB="0" distL="114300" distR="114300">
            <wp:extent cx="5536565" cy="7849870"/>
            <wp:effectExtent l="0" t="0" r="6985" b="1778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40"/>
                    <a:stretch>
                      <a:fillRect/>
                    </a:stretch>
                  </pic:blipFill>
                  <pic:spPr>
                    <a:xfrm>
                      <a:off x="0" y="0"/>
                      <a:ext cx="5536565" cy="7849870"/>
                    </a:xfrm>
                    <a:prstGeom prst="rect">
                      <a:avLst/>
                    </a:prstGeom>
                    <a:noFill/>
                    <a:ln>
                      <a:noFill/>
                    </a:ln>
                  </pic:spPr>
                </pic:pic>
              </a:graphicData>
            </a:graphic>
          </wp:inline>
        </w:drawing>
      </w:r>
      <w:r>
        <w:drawing>
          <wp:inline distT="0" distB="0" distL="114300" distR="114300">
            <wp:extent cx="5844540" cy="7973060"/>
            <wp:effectExtent l="0" t="0" r="3810" b="889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41"/>
                    <a:stretch>
                      <a:fillRect/>
                    </a:stretch>
                  </pic:blipFill>
                  <pic:spPr>
                    <a:xfrm>
                      <a:off x="0" y="0"/>
                      <a:ext cx="5844540" cy="7973060"/>
                    </a:xfrm>
                    <a:prstGeom prst="rect">
                      <a:avLst/>
                    </a:prstGeom>
                    <a:noFill/>
                    <a:ln>
                      <a:noFill/>
                    </a:ln>
                  </pic:spPr>
                </pic:pic>
              </a:graphicData>
            </a:graphic>
          </wp:inline>
        </w:drawing>
      </w:r>
      <w:r>
        <w:drawing>
          <wp:inline distT="0" distB="0" distL="114300" distR="114300">
            <wp:extent cx="5923915" cy="8124190"/>
            <wp:effectExtent l="0" t="0" r="635" b="1016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2">
                      <a:lum bright="6000"/>
                    </a:blip>
                    <a:stretch>
                      <a:fillRect/>
                    </a:stretch>
                  </pic:blipFill>
                  <pic:spPr>
                    <a:xfrm>
                      <a:off x="0" y="0"/>
                      <a:ext cx="5923915" cy="8124190"/>
                    </a:xfrm>
                    <a:prstGeom prst="rect">
                      <a:avLst/>
                    </a:prstGeom>
                    <a:noFill/>
                    <a:ln>
                      <a:noFill/>
                    </a:ln>
                  </pic:spPr>
                </pic:pic>
              </a:graphicData>
            </a:graphic>
          </wp:inline>
        </w:drawing>
      </w:r>
      <w:r>
        <w:drawing>
          <wp:inline distT="0" distB="0" distL="114300" distR="114300">
            <wp:extent cx="6006465" cy="8380095"/>
            <wp:effectExtent l="0" t="0" r="13335" b="19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3">
                      <a:lum bright="6000"/>
                    </a:blip>
                    <a:stretch>
                      <a:fillRect/>
                    </a:stretch>
                  </pic:blipFill>
                  <pic:spPr>
                    <a:xfrm>
                      <a:off x="0" y="0"/>
                      <a:ext cx="6006465" cy="8380095"/>
                    </a:xfrm>
                    <a:prstGeom prst="rect">
                      <a:avLst/>
                    </a:prstGeom>
                    <a:noFill/>
                    <a:ln>
                      <a:noFill/>
                    </a:ln>
                  </pic:spPr>
                </pic:pic>
              </a:graphicData>
            </a:graphic>
          </wp:inline>
        </w:drawing>
      </w:r>
    </w:p>
    <w:sectPr>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楷体">
    <w:panose1 w:val="02010609060101010101"/>
    <w:charset w:val="86"/>
    <w:family w:val="auto"/>
    <w:pitch w:val="default"/>
    <w:sig w:usb0="800002BF" w:usb1="38CF7CFA" w:usb2="00000016" w:usb3="00000000" w:csb0="00040001"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2"/>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hZmM0ZTQ0N2Y3ZDRkNjU1NjdhYjUxNmE2MjE4Mzg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C7E02"/>
    <w:rsid w:val="000D5A44"/>
    <w:rsid w:val="000E3ED2"/>
    <w:rsid w:val="001215D9"/>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742"/>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3FB8"/>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036C9"/>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6C7403"/>
    <w:rsid w:val="01830099"/>
    <w:rsid w:val="01846F1B"/>
    <w:rsid w:val="018B1760"/>
    <w:rsid w:val="01973B44"/>
    <w:rsid w:val="01D15B17"/>
    <w:rsid w:val="022655F4"/>
    <w:rsid w:val="023D280E"/>
    <w:rsid w:val="02697903"/>
    <w:rsid w:val="02EE59E6"/>
    <w:rsid w:val="02F96569"/>
    <w:rsid w:val="030B2BA1"/>
    <w:rsid w:val="033B6A83"/>
    <w:rsid w:val="039F1787"/>
    <w:rsid w:val="03EA7B21"/>
    <w:rsid w:val="047A1C27"/>
    <w:rsid w:val="0486045F"/>
    <w:rsid w:val="04C610B6"/>
    <w:rsid w:val="050414F1"/>
    <w:rsid w:val="052676B9"/>
    <w:rsid w:val="056F6141"/>
    <w:rsid w:val="059869F7"/>
    <w:rsid w:val="05F83EAE"/>
    <w:rsid w:val="06214D8B"/>
    <w:rsid w:val="063E7D85"/>
    <w:rsid w:val="067D59FE"/>
    <w:rsid w:val="0686076B"/>
    <w:rsid w:val="068820CC"/>
    <w:rsid w:val="07293586"/>
    <w:rsid w:val="07295285"/>
    <w:rsid w:val="07636392"/>
    <w:rsid w:val="077001D7"/>
    <w:rsid w:val="07770C56"/>
    <w:rsid w:val="079A4D85"/>
    <w:rsid w:val="07F97BC5"/>
    <w:rsid w:val="08D341D1"/>
    <w:rsid w:val="08DA0EE6"/>
    <w:rsid w:val="08E35A95"/>
    <w:rsid w:val="091661A3"/>
    <w:rsid w:val="092217DD"/>
    <w:rsid w:val="0923288D"/>
    <w:rsid w:val="093A7294"/>
    <w:rsid w:val="09BA4874"/>
    <w:rsid w:val="0A236F59"/>
    <w:rsid w:val="0A263993"/>
    <w:rsid w:val="0A2D3AC2"/>
    <w:rsid w:val="0A9F2CE4"/>
    <w:rsid w:val="0AA755DF"/>
    <w:rsid w:val="0AB3379D"/>
    <w:rsid w:val="0AF1344F"/>
    <w:rsid w:val="0B120D44"/>
    <w:rsid w:val="0BBA0B5B"/>
    <w:rsid w:val="0BD27BF6"/>
    <w:rsid w:val="0C160798"/>
    <w:rsid w:val="0C3B3C7D"/>
    <w:rsid w:val="0C42439B"/>
    <w:rsid w:val="0C6A1B2C"/>
    <w:rsid w:val="0C754EDD"/>
    <w:rsid w:val="0CAB2EAE"/>
    <w:rsid w:val="0CD36B21"/>
    <w:rsid w:val="0D621C7D"/>
    <w:rsid w:val="0E73034D"/>
    <w:rsid w:val="0E741495"/>
    <w:rsid w:val="0EBE0962"/>
    <w:rsid w:val="0F122885"/>
    <w:rsid w:val="0F13775A"/>
    <w:rsid w:val="0F5F45FE"/>
    <w:rsid w:val="0F9A112B"/>
    <w:rsid w:val="106D2F64"/>
    <w:rsid w:val="107C6D27"/>
    <w:rsid w:val="10B63710"/>
    <w:rsid w:val="10F10820"/>
    <w:rsid w:val="111C2F7A"/>
    <w:rsid w:val="11665CA1"/>
    <w:rsid w:val="11C20769"/>
    <w:rsid w:val="11E56EF0"/>
    <w:rsid w:val="12D71973"/>
    <w:rsid w:val="132E29E3"/>
    <w:rsid w:val="13394A5B"/>
    <w:rsid w:val="135A787F"/>
    <w:rsid w:val="13951726"/>
    <w:rsid w:val="13AB3BAB"/>
    <w:rsid w:val="13F94F04"/>
    <w:rsid w:val="142E2BC3"/>
    <w:rsid w:val="14396509"/>
    <w:rsid w:val="145B4FE5"/>
    <w:rsid w:val="14712A2C"/>
    <w:rsid w:val="147F7594"/>
    <w:rsid w:val="14983A0C"/>
    <w:rsid w:val="14DD2C3C"/>
    <w:rsid w:val="14E101BC"/>
    <w:rsid w:val="14EC0BA3"/>
    <w:rsid w:val="151A0EDA"/>
    <w:rsid w:val="15363948"/>
    <w:rsid w:val="15FE0EDB"/>
    <w:rsid w:val="16087E1D"/>
    <w:rsid w:val="160B6DD6"/>
    <w:rsid w:val="164C17ED"/>
    <w:rsid w:val="16D7230A"/>
    <w:rsid w:val="175C6F6A"/>
    <w:rsid w:val="17701D14"/>
    <w:rsid w:val="17735226"/>
    <w:rsid w:val="17AA4179"/>
    <w:rsid w:val="17E256C1"/>
    <w:rsid w:val="17E6364D"/>
    <w:rsid w:val="18464C2F"/>
    <w:rsid w:val="186D3FB6"/>
    <w:rsid w:val="189F624C"/>
    <w:rsid w:val="18D2569F"/>
    <w:rsid w:val="18DA63DF"/>
    <w:rsid w:val="19010521"/>
    <w:rsid w:val="19107135"/>
    <w:rsid w:val="191775ED"/>
    <w:rsid w:val="19413B2C"/>
    <w:rsid w:val="1987195D"/>
    <w:rsid w:val="19F33BB6"/>
    <w:rsid w:val="19F77B67"/>
    <w:rsid w:val="1A0C0137"/>
    <w:rsid w:val="1A1C66C0"/>
    <w:rsid w:val="1A2C26F6"/>
    <w:rsid w:val="1A413314"/>
    <w:rsid w:val="1A42393B"/>
    <w:rsid w:val="1A454509"/>
    <w:rsid w:val="1A9058B3"/>
    <w:rsid w:val="1AAD45DE"/>
    <w:rsid w:val="1B046F80"/>
    <w:rsid w:val="1B0538C1"/>
    <w:rsid w:val="1B3267B5"/>
    <w:rsid w:val="1B40161D"/>
    <w:rsid w:val="1B441859"/>
    <w:rsid w:val="1B6606B1"/>
    <w:rsid w:val="1B8F0A0E"/>
    <w:rsid w:val="1BCA00BC"/>
    <w:rsid w:val="1C5551B4"/>
    <w:rsid w:val="1C5E7925"/>
    <w:rsid w:val="1C636AC5"/>
    <w:rsid w:val="1CFD070F"/>
    <w:rsid w:val="1CFE2CDB"/>
    <w:rsid w:val="1D5F6196"/>
    <w:rsid w:val="1D6132A5"/>
    <w:rsid w:val="1D8E56D5"/>
    <w:rsid w:val="1D9E208B"/>
    <w:rsid w:val="1E5F39C2"/>
    <w:rsid w:val="1E7A43DA"/>
    <w:rsid w:val="1F1A279C"/>
    <w:rsid w:val="1FB56CE9"/>
    <w:rsid w:val="1FE7539E"/>
    <w:rsid w:val="203149EF"/>
    <w:rsid w:val="20671BE0"/>
    <w:rsid w:val="20963CB8"/>
    <w:rsid w:val="20A81A1B"/>
    <w:rsid w:val="20B07FB6"/>
    <w:rsid w:val="20B646FB"/>
    <w:rsid w:val="20D67FFB"/>
    <w:rsid w:val="21295031"/>
    <w:rsid w:val="213B74B1"/>
    <w:rsid w:val="215A2310"/>
    <w:rsid w:val="2160634B"/>
    <w:rsid w:val="21890AD7"/>
    <w:rsid w:val="21DE318A"/>
    <w:rsid w:val="21EF5B80"/>
    <w:rsid w:val="22576990"/>
    <w:rsid w:val="2289169B"/>
    <w:rsid w:val="22BB2EEA"/>
    <w:rsid w:val="22F47480"/>
    <w:rsid w:val="230E380E"/>
    <w:rsid w:val="232624B6"/>
    <w:rsid w:val="236A25F7"/>
    <w:rsid w:val="23855C8E"/>
    <w:rsid w:val="239D4B92"/>
    <w:rsid w:val="239F4F55"/>
    <w:rsid w:val="23DE1C48"/>
    <w:rsid w:val="240210CD"/>
    <w:rsid w:val="2447691E"/>
    <w:rsid w:val="24BF09F7"/>
    <w:rsid w:val="250F18A7"/>
    <w:rsid w:val="252D53FE"/>
    <w:rsid w:val="2574648B"/>
    <w:rsid w:val="25E327A4"/>
    <w:rsid w:val="25EC2D81"/>
    <w:rsid w:val="25FB75F5"/>
    <w:rsid w:val="26DC5408"/>
    <w:rsid w:val="26E05F65"/>
    <w:rsid w:val="27382C4F"/>
    <w:rsid w:val="277057A2"/>
    <w:rsid w:val="2864394A"/>
    <w:rsid w:val="288A2311"/>
    <w:rsid w:val="28BF653E"/>
    <w:rsid w:val="29206EB8"/>
    <w:rsid w:val="2924798E"/>
    <w:rsid w:val="293E66BB"/>
    <w:rsid w:val="29595666"/>
    <w:rsid w:val="29866F20"/>
    <w:rsid w:val="29874881"/>
    <w:rsid w:val="29B10E17"/>
    <w:rsid w:val="29D40669"/>
    <w:rsid w:val="29E325E0"/>
    <w:rsid w:val="29FD638B"/>
    <w:rsid w:val="2A223A6C"/>
    <w:rsid w:val="2A452503"/>
    <w:rsid w:val="2A5F00E0"/>
    <w:rsid w:val="2A7B427C"/>
    <w:rsid w:val="2AC179D5"/>
    <w:rsid w:val="2AE65071"/>
    <w:rsid w:val="2B177978"/>
    <w:rsid w:val="2B314C73"/>
    <w:rsid w:val="2B3D7387"/>
    <w:rsid w:val="2BA936A8"/>
    <w:rsid w:val="2C082EA7"/>
    <w:rsid w:val="2C1B4B35"/>
    <w:rsid w:val="2C315A5A"/>
    <w:rsid w:val="2C4B1C25"/>
    <w:rsid w:val="2C842D93"/>
    <w:rsid w:val="2C946D25"/>
    <w:rsid w:val="2D2F75E7"/>
    <w:rsid w:val="2D721BE8"/>
    <w:rsid w:val="2D9E56F5"/>
    <w:rsid w:val="2DCE6F6B"/>
    <w:rsid w:val="2E667F96"/>
    <w:rsid w:val="2E8226AB"/>
    <w:rsid w:val="2F583627"/>
    <w:rsid w:val="2F904DEF"/>
    <w:rsid w:val="2FD065E6"/>
    <w:rsid w:val="2FD96870"/>
    <w:rsid w:val="2FDB1E67"/>
    <w:rsid w:val="2FFD48E3"/>
    <w:rsid w:val="30580BC9"/>
    <w:rsid w:val="311E2ED7"/>
    <w:rsid w:val="31224929"/>
    <w:rsid w:val="312E52ED"/>
    <w:rsid w:val="315619EE"/>
    <w:rsid w:val="3159135A"/>
    <w:rsid w:val="315C449C"/>
    <w:rsid w:val="317D2161"/>
    <w:rsid w:val="31AD10FE"/>
    <w:rsid w:val="31B82709"/>
    <w:rsid w:val="31D05482"/>
    <w:rsid w:val="31D9592F"/>
    <w:rsid w:val="32400B34"/>
    <w:rsid w:val="329A7CB0"/>
    <w:rsid w:val="329E6876"/>
    <w:rsid w:val="32B265FF"/>
    <w:rsid w:val="32E70642"/>
    <w:rsid w:val="333015F2"/>
    <w:rsid w:val="334B6320"/>
    <w:rsid w:val="33D934D4"/>
    <w:rsid w:val="33F86F2D"/>
    <w:rsid w:val="33FE2F6A"/>
    <w:rsid w:val="34011831"/>
    <w:rsid w:val="340E07E5"/>
    <w:rsid w:val="341F36A6"/>
    <w:rsid w:val="34235BF7"/>
    <w:rsid w:val="34693C55"/>
    <w:rsid w:val="348222AE"/>
    <w:rsid w:val="34AB08D3"/>
    <w:rsid w:val="34D66156"/>
    <w:rsid w:val="34FA7020"/>
    <w:rsid w:val="34FB40A9"/>
    <w:rsid w:val="358C5FA8"/>
    <w:rsid w:val="35C15DF1"/>
    <w:rsid w:val="36074A7F"/>
    <w:rsid w:val="36237179"/>
    <w:rsid w:val="362841C2"/>
    <w:rsid w:val="364D41F6"/>
    <w:rsid w:val="365440D8"/>
    <w:rsid w:val="36572610"/>
    <w:rsid w:val="36895257"/>
    <w:rsid w:val="36923549"/>
    <w:rsid w:val="36A858D0"/>
    <w:rsid w:val="36B75FBF"/>
    <w:rsid w:val="36BD0C45"/>
    <w:rsid w:val="370624FA"/>
    <w:rsid w:val="37174C35"/>
    <w:rsid w:val="374C5617"/>
    <w:rsid w:val="37556E3E"/>
    <w:rsid w:val="3761188D"/>
    <w:rsid w:val="37856F62"/>
    <w:rsid w:val="37CF6E90"/>
    <w:rsid w:val="37E00298"/>
    <w:rsid w:val="37ED37FE"/>
    <w:rsid w:val="38094A1B"/>
    <w:rsid w:val="381155DF"/>
    <w:rsid w:val="38B302F9"/>
    <w:rsid w:val="38F12CD3"/>
    <w:rsid w:val="38F94775"/>
    <w:rsid w:val="392971ED"/>
    <w:rsid w:val="39325651"/>
    <w:rsid w:val="3939628C"/>
    <w:rsid w:val="396748AA"/>
    <w:rsid w:val="39AB5F8E"/>
    <w:rsid w:val="3A204FA7"/>
    <w:rsid w:val="3A2A7437"/>
    <w:rsid w:val="3A872856"/>
    <w:rsid w:val="3B331BD3"/>
    <w:rsid w:val="3B3763D1"/>
    <w:rsid w:val="3B8E4187"/>
    <w:rsid w:val="3BEB6EF3"/>
    <w:rsid w:val="3C2F6E1E"/>
    <w:rsid w:val="3C4F64BA"/>
    <w:rsid w:val="3C862210"/>
    <w:rsid w:val="3C99766C"/>
    <w:rsid w:val="3CA64660"/>
    <w:rsid w:val="3CC821D0"/>
    <w:rsid w:val="3CDA245A"/>
    <w:rsid w:val="3CFE1F9D"/>
    <w:rsid w:val="3D011322"/>
    <w:rsid w:val="3D1E06B7"/>
    <w:rsid w:val="3D2B6A53"/>
    <w:rsid w:val="3D305DB2"/>
    <w:rsid w:val="3E09622C"/>
    <w:rsid w:val="3E207028"/>
    <w:rsid w:val="3E4E5BEA"/>
    <w:rsid w:val="3E772758"/>
    <w:rsid w:val="3E8E6DA1"/>
    <w:rsid w:val="3EC415F2"/>
    <w:rsid w:val="3EDA0523"/>
    <w:rsid w:val="3F714634"/>
    <w:rsid w:val="407A6407"/>
    <w:rsid w:val="41210759"/>
    <w:rsid w:val="41263FC1"/>
    <w:rsid w:val="41A05B22"/>
    <w:rsid w:val="4200449D"/>
    <w:rsid w:val="42180C6D"/>
    <w:rsid w:val="423A3BCC"/>
    <w:rsid w:val="42414D0A"/>
    <w:rsid w:val="424E57D2"/>
    <w:rsid w:val="424F1639"/>
    <w:rsid w:val="42694C69"/>
    <w:rsid w:val="427C6DB1"/>
    <w:rsid w:val="42B26C49"/>
    <w:rsid w:val="42BE274F"/>
    <w:rsid w:val="433A6FE6"/>
    <w:rsid w:val="43480868"/>
    <w:rsid w:val="4350713C"/>
    <w:rsid w:val="43637F46"/>
    <w:rsid w:val="436653E0"/>
    <w:rsid w:val="43C4431A"/>
    <w:rsid w:val="44152D40"/>
    <w:rsid w:val="443D3006"/>
    <w:rsid w:val="44922284"/>
    <w:rsid w:val="44B951CC"/>
    <w:rsid w:val="44CD14E0"/>
    <w:rsid w:val="44F20B0B"/>
    <w:rsid w:val="451342AE"/>
    <w:rsid w:val="452E5F4C"/>
    <w:rsid w:val="45612018"/>
    <w:rsid w:val="458946E9"/>
    <w:rsid w:val="45A47C0E"/>
    <w:rsid w:val="45BC6CA2"/>
    <w:rsid w:val="46263271"/>
    <w:rsid w:val="46577FD6"/>
    <w:rsid w:val="46D955A7"/>
    <w:rsid w:val="47133957"/>
    <w:rsid w:val="474F20EA"/>
    <w:rsid w:val="47A07E0C"/>
    <w:rsid w:val="47D97FDF"/>
    <w:rsid w:val="481034CB"/>
    <w:rsid w:val="4870272E"/>
    <w:rsid w:val="48933865"/>
    <w:rsid w:val="49253E05"/>
    <w:rsid w:val="49A964A3"/>
    <w:rsid w:val="49DC7715"/>
    <w:rsid w:val="4A000967"/>
    <w:rsid w:val="4A023139"/>
    <w:rsid w:val="4A772E17"/>
    <w:rsid w:val="4A7B576F"/>
    <w:rsid w:val="4A8911FC"/>
    <w:rsid w:val="4AA44EF4"/>
    <w:rsid w:val="4ADB2FD5"/>
    <w:rsid w:val="4AF561A9"/>
    <w:rsid w:val="4B8E3F8F"/>
    <w:rsid w:val="4C4A0649"/>
    <w:rsid w:val="4C7E5ECA"/>
    <w:rsid w:val="4C876AA5"/>
    <w:rsid w:val="4D0E00FB"/>
    <w:rsid w:val="4D176606"/>
    <w:rsid w:val="4DEC4FB0"/>
    <w:rsid w:val="4DF27705"/>
    <w:rsid w:val="4E075D8A"/>
    <w:rsid w:val="4E2F72A2"/>
    <w:rsid w:val="4E631DB9"/>
    <w:rsid w:val="4E8866B7"/>
    <w:rsid w:val="4EC00FAD"/>
    <w:rsid w:val="4F381221"/>
    <w:rsid w:val="4F7D6195"/>
    <w:rsid w:val="4F9843DC"/>
    <w:rsid w:val="4FC62A8C"/>
    <w:rsid w:val="4FD13BA7"/>
    <w:rsid w:val="4FE20F0D"/>
    <w:rsid w:val="4FE51552"/>
    <w:rsid w:val="4FF06EEE"/>
    <w:rsid w:val="50504C4B"/>
    <w:rsid w:val="509C6E7C"/>
    <w:rsid w:val="50DD4D57"/>
    <w:rsid w:val="51085492"/>
    <w:rsid w:val="513876D4"/>
    <w:rsid w:val="5162104E"/>
    <w:rsid w:val="5167350C"/>
    <w:rsid w:val="52021824"/>
    <w:rsid w:val="52181704"/>
    <w:rsid w:val="52524C16"/>
    <w:rsid w:val="525A7F6F"/>
    <w:rsid w:val="52F979C3"/>
    <w:rsid w:val="53790DC6"/>
    <w:rsid w:val="537C1E20"/>
    <w:rsid w:val="53A039CC"/>
    <w:rsid w:val="53A1505A"/>
    <w:rsid w:val="54063E08"/>
    <w:rsid w:val="543437E8"/>
    <w:rsid w:val="5469065D"/>
    <w:rsid w:val="548B1464"/>
    <w:rsid w:val="549A6B6B"/>
    <w:rsid w:val="54F73313"/>
    <w:rsid w:val="54F80955"/>
    <w:rsid w:val="555170A7"/>
    <w:rsid w:val="5587536D"/>
    <w:rsid w:val="559B174B"/>
    <w:rsid w:val="55CE0CF4"/>
    <w:rsid w:val="56270168"/>
    <w:rsid w:val="564C7BCE"/>
    <w:rsid w:val="567A34AC"/>
    <w:rsid w:val="568C0A1F"/>
    <w:rsid w:val="56B22A9C"/>
    <w:rsid w:val="57707050"/>
    <w:rsid w:val="57B171BC"/>
    <w:rsid w:val="57B72A76"/>
    <w:rsid w:val="57C3426C"/>
    <w:rsid w:val="57CE1F93"/>
    <w:rsid w:val="57DD31D4"/>
    <w:rsid w:val="588743D1"/>
    <w:rsid w:val="5887701A"/>
    <w:rsid w:val="58BE693B"/>
    <w:rsid w:val="591946E0"/>
    <w:rsid w:val="59B75AA6"/>
    <w:rsid w:val="59C0439F"/>
    <w:rsid w:val="5A221706"/>
    <w:rsid w:val="5ABE2233"/>
    <w:rsid w:val="5AD47A10"/>
    <w:rsid w:val="5BDF5D95"/>
    <w:rsid w:val="5BFE7528"/>
    <w:rsid w:val="5C33082E"/>
    <w:rsid w:val="5C6A7000"/>
    <w:rsid w:val="5D0954AA"/>
    <w:rsid w:val="5D144103"/>
    <w:rsid w:val="5D757153"/>
    <w:rsid w:val="5D956DA8"/>
    <w:rsid w:val="5E2437F6"/>
    <w:rsid w:val="5E2467F1"/>
    <w:rsid w:val="5E3C677A"/>
    <w:rsid w:val="5E3E6B9B"/>
    <w:rsid w:val="5E7A14D8"/>
    <w:rsid w:val="5E977899"/>
    <w:rsid w:val="5EDD3E92"/>
    <w:rsid w:val="5F102126"/>
    <w:rsid w:val="5F1A2B43"/>
    <w:rsid w:val="5F487FF5"/>
    <w:rsid w:val="5FB73766"/>
    <w:rsid w:val="5FB837BB"/>
    <w:rsid w:val="5FCD4E07"/>
    <w:rsid w:val="60CC405A"/>
    <w:rsid w:val="60EC4488"/>
    <w:rsid w:val="611A3D2A"/>
    <w:rsid w:val="615D49CA"/>
    <w:rsid w:val="619E55E3"/>
    <w:rsid w:val="61E215D8"/>
    <w:rsid w:val="621B3775"/>
    <w:rsid w:val="62364782"/>
    <w:rsid w:val="62B5043A"/>
    <w:rsid w:val="636B1FDC"/>
    <w:rsid w:val="6394356A"/>
    <w:rsid w:val="63B51EAC"/>
    <w:rsid w:val="63C61B2C"/>
    <w:rsid w:val="63D40BE9"/>
    <w:rsid w:val="64102431"/>
    <w:rsid w:val="64A5243A"/>
    <w:rsid w:val="64AB5BAF"/>
    <w:rsid w:val="64E54B6F"/>
    <w:rsid w:val="64F531DE"/>
    <w:rsid w:val="65373578"/>
    <w:rsid w:val="656E43B4"/>
    <w:rsid w:val="65846C30"/>
    <w:rsid w:val="65C36C06"/>
    <w:rsid w:val="662555E2"/>
    <w:rsid w:val="668F3976"/>
    <w:rsid w:val="66AA0038"/>
    <w:rsid w:val="66C7785F"/>
    <w:rsid w:val="66ED2D6E"/>
    <w:rsid w:val="67135F0F"/>
    <w:rsid w:val="671E4AD7"/>
    <w:rsid w:val="671F124A"/>
    <w:rsid w:val="671F68CD"/>
    <w:rsid w:val="677A33C6"/>
    <w:rsid w:val="6816699B"/>
    <w:rsid w:val="681F6961"/>
    <w:rsid w:val="68610A2F"/>
    <w:rsid w:val="68805514"/>
    <w:rsid w:val="68ED2FA3"/>
    <w:rsid w:val="69316E2F"/>
    <w:rsid w:val="694E2071"/>
    <w:rsid w:val="697244C4"/>
    <w:rsid w:val="69766163"/>
    <w:rsid w:val="697A3B33"/>
    <w:rsid w:val="69BA1ADC"/>
    <w:rsid w:val="69D44760"/>
    <w:rsid w:val="69F148BD"/>
    <w:rsid w:val="6A520EC7"/>
    <w:rsid w:val="6A521751"/>
    <w:rsid w:val="6AF60A80"/>
    <w:rsid w:val="6AF87E20"/>
    <w:rsid w:val="6B322639"/>
    <w:rsid w:val="6B735DE0"/>
    <w:rsid w:val="6BB635AE"/>
    <w:rsid w:val="6BB715DE"/>
    <w:rsid w:val="6BD66460"/>
    <w:rsid w:val="6BDF50D1"/>
    <w:rsid w:val="6C557385"/>
    <w:rsid w:val="6C560138"/>
    <w:rsid w:val="6C636C38"/>
    <w:rsid w:val="6CA25561"/>
    <w:rsid w:val="6CD97EB5"/>
    <w:rsid w:val="6D231231"/>
    <w:rsid w:val="6D4A758E"/>
    <w:rsid w:val="6D5601A0"/>
    <w:rsid w:val="6D7B1399"/>
    <w:rsid w:val="6D806DA6"/>
    <w:rsid w:val="6D857643"/>
    <w:rsid w:val="6DA111D6"/>
    <w:rsid w:val="6DB34098"/>
    <w:rsid w:val="6DB545B6"/>
    <w:rsid w:val="6DD55BB2"/>
    <w:rsid w:val="6DE02FB4"/>
    <w:rsid w:val="6E514CED"/>
    <w:rsid w:val="6EB563D5"/>
    <w:rsid w:val="6ED92677"/>
    <w:rsid w:val="6F225983"/>
    <w:rsid w:val="6F3B2BCB"/>
    <w:rsid w:val="6FFC5590"/>
    <w:rsid w:val="70001CFE"/>
    <w:rsid w:val="706D1DD0"/>
    <w:rsid w:val="70856B87"/>
    <w:rsid w:val="70904696"/>
    <w:rsid w:val="70A66ADB"/>
    <w:rsid w:val="70D24155"/>
    <w:rsid w:val="70D527EE"/>
    <w:rsid w:val="71051911"/>
    <w:rsid w:val="71286196"/>
    <w:rsid w:val="715A1F5B"/>
    <w:rsid w:val="715B5300"/>
    <w:rsid w:val="71BB04E1"/>
    <w:rsid w:val="71D27F8A"/>
    <w:rsid w:val="72553024"/>
    <w:rsid w:val="72683DDC"/>
    <w:rsid w:val="728A3F4A"/>
    <w:rsid w:val="72D179B2"/>
    <w:rsid w:val="73122968"/>
    <w:rsid w:val="731F5D5E"/>
    <w:rsid w:val="73760321"/>
    <w:rsid w:val="73890BDF"/>
    <w:rsid w:val="73AE497D"/>
    <w:rsid w:val="73C51AD5"/>
    <w:rsid w:val="73D569B6"/>
    <w:rsid w:val="73E43E65"/>
    <w:rsid w:val="74040BDB"/>
    <w:rsid w:val="74143FD0"/>
    <w:rsid w:val="741E793C"/>
    <w:rsid w:val="745328F9"/>
    <w:rsid w:val="745E3944"/>
    <w:rsid w:val="748A6F07"/>
    <w:rsid w:val="749B0247"/>
    <w:rsid w:val="74DB0643"/>
    <w:rsid w:val="7544268D"/>
    <w:rsid w:val="761902E7"/>
    <w:rsid w:val="7635099D"/>
    <w:rsid w:val="76A35191"/>
    <w:rsid w:val="770C1D9E"/>
    <w:rsid w:val="776A5482"/>
    <w:rsid w:val="77762421"/>
    <w:rsid w:val="779F0B50"/>
    <w:rsid w:val="77B56B1F"/>
    <w:rsid w:val="780F09F4"/>
    <w:rsid w:val="78342545"/>
    <w:rsid w:val="78A90480"/>
    <w:rsid w:val="78CC09CF"/>
    <w:rsid w:val="7939391F"/>
    <w:rsid w:val="7956473D"/>
    <w:rsid w:val="79EE0E19"/>
    <w:rsid w:val="79FC52E4"/>
    <w:rsid w:val="7A290FF6"/>
    <w:rsid w:val="7A364017"/>
    <w:rsid w:val="7A5C378D"/>
    <w:rsid w:val="7A8265E1"/>
    <w:rsid w:val="7AFD5034"/>
    <w:rsid w:val="7B242D44"/>
    <w:rsid w:val="7B686D42"/>
    <w:rsid w:val="7B6A44CF"/>
    <w:rsid w:val="7B841746"/>
    <w:rsid w:val="7C6C5AC7"/>
    <w:rsid w:val="7CC231F4"/>
    <w:rsid w:val="7CC6544B"/>
    <w:rsid w:val="7CD8531D"/>
    <w:rsid w:val="7CF16C56"/>
    <w:rsid w:val="7D0239FF"/>
    <w:rsid w:val="7D121719"/>
    <w:rsid w:val="7D2B2EFD"/>
    <w:rsid w:val="7D5E40CD"/>
    <w:rsid w:val="7D9607D2"/>
    <w:rsid w:val="7DAC0DCF"/>
    <w:rsid w:val="7DCD56F2"/>
    <w:rsid w:val="7DF2267D"/>
    <w:rsid w:val="7E442076"/>
    <w:rsid w:val="7E49596F"/>
    <w:rsid w:val="7E51648A"/>
    <w:rsid w:val="7E53749D"/>
    <w:rsid w:val="7F001CE7"/>
    <w:rsid w:val="7F4C2ECF"/>
    <w:rsid w:val="7F743E3A"/>
    <w:rsid w:val="7F875650"/>
    <w:rsid w:val="7FAB24DC"/>
    <w:rsid w:val="7FE47E50"/>
    <w:rsid w:val="7FE93355"/>
    <w:rsid w:val="7FF31B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99" w:semiHidden="0" w:name="Body Text Indent 2" w:locked="1"/>
    <w:lsdException w:unhideWhenUsed="0" w:uiPriority="0" w:semiHidden="0" w:name="Body Text Indent 3" w:locked="1"/>
    <w:lsdException w:qFormat="1"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widowControl/>
      <w:spacing w:before="260" w:after="260" w:line="416" w:lineRule="auto"/>
      <w:jc w:val="left"/>
      <w:outlineLvl w:val="1"/>
    </w:pPr>
    <w:rPr>
      <w:rFonts w:ascii="Arial" w:hAnsi="Arial" w:eastAsia="黑体" w:cs="Times New Roman"/>
      <w:b/>
      <w:bCs/>
      <w:kern w:val="0"/>
      <w:sz w:val="32"/>
      <w:szCs w:val="32"/>
    </w:rPr>
  </w:style>
  <w:style w:type="paragraph" w:styleId="4">
    <w:name w:val="heading 3"/>
    <w:basedOn w:val="1"/>
    <w:next w:val="1"/>
    <w:qFormat/>
    <w:locked/>
    <w:uiPriority w:val="0"/>
    <w:pPr>
      <w:keepNext/>
      <w:keepLines/>
      <w:spacing w:before="260" w:beforeLines="0" w:after="260" w:afterLines="0" w:line="416" w:lineRule="auto"/>
      <w:outlineLvl w:val="2"/>
    </w:pPr>
    <w:rPr>
      <w:b/>
      <w:bCs/>
      <w:sz w:val="32"/>
      <w:szCs w:val="32"/>
    </w:rPr>
  </w:style>
  <w:style w:type="paragraph" w:styleId="5">
    <w:name w:val="heading 4"/>
    <w:basedOn w:val="1"/>
    <w:next w:val="1"/>
    <w:unhideWhenUsed/>
    <w:qFormat/>
    <w:locked/>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32">
    <w:name w:val="Default Paragraph Font"/>
    <w:semiHidden/>
    <w:qFormat/>
    <w:uiPriority w:val="0"/>
  </w:style>
  <w:style w:type="table" w:default="1" w:styleId="30">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6">
    <w:name w:val="Note Heading"/>
    <w:basedOn w:val="1"/>
    <w:next w:val="1"/>
    <w:qFormat/>
    <w:locked/>
    <w:uiPriority w:val="0"/>
    <w:pPr>
      <w:jc w:val="center"/>
    </w:pPr>
  </w:style>
  <w:style w:type="paragraph" w:styleId="7">
    <w:name w:val="Normal Indent"/>
    <w:basedOn w:val="1"/>
    <w:next w:val="8"/>
    <w:qFormat/>
    <w:locked/>
    <w:uiPriority w:val="0"/>
    <w:rPr>
      <w:sz w:val="28"/>
      <w:szCs w:val="20"/>
    </w:rPr>
  </w:style>
  <w:style w:type="paragraph" w:customStyle="1" w:styleId="8">
    <w:name w:val="正文首行缩进2个字 Char"/>
    <w:qFormat/>
    <w:uiPriority w:val="0"/>
    <w:pPr>
      <w:widowControl w:val="0"/>
      <w:ind w:firstLine="480" w:firstLineChars="200"/>
      <w:jc w:val="both"/>
    </w:pPr>
    <w:rPr>
      <w:rFonts w:ascii="Georgia" w:hAnsi="Georgia" w:eastAsia="楷体" w:cs="Times New Roman"/>
      <w:kern w:val="2"/>
      <w:sz w:val="24"/>
      <w:szCs w:val="24"/>
      <w:lang w:val="en-US" w:eastAsia="zh-CN" w:bidi="ar-SA"/>
    </w:rPr>
  </w:style>
  <w:style w:type="paragraph" w:styleId="9">
    <w:name w:val="caption"/>
    <w:basedOn w:val="1"/>
    <w:next w:val="1"/>
    <w:unhideWhenUsed/>
    <w:qFormat/>
    <w:locked/>
    <w:uiPriority w:val="0"/>
    <w:rPr>
      <w:rFonts w:ascii="Arial" w:hAnsi="Arial" w:eastAsia="黑体"/>
      <w:sz w:val="20"/>
      <w:szCs w:val="22"/>
    </w:rPr>
  </w:style>
  <w:style w:type="paragraph" w:styleId="10">
    <w:name w:val="annotation text"/>
    <w:basedOn w:val="1"/>
    <w:link w:val="37"/>
    <w:semiHidden/>
    <w:qFormat/>
    <w:uiPriority w:val="0"/>
    <w:pPr>
      <w:jc w:val="left"/>
    </w:pPr>
    <w:rPr>
      <w:kern w:val="0"/>
      <w:sz w:val="24"/>
      <w:szCs w:val="20"/>
    </w:rPr>
  </w:style>
  <w:style w:type="paragraph" w:styleId="11">
    <w:name w:val="Body Text"/>
    <w:basedOn w:val="1"/>
    <w:next w:val="12"/>
    <w:link w:val="38"/>
    <w:qFormat/>
    <w:uiPriority w:val="0"/>
    <w:pPr>
      <w:widowControl/>
      <w:snapToGrid w:val="0"/>
      <w:spacing w:before="60" w:after="160" w:line="259" w:lineRule="auto"/>
      <w:ind w:right="113"/>
    </w:pPr>
    <w:rPr>
      <w:kern w:val="0"/>
      <w:sz w:val="18"/>
      <w:szCs w:val="20"/>
    </w:rPr>
  </w:style>
  <w:style w:type="paragraph" w:customStyle="1" w:styleId="12">
    <w:name w:val="style4"/>
    <w:basedOn w:val="1"/>
    <w:next w:val="13"/>
    <w:qFormat/>
    <w:uiPriority w:val="0"/>
    <w:pPr>
      <w:widowControl/>
      <w:autoSpaceDE/>
      <w:autoSpaceDN/>
      <w:spacing w:before="280" w:after="280" w:line="240" w:lineRule="auto"/>
      <w:ind w:left="0" w:firstLine="0"/>
      <w:jc w:val="both"/>
    </w:pPr>
    <w:rPr>
      <w:rFonts w:ascii="宋体" w:eastAsia="宋体"/>
      <w:sz w:val="18"/>
    </w:rPr>
  </w:style>
  <w:style w:type="paragraph" w:customStyle="1" w:styleId="13">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14">
    <w:name w:val="Body Text Indent"/>
    <w:basedOn w:val="1"/>
    <w:next w:val="11"/>
    <w:link w:val="40"/>
    <w:qFormat/>
    <w:uiPriority w:val="0"/>
    <w:pPr>
      <w:spacing w:after="120"/>
      <w:ind w:left="420" w:leftChars="200"/>
    </w:pPr>
    <w:rPr>
      <w:kern w:val="0"/>
      <w:sz w:val="24"/>
      <w:szCs w:val="20"/>
    </w:rPr>
  </w:style>
  <w:style w:type="paragraph" w:styleId="15">
    <w:name w:val="List Continue"/>
    <w:basedOn w:val="1"/>
    <w:next w:val="11"/>
    <w:qFormat/>
    <w:locked/>
    <w:uiPriority w:val="0"/>
    <w:pPr>
      <w:widowControl/>
      <w:autoSpaceDE/>
      <w:autoSpaceDN/>
      <w:spacing w:before="280" w:after="280"/>
      <w:ind w:firstLine="3584"/>
    </w:pPr>
    <w:rPr>
      <w:rFonts w:ascii="Calibri" w:hAnsi="Calibri" w:eastAsia="宋体" w:cs="Times New Roman"/>
    </w:rPr>
  </w:style>
  <w:style w:type="paragraph" w:styleId="16">
    <w:name w:val="Block Text"/>
    <w:basedOn w:val="1"/>
    <w:next w:val="1"/>
    <w:unhideWhenUsed/>
    <w:qFormat/>
    <w:locked/>
    <w:uiPriority w:val="99"/>
    <w:pPr>
      <w:autoSpaceDE w:val="0"/>
      <w:autoSpaceDN w:val="0"/>
      <w:spacing w:before="1" w:line="537" w:lineRule="exact"/>
      <w:ind w:left="88" w:right="6"/>
    </w:pPr>
    <w:rPr>
      <w:rFonts w:hint="eastAsia"/>
    </w:rPr>
  </w:style>
  <w:style w:type="paragraph" w:styleId="17">
    <w:name w:val="Plain Text"/>
    <w:basedOn w:val="1"/>
    <w:next w:val="18"/>
    <w:qFormat/>
    <w:locked/>
    <w:uiPriority w:val="0"/>
    <w:rPr>
      <w:rFonts w:ascii="宋体" w:hAnsi="Courier New"/>
      <w:sz w:val="21"/>
    </w:rPr>
  </w:style>
  <w:style w:type="paragraph" w:styleId="18">
    <w:name w:val="toc 1"/>
    <w:basedOn w:val="1"/>
    <w:next w:val="1"/>
    <w:qFormat/>
    <w:locked/>
    <w:uiPriority w:val="39"/>
    <w:pPr>
      <w:spacing w:before="120" w:after="120"/>
      <w:jc w:val="left"/>
    </w:pPr>
    <w:rPr>
      <w:b/>
      <w:bCs/>
      <w:caps/>
      <w:sz w:val="20"/>
    </w:rPr>
  </w:style>
  <w:style w:type="paragraph" w:styleId="19">
    <w:name w:val="Date"/>
    <w:basedOn w:val="1"/>
    <w:next w:val="1"/>
    <w:link w:val="41"/>
    <w:qFormat/>
    <w:uiPriority w:val="0"/>
    <w:pPr>
      <w:ind w:left="100" w:leftChars="2500"/>
    </w:pPr>
    <w:rPr>
      <w:kern w:val="0"/>
      <w:sz w:val="24"/>
      <w:szCs w:val="20"/>
    </w:rPr>
  </w:style>
  <w:style w:type="paragraph" w:styleId="20">
    <w:name w:val="Body Text Indent 2"/>
    <w:basedOn w:val="1"/>
    <w:qFormat/>
    <w:locked/>
    <w:uiPriority w:val="99"/>
    <w:pPr>
      <w:spacing w:after="120" w:afterLines="0" w:line="480" w:lineRule="auto"/>
      <w:ind w:left="420" w:leftChars="200"/>
    </w:pPr>
  </w:style>
  <w:style w:type="paragraph" w:styleId="21">
    <w:name w:val="Balloon Text"/>
    <w:basedOn w:val="1"/>
    <w:link w:val="42"/>
    <w:semiHidden/>
    <w:qFormat/>
    <w:uiPriority w:val="0"/>
    <w:rPr>
      <w:kern w:val="0"/>
      <w:sz w:val="18"/>
      <w:szCs w:val="20"/>
    </w:rPr>
  </w:style>
  <w:style w:type="paragraph" w:styleId="22">
    <w:name w:val="footer"/>
    <w:basedOn w:val="1"/>
    <w:next w:val="15"/>
    <w:link w:val="39"/>
    <w:qFormat/>
    <w:uiPriority w:val="99"/>
    <w:pPr>
      <w:tabs>
        <w:tab w:val="center" w:pos="4153"/>
        <w:tab w:val="right" w:pos="8306"/>
      </w:tabs>
      <w:snapToGrid w:val="0"/>
      <w:jc w:val="left"/>
    </w:pPr>
    <w:rPr>
      <w:kern w:val="0"/>
      <w:sz w:val="18"/>
      <w:szCs w:val="20"/>
    </w:rPr>
  </w:style>
  <w:style w:type="paragraph" w:styleId="23">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Body Text 2"/>
    <w:basedOn w:val="1"/>
    <w:next w:val="22"/>
    <w:qFormat/>
    <w:locked/>
    <w:uiPriority w:val="0"/>
    <w:rPr>
      <w:rFonts w:ascii="Calibri" w:hAnsi="Calibri"/>
      <w:sz w:val="28"/>
    </w:rPr>
  </w:style>
  <w:style w:type="paragraph" w:styleId="25">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0"/>
    <w:next w:val="10"/>
    <w:link w:val="45"/>
    <w:semiHidden/>
    <w:qFormat/>
    <w:uiPriority w:val="0"/>
    <w:rPr>
      <w:b/>
      <w:sz w:val="24"/>
      <w:szCs w:val="20"/>
    </w:rPr>
  </w:style>
  <w:style w:type="paragraph" w:styleId="28">
    <w:name w:val="Body Text First Indent"/>
    <w:basedOn w:val="11"/>
    <w:next w:val="1"/>
    <w:qFormat/>
    <w:locked/>
    <w:uiPriority w:val="0"/>
    <w:pPr>
      <w:ind w:firstLine="420" w:firstLineChars="100"/>
    </w:pPr>
  </w:style>
  <w:style w:type="paragraph" w:styleId="29">
    <w:name w:val="Body Text First Indent 2"/>
    <w:basedOn w:val="14"/>
    <w:next w:val="1"/>
    <w:qFormat/>
    <w:locked/>
    <w:uiPriority w:val="0"/>
    <w:pPr>
      <w:ind w:firstLine="420" w:firstLineChars="200"/>
    </w:pPr>
    <w:rPr>
      <w:kern w:val="2"/>
      <w:sz w:val="21"/>
      <w:szCs w:val="24"/>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basedOn w:val="32"/>
    <w:qFormat/>
    <w:locked/>
    <w:uiPriority w:val="0"/>
  </w:style>
  <w:style w:type="character" w:styleId="35">
    <w:name w:val="Hyperlink"/>
    <w:basedOn w:val="32"/>
    <w:qFormat/>
    <w:locked/>
    <w:uiPriority w:val="0"/>
    <w:rPr>
      <w:color w:val="0000FF"/>
      <w:u w:val="single"/>
    </w:rPr>
  </w:style>
  <w:style w:type="character" w:styleId="36">
    <w:name w:val="annotation reference"/>
    <w:basedOn w:val="32"/>
    <w:semiHidden/>
    <w:qFormat/>
    <w:uiPriority w:val="0"/>
    <w:rPr>
      <w:sz w:val="21"/>
    </w:rPr>
  </w:style>
  <w:style w:type="character" w:customStyle="1" w:styleId="37">
    <w:name w:val="批注文字 Char"/>
    <w:link w:val="10"/>
    <w:qFormat/>
    <w:locked/>
    <w:uiPriority w:val="0"/>
    <w:rPr>
      <w:rFonts w:ascii="Times New Roman" w:hAnsi="Times New Roman" w:eastAsia="宋体"/>
      <w:sz w:val="24"/>
    </w:rPr>
  </w:style>
  <w:style w:type="character" w:customStyle="1" w:styleId="38">
    <w:name w:val="正文文本 Char"/>
    <w:link w:val="11"/>
    <w:qFormat/>
    <w:locked/>
    <w:uiPriority w:val="0"/>
    <w:rPr>
      <w:sz w:val="18"/>
    </w:rPr>
  </w:style>
  <w:style w:type="character" w:customStyle="1" w:styleId="39">
    <w:name w:val="页脚 Char"/>
    <w:link w:val="22"/>
    <w:qFormat/>
    <w:locked/>
    <w:uiPriority w:val="99"/>
    <w:rPr>
      <w:sz w:val="18"/>
    </w:rPr>
  </w:style>
  <w:style w:type="character" w:customStyle="1" w:styleId="40">
    <w:name w:val="正文文本缩进 Char"/>
    <w:link w:val="14"/>
    <w:semiHidden/>
    <w:qFormat/>
    <w:locked/>
    <w:uiPriority w:val="0"/>
    <w:rPr>
      <w:rFonts w:ascii="Times New Roman" w:hAnsi="Times New Roman" w:eastAsia="宋体"/>
      <w:sz w:val="24"/>
    </w:rPr>
  </w:style>
  <w:style w:type="character" w:customStyle="1" w:styleId="41">
    <w:name w:val="日期 Char"/>
    <w:link w:val="19"/>
    <w:qFormat/>
    <w:locked/>
    <w:uiPriority w:val="0"/>
    <w:rPr>
      <w:rFonts w:ascii="Times New Roman" w:hAnsi="Times New Roman" w:eastAsia="宋体"/>
      <w:sz w:val="24"/>
    </w:rPr>
  </w:style>
  <w:style w:type="character" w:customStyle="1" w:styleId="42">
    <w:name w:val="批注框文本 Char"/>
    <w:link w:val="21"/>
    <w:semiHidden/>
    <w:qFormat/>
    <w:locked/>
    <w:uiPriority w:val="0"/>
    <w:rPr>
      <w:rFonts w:ascii="Times New Roman" w:hAnsi="Times New Roman" w:eastAsia="宋体"/>
      <w:sz w:val="18"/>
    </w:rPr>
  </w:style>
  <w:style w:type="character" w:customStyle="1" w:styleId="43">
    <w:name w:val="页眉 Char"/>
    <w:link w:val="23"/>
    <w:qFormat/>
    <w:locked/>
    <w:uiPriority w:val="0"/>
    <w:rPr>
      <w:sz w:val="18"/>
    </w:rPr>
  </w:style>
  <w:style w:type="character" w:customStyle="1" w:styleId="44">
    <w:name w:val="普通(网站) Char"/>
    <w:link w:val="26"/>
    <w:qFormat/>
    <w:locked/>
    <w:uiPriority w:val="0"/>
    <w:rPr>
      <w:rFonts w:ascii="宋体" w:hAnsi="宋体" w:eastAsia="宋体"/>
      <w:sz w:val="24"/>
    </w:rPr>
  </w:style>
  <w:style w:type="character" w:customStyle="1" w:styleId="45">
    <w:name w:val="批注主题 Char"/>
    <w:link w:val="27"/>
    <w:semiHidden/>
    <w:qFormat/>
    <w:locked/>
    <w:uiPriority w:val="0"/>
    <w:rPr>
      <w:rFonts w:ascii="Times New Roman" w:hAnsi="Times New Roman" w:eastAsia="宋体"/>
      <w:b/>
      <w:kern w:val="2"/>
      <w:sz w:val="24"/>
    </w:rPr>
  </w:style>
  <w:style w:type="paragraph" w:customStyle="1" w:styleId="46">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paragraph" w:customStyle="1" w:styleId="4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8">
    <w:name w:val="页脚 字符"/>
    <w:basedOn w:val="32"/>
    <w:qFormat/>
    <w:uiPriority w:val="99"/>
  </w:style>
  <w:style w:type="character" w:customStyle="1" w:styleId="49">
    <w:name w:val="正文文本 字符1"/>
    <w:semiHidden/>
    <w:qFormat/>
    <w:uiPriority w:val="0"/>
    <w:rPr>
      <w:rFonts w:ascii="Times New Roman" w:hAnsi="Times New Roman" w:eastAsia="宋体"/>
      <w:sz w:val="24"/>
    </w:rPr>
  </w:style>
  <w:style w:type="character" w:customStyle="1" w:styleId="50">
    <w:name w:val="表格 Char"/>
    <w:link w:val="51"/>
    <w:qFormat/>
    <w:locked/>
    <w:uiPriority w:val="0"/>
    <w:rPr>
      <w:rFonts w:ascii="宋体"/>
      <w:sz w:val="21"/>
    </w:rPr>
  </w:style>
  <w:style w:type="paragraph" w:customStyle="1" w:styleId="51">
    <w:name w:val="表格"/>
    <w:basedOn w:val="1"/>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semiHidden/>
    <w:qFormat/>
    <w:uiPriority w:val="0"/>
    <w:rPr>
      <w:rFonts w:ascii="Times New Roman" w:hAnsi="Times New Roman" w:eastAsia="宋体"/>
      <w:sz w:val="24"/>
    </w:rPr>
  </w:style>
  <w:style w:type="character" w:customStyle="1" w:styleId="53">
    <w:name w:val="批注文字 字符1"/>
    <w:semiHidden/>
    <w:qFormat/>
    <w:uiPriority w:val="0"/>
    <w:rPr>
      <w:rFonts w:ascii="Times New Roman" w:hAnsi="Times New Roman" w:eastAsia="宋体"/>
      <w:sz w:val="24"/>
    </w:rPr>
  </w:style>
  <w:style w:type="paragraph" w:customStyle="1" w:styleId="5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我的表格文字"/>
    <w:basedOn w:val="1"/>
    <w:qFormat/>
    <w:uiPriority w:val="0"/>
    <w:pPr>
      <w:jc w:val="center"/>
    </w:pPr>
    <w:rPr>
      <w:rFonts w:hAnsi="宋体" w:eastAsia="Times New Roman" w:cs="宋体"/>
      <w:color w:val="000000"/>
      <w:szCs w:val="21"/>
    </w:rPr>
  </w:style>
  <w:style w:type="paragraph" w:customStyle="1" w:styleId="57">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58">
    <w:name w:val="段落"/>
    <w:basedOn w:val="17"/>
    <w:qFormat/>
    <w:uiPriority w:val="0"/>
    <w:pPr>
      <w:spacing w:line="500" w:lineRule="exact"/>
      <w:ind w:firstLine="578"/>
    </w:pPr>
    <w:rPr>
      <w:rFonts w:cs="Times New Roman"/>
      <w:color w:val="auto"/>
      <w:sz w:val="28"/>
    </w:rPr>
  </w:style>
  <w:style w:type="table" w:customStyle="1" w:styleId="59">
    <w:name w:val="标准表格"/>
    <w:basedOn w:val="30"/>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60">
    <w:name w:val="报告表正文"/>
    <w:basedOn w:val="1"/>
    <w:qFormat/>
    <w:uiPriority w:val="0"/>
    <w:pPr>
      <w:adjustRightInd w:val="0"/>
      <w:spacing w:line="312" w:lineRule="auto"/>
      <w:ind w:left="113" w:right="113" w:firstLine="482"/>
      <w:jc w:val="left"/>
      <w:textAlignment w:val="baseline"/>
    </w:pPr>
    <w:rPr>
      <w:rFonts w:ascii="Calibri" w:hAnsi="Calibri"/>
      <w:kern w:val="0"/>
      <w:sz w:val="24"/>
      <w:szCs w:val="20"/>
    </w:rPr>
  </w:style>
  <w:style w:type="paragraph" w:customStyle="1" w:styleId="61">
    <w:name w:val="正文+1行"/>
    <w:basedOn w:val="1"/>
    <w:qFormat/>
    <w:uiPriority w:val="0"/>
    <w:pPr>
      <w:adjustRightInd w:val="0"/>
      <w:snapToGrid w:val="0"/>
      <w:spacing w:before="312" w:line="360" w:lineRule="auto"/>
      <w:ind w:firstLine="480" w:firstLineChars="200"/>
      <w:jc w:val="left"/>
    </w:pPr>
    <w:rPr>
      <w:rFonts w:cs="宋体"/>
      <w:snapToGrid w:val="0"/>
      <w:kern w:val="0"/>
      <w:sz w:val="24"/>
    </w:rPr>
  </w:style>
  <w:style w:type="paragraph" w:customStyle="1" w:styleId="62">
    <w:name w:val="正文缩进1"/>
    <w:basedOn w:val="1"/>
    <w:qFormat/>
    <w:uiPriority w:val="0"/>
    <w:rPr>
      <w:rFonts w:cs="Times New Roman"/>
      <w:color w:val="auto"/>
    </w:rPr>
  </w:style>
  <w:style w:type="paragraph" w:customStyle="1" w:styleId="63">
    <w:name w:val="Table Paragraph"/>
    <w:basedOn w:val="1"/>
    <w:qFormat/>
    <w:uiPriority w:val="1"/>
  </w:style>
  <w:style w:type="paragraph" w:customStyle="1" w:styleId="64">
    <w:name w:val="中文报告书样式"/>
    <w:basedOn w:val="1"/>
    <w:qFormat/>
    <w:uiPriority w:val="0"/>
    <w:pPr>
      <w:adjustRightInd w:val="0"/>
      <w:spacing w:line="480" w:lineRule="atLeast"/>
      <w:ind w:firstLine="482"/>
      <w:textAlignment w:val="baseline"/>
    </w:pPr>
    <w:rPr>
      <w:kern w:val="24"/>
      <w:sz w:val="24"/>
    </w:rPr>
  </w:style>
  <w:style w:type="paragraph" w:customStyle="1" w:styleId="65">
    <w:name w:val="表头样式1"/>
    <w:basedOn w:val="1"/>
    <w:qFormat/>
    <w:uiPriority w:val="0"/>
    <w:pPr>
      <w:adjustRightInd w:val="0"/>
      <w:snapToGrid w:val="0"/>
      <w:jc w:val="center"/>
    </w:pPr>
    <w:rPr>
      <w:rFonts w:eastAsia="KaiTi_GB2312"/>
      <w:bCs/>
      <w:sz w:val="18"/>
      <w:szCs w:val="18"/>
    </w:rPr>
  </w:style>
  <w:style w:type="paragraph" w:customStyle="1" w:styleId="66">
    <w:name w:val="赵正文"/>
    <w:basedOn w:val="1"/>
    <w:qFormat/>
    <w:uiPriority w:val="0"/>
    <w:pPr>
      <w:spacing w:line="520" w:lineRule="exact"/>
      <w:ind w:firstLine="640" w:firstLineChars="200"/>
    </w:pPr>
    <w:rPr>
      <w:color w:val="auto"/>
      <w:kern w:val="0"/>
      <w:sz w:val="24"/>
    </w:rPr>
  </w:style>
  <w:style w:type="paragraph" w:customStyle="1" w:styleId="67">
    <w:name w:val="表头 +1行"/>
    <w:basedOn w:val="68"/>
    <w:qFormat/>
    <w:uiPriority w:val="0"/>
    <w:pPr>
      <w:spacing w:before="312"/>
    </w:pPr>
    <w:rPr>
      <w:rFonts w:ascii="Times New Roman" w:hAnsi="Times New Roman" w:cs="宋体"/>
      <w:szCs w:val="20"/>
    </w:rPr>
  </w:style>
  <w:style w:type="paragraph" w:customStyle="1" w:styleId="68">
    <w:name w:val="表头格式"/>
    <w:basedOn w:val="1"/>
    <w:qFormat/>
    <w:uiPriority w:val="0"/>
    <w:pPr>
      <w:adjustRightInd w:val="0"/>
      <w:snapToGrid w:val="0"/>
      <w:spacing w:line="520" w:lineRule="exact"/>
      <w:ind w:firstLine="880"/>
      <w:jc w:val="left"/>
    </w:pPr>
    <w:rPr>
      <w:rFonts w:ascii="Times New Roman" w:hAnsi="Times New Roman" w:eastAsia="黑体" w:cs="Times New Roman"/>
      <w:snapToGrid w:val="0"/>
      <w:kern w:val="0"/>
      <w:sz w:val="28"/>
      <w:szCs w:val="20"/>
    </w:rPr>
  </w:style>
  <w:style w:type="paragraph" w:customStyle="1" w:styleId="69">
    <w:name w:val="报告表表格文字"/>
    <w:basedOn w:val="1"/>
    <w:qFormat/>
    <w:uiPriority w:val="0"/>
    <w:pPr>
      <w:autoSpaceDE w:val="0"/>
      <w:autoSpaceDN w:val="0"/>
      <w:adjustRightInd w:val="0"/>
      <w:snapToGrid w:val="0"/>
      <w:spacing w:line="360" w:lineRule="exact"/>
      <w:jc w:val="center"/>
    </w:pPr>
    <w:rPr>
      <w:rFonts w:cs="Times New Roman"/>
      <w:kern w:val="0"/>
      <w:sz w:val="21"/>
      <w:szCs w:val="21"/>
    </w:rPr>
  </w:style>
  <w:style w:type="paragraph" w:customStyle="1" w:styleId="70">
    <w:name w:val="正文文本缩进1"/>
    <w:basedOn w:val="1"/>
    <w:qFormat/>
    <w:uiPriority w:val="99"/>
    <w:pPr>
      <w:tabs>
        <w:tab w:val="left" w:pos="210"/>
      </w:tabs>
      <w:spacing w:line="360" w:lineRule="auto"/>
      <w:ind w:firstLine="420" w:firstLineChars="175"/>
    </w:pPr>
    <w:rPr>
      <w:rFonts w:cs="Times New Roman"/>
      <w:color w:val="auto"/>
      <w:kern w:val="0"/>
      <w:sz w:val="20"/>
    </w:rPr>
  </w:style>
  <w:style w:type="paragraph" w:customStyle="1" w:styleId="71">
    <w:name w:val="xry表格文字"/>
    <w:basedOn w:val="1"/>
    <w:qFormat/>
    <w:uiPriority w:val="0"/>
    <w:pPr>
      <w:jc w:val="center"/>
    </w:pPr>
    <w:rPr>
      <w:kern w:val="0"/>
      <w:sz w:val="20"/>
      <w:lang w:val="zh-CN"/>
    </w:rPr>
  </w:style>
  <w:style w:type="paragraph" w:customStyle="1" w:styleId="72">
    <w:name w:val="5文章(治)"/>
    <w:basedOn w:val="1"/>
    <w:qFormat/>
    <w:uiPriority w:val="0"/>
    <w:pPr>
      <w:spacing w:line="360" w:lineRule="auto"/>
      <w:ind w:firstLine="560" w:firstLineChars="200"/>
    </w:pPr>
    <w:rPr>
      <w:sz w:val="24"/>
    </w:rPr>
  </w:style>
  <w:style w:type="paragraph" w:customStyle="1" w:styleId="73">
    <w:name w:val="Normal Indent"/>
    <w:basedOn w:val="1"/>
    <w:qFormat/>
    <w:uiPriority w:val="0"/>
    <w:rPr>
      <w:rFonts w:hint="default" w:ascii="Times New Roman" w:eastAsia="宋体"/>
      <w:kern w:val="2"/>
      <w:sz w:val="28"/>
      <w:lang w:val="en-US" w:eastAsia="zh-CN"/>
    </w:rPr>
  </w:style>
  <w:style w:type="paragraph" w:customStyle="1" w:styleId="74">
    <w:name w:val="表内 定"/>
    <w:basedOn w:val="1"/>
    <w:qFormat/>
    <w:uiPriority w:val="0"/>
    <w:rPr>
      <w:rFonts w:cs="Times New Roman"/>
      <w:color w:val="000000"/>
    </w:rPr>
  </w:style>
  <w:style w:type="paragraph" w:customStyle="1" w:styleId="75">
    <w:name w:val="表内"/>
    <w:basedOn w:val="1"/>
    <w:qFormat/>
    <w:uiPriority w:val="99"/>
    <w:pPr>
      <w:framePr w:hSpace="180" w:wrap="around" w:vAnchor="page" w:hAnchor="margin" w:y="1411"/>
      <w:widowControl/>
      <w:jc w:val="both"/>
    </w:pPr>
    <w:rPr>
      <w:rFonts w:ascii="宋体" w:hAnsi="宋体" w:cs="Times New Roman"/>
      <w:snapToGrid/>
      <w:szCs w:val="20"/>
    </w:rPr>
  </w:style>
  <w:style w:type="paragraph" w:customStyle="1" w:styleId="76">
    <w:name w:val="清改表格加粗"/>
    <w:basedOn w:val="1"/>
    <w:qFormat/>
    <w:uiPriority w:val="0"/>
    <w:pPr>
      <w:jc w:val="center"/>
    </w:pPr>
    <w:rPr>
      <w:rFonts w:ascii="Times New Roman" w:hAnsi="Times New Roman" w:cs="宋体"/>
      <w:b/>
      <w:bCs/>
      <w:color w:val="auto"/>
      <w:sz w:val="21"/>
    </w:rPr>
  </w:style>
  <w:style w:type="paragraph" w:customStyle="1" w:styleId="77">
    <w:name w:val="清改表格字体"/>
    <w:basedOn w:val="1"/>
    <w:qFormat/>
    <w:uiPriority w:val="0"/>
    <w:pPr>
      <w:jc w:val="center"/>
    </w:pPr>
    <w:rPr>
      <w:rFonts w:ascii="Times New Roman" w:hAnsi="Times New Roman" w:cs="Times New Roman"/>
      <w:color w:val="auto"/>
      <w:sz w:val="21"/>
    </w:rPr>
  </w:style>
  <w:style w:type="paragraph" w:customStyle="1" w:styleId="78">
    <w:name w:val="蓝天报告表正文"/>
    <w:basedOn w:val="1"/>
    <w:qFormat/>
    <w:uiPriority w:val="0"/>
    <w:pPr>
      <w:spacing w:line="460" w:lineRule="exact"/>
      <w:ind w:firstLine="200" w:firstLineChars="200"/>
      <w:jc w:val="left"/>
    </w:pPr>
    <w:rPr>
      <w:rFonts w:cs="宋体"/>
      <w:color w:val="000000"/>
      <w:sz w:val="24"/>
    </w:rPr>
  </w:style>
  <w:style w:type="paragraph" w:customStyle="1" w:styleId="79">
    <w:name w:val="报告书正文"/>
    <w:basedOn w:val="1"/>
    <w:next w:val="1"/>
    <w:qFormat/>
    <w:uiPriority w:val="0"/>
    <w:pPr>
      <w:autoSpaceDE w:val="0"/>
      <w:autoSpaceDN w:val="0"/>
      <w:spacing w:line="520" w:lineRule="exact"/>
      <w:ind w:firstLine="200" w:firstLineChars="200"/>
    </w:pPr>
    <w:rPr>
      <w:sz w:val="28"/>
      <w:szCs w:val="28"/>
    </w:rPr>
  </w:style>
  <w:style w:type="paragraph" w:customStyle="1" w:styleId="80">
    <w:name w:val="样式1"/>
    <w:basedOn w:val="1"/>
    <w:qFormat/>
    <w:uiPriority w:val="0"/>
    <w:rPr>
      <w:szCs w:val="20"/>
      <w:shd w:val="clear" w:color="auto" w:fill="FFFFFF"/>
    </w:rPr>
  </w:style>
  <w:style w:type="paragraph" w:customStyle="1" w:styleId="81">
    <w:name w:val="表头"/>
    <w:basedOn w:val="1"/>
    <w:qFormat/>
    <w:uiPriority w:val="0"/>
    <w:pPr>
      <w:spacing w:line="360" w:lineRule="auto"/>
      <w:jc w:val="center"/>
    </w:pPr>
    <w:rPr>
      <w:rFonts w:ascii="黑体" w:hAnsi="黑体" w:eastAsia="黑体"/>
      <w:sz w:val="24"/>
    </w:rPr>
  </w:style>
  <w:style w:type="paragraph" w:customStyle="1" w:styleId="82">
    <w:name w:val="我的表格内容"/>
    <w:basedOn w:val="1"/>
    <w:qFormat/>
    <w:uiPriority w:val="0"/>
    <w:pPr>
      <w:spacing w:line="280" w:lineRule="exact"/>
      <w:ind w:firstLine="0" w:firstLineChars="0"/>
      <w:jc w:val="center"/>
    </w:pPr>
    <w:rPr>
      <w:sz w:val="21"/>
    </w:rPr>
  </w:style>
  <w:style w:type="table" w:customStyle="1" w:styleId="83">
    <w:name w:val="Table Normal"/>
    <w:unhideWhenUsed/>
    <w:qFormat/>
    <w:uiPriority w:val="0"/>
    <w:tblPr>
      <w:tblCellMar>
        <w:top w:w="0" w:type="dxa"/>
        <w:left w:w="0" w:type="dxa"/>
        <w:bottom w:w="0" w:type="dxa"/>
        <w:right w:w="0" w:type="dxa"/>
      </w:tblCellMar>
    </w:tblPr>
  </w:style>
  <w:style w:type="character" w:customStyle="1" w:styleId="84">
    <w:name w:val="fontstyle01"/>
    <w:basedOn w:val="32"/>
    <w:qFormat/>
    <w:uiPriority w:val="0"/>
    <w:rPr>
      <w:rFonts w:hint="default" w:ascii="仿宋" w:hAnsi="仿宋"/>
      <w:color w:val="000000"/>
      <w:sz w:val="30"/>
      <w:szCs w:val="30"/>
    </w:rPr>
  </w:style>
  <w:style w:type="character" w:customStyle="1" w:styleId="85">
    <w:name w:val="fontstyle21"/>
    <w:basedOn w:val="32"/>
    <w:qFormat/>
    <w:uiPriority w:val="0"/>
    <w:rPr>
      <w:rFonts w:hint="default" w:ascii="TimesNewRomanPSMT" w:hAnsi="TimesNewRomanPSMT"/>
      <w:color w:val="000000"/>
      <w:sz w:val="24"/>
      <w:szCs w:val="24"/>
    </w:rPr>
  </w:style>
  <w:style w:type="character" w:customStyle="1" w:styleId="86">
    <w:name w:val="font101"/>
    <w:basedOn w:val="32"/>
    <w:qFormat/>
    <w:uiPriority w:val="0"/>
    <w:rPr>
      <w:rFonts w:hint="eastAsia" w:ascii="仿宋" w:hAnsi="仿宋" w:eastAsia="仿宋" w:cs="仿宋"/>
      <w:color w:val="000000"/>
      <w:sz w:val="21"/>
      <w:szCs w:val="21"/>
      <w:u w:val="none"/>
    </w:rPr>
  </w:style>
  <w:style w:type="paragraph" w:customStyle="1" w:styleId="87">
    <w:name w:val="正文表"/>
    <w:basedOn w:val="1"/>
    <w:qFormat/>
    <w:uiPriority w:val="0"/>
    <w:pPr>
      <w:tabs>
        <w:tab w:val="left" w:pos="715"/>
        <w:tab w:val="left" w:pos="857"/>
        <w:tab w:val="left" w:pos="2428"/>
      </w:tabs>
      <w:spacing w:line="440" w:lineRule="exact"/>
      <w:ind w:firstLine="464" w:firstLineChars="200"/>
    </w:pPr>
    <w:rPr>
      <w:rFonts w:hAnsi="宋体"/>
      <w:spacing w:val="-4"/>
      <w:sz w:val="24"/>
      <w:szCs w:val="24"/>
    </w:rPr>
  </w:style>
  <w:style w:type="paragraph" w:customStyle="1" w:styleId="88">
    <w:name w:val="表内容"/>
    <w:basedOn w:val="1"/>
    <w:qFormat/>
    <w:uiPriority w:val="0"/>
    <w:pPr>
      <w:autoSpaceDE w:val="0"/>
      <w:autoSpaceDN w:val="0"/>
      <w:jc w:val="center"/>
    </w:pPr>
    <w:rPr>
      <w:rFonts w:ascii="Arial" w:hAnsi="Arial" w:cs="Arial"/>
      <w:sz w:val="21"/>
      <w:szCs w:val="21"/>
    </w:rPr>
  </w:style>
  <w:style w:type="paragraph" w:customStyle="1" w:styleId="89">
    <w:name w:val="表格内"/>
    <w:basedOn w:val="1"/>
    <w:qFormat/>
    <w:uiPriority w:val="0"/>
    <w:pPr>
      <w:jc w:val="center"/>
    </w:pPr>
    <w:rPr>
      <w:szCs w:val="21"/>
    </w:rPr>
  </w:style>
  <w:style w:type="character" w:customStyle="1" w:styleId="90">
    <w:name w:val="font21"/>
    <w:basedOn w:val="32"/>
    <w:qFormat/>
    <w:uiPriority w:val="0"/>
    <w:rPr>
      <w:rFonts w:hint="eastAsia" w:ascii="宋体" w:hAnsi="宋体" w:eastAsia="宋体" w:cs="宋体"/>
      <w:color w:val="000000"/>
      <w:sz w:val="22"/>
      <w:szCs w:val="22"/>
      <w:u w:val="none"/>
    </w:rPr>
  </w:style>
  <w:style w:type="character" w:customStyle="1" w:styleId="91">
    <w:name w:val="font51"/>
    <w:basedOn w:val="32"/>
    <w:qFormat/>
    <w:uiPriority w:val="0"/>
    <w:rPr>
      <w:rFonts w:hint="default" w:ascii="Times New Roman" w:hAnsi="Times New Roman" w:cs="Times New Roman"/>
      <w:color w:val="000000"/>
      <w:sz w:val="20"/>
      <w:szCs w:val="20"/>
      <w:u w:val="none"/>
    </w:rPr>
  </w:style>
  <w:style w:type="character" w:customStyle="1" w:styleId="92">
    <w:name w:val="font11"/>
    <w:basedOn w:val="32"/>
    <w:qFormat/>
    <w:uiPriority w:val="0"/>
    <w:rPr>
      <w:rFonts w:hint="eastAsia" w:ascii="宋体" w:hAnsi="宋体" w:eastAsia="宋体" w:cs="宋体"/>
      <w:color w:val="000000"/>
      <w:sz w:val="20"/>
      <w:szCs w:val="20"/>
      <w:u w:val="none"/>
    </w:rPr>
  </w:style>
  <w:style w:type="paragraph" w:customStyle="1" w:styleId="93">
    <w:name w:val="_Style 1"/>
    <w:qFormat/>
    <w:uiPriority w:val="0"/>
    <w:pPr>
      <w:widowControl w:val="0"/>
      <w:spacing w:line="481" w:lineRule="atLeast"/>
      <w:ind w:firstLine="623"/>
      <w:jc w:val="both"/>
      <w:textAlignment w:val="baseline"/>
    </w:pPr>
    <w:rPr>
      <w:rFonts w:ascii="Times New Roman" w:hAnsi="Georgia" w:eastAsia="仿宋_GB2312" w:cs="Times New Roman"/>
      <w:color w:val="000000"/>
      <w:kern w:val="2"/>
      <w:sz w:val="31"/>
      <w:szCs w:val="22"/>
      <w:u w:val="none" w:color="000000"/>
      <w:lang w:val="en-US" w:eastAsia="zh-CN" w:bidi="ar-SA"/>
    </w:rPr>
  </w:style>
  <w:style w:type="paragraph" w:styleId="94">
    <w:name w:val="List Paragraph"/>
    <w:basedOn w:val="1"/>
    <w:qFormat/>
    <w:uiPriority w:val="1"/>
    <w:pPr>
      <w:ind w:left="238" w:firstLine="480"/>
    </w:pPr>
    <w:rPr>
      <w:rFonts w:ascii="宋体" w:hAnsi="宋体" w:eastAsia="宋体" w:cs="宋体"/>
      <w:lang w:val="zh-CN" w:eastAsia="zh-CN" w:bidi="zh-CN"/>
    </w:rPr>
  </w:style>
  <w:style w:type="paragraph" w:customStyle="1" w:styleId="95">
    <w:name w:val="1.正文"/>
    <w:basedOn w:val="1"/>
    <w:qFormat/>
    <w:uiPriority w:val="0"/>
    <w:pPr>
      <w:spacing w:line="460" w:lineRule="exact"/>
      <w:ind w:firstLine="200" w:firstLineChars="200"/>
    </w:pPr>
    <w:rPr>
      <w:rFonts w:cs="宋体"/>
      <w:szCs w:val="20"/>
    </w:rPr>
  </w:style>
  <w:style w:type="paragraph" w:customStyle="1" w:styleId="96">
    <w:name w:val="表1"/>
    <w:basedOn w:val="1"/>
    <w:next w:val="1"/>
    <w:qFormat/>
    <w:uiPriority w:val="0"/>
    <w:pPr>
      <w:spacing w:line="520" w:lineRule="exact"/>
      <w:ind w:firstLine="200" w:firstLineChars="200"/>
    </w:pPr>
    <w:rPr>
      <w:rFonts w:ascii="黑体" w:hAnsi="黑体" w:eastAsia="黑体"/>
      <w:sz w:val="24"/>
      <w:szCs w:val="22"/>
    </w:rPr>
  </w:style>
  <w:style w:type="paragraph" w:customStyle="1" w:styleId="97">
    <w:name w:val="鸿达表格文字"/>
    <w:basedOn w:val="1"/>
    <w:qFormat/>
    <w:uiPriority w:val="0"/>
    <w:pPr>
      <w:contextualSpacing/>
      <w:jc w:val="center"/>
      <w:textAlignment w:val="baseline"/>
    </w:pPr>
    <w:rPr>
      <w:kern w:val="0"/>
      <w:szCs w:val="21"/>
    </w:rPr>
  </w:style>
  <w:style w:type="paragraph" w:customStyle="1" w:styleId="98">
    <w:name w:val="5正文"/>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emf"/><Relationship Id="rId24" Type="http://schemas.openxmlformats.org/officeDocument/2006/relationships/oleObject" Target="embeddings/oleObject4.bin"/><Relationship Id="rId23" Type="http://schemas.openxmlformats.org/officeDocument/2006/relationships/image" Target="media/image12.emf"/><Relationship Id="rId22" Type="http://schemas.openxmlformats.org/officeDocument/2006/relationships/oleObject" Target="embeddings/oleObject3.bin"/><Relationship Id="rId21" Type="http://schemas.openxmlformats.org/officeDocument/2006/relationships/image" Target="media/image11.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450"/>
    <customShpInfo spid="_x0000_s24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135</Pages>
  <Words>56984</Words>
  <Characters>74837</Characters>
  <Lines>13</Lines>
  <Paragraphs>3</Paragraphs>
  <TotalTime>0</TotalTime>
  <ScaleCrop>false</ScaleCrop>
  <LinksUpToDate>false</LinksUpToDate>
  <CharactersWithSpaces>76615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天之蓝环保</cp:lastModifiedBy>
  <cp:lastPrinted>2022-04-01T07:23:00Z</cp:lastPrinted>
  <dcterms:modified xsi:type="dcterms:W3CDTF">2022-11-29T02:39:02Z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3E9B36B731F14FEFB3CFE6DE15C5939F</vt:lpwstr>
  </property>
</Properties>
</file>