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5E0B4" w:themeColor="accent6" w:themeTint="66"/>
  <w:body>
    <w:p>
      <w:pPr>
        <w:widowControl/>
        <w:jc w:val="left"/>
        <w:rPr>
          <w:rFonts w:eastAsia="仿宋_GB2312"/>
          <w:sz w:val="36"/>
          <w:szCs w:val="36"/>
        </w:rPr>
      </w:pPr>
      <w:r>
        <w:rPr>
          <w:rFonts w:eastAsia="仿宋_GB2312"/>
          <w:sz w:val="36"/>
          <w:szCs w:val="36"/>
        </w:rPr>
        <w:drawing>
          <wp:inline distT="0" distB="0" distL="0" distR="0">
            <wp:extent cx="5929630" cy="8449945"/>
            <wp:effectExtent l="0" t="0" r="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38178" cy="8461412"/>
                    </a:xfrm>
                    <a:prstGeom prst="rect">
                      <a:avLst/>
                    </a:prstGeom>
                    <a:noFill/>
                    <a:ln>
                      <a:noFill/>
                    </a:ln>
                  </pic:spPr>
                </pic:pic>
              </a:graphicData>
            </a:graphic>
          </wp:inline>
        </w:drawing>
      </w:r>
      <w:r>
        <w:rPr>
          <w:rFonts w:eastAsia="仿宋_GB2312"/>
          <w:sz w:val="36"/>
          <w:szCs w:val="36"/>
        </w:rPr>
        <w:br w:type="page"/>
      </w:r>
    </w:p>
    <w:p>
      <w:pPr>
        <w:widowControl/>
        <w:jc w:val="center"/>
        <w:rPr>
          <w:rFonts w:eastAsia="仿宋_GB2312"/>
          <w:sz w:val="36"/>
          <w:szCs w:val="36"/>
        </w:rPr>
      </w:pPr>
      <w:r>
        <w:rPr>
          <w:rFonts w:eastAsia="仿宋_GB2312"/>
          <w:sz w:val="36"/>
          <w:szCs w:val="36"/>
        </w:rPr>
        <w:drawing>
          <wp:inline distT="0" distB="0" distL="114300" distR="114300">
            <wp:extent cx="5715000" cy="8572500"/>
            <wp:effectExtent l="0" t="0" r="0" b="0"/>
            <wp:docPr id="65" name="图片 65" descr="1669100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669100599(1)"/>
                    <pic:cNvPicPr>
                      <a:picLocks noChangeAspect="1"/>
                    </pic:cNvPicPr>
                  </pic:nvPicPr>
                  <pic:blipFill>
                    <a:blip r:embed="rId11"/>
                    <a:stretch>
                      <a:fillRect/>
                    </a:stretch>
                  </pic:blipFill>
                  <pic:spPr>
                    <a:xfrm>
                      <a:off x="0" y="0"/>
                      <a:ext cx="5715000" cy="8572500"/>
                    </a:xfrm>
                    <a:prstGeom prst="rect">
                      <a:avLst/>
                    </a:prstGeom>
                  </pic:spPr>
                </pic:pic>
              </a:graphicData>
            </a:graphic>
          </wp:inline>
        </w:drawing>
      </w:r>
      <w:r>
        <w:rPr>
          <w:rFonts w:eastAsia="仿宋_GB2312"/>
          <w:sz w:val="36"/>
          <w:szCs w:val="36"/>
        </w:rPr>
        <w:br w:type="page"/>
      </w:r>
    </w:p>
    <w:p>
      <w:pPr>
        <w:widowControl/>
        <w:jc w:val="center"/>
        <w:rPr>
          <w:rFonts w:eastAsia="仿宋_GB2312"/>
          <w:sz w:val="36"/>
          <w:szCs w:val="36"/>
        </w:rPr>
      </w:pPr>
      <w:r>
        <w:rPr>
          <w:rFonts w:eastAsia="仿宋_GB2312"/>
          <w:sz w:val="36"/>
          <w:szCs w:val="36"/>
        </w:rPr>
        <w:drawing>
          <wp:inline distT="0" distB="0" distL="0" distR="0">
            <wp:extent cx="5166360" cy="8470265"/>
            <wp:effectExtent l="0" t="0" r="0" b="698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2" cstate="print">
                      <a:extLst>
                        <a:ext uri="{28A0092B-C50C-407E-A947-70E740481C1C}">
                          <a14:useLocalDpi xmlns:a14="http://schemas.microsoft.com/office/drawing/2010/main" val="0"/>
                        </a:ext>
                      </a:extLst>
                    </a:blip>
                    <a:srcRect t="1729" r="14591"/>
                    <a:stretch>
                      <a:fillRect/>
                    </a:stretch>
                  </pic:blipFill>
                  <pic:spPr>
                    <a:xfrm>
                      <a:off x="0" y="0"/>
                      <a:ext cx="5169821" cy="8475984"/>
                    </a:xfrm>
                    <a:prstGeom prst="rect">
                      <a:avLst/>
                    </a:prstGeom>
                    <a:noFill/>
                    <a:ln>
                      <a:noFill/>
                    </a:ln>
                  </pic:spPr>
                </pic:pic>
              </a:graphicData>
            </a:graphic>
          </wp:inline>
        </w:drawing>
      </w:r>
      <w:r>
        <w:rPr>
          <w:rFonts w:eastAsia="仿宋_GB2312"/>
          <w:sz w:val="36"/>
          <w:szCs w:val="36"/>
        </w:rPr>
        <w:br w:type="page"/>
      </w:r>
    </w:p>
    <w:p>
      <w:pPr>
        <w:widowControl/>
        <w:jc w:val="left"/>
      </w:pPr>
      <w:r>
        <w:drawing>
          <wp:inline distT="0" distB="0" distL="114300" distR="114300">
            <wp:extent cx="6121400" cy="8493125"/>
            <wp:effectExtent l="0" t="0" r="12700" b="3175"/>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13"/>
                    <a:stretch>
                      <a:fillRect/>
                    </a:stretch>
                  </pic:blipFill>
                  <pic:spPr>
                    <a:xfrm>
                      <a:off x="0" y="0"/>
                      <a:ext cx="6121400" cy="8493125"/>
                    </a:xfrm>
                    <a:prstGeom prst="rect">
                      <a:avLst/>
                    </a:prstGeom>
                    <a:noFill/>
                    <a:ln>
                      <a:noFill/>
                    </a:ln>
                  </pic:spPr>
                </pic:pic>
              </a:graphicData>
            </a:graphic>
          </wp:inline>
        </w:drawing>
      </w:r>
    </w:p>
    <w:p>
      <w:r>
        <w:br w:type="page"/>
      </w:r>
    </w:p>
    <w:p>
      <w:pPr>
        <w:widowControl/>
        <w:jc w:val="left"/>
        <w:rPr>
          <w:rFonts w:eastAsia="仿宋_GB2312"/>
          <w:sz w:val="36"/>
          <w:szCs w:val="36"/>
        </w:rPr>
      </w:pPr>
      <w:r>
        <w:drawing>
          <wp:inline distT="0" distB="0" distL="114300" distR="114300">
            <wp:extent cx="5890260" cy="8394700"/>
            <wp:effectExtent l="0" t="0" r="15240" b="6350"/>
            <wp:docPr id="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
                    <pic:cNvPicPr>
                      <a:picLocks noChangeAspect="1"/>
                    </pic:cNvPicPr>
                  </pic:nvPicPr>
                  <pic:blipFill>
                    <a:blip r:embed="rId14"/>
                    <a:stretch>
                      <a:fillRect/>
                    </a:stretch>
                  </pic:blipFill>
                  <pic:spPr>
                    <a:xfrm>
                      <a:off x="0" y="0"/>
                      <a:ext cx="5890260" cy="8394700"/>
                    </a:xfrm>
                    <a:prstGeom prst="rect">
                      <a:avLst/>
                    </a:prstGeom>
                    <a:noFill/>
                    <a:ln>
                      <a:noFill/>
                    </a:ln>
                  </pic:spPr>
                </pic:pic>
              </a:graphicData>
            </a:graphic>
          </wp:inline>
        </w:drawing>
      </w:r>
    </w:p>
    <w:p>
      <w:pPr>
        <w:rPr>
          <w:rFonts w:eastAsia="仿宋_GB2312"/>
          <w:sz w:val="36"/>
          <w:szCs w:val="36"/>
        </w:rPr>
      </w:pPr>
      <w:r>
        <w:rPr>
          <w:rFonts w:eastAsia="仿宋_GB2312"/>
          <w:sz w:val="36"/>
          <w:szCs w:val="36"/>
        </w:rPr>
        <w:br w:type="page"/>
      </w:r>
    </w:p>
    <w:p>
      <w:pPr>
        <w:widowControl/>
        <w:jc w:val="left"/>
        <w:rPr>
          <w:rFonts w:eastAsia="仿宋_GB2312"/>
          <w:sz w:val="36"/>
          <w:szCs w:val="36"/>
        </w:rPr>
      </w:pPr>
      <w:r>
        <w:rPr>
          <w:rFonts w:eastAsia="仿宋_GB2312"/>
          <w:sz w:val="36"/>
          <w:szCs w:val="36"/>
        </w:rPr>
        <w:drawing>
          <wp:inline distT="0" distB="0" distL="114300" distR="114300">
            <wp:extent cx="5757545" cy="8138795"/>
            <wp:effectExtent l="0" t="0" r="14605" b="14605"/>
            <wp:docPr id="57" name="图片 57" descr="杜献梅10月社保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杜献梅10月社保_01"/>
                    <pic:cNvPicPr>
                      <a:picLocks noChangeAspect="1"/>
                    </pic:cNvPicPr>
                  </pic:nvPicPr>
                  <pic:blipFill>
                    <a:blip r:embed="rId15"/>
                    <a:stretch>
                      <a:fillRect/>
                    </a:stretch>
                  </pic:blipFill>
                  <pic:spPr>
                    <a:xfrm>
                      <a:off x="0" y="0"/>
                      <a:ext cx="5757545" cy="8138795"/>
                    </a:xfrm>
                    <a:prstGeom prst="rect">
                      <a:avLst/>
                    </a:prstGeom>
                  </pic:spPr>
                </pic:pic>
              </a:graphicData>
            </a:graphic>
          </wp:inline>
        </w:drawing>
      </w:r>
      <w:r>
        <w:rPr>
          <w:rFonts w:eastAsia="仿宋_GB2312"/>
          <w:sz w:val="36"/>
          <w:szCs w:val="36"/>
        </w:rPr>
        <w:br w:type="page"/>
      </w:r>
    </w:p>
    <w:p>
      <w:pPr>
        <w:widowControl/>
        <w:jc w:val="left"/>
        <w:rPr>
          <w:rFonts w:eastAsia="仿宋_GB2312"/>
          <w:sz w:val="36"/>
          <w:szCs w:val="36"/>
        </w:rPr>
      </w:pPr>
      <w:r>
        <w:drawing>
          <wp:inline distT="0" distB="0" distL="114300" distR="114300">
            <wp:extent cx="5812790" cy="8436610"/>
            <wp:effectExtent l="0" t="0" r="16510" b="2540"/>
            <wp:docPr id="8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1"/>
                    <pic:cNvPicPr>
                      <a:picLocks noChangeAspect="1"/>
                    </pic:cNvPicPr>
                  </pic:nvPicPr>
                  <pic:blipFill>
                    <a:blip r:embed="rId16"/>
                    <a:stretch>
                      <a:fillRect/>
                    </a:stretch>
                  </pic:blipFill>
                  <pic:spPr>
                    <a:xfrm>
                      <a:off x="0" y="0"/>
                      <a:ext cx="5812790" cy="8436610"/>
                    </a:xfrm>
                    <a:prstGeom prst="rect">
                      <a:avLst/>
                    </a:prstGeom>
                    <a:noFill/>
                    <a:ln>
                      <a:noFill/>
                    </a:ln>
                  </pic:spPr>
                </pic:pic>
              </a:graphicData>
            </a:graphic>
          </wp:inline>
        </w:drawing>
      </w:r>
      <w:r>
        <w:rPr>
          <w:rFonts w:eastAsia="仿宋_GB2312"/>
          <w:sz w:val="36"/>
          <w:szCs w:val="36"/>
        </w:rPr>
        <w:br w:type="page"/>
      </w:r>
    </w:p>
    <w:p>
      <w:pPr>
        <w:rPr>
          <w:rFonts w:eastAsia="仿宋_GB2312"/>
          <w:sz w:val="36"/>
          <w:szCs w:val="36"/>
        </w:rPr>
      </w:pPr>
    </w:p>
    <w:p>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p>
    <w:p>
      <w:pPr>
        <w:adjustRightInd w:val="0"/>
        <w:snapToGrid w:val="0"/>
        <w:spacing w:before="192" w:beforeLines="80"/>
        <w:jc w:val="center"/>
        <w:rPr>
          <w:rFonts w:eastAsia="楷体_GB2312"/>
          <w:bCs/>
          <w:sz w:val="48"/>
          <w:szCs w:val="48"/>
        </w:rPr>
      </w:pPr>
      <w:r>
        <w:rPr>
          <w:rFonts w:eastAsia="楷体_GB2312"/>
          <w:bCs/>
          <w:sz w:val="48"/>
          <w:szCs w:val="48"/>
        </w:rPr>
        <w:t>（污染影响类）</w:t>
      </w:r>
    </w:p>
    <w:p>
      <w:pPr>
        <w:adjustRightInd w:val="0"/>
        <w:snapToGrid w:val="0"/>
        <w:spacing w:line="288" w:lineRule="auto"/>
        <w:jc w:val="center"/>
        <w:outlineLvl w:val="0"/>
        <w:rPr>
          <w:rFonts w:eastAsia="华文仿宋"/>
          <w:color w:val="000000"/>
          <w:kern w:val="44"/>
          <w:sz w:val="44"/>
          <w:szCs w:val="44"/>
        </w:rPr>
      </w:pPr>
    </w:p>
    <w:p>
      <w:pPr>
        <w:jc w:val="center"/>
        <w:rPr>
          <w:rFonts w:eastAsia="仿宋"/>
          <w:sz w:val="52"/>
          <w:szCs w:val="52"/>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firstLine="1040"/>
        <w:rPr>
          <w:rFonts w:eastAsia="仿宋_GB2312"/>
          <w:sz w:val="36"/>
          <w:szCs w:val="36"/>
          <w:u w:val="single"/>
        </w:rPr>
      </w:pPr>
      <w:r>
        <w:rPr>
          <w:rFonts w:eastAsia="仿宋_GB2312"/>
          <w:sz w:val="36"/>
          <w:szCs w:val="36"/>
        </w:rPr>
        <w:t>项目名称：</w:t>
      </w:r>
      <w:r>
        <w:rPr>
          <w:rFonts w:eastAsia="仿宋_GB2312"/>
          <w:sz w:val="36"/>
          <w:szCs w:val="36"/>
          <w:u w:val="single"/>
        </w:rPr>
        <w:t xml:space="preserve">    新乡县检验检测中心建设项目</w:t>
      </w:r>
      <w:r>
        <w:rPr>
          <w:rFonts w:hint="eastAsia" w:eastAsia="仿宋_GB2312"/>
          <w:sz w:val="36"/>
          <w:szCs w:val="36"/>
          <w:u w:val="single"/>
        </w:rPr>
        <w:t xml:space="preserve"> </w:t>
      </w:r>
      <w:r>
        <w:rPr>
          <w:rFonts w:eastAsia="仿宋_GB2312"/>
          <w:sz w:val="36"/>
          <w:szCs w:val="36"/>
          <w:u w:val="single"/>
        </w:rPr>
        <w:t xml:space="preserve">    </w:t>
      </w:r>
    </w:p>
    <w:p>
      <w:pPr>
        <w:adjustRightInd w:val="0"/>
        <w:snapToGrid w:val="0"/>
        <w:spacing w:line="288" w:lineRule="auto"/>
        <w:ind w:firstLine="1040"/>
        <w:rPr>
          <w:rFonts w:eastAsia="仿宋_GB2312"/>
          <w:sz w:val="36"/>
          <w:szCs w:val="36"/>
          <w:u w:val="single"/>
        </w:rPr>
      </w:pPr>
      <w:r>
        <w:rPr>
          <w:rFonts w:eastAsia="仿宋_GB2312"/>
          <w:sz w:val="36"/>
          <w:szCs w:val="36"/>
        </w:rPr>
        <w:t>建设单位（盖章）：</w:t>
      </w:r>
      <w:r>
        <w:rPr>
          <w:rFonts w:eastAsia="仿宋_GB2312"/>
          <w:sz w:val="36"/>
          <w:szCs w:val="36"/>
          <w:u w:val="single"/>
        </w:rPr>
        <w:t xml:space="preserve">  </w:t>
      </w:r>
      <w:r>
        <w:rPr>
          <w:rFonts w:hint="eastAsia" w:eastAsia="仿宋_GB2312"/>
          <w:sz w:val="36"/>
          <w:szCs w:val="36"/>
          <w:u w:val="single"/>
        </w:rPr>
        <w:t xml:space="preserve">河南印海智谷实业有限公司 </w:t>
      </w:r>
      <w:r>
        <w:rPr>
          <w:rFonts w:eastAsia="仿宋_GB2312"/>
          <w:sz w:val="36"/>
          <w:szCs w:val="36"/>
          <w:u w:val="single"/>
        </w:rPr>
        <w:t xml:space="preserve"> </w:t>
      </w:r>
    </w:p>
    <w:p>
      <w:pPr>
        <w:adjustRightInd w:val="0"/>
        <w:snapToGrid w:val="0"/>
        <w:spacing w:line="288" w:lineRule="auto"/>
        <w:ind w:firstLine="1040"/>
        <w:rPr>
          <w:rFonts w:eastAsia="仿宋_GB2312"/>
          <w:sz w:val="36"/>
          <w:szCs w:val="36"/>
          <w:u w:val="single"/>
        </w:rPr>
      </w:pPr>
      <w:r>
        <w:rPr>
          <w:rFonts w:eastAsia="仿宋_GB2312"/>
          <w:sz w:val="36"/>
          <w:szCs w:val="36"/>
        </w:rPr>
        <w:t>编制日期：</w:t>
      </w:r>
      <w:r>
        <w:rPr>
          <w:rFonts w:eastAsia="仿宋_GB2312"/>
          <w:sz w:val="36"/>
          <w:szCs w:val="36"/>
          <w:u w:val="single"/>
        </w:rPr>
        <w:t xml:space="preserve">           二〇二二年</w:t>
      </w:r>
      <w:r>
        <w:rPr>
          <w:rFonts w:hint="eastAsia" w:eastAsia="仿宋_GB2312"/>
          <w:sz w:val="36"/>
          <w:szCs w:val="36"/>
          <w:u w:val="single"/>
        </w:rPr>
        <w:t>十</w:t>
      </w:r>
      <w:r>
        <w:rPr>
          <w:rFonts w:eastAsia="仿宋_GB2312"/>
          <w:sz w:val="36"/>
          <w:szCs w:val="36"/>
          <w:u w:val="single"/>
        </w:rPr>
        <w:t>月</w:t>
      </w:r>
      <w:r>
        <w:rPr>
          <w:rFonts w:hint="eastAsia" w:eastAsia="仿宋_GB2312"/>
          <w:sz w:val="36"/>
          <w:szCs w:val="36"/>
          <w:u w:val="single"/>
        </w:rPr>
        <w:t xml:space="preserve"> </w:t>
      </w:r>
      <w:r>
        <w:rPr>
          <w:rFonts w:eastAsia="仿宋_GB2312"/>
          <w:sz w:val="36"/>
          <w:szCs w:val="36"/>
          <w:u w:val="single"/>
        </w:rPr>
        <w:t xml:space="preserve">         </w:t>
      </w:r>
    </w:p>
    <w:p>
      <w:pPr>
        <w:adjustRightInd w:val="0"/>
        <w:snapToGrid w:val="0"/>
        <w:spacing w:line="288" w:lineRule="auto"/>
        <w:ind w:firstLine="1040"/>
        <w:rPr>
          <w:rFonts w:eastAsia="仿宋_GB2312"/>
          <w:sz w:val="36"/>
          <w:szCs w:val="36"/>
        </w:rPr>
      </w:pPr>
      <w:bookmarkStart w:id="0" w:name="_Hlk57884087"/>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bookmarkEnd w:id="0"/>
    <w:p>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pPr>
        <w:adjustRightInd w:val="0"/>
        <w:snapToGrid w:val="0"/>
        <w:spacing w:line="288" w:lineRule="auto"/>
        <w:ind w:firstLine="1040"/>
        <w:rPr>
          <w:rFonts w:eastAsia="仿宋_GB2312"/>
          <w:sz w:val="36"/>
          <w:szCs w:val="36"/>
        </w:rPr>
        <w:sectPr>
          <w:footerReference r:id="rId3" w:type="default"/>
          <w:footerReference r:id="rId4" w:type="even"/>
          <w:pgSz w:w="11906" w:h="16838"/>
          <w:pgMar w:top="1701" w:right="1418" w:bottom="1701" w:left="1418" w:header="851" w:footer="1077" w:gutter="0"/>
          <w:pgNumType w:start="3"/>
          <w:cols w:space="720" w:num="1"/>
          <w:docGrid w:linePitch="312" w:charSpace="0"/>
        </w:sectPr>
      </w:pPr>
    </w:p>
    <w:p>
      <w:pPr>
        <w:pStyle w:val="17"/>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一、建设项目基本情况</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24"/>
        <w:gridCol w:w="3171"/>
        <w:gridCol w:w="1791"/>
        <w:gridCol w:w="27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24" w:type="dxa"/>
            <w:tcMar>
              <w:top w:w="16" w:type="dxa"/>
              <w:left w:w="16" w:type="dxa"/>
              <w:right w:w="16" w:type="dxa"/>
            </w:tcMar>
            <w:vAlign w:val="center"/>
          </w:tcPr>
          <w:p>
            <w:pPr>
              <w:adjustRightInd w:val="0"/>
              <w:snapToGrid w:val="0"/>
              <w:jc w:val="center"/>
              <w:rPr>
                <w:szCs w:val="21"/>
              </w:rPr>
            </w:pPr>
            <w:r>
              <w:rPr>
                <w:szCs w:val="21"/>
              </w:rPr>
              <w:t>建设项目名称</w:t>
            </w:r>
          </w:p>
        </w:tc>
        <w:tc>
          <w:tcPr>
            <w:tcW w:w="7746" w:type="dxa"/>
            <w:gridSpan w:val="3"/>
            <w:vAlign w:val="center"/>
          </w:tcPr>
          <w:p>
            <w:pPr>
              <w:adjustRightInd w:val="0"/>
              <w:snapToGrid w:val="0"/>
              <w:jc w:val="center"/>
              <w:rPr>
                <w:szCs w:val="21"/>
              </w:rPr>
            </w:pPr>
            <w:r>
              <w:rPr>
                <w:szCs w:val="21"/>
              </w:rPr>
              <w:t>新乡县检验检测中心建设项目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24" w:type="dxa"/>
            <w:tcMar>
              <w:top w:w="16" w:type="dxa"/>
              <w:left w:w="16" w:type="dxa"/>
              <w:right w:w="16" w:type="dxa"/>
            </w:tcMar>
            <w:vAlign w:val="center"/>
          </w:tcPr>
          <w:p>
            <w:pPr>
              <w:adjustRightInd w:val="0"/>
              <w:snapToGrid w:val="0"/>
              <w:jc w:val="center"/>
              <w:rPr>
                <w:szCs w:val="21"/>
              </w:rPr>
            </w:pPr>
            <w:r>
              <w:rPr>
                <w:szCs w:val="21"/>
              </w:rPr>
              <w:t>项目代码</w:t>
            </w:r>
          </w:p>
        </w:tc>
        <w:tc>
          <w:tcPr>
            <w:tcW w:w="7746" w:type="dxa"/>
            <w:gridSpan w:val="3"/>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24" w:type="dxa"/>
            <w:tcMar>
              <w:top w:w="16" w:type="dxa"/>
              <w:left w:w="16" w:type="dxa"/>
              <w:right w:w="16" w:type="dxa"/>
            </w:tcMar>
            <w:vAlign w:val="center"/>
          </w:tcPr>
          <w:p>
            <w:pPr>
              <w:adjustRightInd w:val="0"/>
              <w:snapToGrid w:val="0"/>
              <w:jc w:val="center"/>
              <w:rPr>
                <w:szCs w:val="21"/>
              </w:rPr>
            </w:pPr>
            <w:r>
              <w:rPr>
                <w:szCs w:val="21"/>
              </w:rPr>
              <w:t>建设单位联系人</w:t>
            </w:r>
          </w:p>
        </w:tc>
        <w:tc>
          <w:tcPr>
            <w:tcW w:w="3171" w:type="dxa"/>
            <w:vAlign w:val="center"/>
          </w:tcPr>
          <w:p>
            <w:pPr>
              <w:adjustRightInd w:val="0"/>
              <w:snapToGrid w:val="0"/>
              <w:jc w:val="center"/>
              <w:rPr>
                <w:szCs w:val="21"/>
              </w:rPr>
            </w:pPr>
            <w:r>
              <w:rPr>
                <w:szCs w:val="21"/>
              </w:rPr>
              <w:t>梁 蕾</w:t>
            </w:r>
          </w:p>
        </w:tc>
        <w:tc>
          <w:tcPr>
            <w:tcW w:w="1791" w:type="dxa"/>
            <w:vAlign w:val="center"/>
          </w:tcPr>
          <w:p>
            <w:pPr>
              <w:adjustRightInd w:val="0"/>
              <w:snapToGrid w:val="0"/>
              <w:jc w:val="center"/>
              <w:rPr>
                <w:szCs w:val="21"/>
              </w:rPr>
            </w:pPr>
            <w:r>
              <w:rPr>
                <w:szCs w:val="21"/>
              </w:rPr>
              <w:t>联系方式</w:t>
            </w:r>
          </w:p>
        </w:tc>
        <w:tc>
          <w:tcPr>
            <w:tcW w:w="2784" w:type="dxa"/>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24" w:type="dxa"/>
            <w:tcMar>
              <w:top w:w="16" w:type="dxa"/>
              <w:left w:w="16" w:type="dxa"/>
              <w:right w:w="16" w:type="dxa"/>
            </w:tcMar>
            <w:vAlign w:val="center"/>
          </w:tcPr>
          <w:p>
            <w:pPr>
              <w:adjustRightInd w:val="0"/>
              <w:snapToGrid w:val="0"/>
              <w:jc w:val="center"/>
              <w:rPr>
                <w:szCs w:val="21"/>
              </w:rPr>
            </w:pPr>
            <w:r>
              <w:rPr>
                <w:szCs w:val="21"/>
              </w:rPr>
              <w:t>法人代表</w:t>
            </w:r>
          </w:p>
        </w:tc>
        <w:tc>
          <w:tcPr>
            <w:tcW w:w="7746" w:type="dxa"/>
            <w:gridSpan w:val="3"/>
            <w:vAlign w:val="center"/>
          </w:tcPr>
          <w:p>
            <w:pPr>
              <w:adjustRightInd w:val="0"/>
              <w:snapToGrid w:val="0"/>
              <w:jc w:val="center"/>
              <w:rPr>
                <w:szCs w:val="21"/>
              </w:rPr>
            </w:pPr>
            <w:r>
              <w:rPr>
                <w:rFonts w:hint="eastAsia"/>
                <w:szCs w:val="21"/>
              </w:rPr>
              <w:t>张</w:t>
            </w:r>
            <w:r>
              <w:rPr>
                <w:szCs w:val="21"/>
              </w:rPr>
              <w:t xml:space="preserve"> </w:t>
            </w:r>
            <w:r>
              <w:rPr>
                <w:rFonts w:hint="eastAsia"/>
                <w:szCs w:val="21"/>
              </w:rPr>
              <w:t>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24" w:type="dxa"/>
            <w:tcMar>
              <w:top w:w="16" w:type="dxa"/>
              <w:left w:w="16" w:type="dxa"/>
              <w:right w:w="16" w:type="dxa"/>
            </w:tcMar>
            <w:vAlign w:val="center"/>
          </w:tcPr>
          <w:p>
            <w:pPr>
              <w:adjustRightInd w:val="0"/>
              <w:snapToGrid w:val="0"/>
              <w:jc w:val="center"/>
              <w:rPr>
                <w:szCs w:val="21"/>
              </w:rPr>
            </w:pPr>
            <w:r>
              <w:rPr>
                <w:szCs w:val="21"/>
              </w:rPr>
              <w:t>建设地点</w:t>
            </w:r>
          </w:p>
        </w:tc>
        <w:tc>
          <w:tcPr>
            <w:tcW w:w="7746" w:type="dxa"/>
            <w:gridSpan w:val="3"/>
            <w:vAlign w:val="center"/>
          </w:tcPr>
          <w:p>
            <w:pPr>
              <w:adjustRightInd w:val="0"/>
              <w:snapToGrid w:val="0"/>
              <w:jc w:val="center"/>
              <w:rPr>
                <w:szCs w:val="21"/>
              </w:rPr>
            </w:pPr>
            <w:r>
              <w:rPr>
                <w:szCs w:val="21"/>
              </w:rPr>
              <w:t>河南省新乡经济开发区107国道与胡韦线交汇处A3地块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24" w:type="dxa"/>
            <w:tcMar>
              <w:top w:w="16" w:type="dxa"/>
              <w:left w:w="16" w:type="dxa"/>
              <w:right w:w="16" w:type="dxa"/>
            </w:tcMar>
            <w:vAlign w:val="center"/>
          </w:tcPr>
          <w:p>
            <w:pPr>
              <w:adjustRightInd w:val="0"/>
              <w:snapToGrid w:val="0"/>
              <w:jc w:val="center"/>
              <w:rPr>
                <w:szCs w:val="21"/>
              </w:rPr>
            </w:pPr>
            <w:r>
              <w:rPr>
                <w:szCs w:val="21"/>
              </w:rPr>
              <w:t>地理坐标</w:t>
            </w:r>
          </w:p>
        </w:tc>
        <w:tc>
          <w:tcPr>
            <w:tcW w:w="7746" w:type="dxa"/>
            <w:gridSpan w:val="3"/>
            <w:vAlign w:val="center"/>
          </w:tcPr>
          <w:p>
            <w:pPr>
              <w:jc w:val="center"/>
              <w:rPr>
                <w:szCs w:val="21"/>
              </w:rPr>
            </w:pPr>
            <w:r>
              <w:rPr>
                <w:szCs w:val="21"/>
              </w:rPr>
              <w:t>（</w:t>
            </w:r>
            <w:r>
              <w:rPr>
                <w:szCs w:val="21"/>
                <w:u w:val="single"/>
              </w:rPr>
              <w:t>113</w:t>
            </w:r>
            <w:r>
              <w:rPr>
                <w:szCs w:val="21"/>
              </w:rPr>
              <w:t>度</w:t>
            </w:r>
            <w:r>
              <w:rPr>
                <w:szCs w:val="21"/>
                <w:u w:val="single"/>
              </w:rPr>
              <w:t>47分42.268</w:t>
            </w:r>
            <w:r>
              <w:rPr>
                <w:szCs w:val="21"/>
              </w:rPr>
              <w:t>秒，</w:t>
            </w:r>
            <w:r>
              <w:rPr>
                <w:szCs w:val="21"/>
                <w:u w:val="single"/>
              </w:rPr>
              <w:t>35度05分31.924</w:t>
            </w:r>
            <w:r>
              <w:rPr>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24" w:type="dxa"/>
            <w:tcMar>
              <w:top w:w="16" w:type="dxa"/>
              <w:left w:w="16" w:type="dxa"/>
              <w:right w:w="16" w:type="dxa"/>
            </w:tcMar>
            <w:vAlign w:val="center"/>
          </w:tcPr>
          <w:p>
            <w:pPr>
              <w:adjustRightInd w:val="0"/>
              <w:snapToGrid w:val="0"/>
              <w:jc w:val="center"/>
              <w:rPr>
                <w:szCs w:val="21"/>
              </w:rPr>
            </w:pPr>
            <w:r>
              <w:rPr>
                <w:szCs w:val="21"/>
              </w:rPr>
              <w:t>国民经济</w:t>
            </w:r>
          </w:p>
          <w:p>
            <w:pPr>
              <w:adjustRightInd w:val="0"/>
              <w:snapToGrid w:val="0"/>
              <w:jc w:val="center"/>
              <w:rPr>
                <w:szCs w:val="21"/>
              </w:rPr>
            </w:pPr>
            <w:r>
              <w:rPr>
                <w:szCs w:val="21"/>
              </w:rPr>
              <w:t>行业类别</w:t>
            </w:r>
          </w:p>
        </w:tc>
        <w:tc>
          <w:tcPr>
            <w:tcW w:w="3171" w:type="dxa"/>
            <w:vAlign w:val="center"/>
          </w:tcPr>
          <w:p>
            <w:pPr>
              <w:adjustRightInd w:val="0"/>
              <w:snapToGrid w:val="0"/>
              <w:jc w:val="center"/>
              <w:rPr>
                <w:szCs w:val="21"/>
              </w:rPr>
            </w:pPr>
            <w:r>
              <w:rPr>
                <w:szCs w:val="21"/>
              </w:rPr>
              <w:t>M7451检验检疫服务、M7452检测服务、M7453计量服务</w:t>
            </w:r>
          </w:p>
        </w:tc>
        <w:tc>
          <w:tcPr>
            <w:tcW w:w="1791" w:type="dxa"/>
            <w:vAlign w:val="center"/>
          </w:tcPr>
          <w:p>
            <w:pPr>
              <w:adjustRightInd w:val="0"/>
              <w:snapToGrid w:val="0"/>
              <w:jc w:val="center"/>
              <w:rPr>
                <w:szCs w:val="21"/>
              </w:rPr>
            </w:pPr>
            <w:bookmarkStart w:id="1" w:name="_Hlk49843745"/>
            <w:r>
              <w:rPr>
                <w:szCs w:val="21"/>
              </w:rPr>
              <w:t>建设项目</w:t>
            </w:r>
          </w:p>
          <w:p>
            <w:pPr>
              <w:adjustRightInd w:val="0"/>
              <w:snapToGrid w:val="0"/>
              <w:jc w:val="center"/>
              <w:rPr>
                <w:szCs w:val="21"/>
              </w:rPr>
            </w:pPr>
            <w:r>
              <w:rPr>
                <w:szCs w:val="21"/>
              </w:rPr>
              <w:t>行业类别</w:t>
            </w:r>
            <w:bookmarkEnd w:id="1"/>
          </w:p>
        </w:tc>
        <w:tc>
          <w:tcPr>
            <w:tcW w:w="2784" w:type="dxa"/>
            <w:vAlign w:val="center"/>
          </w:tcPr>
          <w:p>
            <w:pPr>
              <w:adjustRightInd w:val="0"/>
              <w:snapToGrid w:val="0"/>
              <w:rPr>
                <w:szCs w:val="21"/>
              </w:rPr>
            </w:pPr>
            <w:r>
              <w:rPr>
                <w:szCs w:val="21"/>
              </w:rPr>
              <w:t>四十五、研究和试验发展98</w:t>
            </w:r>
            <w:r>
              <w:rPr>
                <w:rFonts w:hint="eastAsia"/>
                <w:szCs w:val="21"/>
              </w:rPr>
              <w:t>“</w:t>
            </w:r>
            <w:r>
              <w:rPr>
                <w:szCs w:val="21"/>
              </w:rPr>
              <w:t>专业实验室、研发（试验）基地</w:t>
            </w: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24" w:type="dxa"/>
            <w:tcMar>
              <w:top w:w="16" w:type="dxa"/>
              <w:left w:w="16" w:type="dxa"/>
              <w:right w:w="16" w:type="dxa"/>
            </w:tcMar>
            <w:vAlign w:val="center"/>
          </w:tcPr>
          <w:p>
            <w:pPr>
              <w:adjustRightInd w:val="0"/>
              <w:snapToGrid w:val="0"/>
              <w:jc w:val="center"/>
              <w:rPr>
                <w:szCs w:val="21"/>
              </w:rPr>
            </w:pPr>
            <w:r>
              <w:rPr>
                <w:szCs w:val="21"/>
              </w:rPr>
              <w:t>建设性质</w:t>
            </w:r>
          </w:p>
        </w:tc>
        <w:tc>
          <w:tcPr>
            <w:tcW w:w="3171" w:type="dxa"/>
            <w:vAlign w:val="center"/>
          </w:tcPr>
          <w:p>
            <w:pPr>
              <w:jc w:val="left"/>
              <w:rPr>
                <w:szCs w:val="21"/>
              </w:rPr>
            </w:pPr>
            <w:r>
              <w:rPr>
                <w:rFonts w:ascii="Segoe UI Symbol" w:hAnsi="Segoe UI Symbol" w:eastAsia="MS Gothic" w:cs="Segoe UI Symbol"/>
                <w:sz w:val="24"/>
              </w:rPr>
              <w:t>☑</w:t>
            </w:r>
            <w:r>
              <w:rPr>
                <w:szCs w:val="21"/>
              </w:rPr>
              <w:t>新建（迁建）</w:t>
            </w:r>
          </w:p>
          <w:p>
            <w:pPr>
              <w:jc w:val="left"/>
              <w:rPr>
                <w:szCs w:val="21"/>
              </w:rPr>
            </w:pPr>
            <w:r>
              <w:rPr>
                <w:szCs w:val="21"/>
              </w:rPr>
              <w:t>□改建</w:t>
            </w:r>
          </w:p>
          <w:p>
            <w:pPr>
              <w:jc w:val="left"/>
              <w:rPr>
                <w:szCs w:val="21"/>
              </w:rPr>
            </w:pPr>
            <w:r>
              <w:rPr>
                <w:szCs w:val="21"/>
              </w:rPr>
              <w:t>□扩建</w:t>
            </w:r>
          </w:p>
          <w:p>
            <w:pPr>
              <w:jc w:val="left"/>
              <w:rPr>
                <w:szCs w:val="21"/>
              </w:rPr>
            </w:pPr>
            <w:r>
              <w:rPr>
                <w:szCs w:val="21"/>
              </w:rPr>
              <w:t>□技术改造</w:t>
            </w:r>
          </w:p>
        </w:tc>
        <w:tc>
          <w:tcPr>
            <w:tcW w:w="1791" w:type="dxa"/>
            <w:vAlign w:val="center"/>
          </w:tcPr>
          <w:p>
            <w:pPr>
              <w:adjustRightInd w:val="0"/>
              <w:snapToGrid w:val="0"/>
              <w:jc w:val="center"/>
              <w:rPr>
                <w:szCs w:val="21"/>
              </w:rPr>
            </w:pPr>
            <w:r>
              <w:rPr>
                <w:szCs w:val="21"/>
              </w:rPr>
              <w:t>建设项目</w:t>
            </w:r>
          </w:p>
          <w:p>
            <w:pPr>
              <w:adjustRightInd w:val="0"/>
              <w:snapToGrid w:val="0"/>
              <w:jc w:val="center"/>
              <w:rPr>
                <w:szCs w:val="21"/>
              </w:rPr>
            </w:pPr>
            <w:r>
              <w:rPr>
                <w:szCs w:val="21"/>
              </w:rPr>
              <w:t>申报情形</w:t>
            </w:r>
          </w:p>
        </w:tc>
        <w:tc>
          <w:tcPr>
            <w:tcW w:w="2784" w:type="dxa"/>
            <w:vAlign w:val="center"/>
          </w:tcPr>
          <w:p>
            <w:pPr>
              <w:jc w:val="left"/>
              <w:rPr>
                <w:szCs w:val="21"/>
              </w:rPr>
            </w:pPr>
            <w:r>
              <w:rPr>
                <w:rFonts w:ascii="Segoe UI Symbol" w:hAnsi="Segoe UI Symbol" w:eastAsia="MS Gothic" w:cs="Segoe UI Symbol"/>
                <w:sz w:val="24"/>
              </w:rPr>
              <w:t>☑</w:t>
            </w:r>
            <w:r>
              <w:rPr>
                <w:szCs w:val="21"/>
              </w:rPr>
              <w:t>首次申报项目</w:t>
            </w:r>
          </w:p>
          <w:p>
            <w:pPr>
              <w:jc w:val="left"/>
              <w:rPr>
                <w:szCs w:val="21"/>
              </w:rPr>
            </w:pPr>
            <w:r>
              <w:rPr>
                <w:szCs w:val="21"/>
              </w:rPr>
              <w:t>□不予批准后再次申报项目</w:t>
            </w:r>
          </w:p>
          <w:p>
            <w:pPr>
              <w:jc w:val="left"/>
              <w:rPr>
                <w:szCs w:val="21"/>
              </w:rPr>
            </w:pPr>
            <w:r>
              <w:rPr>
                <w:szCs w:val="21"/>
              </w:rPr>
              <w:sym w:font="Wingdings 2" w:char="00A3"/>
            </w:r>
            <w:r>
              <w:rPr>
                <w:szCs w:val="21"/>
              </w:rPr>
              <w:t>超五年重新审核项目</w:t>
            </w:r>
          </w:p>
          <w:p>
            <w:pPr>
              <w:jc w:val="left"/>
              <w:rPr>
                <w:szCs w:val="21"/>
              </w:rPr>
            </w:pPr>
            <w:r>
              <w:rPr>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24" w:type="dxa"/>
            <w:tcMar>
              <w:top w:w="16" w:type="dxa"/>
              <w:left w:w="16" w:type="dxa"/>
              <w:right w:w="16" w:type="dxa"/>
            </w:tcMar>
            <w:vAlign w:val="center"/>
          </w:tcPr>
          <w:p>
            <w:pPr>
              <w:adjustRightInd w:val="0"/>
              <w:snapToGrid w:val="0"/>
              <w:jc w:val="center"/>
              <w:rPr>
                <w:szCs w:val="21"/>
              </w:rPr>
            </w:pPr>
            <w:r>
              <w:rPr>
                <w:szCs w:val="21"/>
              </w:rPr>
              <w:t>项目审批（核准/</w:t>
            </w:r>
          </w:p>
          <w:p>
            <w:pPr>
              <w:adjustRightInd w:val="0"/>
              <w:snapToGrid w:val="0"/>
              <w:jc w:val="center"/>
              <w:rPr>
                <w:szCs w:val="21"/>
              </w:rPr>
            </w:pPr>
            <w:r>
              <w:rPr>
                <w:szCs w:val="21"/>
              </w:rPr>
              <w:t>备案）部门（选填）</w:t>
            </w:r>
          </w:p>
        </w:tc>
        <w:tc>
          <w:tcPr>
            <w:tcW w:w="3171" w:type="dxa"/>
            <w:vAlign w:val="center"/>
          </w:tcPr>
          <w:p>
            <w:pPr>
              <w:adjustRightInd w:val="0"/>
              <w:snapToGrid w:val="0"/>
              <w:jc w:val="center"/>
              <w:rPr>
                <w:szCs w:val="21"/>
              </w:rPr>
            </w:pPr>
            <w:r>
              <w:rPr>
                <w:szCs w:val="21"/>
              </w:rPr>
              <w:t>新乡县发展和改革委员会</w:t>
            </w:r>
          </w:p>
        </w:tc>
        <w:tc>
          <w:tcPr>
            <w:tcW w:w="1791" w:type="dxa"/>
            <w:vAlign w:val="center"/>
          </w:tcPr>
          <w:p>
            <w:pPr>
              <w:adjustRightInd w:val="0"/>
              <w:snapToGrid w:val="0"/>
              <w:jc w:val="center"/>
              <w:rPr>
                <w:szCs w:val="21"/>
              </w:rPr>
            </w:pPr>
            <w:r>
              <w:rPr>
                <w:szCs w:val="21"/>
              </w:rPr>
              <w:t>项目审批（核准/</w:t>
            </w:r>
          </w:p>
          <w:p>
            <w:pPr>
              <w:adjustRightInd w:val="0"/>
              <w:snapToGrid w:val="0"/>
              <w:jc w:val="center"/>
              <w:rPr>
                <w:szCs w:val="21"/>
              </w:rPr>
            </w:pPr>
            <w:r>
              <w:rPr>
                <w:szCs w:val="21"/>
              </w:rPr>
              <w:t>备案）文号（选填）</w:t>
            </w:r>
          </w:p>
        </w:tc>
        <w:tc>
          <w:tcPr>
            <w:tcW w:w="2784" w:type="dxa"/>
            <w:vAlign w:val="center"/>
          </w:tcPr>
          <w:p>
            <w:pPr>
              <w:adjustRightInd w:val="0"/>
              <w:snapToGrid w:val="0"/>
              <w:jc w:val="center"/>
              <w:rPr>
                <w:szCs w:val="21"/>
              </w:rPr>
            </w:pPr>
            <w:r>
              <w:rPr>
                <w:rFonts w:hint="eastAsia"/>
                <w:szCs w:val="21"/>
              </w:rPr>
              <w:t>新发改</w:t>
            </w:r>
            <w:r>
              <w:rPr>
                <w:szCs w:val="21"/>
              </w:rPr>
              <w:t>[2022]117</w:t>
            </w:r>
            <w:r>
              <w:rPr>
                <w:rFonts w:hint="eastAsia"/>
                <w:szCs w:val="21"/>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24" w:type="dxa"/>
            <w:tcMar>
              <w:top w:w="16" w:type="dxa"/>
              <w:left w:w="16" w:type="dxa"/>
              <w:right w:w="16" w:type="dxa"/>
            </w:tcMar>
            <w:vAlign w:val="center"/>
          </w:tcPr>
          <w:p>
            <w:pPr>
              <w:adjustRightInd w:val="0"/>
              <w:snapToGrid w:val="0"/>
              <w:jc w:val="center"/>
              <w:rPr>
                <w:szCs w:val="21"/>
              </w:rPr>
            </w:pPr>
            <w:r>
              <w:rPr>
                <w:szCs w:val="21"/>
              </w:rPr>
              <w:t>总投资（万元）</w:t>
            </w:r>
          </w:p>
        </w:tc>
        <w:tc>
          <w:tcPr>
            <w:tcW w:w="3171" w:type="dxa"/>
            <w:vAlign w:val="center"/>
          </w:tcPr>
          <w:p>
            <w:pPr>
              <w:adjustRightInd w:val="0"/>
              <w:snapToGrid w:val="0"/>
              <w:jc w:val="center"/>
              <w:rPr>
                <w:szCs w:val="21"/>
              </w:rPr>
            </w:pPr>
            <w:r>
              <w:rPr>
                <w:szCs w:val="21"/>
              </w:rPr>
              <w:t>4550.49</w:t>
            </w:r>
          </w:p>
        </w:tc>
        <w:tc>
          <w:tcPr>
            <w:tcW w:w="1791" w:type="dxa"/>
            <w:tcMar>
              <w:top w:w="16" w:type="dxa"/>
              <w:left w:w="16" w:type="dxa"/>
              <w:right w:w="16" w:type="dxa"/>
            </w:tcMar>
            <w:vAlign w:val="center"/>
          </w:tcPr>
          <w:p>
            <w:pPr>
              <w:adjustRightInd w:val="0"/>
              <w:snapToGrid w:val="0"/>
              <w:jc w:val="center"/>
              <w:rPr>
                <w:szCs w:val="21"/>
              </w:rPr>
            </w:pPr>
            <w:r>
              <w:rPr>
                <w:szCs w:val="21"/>
              </w:rPr>
              <w:t>环保投资（万元）</w:t>
            </w:r>
          </w:p>
        </w:tc>
        <w:tc>
          <w:tcPr>
            <w:tcW w:w="2784" w:type="dxa"/>
            <w:vAlign w:val="center"/>
          </w:tcPr>
          <w:p>
            <w:pPr>
              <w:adjustRightInd w:val="0"/>
              <w:snapToGrid w:val="0"/>
              <w:jc w:val="center"/>
              <w:rPr>
                <w:szCs w:val="21"/>
              </w:rPr>
            </w:pPr>
            <w:r>
              <w:rPr>
                <w:szCs w:val="21"/>
              </w:rPr>
              <w:t>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24" w:type="dxa"/>
            <w:tcMar>
              <w:top w:w="16" w:type="dxa"/>
              <w:left w:w="16" w:type="dxa"/>
              <w:right w:w="16" w:type="dxa"/>
            </w:tcMar>
            <w:vAlign w:val="center"/>
          </w:tcPr>
          <w:p>
            <w:pPr>
              <w:adjustRightInd w:val="0"/>
              <w:snapToGrid w:val="0"/>
              <w:jc w:val="center"/>
              <w:rPr>
                <w:szCs w:val="21"/>
              </w:rPr>
            </w:pPr>
            <w:r>
              <w:rPr>
                <w:szCs w:val="21"/>
              </w:rPr>
              <w:t>环保投资占比（%）</w:t>
            </w:r>
          </w:p>
        </w:tc>
        <w:tc>
          <w:tcPr>
            <w:tcW w:w="3171" w:type="dxa"/>
            <w:vAlign w:val="center"/>
          </w:tcPr>
          <w:p>
            <w:pPr>
              <w:adjustRightInd w:val="0"/>
              <w:snapToGrid w:val="0"/>
              <w:jc w:val="center"/>
              <w:rPr>
                <w:szCs w:val="21"/>
              </w:rPr>
            </w:pPr>
            <w:r>
              <w:rPr>
                <w:szCs w:val="21"/>
              </w:rPr>
              <w:t>6.5%</w:t>
            </w:r>
          </w:p>
        </w:tc>
        <w:tc>
          <w:tcPr>
            <w:tcW w:w="1791" w:type="dxa"/>
            <w:tcMar>
              <w:top w:w="16" w:type="dxa"/>
              <w:left w:w="16" w:type="dxa"/>
              <w:right w:w="16" w:type="dxa"/>
            </w:tcMar>
            <w:vAlign w:val="center"/>
          </w:tcPr>
          <w:p>
            <w:pPr>
              <w:adjustRightInd w:val="0"/>
              <w:snapToGrid w:val="0"/>
              <w:jc w:val="center"/>
              <w:rPr>
                <w:szCs w:val="21"/>
              </w:rPr>
            </w:pPr>
            <w:r>
              <w:rPr>
                <w:szCs w:val="21"/>
              </w:rPr>
              <w:t>施工工期</w:t>
            </w:r>
          </w:p>
        </w:tc>
        <w:tc>
          <w:tcPr>
            <w:tcW w:w="2784" w:type="dxa"/>
            <w:vAlign w:val="center"/>
          </w:tcPr>
          <w:p>
            <w:pPr>
              <w:adjustRightInd w:val="0"/>
              <w:snapToGrid w:val="0"/>
              <w:jc w:val="center"/>
              <w:rPr>
                <w:szCs w:val="21"/>
              </w:rPr>
            </w:pPr>
            <w:r>
              <w:rPr>
                <w:szCs w:val="21"/>
              </w:rPr>
              <w:t>2022年12月-2023年12月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24" w:type="dxa"/>
            <w:tcMar>
              <w:top w:w="16" w:type="dxa"/>
              <w:left w:w="16" w:type="dxa"/>
              <w:right w:w="16" w:type="dxa"/>
            </w:tcMar>
            <w:vAlign w:val="center"/>
          </w:tcPr>
          <w:p>
            <w:pPr>
              <w:adjustRightInd w:val="0"/>
              <w:snapToGrid w:val="0"/>
              <w:jc w:val="center"/>
              <w:rPr>
                <w:szCs w:val="21"/>
              </w:rPr>
            </w:pPr>
            <w:r>
              <w:rPr>
                <w:szCs w:val="21"/>
              </w:rPr>
              <w:t>是否开工建设</w:t>
            </w:r>
          </w:p>
        </w:tc>
        <w:tc>
          <w:tcPr>
            <w:tcW w:w="3171" w:type="dxa"/>
            <w:vAlign w:val="center"/>
          </w:tcPr>
          <w:p>
            <w:pPr>
              <w:adjustRightInd w:val="0"/>
              <w:snapToGrid w:val="0"/>
              <w:rPr>
                <w:szCs w:val="21"/>
              </w:rPr>
            </w:pPr>
            <w:r>
              <w:rPr>
                <w:rFonts w:ascii="Segoe UI Symbol" w:hAnsi="Segoe UI Symbol" w:cs="Segoe UI Symbol"/>
                <w:szCs w:val="21"/>
              </w:rPr>
              <w:t>☑</w:t>
            </w:r>
            <w:r>
              <w:rPr>
                <w:szCs w:val="21"/>
              </w:rPr>
              <w:t>否</w:t>
            </w:r>
          </w:p>
          <w:p>
            <w:pPr>
              <w:adjustRightInd w:val="0"/>
              <w:snapToGrid w:val="0"/>
              <w:rPr>
                <w:szCs w:val="21"/>
              </w:rPr>
            </w:pPr>
            <w:r>
              <w:rPr>
                <w:szCs w:val="21"/>
              </w:rPr>
              <w:sym w:font="Wingdings 2" w:char="00A3"/>
            </w:r>
            <w:r>
              <w:rPr>
                <w:szCs w:val="21"/>
              </w:rPr>
              <w:t>是：</w:t>
            </w:r>
          </w:p>
        </w:tc>
        <w:tc>
          <w:tcPr>
            <w:tcW w:w="1791" w:type="dxa"/>
            <w:tcMar>
              <w:top w:w="16" w:type="dxa"/>
              <w:left w:w="16" w:type="dxa"/>
              <w:right w:w="16" w:type="dxa"/>
            </w:tcMar>
            <w:vAlign w:val="center"/>
          </w:tcPr>
          <w:p>
            <w:pPr>
              <w:adjustRightInd w:val="0"/>
              <w:snapToGrid w:val="0"/>
              <w:jc w:val="center"/>
              <w:rPr>
                <w:szCs w:val="21"/>
              </w:rPr>
            </w:pPr>
            <w:r>
              <w:rPr>
                <w:szCs w:val="21"/>
              </w:rPr>
              <w:t>用地（用海）</w:t>
            </w:r>
          </w:p>
          <w:p>
            <w:pPr>
              <w:adjustRightInd w:val="0"/>
              <w:snapToGrid w:val="0"/>
              <w:jc w:val="center"/>
              <w:rPr>
                <w:szCs w:val="21"/>
              </w:rPr>
            </w:pPr>
            <w:r>
              <w:rPr>
                <w:szCs w:val="21"/>
              </w:rPr>
              <w:t>面积（m</w:t>
            </w:r>
            <w:r>
              <w:rPr>
                <w:szCs w:val="21"/>
                <w:vertAlign w:val="superscript"/>
              </w:rPr>
              <w:t>2</w:t>
            </w:r>
            <w:r>
              <w:rPr>
                <w:szCs w:val="21"/>
              </w:rPr>
              <w:t>）</w:t>
            </w:r>
          </w:p>
        </w:tc>
        <w:tc>
          <w:tcPr>
            <w:tcW w:w="2784" w:type="dxa"/>
            <w:vAlign w:val="center"/>
          </w:tcPr>
          <w:p>
            <w:pPr>
              <w:adjustRightInd w:val="0"/>
              <w:snapToGrid w:val="0"/>
              <w:jc w:val="center"/>
              <w:rPr>
                <w:szCs w:val="21"/>
              </w:rPr>
            </w:pPr>
            <w:r>
              <w:rPr>
                <w:szCs w:val="21"/>
              </w:rPr>
              <w:t>3165m</w:t>
            </w:r>
            <w:r>
              <w:rPr>
                <w:szCs w:val="21"/>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24" w:type="dxa"/>
            <w:vAlign w:val="center"/>
          </w:tcPr>
          <w:p>
            <w:pPr>
              <w:autoSpaceDE w:val="0"/>
              <w:autoSpaceDN w:val="0"/>
              <w:adjustRightInd w:val="0"/>
              <w:snapToGrid w:val="0"/>
              <w:jc w:val="center"/>
              <w:rPr>
                <w:kern w:val="0"/>
                <w:szCs w:val="21"/>
              </w:rPr>
            </w:pPr>
            <w:r>
              <w:rPr>
                <w:kern w:val="0"/>
                <w:szCs w:val="21"/>
              </w:rPr>
              <w:t>专项评价设置情况</w:t>
            </w:r>
          </w:p>
        </w:tc>
        <w:tc>
          <w:tcPr>
            <w:tcW w:w="7746" w:type="dxa"/>
            <w:gridSpan w:val="3"/>
            <w:vAlign w:val="center"/>
          </w:tcPr>
          <w:p>
            <w:pPr>
              <w:spacing w:line="440" w:lineRule="exact"/>
              <w:ind w:firstLine="600" w:firstLineChars="250"/>
              <w:jc w:val="center"/>
              <w:rPr>
                <w:rFonts w:eastAsia="黑体"/>
                <w:sz w:val="24"/>
              </w:rPr>
            </w:pPr>
            <w:r>
              <w:rPr>
                <w:rFonts w:hint="eastAsia" w:eastAsia="黑体"/>
                <w:sz w:val="24"/>
              </w:rPr>
              <w:t>表</w:t>
            </w:r>
            <w:r>
              <w:rPr>
                <w:rFonts w:eastAsia="黑体"/>
                <w:sz w:val="24"/>
              </w:rPr>
              <w:t>1   专项评价设置原则表</w:t>
            </w:r>
          </w:p>
          <w:tbl>
            <w:tblPr>
              <w:tblStyle w:val="21"/>
              <w:tblW w:w="5000" w:type="pct"/>
              <w:jc w:val="center"/>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55"/>
              <w:gridCol w:w="3193"/>
              <w:gridCol w:w="3382"/>
            </w:tblGrid>
            <w:tr>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5" w:type="dxa"/>
                  <w:vAlign w:val="center"/>
                </w:tcPr>
                <w:p>
                  <w:pPr>
                    <w:adjustRightInd w:val="0"/>
                    <w:snapToGrid w:val="0"/>
                    <w:jc w:val="center"/>
                    <w:rPr>
                      <w:b/>
                      <w:spacing w:val="8"/>
                      <w:szCs w:val="21"/>
                    </w:rPr>
                  </w:pPr>
                  <w:r>
                    <w:rPr>
                      <w:b/>
                      <w:spacing w:val="8"/>
                      <w:szCs w:val="21"/>
                    </w:rPr>
                    <w:t>专项评价的</w:t>
                  </w:r>
                  <w:r>
                    <w:rPr>
                      <w:rFonts w:hint="eastAsia"/>
                      <w:b/>
                      <w:spacing w:val="8"/>
                      <w:szCs w:val="21"/>
                    </w:rPr>
                    <w:t>类别</w:t>
                  </w:r>
                </w:p>
              </w:tc>
              <w:tc>
                <w:tcPr>
                  <w:tcW w:w="3193" w:type="dxa"/>
                  <w:vAlign w:val="center"/>
                </w:tcPr>
                <w:p>
                  <w:pPr>
                    <w:adjustRightInd w:val="0"/>
                    <w:snapToGrid w:val="0"/>
                    <w:jc w:val="center"/>
                    <w:rPr>
                      <w:b/>
                      <w:spacing w:val="8"/>
                      <w:szCs w:val="21"/>
                    </w:rPr>
                  </w:pPr>
                  <w:r>
                    <w:rPr>
                      <w:rFonts w:hint="eastAsia"/>
                      <w:b/>
                      <w:spacing w:val="8"/>
                      <w:szCs w:val="21"/>
                    </w:rPr>
                    <w:t>设置原则</w:t>
                  </w:r>
                </w:p>
              </w:tc>
              <w:tc>
                <w:tcPr>
                  <w:tcW w:w="3382" w:type="dxa"/>
                  <w:vAlign w:val="center"/>
                </w:tcPr>
                <w:p>
                  <w:pPr>
                    <w:adjustRightInd w:val="0"/>
                    <w:snapToGrid w:val="0"/>
                    <w:jc w:val="center"/>
                    <w:rPr>
                      <w:b/>
                      <w:spacing w:val="8"/>
                      <w:szCs w:val="21"/>
                    </w:rPr>
                  </w:pPr>
                  <w:r>
                    <w:rPr>
                      <w:rFonts w:hint="eastAsia"/>
                      <w:b/>
                      <w:spacing w:val="8"/>
                      <w:szCs w:val="21"/>
                    </w:rPr>
                    <w:t>本项目情况</w:t>
                  </w:r>
                </w:p>
              </w:tc>
            </w:tr>
            <w:tr>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5" w:type="dxa"/>
                  <w:vAlign w:val="center"/>
                </w:tcPr>
                <w:p>
                  <w:pPr>
                    <w:jc w:val="center"/>
                    <w:rPr>
                      <w:szCs w:val="21"/>
                    </w:rPr>
                  </w:pPr>
                  <w:r>
                    <w:rPr>
                      <w:szCs w:val="21"/>
                    </w:rPr>
                    <w:t>大气</w:t>
                  </w:r>
                </w:p>
              </w:tc>
              <w:tc>
                <w:tcPr>
                  <w:tcW w:w="3193" w:type="dxa"/>
                  <w:vAlign w:val="center"/>
                </w:tcPr>
                <w:p>
                  <w:pPr>
                    <w:rPr>
                      <w:szCs w:val="21"/>
                    </w:rPr>
                  </w:pPr>
                  <w:r>
                    <w:rPr>
                      <w:szCs w:val="21"/>
                    </w:rPr>
                    <w:t>排放废气含有毒有害污染物、二噁英、苯并[a]芘、氰化物、氯气且厂界外500米范围内有环境空气保护目标的建设项目</w:t>
                  </w:r>
                </w:p>
              </w:tc>
              <w:tc>
                <w:tcPr>
                  <w:tcW w:w="3382" w:type="dxa"/>
                  <w:vAlign w:val="center"/>
                </w:tcPr>
                <w:p>
                  <w:pPr>
                    <w:rPr>
                      <w:szCs w:val="21"/>
                    </w:rPr>
                  </w:pPr>
                  <w:r>
                    <w:rPr>
                      <w:rFonts w:hint="eastAsia"/>
                      <w:szCs w:val="21"/>
                    </w:rPr>
                    <w:t>本项目厂界外5</w:t>
                  </w:r>
                  <w:r>
                    <w:rPr>
                      <w:szCs w:val="21"/>
                    </w:rPr>
                    <w:t>00</w:t>
                  </w:r>
                  <w:r>
                    <w:rPr>
                      <w:rFonts w:hint="eastAsia"/>
                      <w:szCs w:val="21"/>
                    </w:rPr>
                    <w:t>米范围内不含环境空气保护目标。</w:t>
                  </w:r>
                </w:p>
              </w:tc>
            </w:tr>
            <w:tr>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5" w:type="dxa"/>
                  <w:vAlign w:val="center"/>
                </w:tcPr>
                <w:p>
                  <w:pPr>
                    <w:jc w:val="center"/>
                    <w:rPr>
                      <w:szCs w:val="21"/>
                    </w:rPr>
                  </w:pPr>
                  <w:r>
                    <w:rPr>
                      <w:szCs w:val="21"/>
                    </w:rPr>
                    <w:t>地表水</w:t>
                  </w:r>
                </w:p>
              </w:tc>
              <w:tc>
                <w:tcPr>
                  <w:tcW w:w="3193" w:type="dxa"/>
                  <w:vAlign w:val="center"/>
                </w:tcPr>
                <w:p>
                  <w:pPr>
                    <w:rPr>
                      <w:szCs w:val="21"/>
                    </w:rPr>
                  </w:pPr>
                  <w:r>
                    <w:rPr>
                      <w:szCs w:val="21"/>
                    </w:rPr>
                    <w:t>新增工业废水直排建设项目（槽罐车外送污水处理厂的除外）；</w:t>
                  </w:r>
                </w:p>
                <w:p>
                  <w:pPr>
                    <w:rPr>
                      <w:szCs w:val="21"/>
                    </w:rPr>
                  </w:pPr>
                  <w:r>
                    <w:rPr>
                      <w:szCs w:val="21"/>
                    </w:rPr>
                    <w:t>新增废水直排的污水集中处理厂</w:t>
                  </w:r>
                </w:p>
              </w:tc>
              <w:tc>
                <w:tcPr>
                  <w:tcW w:w="3382" w:type="dxa"/>
                  <w:vAlign w:val="center"/>
                </w:tcPr>
                <w:p>
                  <w:pPr>
                    <w:rPr>
                      <w:szCs w:val="21"/>
                    </w:rPr>
                  </w:pPr>
                  <w:r>
                    <w:rPr>
                      <w:rFonts w:hint="eastAsia"/>
                      <w:szCs w:val="21"/>
                    </w:rPr>
                    <w:t>本项目生活污水经化粪池处理后与经一体化污水处理设施处理的实验室废水和喷淋塔废水混合后经厂区总排口排入污水管网，进入新乡县综合污水处理厂进一步处理，处理后出水排入东孟姜女河，属于间接排放。</w:t>
                  </w:r>
                </w:p>
              </w:tc>
            </w:tr>
            <w:tr>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5" w:type="dxa"/>
                  <w:vAlign w:val="center"/>
                </w:tcPr>
                <w:p>
                  <w:pPr>
                    <w:jc w:val="center"/>
                    <w:rPr>
                      <w:szCs w:val="21"/>
                    </w:rPr>
                  </w:pPr>
                  <w:r>
                    <w:rPr>
                      <w:rFonts w:hint="eastAsia"/>
                      <w:szCs w:val="21"/>
                    </w:rPr>
                    <w:t>地下水</w:t>
                  </w:r>
                </w:p>
              </w:tc>
              <w:tc>
                <w:tcPr>
                  <w:tcW w:w="3193" w:type="dxa"/>
                  <w:vAlign w:val="center"/>
                </w:tcPr>
                <w:p>
                  <w:pPr>
                    <w:rPr>
                      <w:szCs w:val="21"/>
                    </w:rPr>
                  </w:pPr>
                  <w:r>
                    <w:rPr>
                      <w:rFonts w:hint="eastAsia"/>
                      <w:szCs w:val="21"/>
                    </w:rPr>
                    <w:t>地下水原则上不开展专项评价，涉及集中式饮用水水源和热水、矿泉水、温泉等特殊地下水资源保护区的开展地下水专项评价工作。</w:t>
                  </w:r>
                </w:p>
              </w:tc>
              <w:tc>
                <w:tcPr>
                  <w:tcW w:w="3382" w:type="dxa"/>
                  <w:vAlign w:val="center"/>
                </w:tcPr>
                <w:p>
                  <w:pPr>
                    <w:jc w:val="center"/>
                    <w:rPr>
                      <w:szCs w:val="21"/>
                    </w:rPr>
                  </w:pPr>
                  <w:r>
                    <w:rPr>
                      <w:rFonts w:hint="eastAsia"/>
                      <w:szCs w:val="21"/>
                    </w:rPr>
                    <w:t>本项目不涉及</w:t>
                  </w:r>
                </w:p>
              </w:tc>
            </w:tr>
            <w:tr>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5" w:type="dxa"/>
                  <w:vAlign w:val="center"/>
                </w:tcPr>
                <w:p>
                  <w:pPr>
                    <w:jc w:val="center"/>
                    <w:rPr>
                      <w:szCs w:val="21"/>
                    </w:rPr>
                  </w:pPr>
                  <w:r>
                    <w:rPr>
                      <w:szCs w:val="21"/>
                    </w:rPr>
                    <w:t>环境风险</w:t>
                  </w:r>
                </w:p>
              </w:tc>
              <w:tc>
                <w:tcPr>
                  <w:tcW w:w="3193" w:type="dxa"/>
                  <w:vAlign w:val="center"/>
                </w:tcPr>
                <w:p>
                  <w:pPr>
                    <w:rPr>
                      <w:szCs w:val="21"/>
                    </w:rPr>
                  </w:pPr>
                  <w:r>
                    <w:rPr>
                      <w:szCs w:val="21"/>
                    </w:rPr>
                    <w:t>有毒有害和易燃易爆危险物质存储量超过临界量的建设项目</w:t>
                  </w:r>
                </w:p>
              </w:tc>
              <w:tc>
                <w:tcPr>
                  <w:tcW w:w="3382" w:type="dxa"/>
                  <w:vAlign w:val="center"/>
                </w:tcPr>
                <w:p>
                  <w:pPr>
                    <w:rPr>
                      <w:szCs w:val="21"/>
                    </w:rPr>
                  </w:pPr>
                  <w:r>
                    <w:rPr>
                      <w:rFonts w:hint="eastAsia"/>
                      <w:szCs w:val="21"/>
                    </w:rPr>
                    <w:t>本项目风险物质主要为甲醇、乙腈、二氯甲烷、苯、甲醛、硫酸、盐酸、硝酸、磷酸、氨水、95%乙醇、无水乙醇、三氯甲烷、四氯化碳、正己烷、丙酮、石油醚、甲酸、乙酸、甲苯，暂存于专用容器内，存放至药剂室。根据项目风险物质实际暂存量与临界量数据及《建设项目环境风险评价技术导则》（HJ169-2018）附录C计算得出，本项目涉及危险化学品存放量与临界量比值：Q=0.0138＜1，因此本次新建项目不需要设置风险专项分析。</w:t>
                  </w:r>
                </w:p>
              </w:tc>
            </w:tr>
            <w:tr>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5" w:type="dxa"/>
                  <w:vAlign w:val="center"/>
                </w:tcPr>
                <w:p>
                  <w:pPr>
                    <w:jc w:val="center"/>
                    <w:rPr>
                      <w:szCs w:val="21"/>
                    </w:rPr>
                  </w:pPr>
                  <w:r>
                    <w:rPr>
                      <w:szCs w:val="21"/>
                    </w:rPr>
                    <w:t>生态</w:t>
                  </w:r>
                </w:p>
              </w:tc>
              <w:tc>
                <w:tcPr>
                  <w:tcW w:w="3193" w:type="dxa"/>
                  <w:vAlign w:val="center"/>
                </w:tcPr>
                <w:p>
                  <w:pPr>
                    <w:rPr>
                      <w:szCs w:val="21"/>
                    </w:rPr>
                  </w:pPr>
                  <w:r>
                    <w:rPr>
                      <w:szCs w:val="21"/>
                    </w:rPr>
                    <w:t>取水口下游500米范围内有重要水生生物的自然产卵场、索饵场、越冬场和洄游通道的新增河道取水的污染类建设项目</w:t>
                  </w:r>
                </w:p>
              </w:tc>
              <w:tc>
                <w:tcPr>
                  <w:tcW w:w="3382" w:type="dxa"/>
                  <w:vAlign w:val="center"/>
                </w:tcPr>
                <w:p>
                  <w:pPr>
                    <w:jc w:val="center"/>
                    <w:rPr>
                      <w:szCs w:val="21"/>
                    </w:rPr>
                  </w:pPr>
                  <w:r>
                    <w:rPr>
                      <w:rFonts w:hint="eastAsia"/>
                      <w:szCs w:val="21"/>
                    </w:rPr>
                    <w:t>本项目不涉及</w:t>
                  </w:r>
                </w:p>
              </w:tc>
            </w:tr>
            <w:tr>
              <w:tblPrEx>
                <w:tblBorders>
                  <w:top w:val="single" w:color="auto" w:sz="8" w:space="0"/>
                  <w:left w:val="none" w:color="auto" w:sz="0" w:space="0"/>
                  <w:bottom w:val="single" w:color="auto"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5" w:type="dxa"/>
                  <w:vAlign w:val="center"/>
                </w:tcPr>
                <w:p>
                  <w:pPr>
                    <w:jc w:val="center"/>
                    <w:rPr>
                      <w:szCs w:val="21"/>
                    </w:rPr>
                  </w:pPr>
                  <w:r>
                    <w:rPr>
                      <w:szCs w:val="21"/>
                    </w:rPr>
                    <w:t>海洋</w:t>
                  </w:r>
                </w:p>
              </w:tc>
              <w:tc>
                <w:tcPr>
                  <w:tcW w:w="3193" w:type="dxa"/>
                  <w:vAlign w:val="center"/>
                </w:tcPr>
                <w:p>
                  <w:pPr>
                    <w:rPr>
                      <w:szCs w:val="21"/>
                    </w:rPr>
                  </w:pPr>
                  <w:r>
                    <w:rPr>
                      <w:szCs w:val="21"/>
                    </w:rPr>
                    <w:t>直接向海排放污染物的海洋工程建设项目</w:t>
                  </w:r>
                </w:p>
              </w:tc>
              <w:tc>
                <w:tcPr>
                  <w:tcW w:w="3382" w:type="dxa"/>
                  <w:vAlign w:val="center"/>
                </w:tcPr>
                <w:p>
                  <w:pPr>
                    <w:jc w:val="center"/>
                    <w:rPr>
                      <w:szCs w:val="21"/>
                    </w:rPr>
                  </w:pPr>
                  <w:r>
                    <w:rPr>
                      <w:rFonts w:hint="eastAsia"/>
                      <w:szCs w:val="21"/>
                    </w:rPr>
                    <w:t>本项目不涉及</w:t>
                  </w:r>
                </w:p>
              </w:tc>
            </w:tr>
          </w:tbl>
          <w:p>
            <w:pPr>
              <w:autoSpaceDE w:val="0"/>
              <w:autoSpaceDN w:val="0"/>
              <w:adjustRightInd w:val="0"/>
              <w:snapToGrid w:val="0"/>
              <w:spacing w:line="320" w:lineRule="exact"/>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24" w:type="dxa"/>
            <w:vAlign w:val="center"/>
          </w:tcPr>
          <w:p>
            <w:pPr>
              <w:autoSpaceDE w:val="0"/>
              <w:autoSpaceDN w:val="0"/>
              <w:adjustRightInd w:val="0"/>
              <w:snapToGrid w:val="0"/>
              <w:jc w:val="center"/>
              <w:rPr>
                <w:kern w:val="0"/>
                <w:szCs w:val="21"/>
              </w:rPr>
            </w:pPr>
            <w:r>
              <w:rPr>
                <w:szCs w:val="21"/>
              </w:rPr>
              <w:t>规划情况</w:t>
            </w:r>
          </w:p>
        </w:tc>
        <w:tc>
          <w:tcPr>
            <w:tcW w:w="7746" w:type="dxa"/>
            <w:gridSpan w:val="3"/>
            <w:vAlign w:val="center"/>
          </w:tcPr>
          <w:p>
            <w:pPr>
              <w:autoSpaceDE w:val="0"/>
              <w:autoSpaceDN w:val="0"/>
              <w:adjustRightInd w:val="0"/>
              <w:snapToGrid w:val="0"/>
              <w:spacing w:line="460" w:lineRule="exact"/>
              <w:rPr>
                <w:kern w:val="0"/>
                <w:sz w:val="24"/>
              </w:rPr>
            </w:pPr>
            <w:r>
              <w:rPr>
                <w:kern w:val="0"/>
                <w:sz w:val="24"/>
              </w:rPr>
              <w:t>（1）规划名称：新乡经济技术产业集聚区总体发展规划（2015-2025）（2017年调整）；</w:t>
            </w:r>
          </w:p>
          <w:p>
            <w:pPr>
              <w:autoSpaceDE w:val="0"/>
              <w:autoSpaceDN w:val="0"/>
              <w:adjustRightInd w:val="0"/>
              <w:snapToGrid w:val="0"/>
              <w:spacing w:line="460" w:lineRule="exact"/>
              <w:rPr>
                <w:kern w:val="0"/>
                <w:sz w:val="24"/>
              </w:rPr>
            </w:pPr>
            <w:r>
              <w:rPr>
                <w:kern w:val="0"/>
                <w:sz w:val="24"/>
              </w:rPr>
              <w:t>（2）审批机关：河南省发展和改革委员会；</w:t>
            </w:r>
          </w:p>
          <w:p>
            <w:pPr>
              <w:autoSpaceDE w:val="0"/>
              <w:autoSpaceDN w:val="0"/>
              <w:adjustRightInd w:val="0"/>
              <w:snapToGrid w:val="0"/>
              <w:spacing w:line="460" w:lineRule="exact"/>
              <w:rPr>
                <w:color w:val="FF0000"/>
                <w:kern w:val="0"/>
                <w:sz w:val="24"/>
              </w:rPr>
            </w:pPr>
            <w:r>
              <w:rPr>
                <w:kern w:val="0"/>
                <w:sz w:val="24"/>
              </w:rPr>
              <w:t>（3）审批文件名称及文号：《关于新乡经济技术产业集聚区总体发展规划（2017-2025）的批复》（豫发改工业[2017]1090号）。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24" w:type="dxa"/>
            <w:vAlign w:val="center"/>
          </w:tcPr>
          <w:p>
            <w:pPr>
              <w:adjustRightInd w:val="0"/>
              <w:snapToGrid w:val="0"/>
              <w:jc w:val="center"/>
              <w:rPr>
                <w:szCs w:val="21"/>
              </w:rPr>
            </w:pPr>
            <w:r>
              <w:rPr>
                <w:szCs w:val="21"/>
              </w:rPr>
              <w:t>规划环境影响</w:t>
            </w:r>
          </w:p>
          <w:p>
            <w:pPr>
              <w:adjustRightInd w:val="0"/>
              <w:snapToGrid w:val="0"/>
              <w:jc w:val="center"/>
              <w:rPr>
                <w:kern w:val="0"/>
                <w:szCs w:val="21"/>
              </w:rPr>
            </w:pPr>
            <w:r>
              <w:rPr>
                <w:szCs w:val="21"/>
              </w:rPr>
              <w:t>评价情况</w:t>
            </w:r>
          </w:p>
        </w:tc>
        <w:tc>
          <w:tcPr>
            <w:tcW w:w="7746" w:type="dxa"/>
            <w:gridSpan w:val="3"/>
            <w:vAlign w:val="center"/>
          </w:tcPr>
          <w:p>
            <w:pPr>
              <w:autoSpaceDE w:val="0"/>
              <w:autoSpaceDN w:val="0"/>
              <w:adjustRightInd w:val="0"/>
              <w:snapToGrid w:val="0"/>
              <w:spacing w:line="460" w:lineRule="exact"/>
              <w:rPr>
                <w:kern w:val="0"/>
                <w:sz w:val="24"/>
              </w:rPr>
            </w:pPr>
            <w:r>
              <w:rPr>
                <w:rFonts w:hint="eastAsia"/>
                <w:kern w:val="0"/>
                <w:sz w:val="24"/>
              </w:rPr>
              <w:t>（</w:t>
            </w:r>
            <w:r>
              <w:rPr>
                <w:kern w:val="0"/>
                <w:sz w:val="24"/>
              </w:rPr>
              <w:t>1</w:t>
            </w:r>
            <w:r>
              <w:rPr>
                <w:rFonts w:hint="eastAsia"/>
                <w:kern w:val="0"/>
                <w:sz w:val="24"/>
              </w:rPr>
              <w:t>）</w:t>
            </w:r>
            <w:r>
              <w:rPr>
                <w:kern w:val="0"/>
                <w:sz w:val="24"/>
              </w:rPr>
              <w:t>规划环境影响评价文件名称：《新乡经济技术产业集聚区总体发展规划（2015-2025）环境影响报告书》；</w:t>
            </w:r>
          </w:p>
          <w:p>
            <w:pPr>
              <w:autoSpaceDE w:val="0"/>
              <w:autoSpaceDN w:val="0"/>
              <w:adjustRightInd w:val="0"/>
              <w:snapToGrid w:val="0"/>
              <w:spacing w:line="460" w:lineRule="exact"/>
              <w:rPr>
                <w:kern w:val="0"/>
                <w:sz w:val="24"/>
              </w:rPr>
            </w:pPr>
            <w:r>
              <w:rPr>
                <w:kern w:val="0"/>
                <w:sz w:val="24"/>
              </w:rPr>
              <w:t>审查机关：河南省生态环境厅；</w:t>
            </w:r>
          </w:p>
          <w:p>
            <w:pPr>
              <w:autoSpaceDE w:val="0"/>
              <w:autoSpaceDN w:val="0"/>
              <w:adjustRightInd w:val="0"/>
              <w:snapToGrid w:val="0"/>
              <w:spacing w:line="460" w:lineRule="exact"/>
              <w:rPr>
                <w:kern w:val="0"/>
                <w:sz w:val="24"/>
              </w:rPr>
            </w:pPr>
            <w:r>
              <w:rPr>
                <w:kern w:val="0"/>
                <w:sz w:val="24"/>
              </w:rPr>
              <w:t>审查文件名称及文号：《河南省环境保护厅关于新乡经济技术产业集聚区总体发展规划（2015-2025）环境影响报告书的审查意见》豫环函[2018]28号。</w:t>
            </w:r>
          </w:p>
          <w:p>
            <w:pPr>
              <w:autoSpaceDE w:val="0"/>
              <w:autoSpaceDN w:val="0"/>
              <w:adjustRightInd w:val="0"/>
              <w:snapToGrid w:val="0"/>
              <w:spacing w:line="460" w:lineRule="exact"/>
              <w:rPr>
                <w:kern w:val="0"/>
                <w:sz w:val="24"/>
              </w:rPr>
            </w:pPr>
            <w:r>
              <w:rPr>
                <w:kern w:val="0"/>
                <w:sz w:val="24"/>
              </w:rPr>
              <w:t>（2）规划环境影响评价</w:t>
            </w:r>
            <w:r>
              <w:rPr>
                <w:rFonts w:hint="eastAsia"/>
                <w:kern w:val="0"/>
                <w:sz w:val="24"/>
              </w:rPr>
              <w:t>补充文件名称</w:t>
            </w:r>
            <w:r>
              <w:rPr>
                <w:kern w:val="0"/>
                <w:sz w:val="24"/>
              </w:rPr>
              <w:t>：《新乡经济技术产业集聚区总体发展规划（2015-2025）环境影响评价补充分析报告》；</w:t>
            </w:r>
          </w:p>
          <w:p>
            <w:pPr>
              <w:autoSpaceDE w:val="0"/>
              <w:autoSpaceDN w:val="0"/>
              <w:adjustRightInd w:val="0"/>
              <w:snapToGrid w:val="0"/>
              <w:spacing w:line="460" w:lineRule="exact"/>
              <w:rPr>
                <w:kern w:val="0"/>
                <w:sz w:val="24"/>
              </w:rPr>
            </w:pPr>
            <w:r>
              <w:rPr>
                <w:kern w:val="0"/>
                <w:sz w:val="24"/>
              </w:rPr>
              <w:t>审查机关：河南省生态环境厅；</w:t>
            </w:r>
          </w:p>
          <w:p>
            <w:pPr>
              <w:autoSpaceDE w:val="0"/>
              <w:autoSpaceDN w:val="0"/>
              <w:adjustRightInd w:val="0"/>
              <w:snapToGrid w:val="0"/>
              <w:spacing w:line="460" w:lineRule="exact"/>
              <w:rPr>
                <w:color w:val="FF0000"/>
                <w:kern w:val="0"/>
                <w:sz w:val="24"/>
              </w:rPr>
            </w:pPr>
            <w:r>
              <w:rPr>
                <w:kern w:val="0"/>
                <w:sz w:val="24"/>
              </w:rPr>
              <w:t>审查文件名称及文号：《河南省生态环境厅关于新乡经济技术产业集聚区总体发展规划（2015-2025）环境影响评价补充分析报告的审查意见》豫环函（2019）39号。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24" w:type="dxa"/>
            <w:vAlign w:val="center"/>
          </w:tcPr>
          <w:p>
            <w:pPr>
              <w:autoSpaceDE w:val="0"/>
              <w:autoSpaceDN w:val="0"/>
              <w:adjustRightInd w:val="0"/>
              <w:snapToGrid w:val="0"/>
              <w:spacing w:line="460" w:lineRule="exact"/>
              <w:rPr>
                <w:kern w:val="0"/>
                <w:sz w:val="24"/>
              </w:rPr>
            </w:pPr>
            <w:r>
              <w:rPr>
                <w:kern w:val="0"/>
                <w:sz w:val="24"/>
              </w:rPr>
              <w:t>规划及规划环境影响评价符合性分析</w:t>
            </w:r>
          </w:p>
        </w:tc>
        <w:tc>
          <w:tcPr>
            <w:tcW w:w="7746" w:type="dxa"/>
            <w:gridSpan w:val="3"/>
            <w:vAlign w:val="center"/>
          </w:tcPr>
          <w:p>
            <w:pPr>
              <w:autoSpaceDE w:val="0"/>
              <w:autoSpaceDN w:val="0"/>
              <w:adjustRightInd w:val="0"/>
              <w:snapToGrid w:val="0"/>
              <w:spacing w:line="460" w:lineRule="exact"/>
              <w:ind w:firstLine="482" w:firstLineChars="200"/>
              <w:rPr>
                <w:b/>
                <w:color w:val="000000"/>
                <w:sz w:val="24"/>
              </w:rPr>
            </w:pPr>
            <w:r>
              <w:rPr>
                <w:b/>
                <w:bCs/>
                <w:kern w:val="0"/>
                <w:sz w:val="24"/>
              </w:rPr>
              <w:t>1、</w:t>
            </w:r>
            <w:r>
              <w:rPr>
                <w:b/>
                <w:color w:val="000000"/>
                <w:sz w:val="24"/>
              </w:rPr>
              <w:t>本项目与《新乡经济技术产业集聚区总体发展规划（2015-2025）环境影响报告书》环境准入条件相符性分析</w:t>
            </w:r>
          </w:p>
          <w:p>
            <w:pPr>
              <w:autoSpaceDE w:val="0"/>
              <w:autoSpaceDN w:val="0"/>
              <w:adjustRightInd w:val="0"/>
              <w:snapToGrid w:val="0"/>
              <w:spacing w:line="460" w:lineRule="exact"/>
              <w:ind w:firstLine="480" w:firstLineChars="200"/>
              <w:rPr>
                <w:kern w:val="0"/>
                <w:sz w:val="24"/>
              </w:rPr>
            </w:pPr>
            <w:r>
              <w:rPr>
                <w:kern w:val="0"/>
                <w:sz w:val="24"/>
              </w:rPr>
              <w:t>本项目位于新乡经济开发区107国道与胡韦线交汇处A3地块，属于新乡经济技术产业集聚区南区纸制品印刷包装产业园，项目与新乡县新乡经济技术产业集聚区准入条件对照分析如下。</w:t>
            </w:r>
          </w:p>
          <w:p>
            <w:pPr>
              <w:spacing w:line="440" w:lineRule="exact"/>
              <w:ind w:firstLine="600" w:firstLineChars="250"/>
              <w:rPr>
                <w:rFonts w:eastAsia="黑体"/>
                <w:sz w:val="28"/>
                <w:szCs w:val="28"/>
              </w:rPr>
            </w:pPr>
            <w:r>
              <w:rPr>
                <w:rFonts w:eastAsia="黑体"/>
                <w:sz w:val="24"/>
              </w:rPr>
              <w:t>表2       项目与集聚区准入条件对照分析一览表</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40"/>
              <w:gridCol w:w="3502"/>
              <w:gridCol w:w="2799"/>
              <w:gridCol w:w="68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540" w:type="dxa"/>
                  <w:tcBorders>
                    <w:top w:val="single" w:color="auto" w:sz="8" w:space="0"/>
                    <w:bottom w:val="single" w:color="auto" w:sz="8" w:space="0"/>
                  </w:tcBorders>
                  <w:vAlign w:val="center"/>
                </w:tcPr>
                <w:p>
                  <w:pPr>
                    <w:adjustRightInd w:val="0"/>
                    <w:snapToGrid w:val="0"/>
                    <w:jc w:val="center"/>
                    <w:rPr>
                      <w:b/>
                      <w:spacing w:val="8"/>
                      <w:szCs w:val="21"/>
                    </w:rPr>
                  </w:pPr>
                  <w:r>
                    <w:rPr>
                      <w:b/>
                      <w:spacing w:val="8"/>
                      <w:szCs w:val="21"/>
                    </w:rPr>
                    <w:t>类别</w:t>
                  </w:r>
                </w:p>
              </w:tc>
              <w:tc>
                <w:tcPr>
                  <w:tcW w:w="3502" w:type="dxa"/>
                  <w:tcBorders>
                    <w:top w:val="single" w:color="auto" w:sz="8" w:space="0"/>
                    <w:bottom w:val="single" w:color="auto" w:sz="8" w:space="0"/>
                  </w:tcBorders>
                  <w:vAlign w:val="center"/>
                </w:tcPr>
                <w:p>
                  <w:pPr>
                    <w:adjustRightInd w:val="0"/>
                    <w:snapToGrid w:val="0"/>
                    <w:jc w:val="center"/>
                    <w:rPr>
                      <w:b/>
                      <w:spacing w:val="8"/>
                      <w:szCs w:val="21"/>
                    </w:rPr>
                  </w:pPr>
                  <w:r>
                    <w:rPr>
                      <w:b/>
                      <w:szCs w:val="21"/>
                    </w:rPr>
                    <w:t>集聚区规划</w:t>
                  </w:r>
                </w:p>
              </w:tc>
              <w:tc>
                <w:tcPr>
                  <w:tcW w:w="2799" w:type="dxa"/>
                  <w:tcBorders>
                    <w:top w:val="single" w:color="auto" w:sz="8" w:space="0"/>
                    <w:bottom w:val="single" w:color="auto" w:sz="8" w:space="0"/>
                  </w:tcBorders>
                  <w:vAlign w:val="center"/>
                </w:tcPr>
                <w:p>
                  <w:pPr>
                    <w:adjustRightInd w:val="0"/>
                    <w:snapToGrid w:val="0"/>
                    <w:jc w:val="center"/>
                    <w:rPr>
                      <w:b/>
                      <w:spacing w:val="8"/>
                      <w:szCs w:val="21"/>
                    </w:rPr>
                  </w:pPr>
                  <w:r>
                    <w:rPr>
                      <w:b/>
                      <w:szCs w:val="21"/>
                    </w:rPr>
                    <w:t>本项目情况</w:t>
                  </w:r>
                </w:p>
              </w:tc>
              <w:tc>
                <w:tcPr>
                  <w:tcW w:w="689" w:type="dxa"/>
                  <w:tcBorders>
                    <w:top w:val="single" w:color="auto" w:sz="8" w:space="0"/>
                    <w:bottom w:val="single" w:color="auto" w:sz="8" w:space="0"/>
                  </w:tcBorders>
                  <w:vAlign w:val="center"/>
                </w:tcPr>
                <w:p>
                  <w:pPr>
                    <w:adjustRightInd w:val="0"/>
                    <w:snapToGrid w:val="0"/>
                    <w:jc w:val="center"/>
                    <w:rPr>
                      <w:b/>
                      <w:spacing w:val="8"/>
                      <w:szCs w:val="21"/>
                    </w:rPr>
                  </w:pPr>
                  <w:r>
                    <w:rPr>
                      <w:b/>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540" w:type="dxa"/>
                  <w:vMerge w:val="restart"/>
                  <w:tcBorders>
                    <w:top w:val="single" w:color="auto" w:sz="8" w:space="0"/>
                  </w:tcBorders>
                  <w:vAlign w:val="center"/>
                </w:tcPr>
                <w:p>
                  <w:pPr>
                    <w:adjustRightInd w:val="0"/>
                    <w:snapToGrid w:val="0"/>
                    <w:rPr>
                      <w:spacing w:val="8"/>
                      <w:szCs w:val="21"/>
                    </w:rPr>
                  </w:pPr>
                  <w:r>
                    <w:rPr>
                      <w:szCs w:val="21"/>
                    </w:rPr>
                    <w:t>产业政策</w:t>
                  </w:r>
                </w:p>
              </w:tc>
              <w:tc>
                <w:tcPr>
                  <w:tcW w:w="3502" w:type="dxa"/>
                  <w:tcBorders>
                    <w:top w:val="single" w:color="auto" w:sz="8" w:space="0"/>
                  </w:tcBorders>
                  <w:vAlign w:val="center"/>
                </w:tcPr>
                <w:p>
                  <w:pPr>
                    <w:rPr>
                      <w:szCs w:val="21"/>
                    </w:rPr>
                  </w:pPr>
                  <w:r>
                    <w:rPr>
                      <w:szCs w:val="21"/>
                    </w:rPr>
                    <w:t>（1）鼓励引进的项目和优先发展行业：</w:t>
                  </w:r>
                </w:p>
                <w:p>
                  <w:pPr>
                    <w:rPr>
                      <w:szCs w:val="21"/>
                    </w:rPr>
                  </w:pPr>
                  <w:r>
                    <w:rPr>
                      <w:rFonts w:hint="eastAsia" w:ascii="宋体" w:hAnsi="宋体" w:cs="宋体"/>
                      <w:szCs w:val="21"/>
                    </w:rPr>
                    <w:t>①</w:t>
                  </w:r>
                  <w:r>
                    <w:rPr>
                      <w:szCs w:val="21"/>
                    </w:rPr>
                    <w:t>集聚区已按照主导产业及辅助产业对各园区功能布局进行合理布局，企业入驻应按照产业政策要求优先入驻与主导产业相符的产业，鼓励入驻《产业结构调整指导目录》鼓励类项目。</w:t>
                  </w:r>
                </w:p>
                <w:p>
                  <w:pPr>
                    <w:rPr>
                      <w:szCs w:val="21"/>
                    </w:rPr>
                  </w:pPr>
                  <w:r>
                    <w:rPr>
                      <w:rFonts w:hint="eastAsia" w:ascii="宋体" w:hAnsi="宋体" w:cs="宋体"/>
                      <w:szCs w:val="21"/>
                    </w:rPr>
                    <w:t>②</w:t>
                  </w:r>
                  <w:r>
                    <w:rPr>
                      <w:szCs w:val="21"/>
                    </w:rPr>
                    <w:t>鼓励中水回用项目、污水深度治理等基础设施、资源综合利用项目入驻集聚区。</w:t>
                  </w:r>
                </w:p>
                <w:p>
                  <w:pPr>
                    <w:rPr>
                      <w:szCs w:val="21"/>
                    </w:rPr>
                  </w:pPr>
                  <w:r>
                    <w:rPr>
                      <w:rFonts w:hint="eastAsia" w:ascii="宋体" w:hAnsi="宋体" w:cs="宋体"/>
                      <w:szCs w:val="21"/>
                    </w:rPr>
                    <w:t>③</w:t>
                  </w:r>
                  <w:r>
                    <w:rPr>
                      <w:szCs w:val="21"/>
                    </w:rPr>
                    <w:t>鼓励清洁生产水平较高，且能够进一步拉长集聚区产业链，符合集聚区产业定位的企业入驻集聚区。</w:t>
                  </w:r>
                </w:p>
                <w:p>
                  <w:pPr>
                    <w:rPr>
                      <w:szCs w:val="21"/>
                    </w:rPr>
                  </w:pPr>
                  <w:r>
                    <w:rPr>
                      <w:rFonts w:hint="eastAsia" w:ascii="宋体" w:hAnsi="宋体" w:cs="宋体"/>
                      <w:szCs w:val="21"/>
                    </w:rPr>
                    <w:t>④</w:t>
                  </w:r>
                  <w:r>
                    <w:rPr>
                      <w:szCs w:val="21"/>
                    </w:rPr>
                    <w:t>鼓励园区内符合产业定位的现有企业对产品进行提升，延长产业链条。</w:t>
                  </w:r>
                </w:p>
                <w:p>
                  <w:pPr>
                    <w:rPr>
                      <w:szCs w:val="21"/>
                    </w:rPr>
                  </w:pPr>
                  <w:r>
                    <w:rPr>
                      <w:rFonts w:hint="eastAsia" w:ascii="宋体" w:hAnsi="宋体" w:cs="宋体"/>
                      <w:szCs w:val="21"/>
                    </w:rPr>
                    <w:t>⑤</w:t>
                  </w:r>
                  <w:r>
                    <w:rPr>
                      <w:szCs w:val="21"/>
                    </w:rPr>
                    <w:t>以化工、医药、装备制造作为主导产业。其中化工产业重点依托现有企业河南心连心化肥有限公司发展，支持现有心连心企业的升级改造，重点发展以现有产品为原料的基础化工及下游产业链产品，延长煤化工产业链；医药产业重点发展方向以中药饮片加工及中药配方颗粒制剂、中成药及中药制剂、生物技术药物、生物制剂、卫生材料及医药用品制造等为重点，同时，支持华星药业在发酵原料药方面加快技术改造步伐，推进原料药向产业链下游延伸；装备制造业主要以振动机械、石化及煤化装备、家电设备为主。</w:t>
                  </w:r>
                </w:p>
                <w:p>
                  <w:pPr>
                    <w:adjustRightInd w:val="0"/>
                    <w:snapToGrid w:val="0"/>
                    <w:rPr>
                      <w:szCs w:val="21"/>
                    </w:rPr>
                  </w:pPr>
                  <w:r>
                    <w:rPr>
                      <w:rFonts w:hint="eastAsia" w:ascii="宋体" w:hAnsi="宋体" w:cs="宋体"/>
                      <w:szCs w:val="21"/>
                    </w:rPr>
                    <w:t>⑥</w:t>
                  </w:r>
                  <w:r>
                    <w:rPr>
                      <w:szCs w:val="21"/>
                    </w:rPr>
                    <w:t>允许入驻符合集聚区产业定位及产业类别的医药、装备制造以及煤化工的下游企业，符合集聚区循环经济发展产业链上下游产业的补链项目。</w:t>
                  </w:r>
                </w:p>
              </w:tc>
              <w:tc>
                <w:tcPr>
                  <w:tcW w:w="2799" w:type="dxa"/>
                  <w:tcBorders>
                    <w:top w:val="single" w:color="auto" w:sz="8" w:space="0"/>
                  </w:tcBorders>
                  <w:vAlign w:val="center"/>
                </w:tcPr>
                <w:p>
                  <w:pPr>
                    <w:rPr>
                      <w:rFonts w:ascii="宋体" w:hAnsi="宋体" w:cs="宋体"/>
                      <w:szCs w:val="21"/>
                    </w:rPr>
                  </w:pPr>
                  <w:r>
                    <w:rPr>
                      <w:rFonts w:hint="eastAsia" w:ascii="宋体" w:hAnsi="宋体" w:cs="宋体"/>
                      <w:szCs w:val="21"/>
                    </w:rPr>
                    <w:t>①经查阅《产业结构调整指导目录（2019年本）》及其修改文件，本项目属于第一类鼓励类三十一、科技服务业第1条（工业设计、气象、生物、新材料、新能源、节能、环保、测绘、海洋等专业科技服务，标准化服务、计量测试、质量认证和检验检测服务、科技普及）。</w:t>
                  </w:r>
                </w:p>
                <w:p>
                  <w:pPr>
                    <w:rPr>
                      <w:rFonts w:ascii="宋体" w:hAnsi="宋体" w:cs="宋体"/>
                      <w:szCs w:val="21"/>
                    </w:rPr>
                  </w:pPr>
                  <w:r>
                    <w:rPr>
                      <w:rFonts w:hint="eastAsia" w:ascii="宋体" w:hAnsi="宋体" w:cs="宋体"/>
                      <w:szCs w:val="21"/>
                    </w:rPr>
                    <w:t>②</w:t>
                  </w:r>
                  <w:r>
                    <w:rPr>
                      <w:rFonts w:ascii="宋体" w:hAnsi="宋体" w:cs="宋体"/>
                      <w:szCs w:val="21"/>
                    </w:rPr>
                    <w:t>本项目生活污水经化粪池处理后与经一体化污水处理设施处理的实验室废水</w:t>
                  </w:r>
                  <w:r>
                    <w:rPr>
                      <w:rFonts w:hint="eastAsia" w:ascii="宋体" w:hAnsi="宋体" w:cs="宋体"/>
                      <w:szCs w:val="21"/>
                    </w:rPr>
                    <w:t>混合经厂区总排口</w:t>
                  </w:r>
                  <w:r>
                    <w:rPr>
                      <w:rFonts w:ascii="宋体" w:hAnsi="宋体" w:cs="宋体"/>
                      <w:szCs w:val="21"/>
                    </w:rPr>
                    <w:t>通过市政管网进新乡县综合污水处理厂进一步处理。</w:t>
                  </w:r>
                </w:p>
                <w:p>
                  <w:pPr>
                    <w:rPr>
                      <w:rFonts w:ascii="宋体" w:hAnsi="宋体" w:cs="宋体"/>
                      <w:szCs w:val="21"/>
                    </w:rPr>
                  </w:pPr>
                  <w:r>
                    <w:rPr>
                      <w:rFonts w:hint="eastAsia" w:ascii="宋体" w:hAnsi="宋体" w:cs="宋体"/>
                      <w:szCs w:val="21"/>
                    </w:rPr>
                    <w:t>③</w:t>
                  </w:r>
                  <w:r>
                    <w:rPr>
                      <w:rFonts w:ascii="宋体" w:hAnsi="宋体" w:cs="宋体"/>
                      <w:szCs w:val="21"/>
                    </w:rPr>
                    <w:t>本项目为</w:t>
                  </w:r>
                  <w:r>
                    <w:rPr>
                      <w:rFonts w:hint="eastAsia" w:ascii="宋体" w:hAnsi="宋体" w:cs="宋体"/>
                      <w:szCs w:val="21"/>
                    </w:rPr>
                    <w:t>检测服务业</w:t>
                  </w:r>
                  <w:r>
                    <w:rPr>
                      <w:rFonts w:ascii="宋体" w:hAnsi="宋体" w:cs="宋体"/>
                      <w:szCs w:val="21"/>
                    </w:rPr>
                    <w:t>与主导产业不冲突，属于允许入驻项目。</w:t>
                  </w:r>
                </w:p>
              </w:tc>
              <w:tc>
                <w:tcPr>
                  <w:tcW w:w="689" w:type="dxa"/>
                  <w:tcBorders>
                    <w:top w:val="single" w:color="auto" w:sz="8" w:space="0"/>
                  </w:tcBorders>
                  <w:vAlign w:val="center"/>
                </w:tcPr>
                <w:p>
                  <w:pPr>
                    <w:adjustRightInd w:val="0"/>
                    <w:snapToGrid w:val="0"/>
                    <w:jc w:val="center"/>
                    <w:rPr>
                      <w:spacing w:val="8"/>
                      <w:szCs w:val="21"/>
                    </w:rPr>
                  </w:pPr>
                  <w:r>
                    <w:rPr>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540" w:type="dxa"/>
                  <w:vMerge w:val="continue"/>
                  <w:vAlign w:val="center"/>
                </w:tcPr>
                <w:p>
                  <w:pPr>
                    <w:adjustRightInd w:val="0"/>
                    <w:snapToGrid w:val="0"/>
                    <w:rPr>
                      <w:szCs w:val="21"/>
                    </w:rPr>
                  </w:pPr>
                </w:p>
              </w:tc>
              <w:tc>
                <w:tcPr>
                  <w:tcW w:w="3502" w:type="dxa"/>
                  <w:tcBorders>
                    <w:top w:val="single" w:color="auto" w:sz="4" w:space="0"/>
                  </w:tcBorders>
                  <w:vAlign w:val="center"/>
                </w:tcPr>
                <w:p>
                  <w:pPr>
                    <w:rPr>
                      <w:szCs w:val="21"/>
                    </w:rPr>
                  </w:pPr>
                  <w:r>
                    <w:rPr>
                      <w:szCs w:val="21"/>
                    </w:rPr>
                    <w:t>（2）限制或禁止入驻项目：</w:t>
                  </w:r>
                </w:p>
                <w:p>
                  <w:pPr>
                    <w:rPr>
                      <w:szCs w:val="21"/>
                    </w:rPr>
                  </w:pPr>
                  <w:r>
                    <w:rPr>
                      <w:rFonts w:hint="eastAsia" w:ascii="宋体" w:hAnsi="宋体" w:cs="宋体"/>
                      <w:color w:val="000000"/>
                      <w:szCs w:val="21"/>
                    </w:rPr>
                    <w:t>①</w:t>
                  </w:r>
                  <w:r>
                    <w:rPr>
                      <w:color w:val="000000"/>
                      <w:szCs w:val="21"/>
                    </w:rPr>
                    <w:t>原则上仅允许入驻符合集聚区产业定位，且项目选址须符合集聚区产业布局及用地性质的项目</w:t>
                  </w:r>
                  <w:r>
                    <w:rPr>
                      <w:szCs w:val="21"/>
                    </w:rPr>
                    <w:t>。</w:t>
                  </w:r>
                </w:p>
                <w:p>
                  <w:pPr>
                    <w:rPr>
                      <w:szCs w:val="21"/>
                    </w:rPr>
                  </w:pPr>
                  <w:r>
                    <w:rPr>
                      <w:rFonts w:hint="eastAsia" w:ascii="宋体" w:hAnsi="宋体" w:cs="宋体"/>
                      <w:szCs w:val="21"/>
                    </w:rPr>
                    <w:t>②</w:t>
                  </w:r>
                  <w:r>
                    <w:rPr>
                      <w:szCs w:val="21"/>
                    </w:rPr>
                    <w:t>按照国家相关产业政策，严禁淘汰和限制类工业企业入园。</w:t>
                  </w:r>
                </w:p>
                <w:p>
                  <w:pPr>
                    <w:rPr>
                      <w:szCs w:val="21"/>
                    </w:rPr>
                  </w:pPr>
                  <w:r>
                    <w:rPr>
                      <w:rFonts w:hint="eastAsia" w:ascii="宋体" w:hAnsi="宋体" w:cs="宋体"/>
                      <w:szCs w:val="21"/>
                    </w:rPr>
                    <w:t>③</w:t>
                  </w:r>
                  <w:r>
                    <w:rPr>
                      <w:szCs w:val="21"/>
                    </w:rPr>
                    <w:t>评价要求化工园区禁止新建或单纯扩大产能的以煤为原料的煤化工项目；同时升级改造项目、符合条件的退城入园项目，入驻园区不得增加区域燃煤总量，且合成氨和甲醇产能应进行等量置换，不得新增区域合成氨和甲醇产能。</w:t>
                  </w:r>
                </w:p>
                <w:p>
                  <w:pPr>
                    <w:rPr>
                      <w:szCs w:val="21"/>
                    </w:rPr>
                  </w:pPr>
                  <w:r>
                    <w:rPr>
                      <w:rFonts w:hint="eastAsia" w:ascii="宋体" w:hAnsi="宋体" w:cs="宋体"/>
                      <w:szCs w:val="21"/>
                    </w:rPr>
                    <w:t>④</w:t>
                  </w:r>
                  <w:r>
                    <w:rPr>
                      <w:szCs w:val="21"/>
                    </w:rPr>
                    <w:t>禁止引进涉及大量有毒、有害物质以及使用大量危险物品的企业入园。</w:t>
                  </w:r>
                </w:p>
                <w:p>
                  <w:pPr>
                    <w:adjustRightInd w:val="0"/>
                    <w:snapToGrid w:val="0"/>
                    <w:rPr>
                      <w:szCs w:val="21"/>
                    </w:rPr>
                  </w:pPr>
                  <w:r>
                    <w:rPr>
                      <w:rFonts w:hint="eastAsia" w:ascii="宋体" w:hAnsi="宋体" w:cs="宋体"/>
                      <w:szCs w:val="21"/>
                    </w:rPr>
                    <w:t>⑤</w:t>
                  </w:r>
                  <w:r>
                    <w:rPr>
                      <w:szCs w:val="21"/>
                    </w:rPr>
                    <w:t>禁止建设或使用《产业结构调整指导目录（2011年本）（2013年修正）》明令淘汰的生产工艺或设备。</w:t>
                  </w:r>
                </w:p>
              </w:tc>
              <w:tc>
                <w:tcPr>
                  <w:tcW w:w="2799" w:type="dxa"/>
                  <w:vAlign w:val="center"/>
                </w:tcPr>
                <w:p>
                  <w:pPr>
                    <w:adjustRightInd w:val="0"/>
                    <w:snapToGrid w:val="0"/>
                    <w:rPr>
                      <w:rFonts w:ascii="宋体" w:hAnsi="宋体" w:cs="宋体"/>
                      <w:szCs w:val="21"/>
                    </w:rPr>
                  </w:pPr>
                  <w:r>
                    <w:rPr>
                      <w:rFonts w:ascii="宋体" w:hAnsi="宋体" w:cs="宋体"/>
                      <w:szCs w:val="21"/>
                    </w:rPr>
                    <w:fldChar w:fldCharType="begin"/>
                  </w:r>
                  <w:r>
                    <w:rPr>
                      <w:rFonts w:ascii="宋体" w:hAnsi="宋体" w:cs="宋体"/>
                      <w:szCs w:val="21"/>
                    </w:rPr>
                    <w:instrText xml:space="preserve"> </w:instrText>
                  </w:r>
                  <w:r>
                    <w:rPr>
                      <w:rFonts w:hint="eastAsia" w:ascii="宋体" w:hAnsi="宋体" w:cs="宋体"/>
                      <w:szCs w:val="21"/>
                    </w:rPr>
                    <w:instrText xml:space="preserve">= 1 \* GB3</w:instrText>
                  </w:r>
                  <w:r>
                    <w:rPr>
                      <w:rFonts w:ascii="宋体" w:hAnsi="宋体" w:cs="宋体"/>
                      <w:szCs w:val="21"/>
                    </w:rPr>
                    <w:instrText xml:space="preserve"> </w:instrText>
                  </w:r>
                  <w:r>
                    <w:rPr>
                      <w:rFonts w:ascii="宋体" w:hAnsi="宋体" w:cs="宋体"/>
                      <w:szCs w:val="21"/>
                    </w:rPr>
                    <w:fldChar w:fldCharType="separate"/>
                  </w:r>
                  <w:r>
                    <w:rPr>
                      <w:rFonts w:hint="eastAsia" w:ascii="宋体" w:hAnsi="宋体" w:cs="宋体"/>
                      <w:szCs w:val="21"/>
                    </w:rPr>
                    <w:t>①</w:t>
                  </w:r>
                  <w:r>
                    <w:rPr>
                      <w:rFonts w:ascii="宋体" w:hAnsi="宋体" w:cs="宋体"/>
                      <w:szCs w:val="21"/>
                    </w:rPr>
                    <w:fldChar w:fldCharType="end"/>
                  </w:r>
                  <w:r>
                    <w:rPr>
                      <w:rFonts w:ascii="宋体" w:hAnsi="宋体" w:cs="宋体"/>
                      <w:szCs w:val="21"/>
                    </w:rPr>
                    <w:t>本项目</w:t>
                  </w:r>
                  <w:r>
                    <w:rPr>
                      <w:rFonts w:hint="eastAsia" w:ascii="宋体" w:hAnsi="宋体" w:cs="宋体"/>
                      <w:szCs w:val="21"/>
                    </w:rPr>
                    <w:t>位于新乡经济技术产业集聚区南区印海智谷产业园A3地块，</w:t>
                  </w:r>
                  <w:r>
                    <w:rPr>
                      <w:rFonts w:ascii="宋体" w:hAnsi="宋体" w:cs="宋体"/>
                      <w:szCs w:val="21"/>
                    </w:rPr>
                    <w:t>所在地为工业用地，符合产业集聚区用地性质。</w:t>
                  </w:r>
                </w:p>
                <w:p>
                  <w:pPr>
                    <w:rPr>
                      <w:rFonts w:ascii="宋体" w:hAnsi="宋体" w:cs="宋体"/>
                      <w:szCs w:val="21"/>
                    </w:rPr>
                  </w:pPr>
                  <w:r>
                    <w:rPr>
                      <w:rFonts w:hint="eastAsia" w:ascii="宋体" w:hAnsi="宋体" w:cs="宋体"/>
                      <w:szCs w:val="21"/>
                    </w:rPr>
                    <w:t>②</w:t>
                  </w:r>
                  <w:r>
                    <w:rPr>
                      <w:szCs w:val="21"/>
                    </w:rPr>
                    <w:t>本项目属于《产业结构调整指导目录2019年本》</w:t>
                  </w:r>
                  <w:r>
                    <w:rPr>
                      <w:rFonts w:hint="eastAsia"/>
                      <w:szCs w:val="21"/>
                    </w:rPr>
                    <w:t>及其修改文件中第一类鼓励类三十一、科技服务业</w:t>
                  </w:r>
                  <w:r>
                    <w:rPr>
                      <w:rFonts w:hint="eastAsia" w:ascii="宋体" w:hAnsi="宋体" w:cs="宋体"/>
                      <w:szCs w:val="21"/>
                    </w:rPr>
                    <w:t>，属于鼓励类。</w:t>
                  </w:r>
                </w:p>
                <w:p>
                  <w:pPr>
                    <w:adjustRightInd w:val="0"/>
                    <w:snapToGrid w:val="0"/>
                    <w:rPr>
                      <w:szCs w:val="21"/>
                    </w:rPr>
                  </w:pPr>
                  <w:r>
                    <w:rPr>
                      <w:rFonts w:hint="eastAsia" w:ascii="宋体" w:hAnsi="宋体" w:cs="宋体"/>
                      <w:szCs w:val="21"/>
                    </w:rPr>
                    <w:t>③</w:t>
                  </w:r>
                  <w:r>
                    <w:rPr>
                      <w:kern w:val="0"/>
                      <w:szCs w:val="21"/>
                    </w:rPr>
                    <w:t>本项目位于河南省新乡经济开发区107国道与胡韦线交汇处A3地块，属于集聚区南区纸制品印刷包装产业园，</w:t>
                  </w:r>
                  <w:r>
                    <w:rPr>
                      <w:rFonts w:hint="eastAsia"/>
                      <w:szCs w:val="21"/>
                    </w:rPr>
                    <w:t>本项目</w:t>
                  </w:r>
                  <w:r>
                    <w:rPr>
                      <w:szCs w:val="21"/>
                    </w:rPr>
                    <w:t>涉及</w:t>
                  </w:r>
                  <w:r>
                    <w:rPr>
                      <w:rFonts w:hint="eastAsia"/>
                      <w:szCs w:val="21"/>
                    </w:rPr>
                    <w:t>使用少量</w:t>
                  </w:r>
                  <w:r>
                    <w:rPr>
                      <w:szCs w:val="21"/>
                    </w:rPr>
                    <w:t>有毒、有害物质及危险物品</w:t>
                  </w:r>
                  <w:r>
                    <w:rPr>
                      <w:rFonts w:hint="eastAsia"/>
                      <w:szCs w:val="21"/>
                    </w:rPr>
                    <w:t>，用量很少，环境风险较低，不会对周边环境造成影响</w:t>
                  </w:r>
                  <w:r>
                    <w:rPr>
                      <w:szCs w:val="21"/>
                    </w:rPr>
                    <w:t>。</w:t>
                  </w:r>
                </w:p>
                <w:p>
                  <w:pPr>
                    <w:adjustRightInd w:val="0"/>
                    <w:snapToGrid w:val="0"/>
                    <w:rPr>
                      <w:szCs w:val="21"/>
                    </w:rPr>
                  </w:pPr>
                  <w:r>
                    <w:rPr>
                      <w:szCs w:val="21"/>
                    </w:rPr>
                    <w:fldChar w:fldCharType="begin"/>
                  </w:r>
                  <w:r>
                    <w:rPr>
                      <w:szCs w:val="21"/>
                    </w:rPr>
                    <w:instrText xml:space="preserve">= 4 \* GB3</w:instrText>
                  </w:r>
                  <w:r>
                    <w:rPr>
                      <w:szCs w:val="21"/>
                    </w:rPr>
                    <w:fldChar w:fldCharType="separate"/>
                  </w:r>
                  <w:r>
                    <w:rPr>
                      <w:rFonts w:hint="eastAsia" w:ascii="宋体" w:hAnsi="宋体" w:cs="宋体"/>
                      <w:szCs w:val="21"/>
                    </w:rPr>
                    <w:t>④</w:t>
                  </w:r>
                  <w:r>
                    <w:rPr>
                      <w:szCs w:val="21"/>
                    </w:rPr>
                    <w:fldChar w:fldCharType="end"/>
                  </w:r>
                  <w:r>
                    <w:rPr>
                      <w:szCs w:val="21"/>
                    </w:rPr>
                    <w:t>本项目未使用《产业结构调整指导目录2019年本》</w:t>
                  </w:r>
                  <w:r>
                    <w:rPr>
                      <w:rFonts w:hint="eastAsia"/>
                      <w:szCs w:val="21"/>
                    </w:rPr>
                    <w:t>及其修改文件中</w:t>
                  </w:r>
                  <w:r>
                    <w:rPr>
                      <w:szCs w:val="21"/>
                    </w:rPr>
                    <w:t>明令淘汰的生产工艺或设备。</w:t>
                  </w:r>
                </w:p>
              </w:tc>
              <w:tc>
                <w:tcPr>
                  <w:tcW w:w="689" w:type="dxa"/>
                  <w:vAlign w:val="center"/>
                </w:tcPr>
                <w:p>
                  <w:pPr>
                    <w:adjustRightInd w:val="0"/>
                    <w:snapToGrid w:val="0"/>
                    <w:jc w:val="center"/>
                    <w:rPr>
                      <w:szCs w:val="21"/>
                    </w:rPr>
                  </w:pPr>
                  <w:r>
                    <w:rPr>
                      <w:szCs w:val="21"/>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540" w:type="dxa"/>
                  <w:vAlign w:val="center"/>
                </w:tcPr>
                <w:p>
                  <w:pPr>
                    <w:adjustRightInd w:val="0"/>
                    <w:snapToGrid w:val="0"/>
                    <w:rPr>
                      <w:spacing w:val="8"/>
                      <w:szCs w:val="21"/>
                    </w:rPr>
                  </w:pPr>
                  <w:r>
                    <w:rPr>
                      <w:szCs w:val="21"/>
                    </w:rPr>
                    <w:t>生产规模和工艺装备水平</w:t>
                  </w:r>
                </w:p>
              </w:tc>
              <w:tc>
                <w:tcPr>
                  <w:tcW w:w="3502" w:type="dxa"/>
                  <w:vAlign w:val="center"/>
                </w:tcPr>
                <w:p>
                  <w:pPr>
                    <w:rPr>
                      <w:spacing w:val="-4"/>
                      <w:szCs w:val="21"/>
                    </w:rPr>
                  </w:pPr>
                  <w:r>
                    <w:rPr>
                      <w:spacing w:val="-4"/>
                      <w:szCs w:val="21"/>
                    </w:rPr>
                    <w:t>（1）入区企业建设规模应符合国家相关行业准入条件中的经济、产品规模和生产工艺要求；</w:t>
                  </w:r>
                </w:p>
                <w:p>
                  <w:pPr>
                    <w:adjustRightInd w:val="0"/>
                    <w:snapToGrid w:val="0"/>
                    <w:rPr>
                      <w:spacing w:val="8"/>
                      <w:szCs w:val="21"/>
                    </w:rPr>
                  </w:pPr>
                  <w:r>
                    <w:rPr>
                      <w:szCs w:val="21"/>
                    </w:rPr>
                    <w:t>（2）在生产工艺、技术水平、装备规格上，要求入区项目达到国内行业领先水平、或具备国际先进水平。</w:t>
                  </w:r>
                </w:p>
              </w:tc>
              <w:tc>
                <w:tcPr>
                  <w:tcW w:w="2799" w:type="dxa"/>
                  <w:vAlign w:val="center"/>
                </w:tcPr>
                <w:p>
                  <w:pPr>
                    <w:adjustRightInd w:val="0"/>
                    <w:snapToGrid w:val="0"/>
                    <w:rPr>
                      <w:rFonts w:ascii="宋体" w:hAnsi="宋体" w:cs="宋体"/>
                      <w:szCs w:val="21"/>
                    </w:rPr>
                  </w:pPr>
                  <w:r>
                    <w:rPr>
                      <w:rFonts w:ascii="宋体" w:hAnsi="宋体" w:cs="宋体"/>
                      <w:szCs w:val="21"/>
                    </w:rPr>
                    <w:t>（1）本项目为</w:t>
                  </w:r>
                  <w:r>
                    <w:rPr>
                      <w:rFonts w:hint="eastAsia"/>
                      <w:szCs w:val="21"/>
                    </w:rPr>
                    <w:t>检测服务业</w:t>
                  </w:r>
                  <w:r>
                    <w:rPr>
                      <w:rFonts w:ascii="宋体" w:hAnsi="宋体" w:cs="宋体"/>
                      <w:szCs w:val="21"/>
                    </w:rPr>
                    <w:t>，暂无行业准入条件</w:t>
                  </w:r>
                  <w:r>
                    <w:rPr>
                      <w:rFonts w:hint="eastAsia" w:ascii="宋体" w:hAnsi="宋体" w:cs="宋体"/>
                      <w:szCs w:val="21"/>
                    </w:rPr>
                    <w:t>。</w:t>
                  </w:r>
                </w:p>
                <w:p>
                  <w:pPr>
                    <w:adjustRightInd w:val="0"/>
                    <w:snapToGrid w:val="0"/>
                    <w:rPr>
                      <w:rFonts w:ascii="宋体" w:hAnsi="宋体" w:cs="宋体"/>
                      <w:szCs w:val="21"/>
                    </w:rPr>
                  </w:pPr>
                  <w:r>
                    <w:rPr>
                      <w:rFonts w:ascii="宋体" w:hAnsi="宋体" w:cs="宋体"/>
                      <w:szCs w:val="21"/>
                    </w:rPr>
                    <w:t>（2）</w:t>
                  </w:r>
                  <w:r>
                    <w:rPr>
                      <w:rFonts w:hint="eastAsia" w:ascii="宋体" w:hAnsi="宋体" w:cs="宋体"/>
                      <w:szCs w:val="21"/>
                    </w:rPr>
                    <w:t>本实验室</w:t>
                  </w:r>
                  <w:r>
                    <w:rPr>
                      <w:rFonts w:ascii="宋体" w:hAnsi="宋体" w:cs="宋体"/>
                      <w:szCs w:val="21"/>
                    </w:rPr>
                    <w:t>在技术水平、装备规格上，能够达到国内行业领先水平。</w:t>
                  </w:r>
                </w:p>
              </w:tc>
              <w:tc>
                <w:tcPr>
                  <w:tcW w:w="689" w:type="dxa"/>
                  <w:vAlign w:val="center"/>
                </w:tcPr>
                <w:p>
                  <w:pPr>
                    <w:adjustRightInd w:val="0"/>
                    <w:snapToGrid w:val="0"/>
                    <w:jc w:val="center"/>
                    <w:rPr>
                      <w:spacing w:val="8"/>
                      <w:szCs w:val="21"/>
                    </w:rPr>
                  </w:pPr>
                  <w:r>
                    <w:rPr>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540" w:type="dxa"/>
                  <w:vAlign w:val="center"/>
                </w:tcPr>
                <w:p>
                  <w:pPr>
                    <w:adjustRightInd w:val="0"/>
                    <w:snapToGrid w:val="0"/>
                    <w:rPr>
                      <w:color w:val="FF0000"/>
                      <w:spacing w:val="8"/>
                      <w:szCs w:val="21"/>
                    </w:rPr>
                  </w:pPr>
                  <w:r>
                    <w:rPr>
                      <w:szCs w:val="21"/>
                    </w:rPr>
                    <w:t>清洁生产水平</w:t>
                  </w:r>
                </w:p>
              </w:tc>
              <w:tc>
                <w:tcPr>
                  <w:tcW w:w="3502" w:type="dxa"/>
                  <w:vAlign w:val="center"/>
                </w:tcPr>
                <w:p>
                  <w:pPr>
                    <w:adjustRightInd w:val="0"/>
                    <w:snapToGrid w:val="0"/>
                    <w:rPr>
                      <w:szCs w:val="21"/>
                    </w:rPr>
                  </w:pPr>
                  <w:r>
                    <w:rPr>
                      <w:szCs w:val="21"/>
                    </w:rPr>
                    <w:t>（1）应选择使用原料和产品为环境友好型的项目，避免集聚区大规模建设造成的不良辐射效应，诱使国家明令禁止项目在集聚区周边出现；</w:t>
                  </w:r>
                </w:p>
                <w:p>
                  <w:pPr>
                    <w:adjustRightInd w:val="0"/>
                    <w:snapToGrid w:val="0"/>
                    <w:rPr>
                      <w:szCs w:val="21"/>
                    </w:rPr>
                  </w:pPr>
                  <w:r>
                    <w:rPr>
                      <w:szCs w:val="21"/>
                    </w:rPr>
                    <w:t>（2）入区项目在单位产品水耗、能耗、污染物排放量等清洁生产指标应达到国内同类行业先进水平；</w:t>
                  </w:r>
                </w:p>
                <w:p>
                  <w:pPr>
                    <w:adjustRightInd w:val="0"/>
                    <w:snapToGrid w:val="0"/>
                    <w:rPr>
                      <w:szCs w:val="21"/>
                    </w:rPr>
                  </w:pPr>
                  <w:r>
                    <w:rPr>
                      <w:szCs w:val="21"/>
                    </w:rPr>
                    <w:t>（3）限制高耗水、高耗能的工业企业入住园区；</w:t>
                  </w:r>
                </w:p>
                <w:p>
                  <w:pPr>
                    <w:adjustRightInd w:val="0"/>
                    <w:snapToGrid w:val="0"/>
                    <w:rPr>
                      <w:color w:val="FF0000"/>
                      <w:spacing w:val="8"/>
                      <w:szCs w:val="21"/>
                    </w:rPr>
                  </w:pPr>
                  <w:r>
                    <w:rPr>
                      <w:szCs w:val="21"/>
                    </w:rPr>
                    <w:t>（4）按照循环经济发展之路，评价建议能够与集聚区定位发展产业形成良好循环经济链条的项目可优先入园。</w:t>
                  </w:r>
                </w:p>
              </w:tc>
              <w:tc>
                <w:tcPr>
                  <w:tcW w:w="2799" w:type="dxa"/>
                  <w:vAlign w:val="center"/>
                </w:tcPr>
                <w:p>
                  <w:pPr>
                    <w:adjustRightInd w:val="0"/>
                    <w:snapToGrid w:val="0"/>
                    <w:rPr>
                      <w:szCs w:val="21"/>
                    </w:rPr>
                  </w:pPr>
                  <w:r>
                    <w:rPr>
                      <w:szCs w:val="21"/>
                    </w:rPr>
                    <w:t>（1）本</w:t>
                  </w:r>
                  <w:r>
                    <w:rPr>
                      <w:rFonts w:hint="eastAsia"/>
                      <w:szCs w:val="21"/>
                    </w:rPr>
                    <w:t>项目为检测服务业，实验室检测试剂</w:t>
                  </w:r>
                  <w:r>
                    <w:rPr>
                      <w:szCs w:val="21"/>
                    </w:rPr>
                    <w:t>为环境友好型。</w:t>
                  </w:r>
                </w:p>
                <w:p>
                  <w:pPr>
                    <w:adjustRightInd w:val="0"/>
                    <w:snapToGrid w:val="0"/>
                    <w:rPr>
                      <w:spacing w:val="-4"/>
                      <w:szCs w:val="21"/>
                    </w:rPr>
                  </w:pPr>
                  <w:r>
                    <w:rPr>
                      <w:szCs w:val="21"/>
                    </w:rPr>
                    <w:t>（2）</w:t>
                  </w:r>
                  <w:r>
                    <w:rPr>
                      <w:rFonts w:hint="eastAsia"/>
                      <w:szCs w:val="21"/>
                    </w:rPr>
                    <w:t>经查阅无相关清洁生产指标体系，本项目</w:t>
                  </w:r>
                  <w:r>
                    <w:rPr>
                      <w:szCs w:val="21"/>
                    </w:rPr>
                    <w:t>水耗、能耗、污染物排放量</w:t>
                  </w:r>
                  <w:r>
                    <w:rPr>
                      <w:rFonts w:hint="eastAsia"/>
                      <w:szCs w:val="21"/>
                    </w:rPr>
                    <w:t>能够满足国家相关清洁生产指标要求</w:t>
                  </w:r>
                  <w:r>
                    <w:rPr>
                      <w:spacing w:val="-4"/>
                      <w:szCs w:val="21"/>
                    </w:rPr>
                    <w:t>。</w:t>
                  </w:r>
                </w:p>
                <w:p>
                  <w:pPr>
                    <w:pStyle w:val="20"/>
                    <w:spacing w:after="0"/>
                    <w:ind w:left="0" w:leftChars="0" w:firstLine="0" w:firstLineChars="0"/>
                  </w:pPr>
                  <w:r>
                    <w:t>（3）本项目</w:t>
                  </w:r>
                  <w:r>
                    <w:rPr>
                      <w:spacing w:val="-4"/>
                      <w:szCs w:val="21"/>
                    </w:rPr>
                    <w:t>为</w:t>
                  </w:r>
                  <w:r>
                    <w:rPr>
                      <w:rFonts w:hint="eastAsia"/>
                      <w:szCs w:val="21"/>
                    </w:rPr>
                    <w:t>检测服务业</w:t>
                  </w:r>
                  <w:r>
                    <w:rPr>
                      <w:spacing w:val="-4"/>
                      <w:szCs w:val="21"/>
                    </w:rPr>
                    <w:t>，</w:t>
                  </w:r>
                  <w:r>
                    <w:t>不属于高耗水、高耗能的工业。</w:t>
                  </w:r>
                </w:p>
              </w:tc>
              <w:tc>
                <w:tcPr>
                  <w:tcW w:w="689" w:type="dxa"/>
                  <w:vAlign w:val="center"/>
                </w:tcPr>
                <w:p>
                  <w:pPr>
                    <w:adjustRightInd w:val="0"/>
                    <w:snapToGrid w:val="0"/>
                    <w:jc w:val="center"/>
                    <w:rPr>
                      <w:spacing w:val="8"/>
                      <w:szCs w:val="21"/>
                    </w:rPr>
                  </w:pPr>
                  <w:r>
                    <w:rPr>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540" w:type="dxa"/>
                  <w:vAlign w:val="center"/>
                </w:tcPr>
                <w:p>
                  <w:pPr>
                    <w:adjustRightInd w:val="0"/>
                    <w:snapToGrid w:val="0"/>
                    <w:rPr>
                      <w:szCs w:val="21"/>
                    </w:rPr>
                  </w:pPr>
                  <w:r>
                    <w:rPr>
                      <w:szCs w:val="21"/>
                    </w:rPr>
                    <w:t>污染物排放总量控制</w:t>
                  </w:r>
                </w:p>
              </w:tc>
              <w:tc>
                <w:tcPr>
                  <w:tcW w:w="3502" w:type="dxa"/>
                  <w:vAlign w:val="center"/>
                </w:tcPr>
                <w:p>
                  <w:pPr>
                    <w:rPr>
                      <w:szCs w:val="21"/>
                    </w:rPr>
                  </w:pPr>
                  <w:r>
                    <w:rPr>
                      <w:szCs w:val="21"/>
                    </w:rPr>
                    <w:t>（1）新建项目的污染物排放指标必须满足区域总量要求；</w:t>
                  </w:r>
                </w:p>
                <w:p>
                  <w:pPr>
                    <w:rPr>
                      <w:szCs w:val="21"/>
                    </w:rPr>
                  </w:pPr>
                  <w:r>
                    <w:rPr>
                      <w:kern w:val="0"/>
                      <w:szCs w:val="21"/>
                    </w:rPr>
                    <w:t>（2）禁止发展环境污染严重、无污染治理技术或治理技术在技术经济上不可行的项目；</w:t>
                  </w:r>
                </w:p>
                <w:p>
                  <w:pPr>
                    <w:adjustRightInd w:val="0"/>
                    <w:snapToGrid w:val="0"/>
                    <w:rPr>
                      <w:szCs w:val="21"/>
                    </w:rPr>
                  </w:pPr>
                  <w:r>
                    <w:rPr>
                      <w:szCs w:val="21"/>
                    </w:rPr>
                    <w:t>（3）新建项目的大气污染物处理达到相关行业标准或大气污染物综合排放标准后方可排放，水污染物排放应达到相关行业标准或水污染物综合排放标准后才能进入集聚区污水处理厂。</w:t>
                  </w:r>
                </w:p>
              </w:tc>
              <w:tc>
                <w:tcPr>
                  <w:tcW w:w="2799" w:type="dxa"/>
                  <w:vAlign w:val="center"/>
                </w:tcPr>
                <w:p>
                  <w:pPr>
                    <w:adjustRightInd w:val="0"/>
                    <w:snapToGrid w:val="0"/>
                    <w:rPr>
                      <w:rFonts w:ascii="宋体" w:hAnsi="宋体" w:cs="宋体"/>
                      <w:szCs w:val="21"/>
                    </w:rPr>
                  </w:pPr>
                  <w:r>
                    <w:rPr>
                      <w:rFonts w:ascii="宋体" w:hAnsi="宋体" w:cs="宋体"/>
                      <w:szCs w:val="21"/>
                    </w:rPr>
                    <w:t>（1）本项目为新建项目，</w:t>
                  </w:r>
                  <w:r>
                    <w:rPr>
                      <w:rFonts w:hint="eastAsia" w:ascii="宋体" w:hAnsi="宋体" w:cs="宋体"/>
                      <w:szCs w:val="21"/>
                    </w:rPr>
                    <w:t>各项</w:t>
                  </w:r>
                  <w:r>
                    <w:rPr>
                      <w:rFonts w:ascii="宋体" w:hAnsi="宋体" w:cs="宋体"/>
                      <w:szCs w:val="21"/>
                    </w:rPr>
                    <w:t>污染物排放指标</w:t>
                  </w:r>
                  <w:r>
                    <w:rPr>
                      <w:rFonts w:hint="eastAsia" w:ascii="宋体" w:hAnsi="宋体" w:cs="宋体"/>
                      <w:szCs w:val="21"/>
                    </w:rPr>
                    <w:t>，</w:t>
                  </w:r>
                  <w:r>
                    <w:rPr>
                      <w:rFonts w:ascii="宋体" w:hAnsi="宋体" w:cs="宋体"/>
                      <w:szCs w:val="21"/>
                    </w:rPr>
                    <w:t>实行区域替代消减</w:t>
                  </w:r>
                  <w:r>
                    <w:rPr>
                      <w:rFonts w:hint="eastAsia" w:ascii="宋体" w:hAnsi="宋体" w:cs="宋体"/>
                      <w:szCs w:val="21"/>
                    </w:rPr>
                    <w:t>均</w:t>
                  </w:r>
                  <w:r>
                    <w:rPr>
                      <w:rFonts w:ascii="宋体" w:hAnsi="宋体" w:cs="宋体"/>
                      <w:szCs w:val="21"/>
                    </w:rPr>
                    <w:t>可以满足区域总量要求。</w:t>
                  </w:r>
                </w:p>
                <w:p>
                  <w:pPr>
                    <w:adjustRightInd w:val="0"/>
                    <w:snapToGrid w:val="0"/>
                    <w:rPr>
                      <w:rFonts w:ascii="宋体" w:hAnsi="宋体" w:cs="宋体"/>
                      <w:szCs w:val="21"/>
                    </w:rPr>
                  </w:pPr>
                  <w:r>
                    <w:rPr>
                      <w:rFonts w:ascii="宋体" w:hAnsi="宋体" w:cs="宋体"/>
                      <w:szCs w:val="21"/>
                    </w:rPr>
                    <w:t>（2）本项目环境污染较小，技术经济上可行。</w:t>
                  </w:r>
                </w:p>
                <w:p>
                  <w:pPr>
                    <w:rPr>
                      <w:rFonts w:ascii="宋体" w:hAnsi="宋体" w:cs="宋体"/>
                      <w:szCs w:val="21"/>
                    </w:rPr>
                  </w:pPr>
                  <w:r>
                    <w:rPr>
                      <w:rFonts w:ascii="宋体" w:hAnsi="宋体" w:cs="宋体"/>
                      <w:szCs w:val="21"/>
                    </w:rPr>
                    <w:t>（3）本项目</w:t>
                  </w:r>
                  <w:r>
                    <w:rPr>
                      <w:rFonts w:hint="eastAsia" w:ascii="宋体" w:hAnsi="宋体" w:cs="宋体"/>
                      <w:szCs w:val="21"/>
                    </w:rPr>
                    <w:t>为新建</w:t>
                  </w:r>
                  <w:r>
                    <w:rPr>
                      <w:rFonts w:ascii="宋体" w:hAnsi="宋体" w:cs="宋体"/>
                      <w:szCs w:val="21"/>
                    </w:rPr>
                    <w:t>项目，实验室废气</w:t>
                  </w:r>
                  <w:r>
                    <w:rPr>
                      <w:rFonts w:hint="eastAsia" w:ascii="宋体" w:hAnsi="宋体" w:cs="宋体"/>
                      <w:szCs w:val="21"/>
                    </w:rPr>
                    <w:t>经</w:t>
                  </w:r>
                  <w:r>
                    <w:rPr>
                      <w:rFonts w:ascii="宋体" w:hAnsi="宋体" w:cs="宋体"/>
                      <w:szCs w:val="21"/>
                    </w:rPr>
                    <w:t>收集后引至</w:t>
                  </w:r>
                  <w:r>
                    <w:rPr>
                      <w:rFonts w:hint="eastAsia" w:ascii="宋体" w:hAnsi="宋体" w:cs="宋体"/>
                      <w:szCs w:val="21"/>
                    </w:rPr>
                    <w:t>“水喷淋塔+除雾器+UV光催化氧化+活性炭吸附”</w:t>
                  </w:r>
                  <w:r>
                    <w:rPr>
                      <w:rFonts w:ascii="宋体" w:hAnsi="宋体" w:cs="宋体"/>
                      <w:szCs w:val="21"/>
                    </w:rPr>
                    <w:t>处理、</w:t>
                  </w:r>
                  <w:r>
                    <w:rPr>
                      <w:rFonts w:hint="eastAsia" w:ascii="宋体" w:hAnsi="宋体" w:cs="宋体"/>
                      <w:szCs w:val="21"/>
                    </w:rPr>
                    <w:t>实验室</w:t>
                  </w:r>
                  <w:r>
                    <w:rPr>
                      <w:rFonts w:ascii="宋体" w:hAnsi="宋体" w:cs="宋体"/>
                      <w:szCs w:val="21"/>
                    </w:rPr>
                    <w:t>废水经一体化污水处理设施处理</w:t>
                  </w:r>
                  <w:r>
                    <w:rPr>
                      <w:rFonts w:hint="eastAsia" w:ascii="宋体" w:hAnsi="宋体" w:cs="宋体"/>
                      <w:szCs w:val="21"/>
                    </w:rPr>
                    <w:t>、生活污水经化粪池处理后废气废水均能达标排放。</w:t>
                  </w:r>
                </w:p>
              </w:tc>
              <w:tc>
                <w:tcPr>
                  <w:tcW w:w="689" w:type="dxa"/>
                  <w:vAlign w:val="center"/>
                </w:tcPr>
                <w:p>
                  <w:pPr>
                    <w:adjustRightInd w:val="0"/>
                    <w:snapToGrid w:val="0"/>
                    <w:jc w:val="center"/>
                    <w:rPr>
                      <w:szCs w:val="21"/>
                    </w:rPr>
                  </w:pPr>
                  <w:r>
                    <w:rPr>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540" w:type="dxa"/>
                  <w:tcBorders>
                    <w:bottom w:val="single" w:color="auto" w:sz="8" w:space="0"/>
                  </w:tcBorders>
                  <w:vAlign w:val="center"/>
                </w:tcPr>
                <w:p>
                  <w:pPr>
                    <w:adjustRightInd w:val="0"/>
                    <w:snapToGrid w:val="0"/>
                    <w:rPr>
                      <w:szCs w:val="21"/>
                    </w:rPr>
                  </w:pPr>
                  <w:r>
                    <w:rPr>
                      <w:szCs w:val="21"/>
                    </w:rPr>
                    <w:t>土地利用</w:t>
                  </w:r>
                </w:p>
              </w:tc>
              <w:tc>
                <w:tcPr>
                  <w:tcW w:w="3502" w:type="dxa"/>
                  <w:tcBorders>
                    <w:bottom w:val="single" w:color="auto" w:sz="8" w:space="0"/>
                  </w:tcBorders>
                  <w:vAlign w:val="center"/>
                </w:tcPr>
                <w:p>
                  <w:pPr>
                    <w:rPr>
                      <w:szCs w:val="21"/>
                    </w:rPr>
                  </w:pPr>
                  <w:r>
                    <w:rPr>
                      <w:szCs w:val="21"/>
                    </w:rPr>
                    <w:t>（1）入园项目必须达到《河南省工业项目建设用地控制指标》要求；</w:t>
                  </w:r>
                </w:p>
                <w:p>
                  <w:pPr>
                    <w:rPr>
                      <w:szCs w:val="21"/>
                    </w:rPr>
                  </w:pPr>
                  <w:r>
                    <w:rPr>
                      <w:szCs w:val="21"/>
                    </w:rPr>
                    <w:t>（2）入园项目用地必须符合集聚区土地利用规划要求。</w:t>
                  </w:r>
                </w:p>
                <w:p>
                  <w:pPr>
                    <w:adjustRightInd w:val="0"/>
                    <w:snapToGrid w:val="0"/>
                    <w:rPr>
                      <w:szCs w:val="21"/>
                    </w:rPr>
                  </w:pPr>
                  <w:r>
                    <w:rPr>
                      <w:szCs w:val="21"/>
                    </w:rPr>
                    <w:t>（3）入园项目必须符合园区产业布局要求。</w:t>
                  </w:r>
                </w:p>
              </w:tc>
              <w:tc>
                <w:tcPr>
                  <w:tcW w:w="2799" w:type="dxa"/>
                  <w:tcBorders>
                    <w:bottom w:val="single" w:color="auto" w:sz="8" w:space="0"/>
                  </w:tcBorders>
                  <w:vAlign w:val="center"/>
                </w:tcPr>
                <w:p>
                  <w:pPr>
                    <w:adjustRightInd w:val="0"/>
                    <w:snapToGrid w:val="0"/>
                    <w:rPr>
                      <w:szCs w:val="21"/>
                    </w:rPr>
                  </w:pPr>
                  <w:r>
                    <w:rPr>
                      <w:szCs w:val="21"/>
                    </w:rPr>
                    <w:t>（1）本项目能够达到《河南省工业项目建设用地控制指标》要求。</w:t>
                  </w:r>
                </w:p>
                <w:p>
                  <w:pPr>
                    <w:adjustRightInd w:val="0"/>
                    <w:snapToGrid w:val="0"/>
                    <w:rPr>
                      <w:szCs w:val="21"/>
                    </w:rPr>
                  </w:pPr>
                  <w:r>
                    <w:rPr>
                      <w:szCs w:val="21"/>
                    </w:rPr>
                    <w:t>（2）项目所在地为工业用地，符合集聚区土地利用规划要求。</w:t>
                  </w:r>
                </w:p>
                <w:p>
                  <w:pPr>
                    <w:adjustRightInd w:val="0"/>
                    <w:snapToGrid w:val="0"/>
                    <w:rPr>
                      <w:szCs w:val="21"/>
                    </w:rPr>
                  </w:pPr>
                  <w:r>
                    <w:rPr>
                      <w:szCs w:val="21"/>
                    </w:rPr>
                    <w:t>（3）项目符合园区产业布局要求。</w:t>
                  </w:r>
                </w:p>
              </w:tc>
              <w:tc>
                <w:tcPr>
                  <w:tcW w:w="689" w:type="dxa"/>
                  <w:tcBorders>
                    <w:bottom w:val="single" w:color="auto" w:sz="8" w:space="0"/>
                  </w:tcBorders>
                  <w:vAlign w:val="center"/>
                </w:tcPr>
                <w:p>
                  <w:pPr>
                    <w:adjustRightInd w:val="0"/>
                    <w:snapToGrid w:val="0"/>
                    <w:jc w:val="center"/>
                    <w:rPr>
                      <w:szCs w:val="21"/>
                    </w:rPr>
                  </w:pPr>
                  <w:r>
                    <w:rPr>
                      <w:szCs w:val="21"/>
                    </w:rPr>
                    <w:t>相符</w:t>
                  </w:r>
                </w:p>
              </w:tc>
            </w:tr>
          </w:tbl>
          <w:p>
            <w:pPr>
              <w:autoSpaceDE w:val="0"/>
              <w:autoSpaceDN w:val="0"/>
              <w:adjustRightInd w:val="0"/>
              <w:snapToGrid w:val="0"/>
              <w:spacing w:line="460" w:lineRule="exact"/>
              <w:ind w:firstLine="482" w:firstLineChars="200"/>
              <w:rPr>
                <w:b/>
                <w:bCs/>
                <w:kern w:val="0"/>
                <w:sz w:val="24"/>
              </w:rPr>
            </w:pPr>
            <w:r>
              <w:rPr>
                <w:b/>
                <w:bCs/>
                <w:kern w:val="0"/>
                <w:sz w:val="24"/>
              </w:rPr>
              <w:t>2、本项目与《新乡经济技术产业集聚区总体发展规划（2015-2025）环境影响评价补充分析报告》产业集聚区准入条件和负面清单的相符性分析</w:t>
            </w:r>
          </w:p>
          <w:p>
            <w:pPr>
              <w:adjustRightInd w:val="0"/>
              <w:snapToGrid w:val="0"/>
              <w:spacing w:line="480" w:lineRule="exact"/>
              <w:ind w:firstLine="480" w:firstLineChars="200"/>
              <w:rPr>
                <w:sz w:val="24"/>
              </w:rPr>
            </w:pPr>
            <w:r>
              <w:rPr>
                <w:sz w:val="24"/>
              </w:rPr>
              <w:t>（1）本项目位于河南省新乡经济开发区107国道与胡韦线交汇处A3地块，属于</w:t>
            </w:r>
            <w:r>
              <w:rPr>
                <w:kern w:val="0"/>
                <w:sz w:val="24"/>
              </w:rPr>
              <w:t>新乡经济技术产业集聚区</w:t>
            </w:r>
            <w:r>
              <w:rPr>
                <w:sz w:val="24"/>
              </w:rPr>
              <w:t>南区纸制品印刷包装产业园，项目与</w:t>
            </w:r>
            <w:r>
              <w:rPr>
                <w:kern w:val="0"/>
                <w:sz w:val="24"/>
              </w:rPr>
              <w:t>新乡经济技术产业集聚区</w:t>
            </w:r>
            <w:r>
              <w:rPr>
                <w:sz w:val="24"/>
              </w:rPr>
              <w:t>南区准入条件对照分析如下。</w:t>
            </w:r>
          </w:p>
          <w:p>
            <w:pPr>
              <w:adjustRightInd w:val="0"/>
              <w:snapToGrid w:val="0"/>
              <w:spacing w:line="480" w:lineRule="exact"/>
              <w:ind w:firstLine="480" w:firstLineChars="200"/>
              <w:rPr>
                <w:rFonts w:eastAsia="黑体"/>
              </w:rPr>
            </w:pPr>
            <w:r>
              <w:rPr>
                <w:rFonts w:eastAsia="黑体"/>
                <w:sz w:val="24"/>
              </w:rPr>
              <w:t>表3   本项目与调整后集聚区环境保护准入条件相符性分析一览表</w:t>
            </w:r>
          </w:p>
          <w:tbl>
            <w:tblPr>
              <w:tblStyle w:val="21"/>
              <w:tblpPr w:leftFromText="180" w:rightFromText="180" w:vertAnchor="text" w:tblpXSpec="center"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1"/>
              <w:gridCol w:w="430"/>
              <w:gridCol w:w="3685"/>
              <w:gridCol w:w="2328"/>
              <w:gridCol w:w="66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536" w:type="dxa"/>
                  <w:gridSpan w:val="3"/>
                  <w:vAlign w:val="center"/>
                </w:tcPr>
                <w:p>
                  <w:pPr>
                    <w:jc w:val="center"/>
                    <w:rPr>
                      <w:b/>
                      <w:bCs/>
                      <w:szCs w:val="21"/>
                    </w:rPr>
                  </w:pPr>
                  <w:r>
                    <w:rPr>
                      <w:b/>
                      <w:bCs/>
                      <w:szCs w:val="21"/>
                    </w:rPr>
                    <w:t>准入条件</w:t>
                  </w:r>
                </w:p>
              </w:tc>
              <w:tc>
                <w:tcPr>
                  <w:tcW w:w="2328" w:type="dxa"/>
                  <w:vAlign w:val="center"/>
                </w:tcPr>
                <w:p>
                  <w:pPr>
                    <w:jc w:val="center"/>
                    <w:rPr>
                      <w:b/>
                      <w:bCs/>
                      <w:szCs w:val="21"/>
                    </w:rPr>
                  </w:pPr>
                  <w:r>
                    <w:rPr>
                      <w:b/>
                      <w:bCs/>
                      <w:szCs w:val="21"/>
                    </w:rPr>
                    <w:t>本项目情况</w:t>
                  </w:r>
                </w:p>
              </w:tc>
              <w:tc>
                <w:tcPr>
                  <w:tcW w:w="666" w:type="dxa"/>
                  <w:vAlign w:val="center"/>
                </w:tcPr>
                <w:p>
                  <w:pPr>
                    <w:jc w:val="center"/>
                    <w:rPr>
                      <w:b/>
                      <w:bCs/>
                      <w:szCs w:val="21"/>
                    </w:rPr>
                  </w:pPr>
                  <w:r>
                    <w:rPr>
                      <w:b/>
                      <w:bCs/>
                      <w:szCs w:val="21"/>
                    </w:rPr>
                    <w:t>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1" w:type="dxa"/>
                  <w:vMerge w:val="restart"/>
                  <w:vAlign w:val="center"/>
                </w:tcPr>
                <w:p>
                  <w:pPr>
                    <w:jc w:val="center"/>
                    <w:rPr>
                      <w:b/>
                      <w:bCs/>
                      <w:szCs w:val="21"/>
                    </w:rPr>
                  </w:pPr>
                  <w:r>
                    <w:rPr>
                      <w:szCs w:val="21"/>
                    </w:rPr>
                    <w:t>产业政策</w:t>
                  </w:r>
                </w:p>
              </w:tc>
              <w:tc>
                <w:tcPr>
                  <w:tcW w:w="430" w:type="dxa"/>
                  <w:vAlign w:val="center"/>
                </w:tcPr>
                <w:p>
                  <w:pPr>
                    <w:pStyle w:val="64"/>
                    <w:ind w:left="0"/>
                    <w:jc w:val="both"/>
                    <w:rPr>
                      <w:rFonts w:ascii="Times New Roman" w:hAnsi="Times New Roman" w:cs="Times New Roman"/>
                      <w:b w:val="0"/>
                      <w:bCs w:val="0"/>
                      <w:sz w:val="21"/>
                      <w:szCs w:val="21"/>
                    </w:rPr>
                  </w:pPr>
                  <w:r>
                    <w:rPr>
                      <w:rFonts w:ascii="Times New Roman" w:hAnsi="Times New Roman" w:cs="Times New Roman"/>
                      <w:b w:val="0"/>
                      <w:bCs w:val="0"/>
                      <w:sz w:val="21"/>
                      <w:szCs w:val="21"/>
                    </w:rPr>
                    <w:t>（1）鼓励引进的项目和优先发展行业</w:t>
                  </w:r>
                </w:p>
              </w:tc>
              <w:tc>
                <w:tcPr>
                  <w:tcW w:w="3685" w:type="dxa"/>
                  <w:vAlign w:val="center"/>
                </w:tcPr>
                <w:p>
                  <w:pPr>
                    <w:rPr>
                      <w:szCs w:val="21"/>
                    </w:rPr>
                  </w:pPr>
                  <w:r>
                    <w:rPr>
                      <w:rFonts w:hint="eastAsia" w:ascii="宋体" w:hAnsi="宋体" w:cs="宋体"/>
                      <w:szCs w:val="21"/>
                    </w:rPr>
                    <w:t>①</w:t>
                  </w:r>
                  <w:r>
                    <w:rPr>
                      <w:szCs w:val="21"/>
                    </w:rPr>
                    <w:t>集聚区已按照主导产业及辅助产业对各园区功能布局进行合理布局，企业入驻应按照产业政策要求优先入驻与主导产业相符的产业，鼓励入驻《产业结构调整指导目录》鼓励类项目。</w:t>
                  </w:r>
                </w:p>
                <w:p>
                  <w:pPr>
                    <w:rPr>
                      <w:szCs w:val="21"/>
                    </w:rPr>
                  </w:pPr>
                  <w:r>
                    <w:rPr>
                      <w:rFonts w:hint="eastAsia" w:ascii="宋体" w:hAnsi="宋体" w:cs="宋体"/>
                      <w:szCs w:val="21"/>
                    </w:rPr>
                    <w:t>②</w:t>
                  </w:r>
                  <w:r>
                    <w:rPr>
                      <w:szCs w:val="21"/>
                    </w:rPr>
                    <w:t>鼓励中水回用项目、污水深度治理等基础设施、资源综合利用项目入驻集聚区。</w:t>
                  </w:r>
                </w:p>
                <w:p>
                  <w:pPr>
                    <w:rPr>
                      <w:szCs w:val="21"/>
                    </w:rPr>
                  </w:pPr>
                  <w:r>
                    <w:rPr>
                      <w:rFonts w:hint="eastAsia" w:ascii="宋体" w:hAnsi="宋体" w:cs="宋体"/>
                      <w:szCs w:val="21"/>
                    </w:rPr>
                    <w:t>③</w:t>
                  </w:r>
                  <w:r>
                    <w:rPr>
                      <w:szCs w:val="21"/>
                    </w:rPr>
                    <w:t>鼓励清洁生产水平较高，且能够进一步拉长集聚区产业链，符合集聚区产业定位的企业入驻集聚区。</w:t>
                  </w:r>
                  <w:r>
                    <w:rPr>
                      <w:rFonts w:hint="eastAsia" w:ascii="宋体" w:hAnsi="宋体" w:cs="宋体"/>
                      <w:szCs w:val="21"/>
                    </w:rPr>
                    <w:t>④</w:t>
                  </w:r>
                  <w:r>
                    <w:rPr>
                      <w:szCs w:val="21"/>
                    </w:rPr>
                    <w:t>鼓励园区内符合产业定位的现有企业对产品进行提升，延长产业链条。</w:t>
                  </w:r>
                </w:p>
                <w:p>
                  <w:pPr>
                    <w:rPr>
                      <w:szCs w:val="21"/>
                    </w:rPr>
                  </w:pPr>
                  <w:r>
                    <w:rPr>
                      <w:rFonts w:hint="eastAsia" w:ascii="宋体" w:hAnsi="宋体" w:cs="宋体"/>
                      <w:szCs w:val="21"/>
                    </w:rPr>
                    <w:t>⑤</w:t>
                  </w:r>
                  <w:r>
                    <w:rPr>
                      <w:szCs w:val="21"/>
                    </w:rPr>
                    <w:t>以化工、医药、装备制造作为主导产业。其中化工产业重点依托现有企业河南心连心化肥有限公司发展，支持现有心连心企业的升级改造，重点发展以现有产品为原料的基础化工及下游产业链产品，延长煤化工产业链；医药产业重点发展方向以中药饮片加工及中药配方颗粒制剂、中成药及中药制剂、生物技术药物、生物制剂、卫生材料及医药用品制造等为重点，同时，支持华星药业在发酵原料药方面加快技术改造步伐，推进原料药向产业链下游延伸；装备制造业主要以振动机械、石化及煤化装备、家电设备为主。</w:t>
                  </w:r>
                </w:p>
                <w:p>
                  <w:pPr>
                    <w:rPr>
                      <w:szCs w:val="21"/>
                    </w:rPr>
                  </w:pPr>
                  <w:r>
                    <w:rPr>
                      <w:rFonts w:hint="eastAsia" w:ascii="宋体" w:hAnsi="宋体" w:cs="宋体"/>
                      <w:szCs w:val="21"/>
                    </w:rPr>
                    <w:t>⑥</w:t>
                  </w:r>
                  <w:r>
                    <w:rPr>
                      <w:szCs w:val="21"/>
                    </w:rPr>
                    <w:t>允许入驻符合集聚区产业定位及产业类别的医药、装备制造以及煤化工的下游企业，符合集聚区循环经济发展产业链上下游产业的补链项目。</w:t>
                  </w:r>
                </w:p>
              </w:tc>
              <w:tc>
                <w:tcPr>
                  <w:tcW w:w="2328" w:type="dxa"/>
                  <w:vAlign w:val="center"/>
                </w:tcPr>
                <w:p>
                  <w:pPr>
                    <w:ind w:firstLine="420" w:firstLineChars="200"/>
                    <w:rPr>
                      <w:szCs w:val="21"/>
                    </w:rPr>
                  </w:pPr>
                  <w:r>
                    <w:rPr>
                      <w:szCs w:val="21"/>
                    </w:rPr>
                    <w:t>本项目为</w:t>
                  </w:r>
                  <w:r>
                    <w:rPr>
                      <w:rFonts w:hint="eastAsia"/>
                      <w:szCs w:val="21"/>
                    </w:rPr>
                    <w:t>检测服务业</w:t>
                  </w:r>
                  <w:r>
                    <w:rPr>
                      <w:szCs w:val="21"/>
                    </w:rPr>
                    <w:t>，经查阅《产业结构调整指导目录（2019年本）》</w:t>
                  </w:r>
                  <w:r>
                    <w:rPr>
                      <w:rFonts w:hint="eastAsia"/>
                      <w:szCs w:val="21"/>
                    </w:rPr>
                    <w:t>及其修改文件</w:t>
                  </w:r>
                  <w:r>
                    <w:rPr>
                      <w:szCs w:val="21"/>
                    </w:rPr>
                    <w:t>，本项目属于第一类鼓励类三十一、科技服务业第1条（工业设计、气象、生物、新材料、新能源、节能、环保、测绘、海洋等专业科技服务，标准化服务、计量测试、质量认证和检验检测服务、科技普及），属于鼓励类。本检测中心建成后可开展食品类、仪表检测类、计量器具校准类、油品类检验检测，可服务于集聚区现有企业。</w:t>
                  </w:r>
                </w:p>
              </w:tc>
              <w:tc>
                <w:tcPr>
                  <w:tcW w:w="666" w:type="dxa"/>
                  <w:vAlign w:val="center"/>
                </w:tcPr>
                <w:p>
                  <w:pPr>
                    <w:jc w:val="center"/>
                    <w:rPr>
                      <w:szCs w:val="21"/>
                    </w:rPr>
                  </w:pPr>
                  <w:r>
                    <w:rPr>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1" w:type="dxa"/>
                  <w:vMerge w:val="continue"/>
                  <w:vAlign w:val="center"/>
                </w:tcPr>
                <w:p>
                  <w:pPr>
                    <w:pStyle w:val="64"/>
                    <w:ind w:left="0" w:firstLine="422" w:firstLineChars="200"/>
                    <w:jc w:val="both"/>
                    <w:rPr>
                      <w:rFonts w:ascii="Times New Roman" w:hAnsi="Times New Roman" w:cs="Times New Roman"/>
                      <w:sz w:val="21"/>
                      <w:szCs w:val="21"/>
                    </w:rPr>
                  </w:pPr>
                </w:p>
              </w:tc>
              <w:tc>
                <w:tcPr>
                  <w:tcW w:w="430" w:type="dxa"/>
                  <w:vAlign w:val="center"/>
                </w:tcPr>
                <w:p>
                  <w:pPr>
                    <w:pStyle w:val="64"/>
                    <w:ind w:left="0"/>
                    <w:jc w:val="both"/>
                    <w:rPr>
                      <w:rFonts w:ascii="Times New Roman" w:hAnsi="Times New Roman" w:cs="Times New Roman"/>
                      <w:sz w:val="21"/>
                      <w:szCs w:val="21"/>
                    </w:rPr>
                  </w:pPr>
                  <w:r>
                    <w:rPr>
                      <w:rFonts w:ascii="Times New Roman" w:hAnsi="Times New Roman" w:cs="Times New Roman"/>
                      <w:b w:val="0"/>
                      <w:bCs w:val="0"/>
                      <w:sz w:val="21"/>
                      <w:szCs w:val="21"/>
                    </w:rPr>
                    <w:t>（2）限制或禁止入驻项目</w:t>
                  </w:r>
                </w:p>
              </w:tc>
              <w:tc>
                <w:tcPr>
                  <w:tcW w:w="3685" w:type="dxa"/>
                  <w:vAlign w:val="center"/>
                </w:tcPr>
                <w:p>
                  <w:pPr>
                    <w:pStyle w:val="64"/>
                    <w:ind w:left="0"/>
                    <w:jc w:val="both"/>
                    <w:rPr>
                      <w:rFonts w:ascii="Times New Roman" w:hAnsi="Times New Roman" w:cs="Times New Roman"/>
                      <w:b w:val="0"/>
                      <w:bCs w:val="0"/>
                      <w:sz w:val="21"/>
                      <w:szCs w:val="21"/>
                    </w:rPr>
                  </w:pPr>
                  <w:r>
                    <w:rPr>
                      <w:rFonts w:hint="eastAsia"/>
                      <w:b w:val="0"/>
                      <w:bCs w:val="0"/>
                      <w:sz w:val="21"/>
                      <w:szCs w:val="21"/>
                    </w:rPr>
                    <w:t>①</w:t>
                  </w:r>
                  <w:r>
                    <w:rPr>
                      <w:rFonts w:ascii="Times New Roman" w:hAnsi="Times New Roman" w:cs="Times New Roman"/>
                      <w:b w:val="0"/>
                      <w:bCs w:val="0"/>
                      <w:sz w:val="21"/>
                      <w:szCs w:val="21"/>
                    </w:rPr>
                    <w:t>原则上仅允许入驻符合集聚区产业定位，且项目选址须符合集聚区产业布局及用地性质的项目。</w:t>
                  </w:r>
                  <w:r>
                    <w:rPr>
                      <w:rFonts w:hint="eastAsia"/>
                      <w:b w:val="0"/>
                      <w:bCs w:val="0"/>
                      <w:sz w:val="21"/>
                      <w:szCs w:val="21"/>
                    </w:rPr>
                    <w:t>②</w:t>
                  </w:r>
                  <w:r>
                    <w:rPr>
                      <w:rFonts w:ascii="Times New Roman" w:hAnsi="Times New Roman" w:cs="Times New Roman"/>
                      <w:b w:val="0"/>
                      <w:bCs w:val="0"/>
                      <w:sz w:val="21"/>
                      <w:szCs w:val="21"/>
                    </w:rPr>
                    <w:t>按照国家相关产业政策，严禁淘汰和限制类工业企业入园。</w:t>
                  </w:r>
                  <w:r>
                    <w:rPr>
                      <w:rFonts w:hint="eastAsia"/>
                      <w:b w:val="0"/>
                      <w:bCs w:val="0"/>
                      <w:sz w:val="21"/>
                      <w:szCs w:val="21"/>
                    </w:rPr>
                    <w:t>③</w:t>
                  </w:r>
                  <w:r>
                    <w:rPr>
                      <w:rFonts w:ascii="Times New Roman" w:hAnsi="Times New Roman" w:cs="Times New Roman"/>
                      <w:b w:val="0"/>
                      <w:bCs w:val="0"/>
                      <w:sz w:val="21"/>
                      <w:szCs w:val="21"/>
                    </w:rPr>
                    <w:t>建议化工园区发展方向立足于河南心连心化肥有限公司退城入园项目和该公司自身产业链的发展项目，控制其用地（包括三类工业用地）和产业发展规模。</w:t>
                  </w:r>
                  <w:r>
                    <w:rPr>
                      <w:rFonts w:hint="eastAsia"/>
                      <w:b w:val="0"/>
                      <w:bCs w:val="0"/>
                      <w:sz w:val="21"/>
                      <w:szCs w:val="21"/>
                    </w:rPr>
                    <w:t>④</w:t>
                  </w:r>
                  <w:r>
                    <w:rPr>
                      <w:rFonts w:ascii="Times New Roman" w:hAnsi="Times New Roman" w:cs="Times New Roman"/>
                      <w:b w:val="0"/>
                      <w:bCs w:val="0"/>
                      <w:sz w:val="21"/>
                      <w:szCs w:val="21"/>
                    </w:rPr>
                    <w:t>建议化工园区重点发展以河南心连心化肥有限公司现有产品为原料的基础化工及下游产业链产品，延长煤化工产业链；同时，禁止新建或单纯扩大产能的以煤为原料的煤化工项目，升级改造项目、符合条件的退城入园项目入驻园区不得增加区域燃煤总量，且合成氨和甲醇产能应进行等量置换。建议化工园区合成氨和甲醇年总产能控制为200万吨。</w:t>
                  </w:r>
                  <w:r>
                    <w:rPr>
                      <w:rFonts w:hint="eastAsia"/>
                      <w:b w:val="0"/>
                      <w:bCs w:val="0"/>
                      <w:sz w:val="21"/>
                      <w:szCs w:val="21"/>
                    </w:rPr>
                    <w:t>⑤</w:t>
                  </w:r>
                  <w:r>
                    <w:rPr>
                      <w:rFonts w:ascii="Times New Roman" w:hAnsi="Times New Roman" w:cs="Times New Roman"/>
                      <w:b w:val="0"/>
                      <w:bCs w:val="0"/>
                      <w:sz w:val="21"/>
                      <w:szCs w:val="21"/>
                    </w:rPr>
                    <w:t>禁止建设或使用《产业结构调整指导目录（2011年本）（2013年修正）》明令淘汰的生产工艺或设备</w:t>
                  </w:r>
                </w:p>
              </w:tc>
              <w:tc>
                <w:tcPr>
                  <w:tcW w:w="2328" w:type="dxa"/>
                  <w:vAlign w:val="center"/>
                </w:tcPr>
                <w:p>
                  <w:pPr>
                    <w:ind w:firstLine="420" w:firstLineChars="200"/>
                    <w:rPr>
                      <w:kern w:val="0"/>
                      <w:szCs w:val="21"/>
                    </w:rPr>
                  </w:pPr>
                  <w:r>
                    <w:rPr>
                      <w:kern w:val="0"/>
                      <w:szCs w:val="21"/>
                    </w:rPr>
                    <w:fldChar w:fldCharType="begin"/>
                  </w:r>
                  <w:r>
                    <w:rPr>
                      <w:kern w:val="0"/>
                      <w:szCs w:val="21"/>
                    </w:rPr>
                    <w:instrText xml:space="preserve"> = 1 \* GB3 </w:instrText>
                  </w:r>
                  <w:r>
                    <w:rPr>
                      <w:kern w:val="0"/>
                      <w:szCs w:val="21"/>
                    </w:rPr>
                    <w:fldChar w:fldCharType="separate"/>
                  </w:r>
                  <w:r>
                    <w:rPr>
                      <w:rFonts w:hint="eastAsia" w:ascii="宋体" w:hAnsi="宋体" w:cs="宋体"/>
                      <w:kern w:val="0"/>
                      <w:szCs w:val="21"/>
                    </w:rPr>
                    <w:t>①</w:t>
                  </w:r>
                  <w:r>
                    <w:rPr>
                      <w:kern w:val="0"/>
                      <w:szCs w:val="21"/>
                    </w:rPr>
                    <w:fldChar w:fldCharType="end"/>
                  </w:r>
                  <w:r>
                    <w:rPr>
                      <w:kern w:val="0"/>
                      <w:szCs w:val="21"/>
                    </w:rPr>
                    <w:t>本项目位于河南省新乡经济开发区107国道与胡韦线交汇处A3地块，属于集聚区南区纸制品印刷包装产业园，占地性质属于工业用地，符合集聚区用地性质。</w:t>
                  </w:r>
                </w:p>
                <w:p>
                  <w:pPr>
                    <w:ind w:firstLine="420" w:firstLineChars="200"/>
                    <w:rPr>
                      <w:szCs w:val="21"/>
                    </w:rPr>
                  </w:pPr>
                  <w:r>
                    <w:rPr>
                      <w:kern w:val="0"/>
                      <w:szCs w:val="21"/>
                    </w:rPr>
                    <w:fldChar w:fldCharType="begin"/>
                  </w:r>
                  <w:r>
                    <w:rPr>
                      <w:kern w:val="0"/>
                      <w:szCs w:val="21"/>
                    </w:rPr>
                    <w:instrText xml:space="preserve"> = 3 \* GB3 </w:instrText>
                  </w:r>
                  <w:r>
                    <w:rPr>
                      <w:kern w:val="0"/>
                      <w:szCs w:val="21"/>
                    </w:rPr>
                    <w:fldChar w:fldCharType="separate"/>
                  </w:r>
                  <w:r>
                    <w:rPr>
                      <w:rFonts w:hint="eastAsia" w:ascii="宋体" w:hAnsi="宋体" w:cs="宋体"/>
                      <w:kern w:val="0"/>
                      <w:szCs w:val="21"/>
                    </w:rPr>
                    <w:t>③</w:t>
                  </w:r>
                  <w:r>
                    <w:rPr>
                      <w:kern w:val="0"/>
                      <w:szCs w:val="21"/>
                    </w:rPr>
                    <w:fldChar w:fldCharType="end"/>
                  </w:r>
                  <w:r>
                    <w:rPr>
                      <w:kern w:val="0"/>
                      <w:szCs w:val="21"/>
                    </w:rPr>
                    <w:t>本项目属于</w:t>
                  </w:r>
                  <w:r>
                    <w:rPr>
                      <w:szCs w:val="21"/>
                    </w:rPr>
                    <w:t>《产业结构调整指导目录（2019年本）》</w:t>
                  </w:r>
                  <w:r>
                    <w:rPr>
                      <w:rFonts w:hint="eastAsia"/>
                      <w:szCs w:val="21"/>
                    </w:rPr>
                    <w:t>及其修改文件</w:t>
                  </w:r>
                  <w:r>
                    <w:rPr>
                      <w:szCs w:val="21"/>
                    </w:rPr>
                    <w:t>中鼓励类项目，生产工艺和设备均不属于限制类、淘汰类。</w:t>
                  </w:r>
                </w:p>
              </w:tc>
              <w:tc>
                <w:tcPr>
                  <w:tcW w:w="666" w:type="dxa"/>
                  <w:vAlign w:val="center"/>
                </w:tcPr>
                <w:p>
                  <w:pPr>
                    <w:jc w:val="center"/>
                    <w:rPr>
                      <w:szCs w:val="21"/>
                    </w:rPr>
                  </w:pPr>
                  <w:r>
                    <w:rPr>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1" w:type="dxa"/>
                  <w:vAlign w:val="center"/>
                </w:tcPr>
                <w:p>
                  <w:pPr>
                    <w:jc w:val="center"/>
                    <w:rPr>
                      <w:szCs w:val="21"/>
                    </w:rPr>
                  </w:pPr>
                  <w:r>
                    <w:rPr>
                      <w:szCs w:val="21"/>
                    </w:rPr>
                    <w:t>生产规模和工艺装备水平</w:t>
                  </w:r>
                </w:p>
              </w:tc>
              <w:tc>
                <w:tcPr>
                  <w:tcW w:w="4115" w:type="dxa"/>
                  <w:gridSpan w:val="2"/>
                  <w:vAlign w:val="center"/>
                </w:tcPr>
                <w:p>
                  <w:pPr>
                    <w:rPr>
                      <w:szCs w:val="21"/>
                    </w:rPr>
                  </w:pPr>
                  <w:r>
                    <w:rPr>
                      <w:szCs w:val="21"/>
                    </w:rPr>
                    <w:t>（1）入区企业建设规模应符合国家相关行业准入条件中的经济、产品规模和生产工艺要求；（2）在生产工艺、技术水平、装备规格上，要求入区项目达到国内行业领先水平、或具备国际先进水平</w:t>
                  </w:r>
                </w:p>
              </w:tc>
              <w:tc>
                <w:tcPr>
                  <w:tcW w:w="2328" w:type="dxa"/>
                  <w:vAlign w:val="center"/>
                </w:tcPr>
                <w:p>
                  <w:pPr>
                    <w:rPr>
                      <w:szCs w:val="21"/>
                    </w:rPr>
                  </w:pPr>
                  <w:r>
                    <w:rPr>
                      <w:szCs w:val="21"/>
                    </w:rPr>
                    <w:t>本项目属于</w:t>
                  </w:r>
                  <w:r>
                    <w:rPr>
                      <w:rFonts w:hint="eastAsia"/>
                      <w:szCs w:val="21"/>
                    </w:rPr>
                    <w:t>检测服务业</w:t>
                  </w:r>
                  <w:r>
                    <w:rPr>
                      <w:szCs w:val="21"/>
                    </w:rPr>
                    <w:t>，检测实验室按照国内行业领先水平进行建设。</w:t>
                  </w:r>
                </w:p>
              </w:tc>
              <w:tc>
                <w:tcPr>
                  <w:tcW w:w="666" w:type="dxa"/>
                  <w:vAlign w:val="center"/>
                </w:tcPr>
                <w:p>
                  <w:pPr>
                    <w:jc w:val="center"/>
                    <w:rPr>
                      <w:szCs w:val="21"/>
                    </w:rPr>
                  </w:pPr>
                  <w:r>
                    <w:rPr>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1" w:type="dxa"/>
                  <w:vAlign w:val="center"/>
                </w:tcPr>
                <w:p>
                  <w:pPr>
                    <w:jc w:val="center"/>
                    <w:rPr>
                      <w:szCs w:val="21"/>
                    </w:rPr>
                  </w:pPr>
                  <w:r>
                    <w:rPr>
                      <w:szCs w:val="21"/>
                    </w:rPr>
                    <w:t>清洁生产水平</w:t>
                  </w:r>
                </w:p>
              </w:tc>
              <w:tc>
                <w:tcPr>
                  <w:tcW w:w="4115" w:type="dxa"/>
                  <w:gridSpan w:val="2"/>
                  <w:vAlign w:val="center"/>
                </w:tcPr>
                <w:p>
                  <w:pPr>
                    <w:rPr>
                      <w:szCs w:val="21"/>
                    </w:rPr>
                  </w:pPr>
                  <w:r>
                    <w:rPr>
                      <w:szCs w:val="21"/>
                    </w:rPr>
                    <w:t>（1）应选择使用原料和产品为环境友好型的项目，避免集聚区大规模建设造成的不良辐射效应，诱使国家明令禁止项目在集聚区周边出现；（2）入区项目在单位产品水耗、能耗、污染物排放量等清洁生产指标应达到国内同类行业先进水平；（3）按照循环经济发展之路，评价建议能够与集聚区定位发展产业形成良好循环经济链条的项目可优先入园。</w:t>
                  </w:r>
                </w:p>
              </w:tc>
              <w:tc>
                <w:tcPr>
                  <w:tcW w:w="2328" w:type="dxa"/>
                  <w:vAlign w:val="center"/>
                </w:tcPr>
                <w:p>
                  <w:pPr>
                    <w:rPr>
                      <w:szCs w:val="21"/>
                    </w:rPr>
                  </w:pPr>
                  <w:r>
                    <w:rPr>
                      <w:szCs w:val="21"/>
                    </w:rPr>
                    <w:t>本项目为</w:t>
                  </w:r>
                  <w:r>
                    <w:rPr>
                      <w:rFonts w:hint="eastAsia"/>
                      <w:szCs w:val="21"/>
                    </w:rPr>
                    <w:t>检测服务业</w:t>
                  </w:r>
                  <w:r>
                    <w:rPr>
                      <w:szCs w:val="21"/>
                    </w:rPr>
                    <w:t>，项目建成后将服务园区企业。</w:t>
                  </w:r>
                </w:p>
              </w:tc>
              <w:tc>
                <w:tcPr>
                  <w:tcW w:w="666" w:type="dxa"/>
                  <w:vAlign w:val="center"/>
                </w:tcPr>
                <w:p>
                  <w:pPr>
                    <w:jc w:val="center"/>
                    <w:rPr>
                      <w:szCs w:val="21"/>
                    </w:rPr>
                  </w:pPr>
                  <w:r>
                    <w:rPr>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1" w:type="dxa"/>
                  <w:vAlign w:val="center"/>
                </w:tcPr>
                <w:p>
                  <w:pPr>
                    <w:jc w:val="center"/>
                    <w:rPr>
                      <w:szCs w:val="21"/>
                    </w:rPr>
                  </w:pPr>
                  <w:r>
                    <w:rPr>
                      <w:szCs w:val="21"/>
                    </w:rPr>
                    <w:t>污染物排放总量控制</w:t>
                  </w:r>
                </w:p>
              </w:tc>
              <w:tc>
                <w:tcPr>
                  <w:tcW w:w="4115" w:type="dxa"/>
                  <w:gridSpan w:val="2"/>
                  <w:vAlign w:val="center"/>
                </w:tcPr>
                <w:p>
                  <w:pPr>
                    <w:rPr>
                      <w:szCs w:val="21"/>
                    </w:rPr>
                  </w:pPr>
                  <w:r>
                    <w:rPr>
                      <w:szCs w:val="21"/>
                    </w:rPr>
                    <w:t>（1）新建项目的污染物排放指标必须满足区域总量要求；（2）禁止发展环境污染严重、无污染治理技术或治理技术在技术经济上不可行的项目；（3）新建项目的大气污染物处理达到相关行业标准或大气污染物综合排放标准后方可排放，水污染物排放应达到相关行业标准或水污染物综合排放标准后才能进入集聚区污水处理厂</w:t>
                  </w:r>
                </w:p>
              </w:tc>
              <w:tc>
                <w:tcPr>
                  <w:tcW w:w="2328" w:type="dxa"/>
                  <w:vAlign w:val="center"/>
                </w:tcPr>
                <w:p>
                  <w:pPr>
                    <w:rPr>
                      <w:szCs w:val="21"/>
                    </w:rPr>
                  </w:pPr>
                  <w:r>
                    <w:rPr>
                      <w:szCs w:val="21"/>
                    </w:rPr>
                    <w:t>（1）本项目为新建项目，</w:t>
                  </w:r>
                  <w:r>
                    <w:rPr>
                      <w:rFonts w:hint="eastAsia"/>
                      <w:szCs w:val="21"/>
                    </w:rPr>
                    <w:t>各项</w:t>
                  </w:r>
                  <w:r>
                    <w:rPr>
                      <w:szCs w:val="21"/>
                    </w:rPr>
                    <w:t>污染物排放指标</w:t>
                  </w:r>
                  <w:r>
                    <w:rPr>
                      <w:rFonts w:hint="eastAsia"/>
                      <w:szCs w:val="21"/>
                    </w:rPr>
                    <w:t>，</w:t>
                  </w:r>
                  <w:r>
                    <w:rPr>
                      <w:szCs w:val="21"/>
                    </w:rPr>
                    <w:t>实行区域替代消减</w:t>
                  </w:r>
                  <w:r>
                    <w:rPr>
                      <w:rFonts w:hint="eastAsia"/>
                      <w:szCs w:val="21"/>
                    </w:rPr>
                    <w:t>均</w:t>
                  </w:r>
                  <w:r>
                    <w:rPr>
                      <w:szCs w:val="21"/>
                    </w:rPr>
                    <w:t>可以满足区域总量要求。</w:t>
                  </w:r>
                </w:p>
                <w:p>
                  <w:pPr>
                    <w:rPr>
                      <w:szCs w:val="21"/>
                    </w:rPr>
                  </w:pPr>
                  <w:r>
                    <w:rPr>
                      <w:szCs w:val="21"/>
                    </w:rPr>
                    <w:t>（2）本项目</w:t>
                  </w:r>
                  <w:r>
                    <w:rPr>
                      <w:rFonts w:hint="eastAsia"/>
                      <w:szCs w:val="21"/>
                    </w:rPr>
                    <w:t>为新建</w:t>
                  </w:r>
                  <w:r>
                    <w:rPr>
                      <w:szCs w:val="21"/>
                    </w:rPr>
                    <w:t>项目，实验室废气</w:t>
                  </w:r>
                  <w:r>
                    <w:rPr>
                      <w:rFonts w:hint="eastAsia"/>
                      <w:szCs w:val="21"/>
                    </w:rPr>
                    <w:t>经</w:t>
                  </w:r>
                  <w:r>
                    <w:rPr>
                      <w:szCs w:val="21"/>
                    </w:rPr>
                    <w:t>收集后引至</w:t>
                  </w:r>
                  <w:r>
                    <w:rPr>
                      <w:rFonts w:hint="eastAsia"/>
                      <w:szCs w:val="21"/>
                    </w:rPr>
                    <w:t>“水喷淋塔+除雾器+UV光催化氧化+活性炭吸附”</w:t>
                  </w:r>
                  <w:r>
                    <w:rPr>
                      <w:szCs w:val="21"/>
                    </w:rPr>
                    <w:t>处理、</w:t>
                  </w:r>
                  <w:r>
                    <w:rPr>
                      <w:rFonts w:hint="eastAsia"/>
                      <w:szCs w:val="21"/>
                    </w:rPr>
                    <w:t>实验室</w:t>
                  </w:r>
                  <w:r>
                    <w:rPr>
                      <w:szCs w:val="21"/>
                    </w:rPr>
                    <w:t>废水经一体化污水处理设施处理</w:t>
                  </w:r>
                  <w:r>
                    <w:rPr>
                      <w:rFonts w:hint="eastAsia"/>
                      <w:szCs w:val="21"/>
                    </w:rPr>
                    <w:t>、生活污水经化粪池处理。</w:t>
                  </w:r>
                </w:p>
                <w:p>
                  <w:pPr>
                    <w:rPr>
                      <w:szCs w:val="21"/>
                    </w:rPr>
                  </w:pPr>
                  <w:r>
                    <w:rPr>
                      <w:szCs w:val="21"/>
                    </w:rPr>
                    <w:t>（3）实验室废气经处理后能够满足《大气污染物综合排放标准》（GB16297-1996）表2二级、《恶臭污染物排放标准（GB14554-93）等相关标准限制要求，</w:t>
                  </w:r>
                  <w:r>
                    <w:rPr>
                      <w:rFonts w:hint="eastAsia"/>
                      <w:szCs w:val="21"/>
                    </w:rPr>
                    <w:t>实验室</w:t>
                  </w:r>
                  <w:r>
                    <w:rPr>
                      <w:szCs w:val="21"/>
                    </w:rPr>
                    <w:t>废水经</w:t>
                  </w:r>
                  <w:r>
                    <w:rPr>
                      <w:rFonts w:hint="eastAsia"/>
                      <w:szCs w:val="21"/>
                    </w:rPr>
                    <w:t>一体化污水处理设施</w:t>
                  </w:r>
                  <w:r>
                    <w:rPr>
                      <w:szCs w:val="21"/>
                    </w:rPr>
                    <w:t>处理后能够满足新乡县综合污水处理厂收水标准。</w:t>
                  </w:r>
                </w:p>
              </w:tc>
              <w:tc>
                <w:tcPr>
                  <w:tcW w:w="666" w:type="dxa"/>
                  <w:vAlign w:val="center"/>
                </w:tcPr>
                <w:p>
                  <w:pPr>
                    <w:jc w:val="center"/>
                    <w:rPr>
                      <w:szCs w:val="21"/>
                    </w:rPr>
                  </w:pPr>
                  <w:r>
                    <w:rPr>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1" w:type="dxa"/>
                  <w:vAlign w:val="center"/>
                </w:tcPr>
                <w:p>
                  <w:pPr>
                    <w:jc w:val="center"/>
                    <w:rPr>
                      <w:szCs w:val="21"/>
                    </w:rPr>
                  </w:pPr>
                  <w:r>
                    <w:rPr>
                      <w:szCs w:val="21"/>
                    </w:rPr>
                    <w:t>土地利用</w:t>
                  </w:r>
                </w:p>
              </w:tc>
              <w:tc>
                <w:tcPr>
                  <w:tcW w:w="4115" w:type="dxa"/>
                  <w:gridSpan w:val="2"/>
                  <w:vAlign w:val="center"/>
                </w:tcPr>
                <w:p>
                  <w:pPr>
                    <w:rPr>
                      <w:szCs w:val="21"/>
                    </w:rPr>
                  </w:pPr>
                  <w:r>
                    <w:rPr>
                      <w:szCs w:val="21"/>
                    </w:rPr>
                    <w:t>（1）入园项目必须达到《河南省工业项目建设用地控制指标》要求；（2）入园项目用地必须符合集聚区土地利用规划要求。（3）入园项目必须符合园区产业布局要求。</w:t>
                  </w:r>
                </w:p>
              </w:tc>
              <w:tc>
                <w:tcPr>
                  <w:tcW w:w="2328" w:type="dxa"/>
                  <w:vAlign w:val="center"/>
                </w:tcPr>
                <w:p>
                  <w:pPr>
                    <w:rPr>
                      <w:szCs w:val="21"/>
                    </w:rPr>
                  </w:pPr>
                  <w:r>
                    <w:rPr>
                      <w:szCs w:val="21"/>
                    </w:rPr>
                    <w:t>本项目为</w:t>
                  </w:r>
                  <w:r>
                    <w:rPr>
                      <w:rFonts w:hint="eastAsia"/>
                      <w:szCs w:val="21"/>
                    </w:rPr>
                    <w:t>检测服务业</w:t>
                  </w:r>
                  <w:r>
                    <w:rPr>
                      <w:szCs w:val="21"/>
                    </w:rPr>
                    <w:t>，位于集聚区南区纸制品印刷包装产业园，占地性质属于工业用地，符合集聚区土地利用规划要求，符合园区产业布局。</w:t>
                  </w:r>
                </w:p>
              </w:tc>
              <w:tc>
                <w:tcPr>
                  <w:tcW w:w="666" w:type="dxa"/>
                  <w:vAlign w:val="center"/>
                </w:tcPr>
                <w:p>
                  <w:pPr>
                    <w:jc w:val="center"/>
                    <w:rPr>
                      <w:szCs w:val="21"/>
                    </w:rPr>
                  </w:pPr>
                  <w:r>
                    <w:rPr>
                      <w:szCs w:val="21"/>
                    </w:rPr>
                    <w:t>符合</w:t>
                  </w:r>
                </w:p>
              </w:tc>
            </w:tr>
          </w:tbl>
          <w:p>
            <w:pPr>
              <w:autoSpaceDE w:val="0"/>
              <w:autoSpaceDN w:val="0"/>
              <w:adjustRightInd w:val="0"/>
              <w:snapToGrid w:val="0"/>
              <w:spacing w:line="460" w:lineRule="exact"/>
              <w:ind w:firstLine="480" w:firstLineChars="200"/>
              <w:rPr>
                <w:sz w:val="24"/>
              </w:rPr>
            </w:pPr>
            <w:r>
              <w:rPr>
                <w:sz w:val="24"/>
              </w:rPr>
              <w:t>由上表可知，本项目符合</w:t>
            </w:r>
            <w:r>
              <w:rPr>
                <w:kern w:val="0"/>
                <w:sz w:val="24"/>
              </w:rPr>
              <w:t>新乡经济技术产业集聚区调整后</w:t>
            </w:r>
            <w:r>
              <w:rPr>
                <w:sz w:val="24"/>
              </w:rPr>
              <w:t>产业规划要求，能够满足准入条件。</w:t>
            </w:r>
          </w:p>
          <w:p>
            <w:pPr>
              <w:adjustRightInd w:val="0"/>
              <w:snapToGrid w:val="0"/>
              <w:spacing w:line="480" w:lineRule="exact"/>
              <w:ind w:firstLine="480" w:firstLineChars="200"/>
              <w:rPr>
                <w:sz w:val="24"/>
              </w:rPr>
            </w:pPr>
            <w:r>
              <w:rPr>
                <w:sz w:val="24"/>
              </w:rPr>
              <w:t>（2）、本项目与新乡经济技术产业集聚区调整后产业发展负面清单相符性分析</w:t>
            </w:r>
          </w:p>
          <w:p>
            <w:pPr>
              <w:snapToGrid w:val="0"/>
              <w:spacing w:line="460" w:lineRule="exact"/>
              <w:ind w:firstLine="480" w:firstLineChars="200"/>
              <w:rPr>
                <w:b/>
                <w:sz w:val="24"/>
              </w:rPr>
            </w:pPr>
            <w:r>
              <w:rPr>
                <w:sz w:val="24"/>
              </w:rPr>
              <w:t>本项目位于河南省新乡经济开发区107国道与胡韦线交汇处A3地块，属于新乡经济技术产业集聚区南区纸制品印刷包装产业园，本项目与新乡经济技术产业集聚区调整后产业发展负面清单相符性对比分析如下：</w:t>
            </w:r>
          </w:p>
          <w:p>
            <w:pPr>
              <w:spacing w:line="460" w:lineRule="exact"/>
              <w:ind w:firstLine="480" w:firstLineChars="200"/>
              <w:rPr>
                <w:rFonts w:eastAsia="黑体"/>
                <w:sz w:val="24"/>
                <w:lang w:val="pt-BR"/>
              </w:rPr>
            </w:pPr>
            <w:r>
              <w:rPr>
                <w:rFonts w:eastAsia="黑体"/>
                <w:sz w:val="24"/>
                <w:lang w:val="pt-BR"/>
              </w:rPr>
              <w:t>表4     与集聚区调整后产业发展负面清单相符性分析一览表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32"/>
              <w:gridCol w:w="581"/>
              <w:gridCol w:w="4394"/>
              <w:gridCol w:w="1327"/>
              <w:gridCol w:w="49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707" w:type="dxa"/>
                  <w:gridSpan w:val="3"/>
                  <w:tcBorders>
                    <w:top w:val="single" w:color="auto" w:sz="8" w:space="0"/>
                    <w:left w:val="nil"/>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b/>
                      <w:bCs/>
                      <w:kern w:val="0"/>
                      <w:szCs w:val="21"/>
                    </w:rPr>
                  </w:pPr>
                  <w:r>
                    <w:rPr>
                      <w:b/>
                      <w:bCs/>
                      <w:kern w:val="0"/>
                      <w:szCs w:val="21"/>
                    </w:rPr>
                    <w:t>调整后集聚区产业发展负面清单内容</w:t>
                  </w:r>
                </w:p>
              </w:tc>
              <w:tc>
                <w:tcPr>
                  <w:tcW w:w="1327" w:type="dxa"/>
                  <w:vMerge w:val="restart"/>
                  <w:tcBorders>
                    <w:top w:val="single" w:color="auto" w:sz="8" w:space="0"/>
                    <w:left w:val="single" w:color="auto" w:sz="4" w:space="0"/>
                    <w:right w:val="single" w:color="auto" w:sz="4" w:space="0"/>
                  </w:tcBorders>
                  <w:tcMar>
                    <w:top w:w="0" w:type="dxa"/>
                    <w:left w:w="28" w:type="dxa"/>
                    <w:bottom w:w="0" w:type="dxa"/>
                    <w:right w:w="28" w:type="dxa"/>
                  </w:tcMar>
                  <w:vAlign w:val="center"/>
                </w:tcPr>
                <w:p>
                  <w:pPr>
                    <w:adjustRightInd w:val="0"/>
                    <w:snapToGrid w:val="0"/>
                    <w:jc w:val="center"/>
                    <w:rPr>
                      <w:b/>
                      <w:bCs/>
                      <w:kern w:val="0"/>
                    </w:rPr>
                  </w:pPr>
                  <w:r>
                    <w:rPr>
                      <w:b/>
                      <w:bCs/>
                      <w:kern w:val="0"/>
                    </w:rPr>
                    <w:t>本项目情况</w:t>
                  </w:r>
                </w:p>
              </w:tc>
              <w:tc>
                <w:tcPr>
                  <w:tcW w:w="496" w:type="dxa"/>
                  <w:vMerge w:val="restart"/>
                  <w:tcBorders>
                    <w:top w:val="single" w:color="auto" w:sz="8" w:space="0"/>
                    <w:left w:val="single" w:color="auto" w:sz="4" w:space="0"/>
                    <w:right w:val="nil"/>
                  </w:tcBorders>
                  <w:tcMar>
                    <w:top w:w="0" w:type="dxa"/>
                    <w:left w:w="28" w:type="dxa"/>
                    <w:bottom w:w="0" w:type="dxa"/>
                    <w:right w:w="28" w:type="dxa"/>
                  </w:tcMar>
                  <w:vAlign w:val="center"/>
                </w:tcPr>
                <w:p>
                  <w:pPr>
                    <w:adjustRightInd w:val="0"/>
                    <w:snapToGrid w:val="0"/>
                    <w:jc w:val="center"/>
                    <w:rPr>
                      <w:b/>
                      <w:bCs/>
                      <w:kern w:val="0"/>
                    </w:rPr>
                  </w:pPr>
                  <w:r>
                    <w:rPr>
                      <w:b/>
                      <w:bCs/>
                      <w:kern w:val="0"/>
                    </w:rPr>
                    <w:t>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2" w:type="dxa"/>
                  <w:tcBorders>
                    <w:top w:val="single" w:color="auto" w:sz="8" w:space="0"/>
                    <w:left w:val="nil"/>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b/>
                      <w:bCs/>
                      <w:kern w:val="0"/>
                    </w:rPr>
                  </w:pPr>
                  <w:r>
                    <w:rPr>
                      <w:b/>
                      <w:bCs/>
                      <w:kern w:val="0"/>
                    </w:rPr>
                    <w:t>要求</w:t>
                  </w:r>
                </w:p>
              </w:tc>
              <w:tc>
                <w:tcPr>
                  <w:tcW w:w="581" w:type="dxa"/>
                  <w:tcBorders>
                    <w:top w:val="single" w:color="auto" w:sz="8" w:space="0"/>
                    <w:left w:val="nil"/>
                    <w:bottom w:val="single" w:color="auto" w:sz="4" w:space="0"/>
                    <w:right w:val="single" w:color="auto" w:sz="4" w:space="0"/>
                  </w:tcBorders>
                  <w:vAlign w:val="center"/>
                </w:tcPr>
                <w:p>
                  <w:pPr>
                    <w:adjustRightInd w:val="0"/>
                    <w:snapToGrid w:val="0"/>
                    <w:jc w:val="center"/>
                    <w:rPr>
                      <w:b/>
                      <w:bCs/>
                      <w:kern w:val="0"/>
                    </w:rPr>
                  </w:pPr>
                  <w:r>
                    <w:rPr>
                      <w:b/>
                      <w:bCs/>
                      <w:kern w:val="0"/>
                    </w:rPr>
                    <w:t>行业</w:t>
                  </w:r>
                </w:p>
              </w:tc>
              <w:tc>
                <w:tcPr>
                  <w:tcW w:w="4394" w:type="dxa"/>
                  <w:tcBorders>
                    <w:top w:val="single" w:color="auto" w:sz="8" w:space="0"/>
                    <w:left w:val="nil"/>
                    <w:bottom w:val="single" w:color="auto" w:sz="4" w:space="0"/>
                    <w:right w:val="single" w:color="auto" w:sz="4" w:space="0"/>
                  </w:tcBorders>
                  <w:vAlign w:val="center"/>
                </w:tcPr>
                <w:p>
                  <w:pPr>
                    <w:adjustRightInd w:val="0"/>
                    <w:snapToGrid w:val="0"/>
                    <w:jc w:val="center"/>
                    <w:rPr>
                      <w:b/>
                      <w:bCs/>
                      <w:kern w:val="0"/>
                    </w:rPr>
                  </w:pPr>
                  <w:r>
                    <w:rPr>
                      <w:b/>
                      <w:bCs/>
                      <w:kern w:val="0"/>
                    </w:rPr>
                    <w:t>调整后集聚区禁止和限制发展内容</w:t>
                  </w:r>
                </w:p>
              </w:tc>
              <w:tc>
                <w:tcPr>
                  <w:tcW w:w="1327" w:type="dxa"/>
                  <w:vMerge w:val="continue"/>
                  <w:tcBorders>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b/>
                      <w:bCs/>
                      <w:kern w:val="0"/>
                    </w:rPr>
                  </w:pPr>
                </w:p>
              </w:tc>
              <w:tc>
                <w:tcPr>
                  <w:tcW w:w="496" w:type="dxa"/>
                  <w:vMerge w:val="continue"/>
                  <w:tcBorders>
                    <w:left w:val="single" w:color="auto" w:sz="4" w:space="0"/>
                    <w:bottom w:val="single" w:color="auto" w:sz="4" w:space="0"/>
                    <w:right w:val="nil"/>
                  </w:tcBorders>
                  <w:tcMar>
                    <w:top w:w="0" w:type="dxa"/>
                    <w:left w:w="28" w:type="dxa"/>
                    <w:bottom w:w="0" w:type="dxa"/>
                    <w:right w:w="28" w:type="dxa"/>
                  </w:tcMar>
                  <w:vAlign w:val="center"/>
                </w:tcPr>
                <w:p>
                  <w:pPr>
                    <w:adjustRightInd w:val="0"/>
                    <w:snapToGrid w:val="0"/>
                    <w:jc w:val="center"/>
                    <w:rPr>
                      <w:b/>
                      <w:bCs/>
                      <w:kern w:val="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2" w:type="dxa"/>
                  <w:vMerge w:val="restart"/>
                  <w:tcBorders>
                    <w:top w:val="single" w:color="auto" w:sz="4" w:space="0"/>
                    <w:left w:val="nil"/>
                    <w:right w:val="single" w:color="auto" w:sz="4" w:space="0"/>
                  </w:tcBorders>
                  <w:tcMar>
                    <w:top w:w="0" w:type="dxa"/>
                    <w:left w:w="28" w:type="dxa"/>
                    <w:bottom w:w="0" w:type="dxa"/>
                    <w:right w:w="28" w:type="dxa"/>
                  </w:tcMar>
                  <w:vAlign w:val="center"/>
                </w:tcPr>
                <w:p>
                  <w:pPr>
                    <w:pStyle w:val="64"/>
                    <w:ind w:left="0"/>
                    <w:jc w:val="both"/>
                    <w:rPr>
                      <w:rFonts w:ascii="Times New Roman" w:hAnsi="Times New Roman" w:cs="Times New Roman"/>
                      <w:b w:val="0"/>
                      <w:bCs w:val="0"/>
                      <w:sz w:val="21"/>
                      <w:szCs w:val="21"/>
                    </w:rPr>
                  </w:pPr>
                  <w:r>
                    <w:rPr>
                      <w:rFonts w:ascii="Times New Roman" w:hAnsi="Times New Roman" w:cs="Times New Roman"/>
                      <w:b w:val="0"/>
                      <w:bCs w:val="0"/>
                      <w:sz w:val="21"/>
                      <w:szCs w:val="21"/>
                    </w:rPr>
                    <w:t>不符合国家政策，属于淘汰和产品，能耗大、污染物产生量大，产业规模达不到要求及国家限制发展行业</w:t>
                  </w:r>
                </w:p>
              </w:tc>
              <w:tc>
                <w:tcPr>
                  <w:tcW w:w="58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64"/>
                    <w:ind w:left="0"/>
                    <w:jc w:val="center"/>
                    <w:rPr>
                      <w:rFonts w:ascii="Times New Roman" w:hAnsi="Times New Roman" w:cs="Times New Roman"/>
                      <w:b w:val="0"/>
                      <w:bCs w:val="0"/>
                      <w:sz w:val="21"/>
                      <w:szCs w:val="21"/>
                    </w:rPr>
                  </w:pPr>
                  <w:r>
                    <w:rPr>
                      <w:rFonts w:ascii="Times New Roman" w:hAnsi="Times New Roman" w:cs="Times New Roman"/>
                      <w:b w:val="0"/>
                      <w:bCs w:val="0"/>
                      <w:sz w:val="21"/>
                      <w:szCs w:val="21"/>
                    </w:rPr>
                    <w:t>化工</w:t>
                  </w:r>
                </w:p>
              </w:tc>
              <w:tc>
                <w:tcPr>
                  <w:tcW w:w="4394" w:type="dxa"/>
                  <w:tcBorders>
                    <w:top w:val="single" w:color="auto" w:sz="4" w:space="0"/>
                    <w:left w:val="single" w:color="auto" w:sz="4" w:space="0"/>
                    <w:bottom w:val="single" w:color="auto" w:sz="4" w:space="0"/>
                    <w:right w:val="single" w:color="auto" w:sz="4" w:space="0"/>
                  </w:tcBorders>
                  <w:vAlign w:val="center"/>
                </w:tcPr>
                <w:p>
                  <w:pPr>
                    <w:pStyle w:val="64"/>
                    <w:spacing w:line="260" w:lineRule="exact"/>
                    <w:ind w:left="0"/>
                    <w:jc w:val="both"/>
                    <w:rPr>
                      <w:rFonts w:ascii="Times New Roman" w:hAnsi="Times New Roman" w:cs="Times New Roman"/>
                      <w:b w:val="0"/>
                      <w:bCs w:val="0"/>
                      <w:sz w:val="21"/>
                      <w:szCs w:val="21"/>
                    </w:rPr>
                  </w:pPr>
                  <w:r>
                    <w:rPr>
                      <w:rFonts w:ascii="Times New Roman" w:hAnsi="Times New Roman" w:cs="Times New Roman"/>
                      <w:b w:val="0"/>
                      <w:bCs w:val="0"/>
                      <w:sz w:val="21"/>
                      <w:szCs w:val="21"/>
                    </w:rPr>
                    <w:t>禁止新建或单纯扩大产能的以煤为原料的煤化工项目；同时升级改造项目、符合条件的退城入园项目，入驻园区不得增加区域燃煤总量，且合成氨和甲醇产能应进行等量置换，不得新增河南省区域合成氨和甲醇产能，建议化工园区合成氨和甲醇年总产能控制为200万吨；禁止新建或扩建以天然气为原料生产甲醇及甲醇生产下游产品；禁止以天然气代煤制甲醇项目；禁止焦化行业炼焦和煤焦油加工项目入驻；限制新建、扩建以天然气为原料的合成氨项目；其它行业政策禁止或限制发展的化工项目。</w:t>
                  </w:r>
                </w:p>
              </w:tc>
              <w:tc>
                <w:tcPr>
                  <w:tcW w:w="1327" w:type="dxa"/>
                  <w:vMerge w:val="restart"/>
                  <w:tcBorders>
                    <w:top w:val="single" w:color="auto" w:sz="4" w:space="0"/>
                    <w:left w:val="single" w:color="auto" w:sz="4" w:space="0"/>
                    <w:right w:val="single" w:color="auto" w:sz="4" w:space="0"/>
                  </w:tcBorders>
                  <w:tcMar>
                    <w:top w:w="0" w:type="dxa"/>
                    <w:left w:w="28" w:type="dxa"/>
                    <w:bottom w:w="0" w:type="dxa"/>
                    <w:right w:w="28" w:type="dxa"/>
                  </w:tcMar>
                  <w:vAlign w:val="center"/>
                </w:tcPr>
                <w:p>
                  <w:pPr>
                    <w:ind w:firstLine="420" w:firstLineChars="200"/>
                    <w:rPr>
                      <w:szCs w:val="21"/>
                    </w:rPr>
                  </w:pPr>
                  <w:r>
                    <w:rPr>
                      <w:szCs w:val="21"/>
                    </w:rPr>
                    <w:t>本项目为</w:t>
                  </w:r>
                  <w:r>
                    <w:rPr>
                      <w:rFonts w:hint="eastAsia"/>
                      <w:szCs w:val="21"/>
                    </w:rPr>
                    <w:t>检测服务业</w:t>
                  </w:r>
                  <w:r>
                    <w:rPr>
                      <w:szCs w:val="21"/>
                    </w:rPr>
                    <w:t>，位于集聚区南区纸制品印刷包装产业园</w:t>
                  </w:r>
                  <w:r>
                    <w:rPr>
                      <w:rFonts w:hint="eastAsia"/>
                      <w:szCs w:val="21"/>
                    </w:rPr>
                    <w:t>片区。</w:t>
                  </w:r>
                </w:p>
                <w:p>
                  <w:pPr>
                    <w:ind w:firstLine="420" w:firstLineChars="200"/>
                  </w:pPr>
                  <w:r>
                    <w:rPr>
                      <w:rFonts w:hint="eastAsia"/>
                      <w:szCs w:val="21"/>
                    </w:rPr>
                    <w:t>本项目属于新建项目，与主导产业不冲突，不属于负面清单中禁止、限制类项目，</w:t>
                  </w:r>
                  <w:r>
                    <w:rPr>
                      <w:szCs w:val="21"/>
                    </w:rPr>
                    <w:t>不属于污染较重项目。符合园区产业定位</w:t>
                  </w:r>
                  <w:r>
                    <w:rPr>
                      <w:rFonts w:hint="eastAsia"/>
                      <w:szCs w:val="21"/>
                    </w:rPr>
                    <w:t>，符合入驻条件。</w:t>
                  </w:r>
                </w:p>
              </w:tc>
              <w:tc>
                <w:tcPr>
                  <w:tcW w:w="496"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snapToGrid w:val="0"/>
                    <w:jc w:val="center"/>
                  </w:pPr>
                  <w:r>
                    <w:rPr>
                      <w:kern w:val="0"/>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2" w:type="dxa"/>
                  <w:vMerge w:val="continue"/>
                  <w:tcBorders>
                    <w:left w:val="nil"/>
                    <w:right w:val="single" w:color="auto" w:sz="4" w:space="0"/>
                  </w:tcBorders>
                  <w:tcMar>
                    <w:top w:w="0" w:type="dxa"/>
                    <w:left w:w="28" w:type="dxa"/>
                    <w:bottom w:w="0" w:type="dxa"/>
                    <w:right w:w="28" w:type="dxa"/>
                  </w:tcMar>
                  <w:vAlign w:val="center"/>
                </w:tcPr>
                <w:p>
                  <w:pPr>
                    <w:adjustRightInd w:val="0"/>
                    <w:snapToGrid w:val="0"/>
                    <w:jc w:val="center"/>
                  </w:pPr>
                </w:p>
              </w:tc>
              <w:tc>
                <w:tcPr>
                  <w:tcW w:w="58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64"/>
                    <w:ind w:left="0"/>
                    <w:jc w:val="center"/>
                    <w:rPr>
                      <w:rFonts w:ascii="Times New Roman" w:hAnsi="Times New Roman" w:cs="Times New Roman"/>
                      <w:b w:val="0"/>
                      <w:bCs w:val="0"/>
                      <w:sz w:val="21"/>
                      <w:szCs w:val="21"/>
                    </w:rPr>
                  </w:pPr>
                  <w:r>
                    <w:rPr>
                      <w:rFonts w:ascii="Times New Roman" w:hAnsi="Times New Roman" w:cs="Times New Roman"/>
                      <w:b w:val="0"/>
                      <w:bCs w:val="0"/>
                      <w:sz w:val="21"/>
                      <w:szCs w:val="21"/>
                    </w:rPr>
                    <w:t>医药</w:t>
                  </w:r>
                </w:p>
              </w:tc>
              <w:tc>
                <w:tcPr>
                  <w:tcW w:w="4394" w:type="dxa"/>
                  <w:tcBorders>
                    <w:top w:val="single" w:color="auto" w:sz="4" w:space="0"/>
                    <w:left w:val="single" w:color="auto" w:sz="4" w:space="0"/>
                    <w:bottom w:val="single" w:color="auto" w:sz="4" w:space="0"/>
                    <w:right w:val="single" w:color="auto" w:sz="4" w:space="0"/>
                  </w:tcBorders>
                  <w:vAlign w:val="center"/>
                </w:tcPr>
                <w:p>
                  <w:pPr>
                    <w:rPr>
                      <w:kern w:val="0"/>
                      <w:szCs w:val="21"/>
                    </w:rPr>
                  </w:pPr>
                  <w:r>
                    <w:rPr>
                      <w:kern w:val="0"/>
                      <w:szCs w:val="21"/>
                    </w:rPr>
                    <w:t>禁止发展化学合成制药企业（单纯分装、复配除外）；禁止新建、单纯扩建生物发酵制药项目（单纯分装、复配以及现有企业升级改造项目除外）；禁止农药类项目。</w:t>
                  </w:r>
                </w:p>
              </w:tc>
              <w:tc>
                <w:tcPr>
                  <w:tcW w:w="1327" w:type="dxa"/>
                  <w:vMerge w:val="continue"/>
                  <w:tcBorders>
                    <w:left w:val="single" w:color="auto" w:sz="4" w:space="0"/>
                    <w:right w:val="single" w:color="auto" w:sz="4" w:space="0"/>
                  </w:tcBorders>
                  <w:tcMar>
                    <w:top w:w="0" w:type="dxa"/>
                    <w:left w:w="28" w:type="dxa"/>
                    <w:bottom w:w="0" w:type="dxa"/>
                    <w:right w:w="28" w:type="dxa"/>
                  </w:tcMar>
                  <w:vAlign w:val="center"/>
                </w:tcPr>
                <w:p>
                  <w:pPr>
                    <w:spacing w:line="260" w:lineRule="exact"/>
                    <w:ind w:firstLine="420" w:firstLineChars="200"/>
                  </w:pPr>
                </w:p>
              </w:tc>
              <w:tc>
                <w:tcPr>
                  <w:tcW w:w="496"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snapToGrid w:val="0"/>
                    <w:jc w:val="center"/>
                  </w:pPr>
                  <w: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2" w:type="dxa"/>
                  <w:vMerge w:val="continue"/>
                  <w:tcBorders>
                    <w:left w:val="nil"/>
                    <w:right w:val="single" w:color="auto" w:sz="4" w:space="0"/>
                  </w:tcBorders>
                  <w:vAlign w:val="center"/>
                </w:tcPr>
                <w:p>
                  <w:pPr>
                    <w:widowControl/>
                    <w:jc w:val="left"/>
                    <w:rPr>
                      <w:szCs w:val="21"/>
                    </w:rPr>
                  </w:pPr>
                </w:p>
              </w:tc>
              <w:tc>
                <w:tcPr>
                  <w:tcW w:w="58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64"/>
                    <w:ind w:left="0"/>
                    <w:jc w:val="center"/>
                    <w:rPr>
                      <w:rFonts w:ascii="Times New Roman" w:hAnsi="Times New Roman" w:cs="Times New Roman"/>
                      <w:b w:val="0"/>
                      <w:bCs w:val="0"/>
                      <w:sz w:val="21"/>
                      <w:szCs w:val="21"/>
                    </w:rPr>
                  </w:pPr>
                  <w:r>
                    <w:rPr>
                      <w:rFonts w:ascii="Times New Roman" w:hAnsi="Times New Roman" w:cs="Times New Roman"/>
                      <w:b w:val="0"/>
                      <w:bCs w:val="0"/>
                      <w:sz w:val="21"/>
                      <w:szCs w:val="21"/>
                    </w:rPr>
                    <w:t>装备制造</w:t>
                  </w:r>
                </w:p>
              </w:tc>
              <w:tc>
                <w:tcPr>
                  <w:tcW w:w="4394" w:type="dxa"/>
                  <w:tcBorders>
                    <w:top w:val="single" w:color="auto" w:sz="4" w:space="0"/>
                    <w:left w:val="single" w:color="auto" w:sz="4" w:space="0"/>
                    <w:bottom w:val="single" w:color="auto" w:sz="4" w:space="0"/>
                    <w:right w:val="single" w:color="auto" w:sz="4" w:space="0"/>
                  </w:tcBorders>
                  <w:vAlign w:val="center"/>
                </w:tcPr>
                <w:p>
                  <w:pPr>
                    <w:snapToGrid w:val="0"/>
                    <w:rPr>
                      <w:kern w:val="0"/>
                      <w:szCs w:val="21"/>
                    </w:rPr>
                  </w:pPr>
                  <w:r>
                    <w:rPr>
                      <w:kern w:val="0"/>
                      <w:szCs w:val="21"/>
                    </w:rPr>
                    <w:t>禁止建设独立电镀项目。</w:t>
                  </w:r>
                </w:p>
              </w:tc>
              <w:tc>
                <w:tcPr>
                  <w:tcW w:w="1327" w:type="dxa"/>
                  <w:vMerge w:val="continue"/>
                  <w:tcBorders>
                    <w:left w:val="single" w:color="auto" w:sz="4" w:space="0"/>
                    <w:right w:val="single" w:color="auto" w:sz="4" w:space="0"/>
                  </w:tcBorders>
                  <w:tcMar>
                    <w:top w:w="0" w:type="dxa"/>
                    <w:left w:w="28" w:type="dxa"/>
                    <w:bottom w:w="0" w:type="dxa"/>
                    <w:right w:w="28" w:type="dxa"/>
                  </w:tcMar>
                  <w:vAlign w:val="center"/>
                </w:tcPr>
                <w:p>
                  <w:pPr>
                    <w:spacing w:line="260" w:lineRule="exact"/>
                    <w:ind w:firstLine="420" w:firstLineChars="200"/>
                  </w:pPr>
                </w:p>
              </w:tc>
              <w:tc>
                <w:tcPr>
                  <w:tcW w:w="496"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snapToGrid w:val="0"/>
                    <w:jc w:val="center"/>
                  </w:pPr>
                  <w: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2" w:type="dxa"/>
                  <w:vMerge w:val="continue"/>
                  <w:tcBorders>
                    <w:left w:val="nil"/>
                    <w:right w:val="single" w:color="auto" w:sz="4" w:space="0"/>
                  </w:tcBorders>
                  <w:vAlign w:val="center"/>
                </w:tcPr>
                <w:p>
                  <w:pPr>
                    <w:widowControl/>
                    <w:jc w:val="left"/>
                    <w:rPr>
                      <w:szCs w:val="21"/>
                    </w:rPr>
                  </w:pPr>
                </w:p>
              </w:tc>
              <w:tc>
                <w:tcPr>
                  <w:tcW w:w="58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64"/>
                    <w:ind w:left="0"/>
                    <w:jc w:val="center"/>
                    <w:rPr>
                      <w:rFonts w:ascii="Times New Roman" w:hAnsi="Times New Roman" w:cs="Times New Roman"/>
                      <w:b w:val="0"/>
                      <w:bCs w:val="0"/>
                      <w:sz w:val="21"/>
                      <w:szCs w:val="21"/>
                    </w:rPr>
                  </w:pPr>
                  <w:r>
                    <w:rPr>
                      <w:rFonts w:ascii="Times New Roman" w:hAnsi="Times New Roman" w:cs="Times New Roman"/>
                      <w:b w:val="0"/>
                      <w:bCs w:val="0"/>
                      <w:sz w:val="21"/>
                      <w:szCs w:val="21"/>
                    </w:rPr>
                    <w:t>纸制品印刷包装</w:t>
                  </w:r>
                </w:p>
              </w:tc>
              <w:tc>
                <w:tcPr>
                  <w:tcW w:w="4394" w:type="dxa"/>
                  <w:tcBorders>
                    <w:top w:val="single" w:color="auto" w:sz="4" w:space="0"/>
                    <w:left w:val="single" w:color="auto" w:sz="4" w:space="0"/>
                    <w:bottom w:val="single" w:color="auto" w:sz="4" w:space="0"/>
                    <w:right w:val="single" w:color="auto" w:sz="4" w:space="0"/>
                  </w:tcBorders>
                  <w:vAlign w:val="center"/>
                </w:tcPr>
                <w:p>
                  <w:pPr>
                    <w:snapToGrid w:val="0"/>
                    <w:rPr>
                      <w:kern w:val="0"/>
                      <w:szCs w:val="21"/>
                    </w:rPr>
                  </w:pPr>
                  <w:r>
                    <w:rPr>
                      <w:kern w:val="0"/>
                      <w:szCs w:val="21"/>
                    </w:rPr>
                    <w:t>禁止造纸制浆、油墨生产（单纯分装、复配除外）项目入驻。</w:t>
                  </w:r>
                </w:p>
              </w:tc>
              <w:tc>
                <w:tcPr>
                  <w:tcW w:w="1327" w:type="dxa"/>
                  <w:vMerge w:val="continue"/>
                  <w:tcBorders>
                    <w:left w:val="single" w:color="auto" w:sz="4" w:space="0"/>
                    <w:right w:val="single" w:color="auto" w:sz="4" w:space="0"/>
                  </w:tcBorders>
                  <w:tcMar>
                    <w:top w:w="0" w:type="dxa"/>
                    <w:left w:w="28" w:type="dxa"/>
                    <w:bottom w:w="0" w:type="dxa"/>
                    <w:right w:w="28" w:type="dxa"/>
                  </w:tcMar>
                  <w:vAlign w:val="center"/>
                </w:tcPr>
                <w:p>
                  <w:pPr>
                    <w:spacing w:line="260" w:lineRule="exact"/>
                    <w:ind w:firstLine="420" w:firstLineChars="200"/>
                  </w:pPr>
                </w:p>
              </w:tc>
              <w:tc>
                <w:tcPr>
                  <w:tcW w:w="496"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snapToGrid w:val="0"/>
                    <w:jc w:val="center"/>
                  </w:pPr>
                  <w: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32" w:type="dxa"/>
                  <w:vMerge w:val="continue"/>
                  <w:tcBorders>
                    <w:left w:val="nil"/>
                    <w:right w:val="single" w:color="auto" w:sz="4" w:space="0"/>
                  </w:tcBorders>
                  <w:tcMar>
                    <w:top w:w="0" w:type="dxa"/>
                    <w:left w:w="28" w:type="dxa"/>
                    <w:bottom w:w="0" w:type="dxa"/>
                    <w:right w:w="28" w:type="dxa"/>
                  </w:tcMar>
                  <w:vAlign w:val="center"/>
                </w:tcPr>
                <w:p>
                  <w:pPr>
                    <w:adjustRightInd w:val="0"/>
                    <w:snapToGrid w:val="0"/>
                    <w:jc w:val="center"/>
                  </w:pPr>
                </w:p>
              </w:tc>
              <w:tc>
                <w:tcPr>
                  <w:tcW w:w="58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64"/>
                    <w:ind w:left="0"/>
                    <w:jc w:val="center"/>
                    <w:rPr>
                      <w:rFonts w:ascii="Times New Roman" w:hAnsi="Times New Roman" w:cs="Times New Roman"/>
                      <w:b w:val="0"/>
                      <w:bCs w:val="0"/>
                      <w:sz w:val="21"/>
                      <w:szCs w:val="21"/>
                    </w:rPr>
                  </w:pPr>
                  <w:r>
                    <w:rPr>
                      <w:rFonts w:ascii="Times New Roman" w:hAnsi="Times New Roman" w:cs="Times New Roman"/>
                      <w:b w:val="0"/>
                      <w:bCs w:val="0"/>
                      <w:sz w:val="21"/>
                      <w:szCs w:val="21"/>
                    </w:rPr>
                    <w:t>其他</w:t>
                  </w:r>
                </w:p>
              </w:tc>
              <w:tc>
                <w:tcPr>
                  <w:tcW w:w="4394" w:type="dxa"/>
                  <w:tcBorders>
                    <w:top w:val="single" w:color="auto" w:sz="4" w:space="0"/>
                    <w:left w:val="single" w:color="auto" w:sz="4" w:space="0"/>
                    <w:bottom w:val="single" w:color="auto" w:sz="4" w:space="0"/>
                    <w:right w:val="single" w:color="auto" w:sz="4" w:space="0"/>
                  </w:tcBorders>
                  <w:vAlign w:val="center"/>
                </w:tcPr>
                <w:p>
                  <w:pPr>
                    <w:snapToGrid w:val="0"/>
                    <w:rPr>
                      <w:kern w:val="0"/>
                      <w:szCs w:val="21"/>
                    </w:rPr>
                  </w:pPr>
                  <w:r>
                    <w:rPr>
                      <w:kern w:val="0"/>
                      <w:szCs w:val="21"/>
                    </w:rPr>
                    <w:t>禁止发展不符合园区产业定位的制革、化纤浆粕、黑色冶金、焦化、独立电镀、皂素、金属冶炼等不符合园区产业定位且污染较重的项目。</w:t>
                  </w:r>
                </w:p>
              </w:tc>
              <w:tc>
                <w:tcPr>
                  <w:tcW w:w="1327" w:type="dxa"/>
                  <w:vMerge w:val="continue"/>
                  <w:tcBorders>
                    <w:left w:val="single" w:color="auto" w:sz="4" w:space="0"/>
                    <w:bottom w:val="single" w:color="auto" w:sz="4" w:space="0"/>
                    <w:right w:val="single" w:color="auto" w:sz="4" w:space="0"/>
                  </w:tcBorders>
                  <w:tcMar>
                    <w:top w:w="0" w:type="dxa"/>
                    <w:left w:w="28" w:type="dxa"/>
                    <w:bottom w:w="0" w:type="dxa"/>
                    <w:right w:w="28" w:type="dxa"/>
                  </w:tcMar>
                  <w:vAlign w:val="center"/>
                </w:tcPr>
                <w:p>
                  <w:pPr>
                    <w:spacing w:line="260" w:lineRule="exact"/>
                    <w:ind w:firstLine="420" w:firstLineChars="200"/>
                  </w:pPr>
                </w:p>
              </w:tc>
              <w:tc>
                <w:tcPr>
                  <w:tcW w:w="496"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snapToGrid w:val="0"/>
                    <w:jc w:val="center"/>
                  </w:pPr>
                  <w:r>
                    <w:t>符合</w:t>
                  </w:r>
                </w:p>
              </w:tc>
            </w:tr>
          </w:tbl>
          <w:p>
            <w:pPr>
              <w:spacing w:line="460" w:lineRule="exact"/>
              <w:ind w:firstLine="480" w:firstLineChars="200"/>
              <w:rPr>
                <w:sz w:val="24"/>
              </w:rPr>
            </w:pPr>
            <w:r>
              <w:rPr>
                <w:sz w:val="24"/>
              </w:rPr>
              <w:t>根据《新乡经济技术产业集聚区总体发展规划（2017-2025）图》显示，本项目选址为二类工业用地（见附图2），符合集聚区用地规划，</w:t>
            </w:r>
            <w:r>
              <w:rPr>
                <w:bCs/>
                <w:color w:val="000000"/>
                <w:sz w:val="24"/>
                <w:szCs w:val="20"/>
              </w:rPr>
              <w:t>本项目与</w:t>
            </w:r>
            <w:r>
              <w:rPr>
                <w:sz w:val="24"/>
              </w:rPr>
              <w:t>新乡经济技术产业集聚区</w:t>
            </w:r>
            <w:r>
              <w:rPr>
                <w:bCs/>
                <w:color w:val="000000"/>
                <w:sz w:val="24"/>
                <w:szCs w:val="20"/>
              </w:rPr>
              <w:t>主导产业规划能够相容，符合</w:t>
            </w:r>
            <w:r>
              <w:rPr>
                <w:sz w:val="24"/>
              </w:rPr>
              <w:t>新乡经济技术产业集聚区</w:t>
            </w:r>
            <w:r>
              <w:rPr>
                <w:bCs/>
                <w:color w:val="000000"/>
                <w:sz w:val="24"/>
                <w:szCs w:val="20"/>
              </w:rPr>
              <w:t>准入条件。</w:t>
            </w:r>
          </w:p>
          <w:p>
            <w:pPr>
              <w:adjustRightInd w:val="0"/>
              <w:snapToGrid w:val="0"/>
              <w:spacing w:line="480" w:lineRule="exact"/>
              <w:ind w:firstLine="482" w:firstLineChars="200"/>
              <w:rPr>
                <w:b/>
                <w:bCs/>
                <w:color w:val="000000"/>
                <w:sz w:val="24"/>
              </w:rPr>
            </w:pPr>
            <w:r>
              <w:rPr>
                <w:b/>
                <w:bCs/>
                <w:color w:val="000000"/>
                <w:sz w:val="24"/>
              </w:rPr>
              <w:t>3、本项目与新乡经济技术产业集聚区总体发展规划（2015-2025）环境影响补充分析报告结论的相符性分析</w:t>
            </w:r>
          </w:p>
          <w:p>
            <w:pPr>
              <w:spacing w:line="460" w:lineRule="exact"/>
              <w:ind w:firstLine="480" w:firstLineChars="200"/>
              <w:rPr>
                <w:sz w:val="24"/>
              </w:rPr>
            </w:pPr>
            <w:r>
              <w:rPr>
                <w:rFonts w:hint="eastAsia"/>
                <w:sz w:val="24"/>
              </w:rPr>
              <w:t>本项目与《新乡经济技术产业集聚区总体发展规划（2015-2025）环境影响评价补充分析报告》评价结论（以下简称评价结论）</w:t>
            </w:r>
            <w:r>
              <w:rPr>
                <w:sz w:val="24"/>
              </w:rPr>
              <w:t>相符性分析</w:t>
            </w:r>
            <w:r>
              <w:rPr>
                <w:rFonts w:hint="eastAsia"/>
                <w:sz w:val="24"/>
              </w:rPr>
              <w:t>见下表。</w:t>
            </w:r>
          </w:p>
          <w:p>
            <w:pPr>
              <w:widowControl/>
              <w:spacing w:line="440" w:lineRule="exact"/>
              <w:ind w:firstLine="480" w:firstLineChars="200"/>
              <w:jc w:val="left"/>
              <w:rPr>
                <w:sz w:val="24"/>
              </w:rPr>
            </w:pPr>
            <w:r>
              <w:rPr>
                <w:rFonts w:eastAsia="黑体"/>
                <w:sz w:val="24"/>
              </w:rPr>
              <w:t xml:space="preserve">表5            </w:t>
            </w:r>
            <w:r>
              <w:rPr>
                <w:rFonts w:hint="eastAsia" w:eastAsia="黑体"/>
                <w:sz w:val="24"/>
              </w:rPr>
              <w:t>本</w:t>
            </w:r>
            <w:r>
              <w:rPr>
                <w:rFonts w:eastAsia="黑体"/>
                <w:sz w:val="24"/>
              </w:rPr>
              <w:t>项目与</w:t>
            </w:r>
            <w:r>
              <w:rPr>
                <w:rFonts w:hint="eastAsia" w:eastAsia="黑体"/>
                <w:sz w:val="24"/>
              </w:rPr>
              <w:t>评价结论</w:t>
            </w:r>
            <w:r>
              <w:rPr>
                <w:rFonts w:eastAsia="黑体"/>
                <w:sz w:val="24"/>
              </w:rPr>
              <w:t>对照分析一览表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539"/>
              <w:gridCol w:w="561"/>
              <w:gridCol w:w="496"/>
              <w:gridCol w:w="3261"/>
              <w:gridCol w:w="1984"/>
              <w:gridCol w:w="689"/>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39" w:type="dxa"/>
                  <w:vAlign w:val="center"/>
                </w:tcPr>
                <w:p>
                  <w:pPr>
                    <w:jc w:val="center"/>
                    <w:rPr>
                      <w:b/>
                      <w:bCs/>
                      <w:szCs w:val="21"/>
                    </w:rPr>
                  </w:pPr>
                  <w:r>
                    <w:rPr>
                      <w:b/>
                      <w:bCs/>
                      <w:szCs w:val="21"/>
                    </w:rPr>
                    <w:t>序号</w:t>
                  </w:r>
                </w:p>
              </w:tc>
              <w:tc>
                <w:tcPr>
                  <w:tcW w:w="4318" w:type="dxa"/>
                  <w:gridSpan w:val="3"/>
                  <w:vAlign w:val="center"/>
                </w:tcPr>
                <w:p>
                  <w:pPr>
                    <w:pStyle w:val="98"/>
                    <w:adjustRightInd w:val="0"/>
                    <w:snapToGrid w:val="0"/>
                    <w:jc w:val="center"/>
                    <w:rPr>
                      <w:rFonts w:eastAsia="宋体"/>
                      <w:b/>
                      <w:bCs/>
                      <w:color w:val="auto"/>
                      <w:sz w:val="21"/>
                      <w:szCs w:val="21"/>
                    </w:rPr>
                  </w:pPr>
                  <w:r>
                    <w:rPr>
                      <w:rFonts w:eastAsia="宋体"/>
                      <w:b/>
                      <w:bCs/>
                      <w:color w:val="auto"/>
                      <w:sz w:val="21"/>
                      <w:szCs w:val="21"/>
                    </w:rPr>
                    <w:t>具体内容</w:t>
                  </w:r>
                </w:p>
              </w:tc>
              <w:tc>
                <w:tcPr>
                  <w:tcW w:w="1984" w:type="dxa"/>
                  <w:vAlign w:val="center"/>
                </w:tcPr>
                <w:p>
                  <w:pPr>
                    <w:pStyle w:val="98"/>
                    <w:adjustRightInd w:val="0"/>
                    <w:snapToGrid w:val="0"/>
                    <w:jc w:val="center"/>
                    <w:rPr>
                      <w:rFonts w:eastAsia="宋体"/>
                      <w:b/>
                      <w:bCs/>
                      <w:color w:val="auto"/>
                      <w:sz w:val="21"/>
                      <w:szCs w:val="21"/>
                    </w:rPr>
                  </w:pPr>
                  <w:r>
                    <w:rPr>
                      <w:rFonts w:hint="eastAsia" w:eastAsia="宋体"/>
                      <w:b/>
                      <w:bCs/>
                      <w:color w:val="auto"/>
                      <w:sz w:val="21"/>
                      <w:szCs w:val="21"/>
                    </w:rPr>
                    <w:t>本项目情况</w:t>
                  </w:r>
                </w:p>
              </w:tc>
              <w:tc>
                <w:tcPr>
                  <w:tcW w:w="689" w:type="dxa"/>
                  <w:vAlign w:val="center"/>
                </w:tcPr>
                <w:p>
                  <w:pPr>
                    <w:jc w:val="center"/>
                    <w:rPr>
                      <w:b/>
                      <w:bCs/>
                      <w:szCs w:val="21"/>
                    </w:rPr>
                  </w:pPr>
                  <w:r>
                    <w:rPr>
                      <w:rFonts w:hint="eastAsia"/>
                      <w:b/>
                      <w:bCs/>
                      <w:szCs w:val="21"/>
                    </w:rPr>
                    <w:t>相符性</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39" w:type="dxa"/>
                  <w:vMerge w:val="restart"/>
                  <w:tcBorders>
                    <w:top w:val="single" w:color="auto" w:sz="8" w:space="0"/>
                  </w:tcBorders>
                  <w:vAlign w:val="center"/>
                </w:tcPr>
                <w:p>
                  <w:pPr>
                    <w:jc w:val="center"/>
                    <w:rPr>
                      <w:szCs w:val="21"/>
                    </w:rPr>
                  </w:pPr>
                  <w:r>
                    <w:rPr>
                      <w:szCs w:val="21"/>
                    </w:rPr>
                    <w:t>1</w:t>
                  </w:r>
                </w:p>
              </w:tc>
              <w:tc>
                <w:tcPr>
                  <w:tcW w:w="561" w:type="dxa"/>
                  <w:vMerge w:val="restart"/>
                  <w:tcBorders>
                    <w:top w:val="single" w:color="auto" w:sz="8" w:space="0"/>
                  </w:tcBorders>
                  <w:vAlign w:val="center"/>
                </w:tcPr>
                <w:p>
                  <w:pPr>
                    <w:jc w:val="center"/>
                    <w:rPr>
                      <w:szCs w:val="21"/>
                    </w:rPr>
                  </w:pPr>
                  <w:r>
                    <w:rPr>
                      <w:szCs w:val="21"/>
                    </w:rPr>
                    <w:t>环境影响预测结论</w:t>
                  </w:r>
                </w:p>
              </w:tc>
              <w:tc>
                <w:tcPr>
                  <w:tcW w:w="496" w:type="dxa"/>
                  <w:tcBorders>
                    <w:top w:val="single" w:color="auto" w:sz="8" w:space="0"/>
                  </w:tcBorders>
                  <w:vAlign w:val="center"/>
                </w:tcPr>
                <w:p>
                  <w:pPr>
                    <w:jc w:val="center"/>
                    <w:rPr>
                      <w:szCs w:val="21"/>
                    </w:rPr>
                  </w:pPr>
                  <w:r>
                    <w:rPr>
                      <w:szCs w:val="21"/>
                    </w:rPr>
                    <w:t>地表水</w:t>
                  </w:r>
                </w:p>
              </w:tc>
              <w:tc>
                <w:tcPr>
                  <w:tcW w:w="3261" w:type="dxa"/>
                  <w:tcBorders>
                    <w:top w:val="single" w:color="auto" w:sz="8" w:space="0"/>
                  </w:tcBorders>
                  <w:vAlign w:val="center"/>
                </w:tcPr>
                <w:p>
                  <w:pPr>
                    <w:rPr>
                      <w:szCs w:val="21"/>
                    </w:rPr>
                  </w:pPr>
                  <w:r>
                    <w:rPr>
                      <w:szCs w:val="21"/>
                    </w:rPr>
                    <w:t>在区域污水源得到控制的情况下，实施上述综合整治方案使东孟姜女河水质满足《地表水环境质量标准》（GB3838-2002）中V类标准要求情况下，</w:t>
                  </w:r>
                  <w:r>
                    <w:rPr>
                      <w:rFonts w:hint="eastAsia"/>
                      <w:szCs w:val="21"/>
                    </w:rPr>
                    <w:t>新建</w:t>
                  </w:r>
                  <w:r>
                    <w:rPr>
                      <w:szCs w:val="21"/>
                    </w:rPr>
                    <w:t>污水处理厂出水水质</w:t>
                  </w:r>
                  <w:r>
                    <w:rPr>
                      <w:rFonts w:hint="eastAsia"/>
                      <w:szCs w:val="21"/>
                    </w:rPr>
                    <w:t>达到</w:t>
                  </w:r>
                  <w:r>
                    <w:rPr>
                      <w:szCs w:val="21"/>
                    </w:rPr>
                    <w:t>地表水V类水质标准</w:t>
                  </w:r>
                  <w:r>
                    <w:rPr>
                      <w:rFonts w:hint="eastAsia"/>
                      <w:szCs w:val="21"/>
                    </w:rPr>
                    <w:t>（</w:t>
                  </w:r>
                  <w:r>
                    <w:rPr>
                      <w:szCs w:val="21"/>
                    </w:rPr>
                    <w:t>COD40mg/L、氨氮2mg/L</w:t>
                  </w:r>
                  <w:r>
                    <w:rPr>
                      <w:rFonts w:hint="eastAsia"/>
                      <w:szCs w:val="21"/>
                    </w:rPr>
                    <w:t>）。在上述措施保障条件下，</w:t>
                  </w:r>
                  <w:r>
                    <w:rPr>
                      <w:szCs w:val="21"/>
                    </w:rPr>
                    <w:t>可为区域地表水腾出一定环境容量。评价建议新乡县应认真落实上述措施，为该区域地表水腾出环境容量。</w:t>
                  </w:r>
                </w:p>
              </w:tc>
              <w:tc>
                <w:tcPr>
                  <w:tcW w:w="1984" w:type="dxa"/>
                  <w:tcBorders>
                    <w:top w:val="single" w:color="auto" w:sz="8" w:space="0"/>
                  </w:tcBorders>
                  <w:vAlign w:val="center"/>
                </w:tcPr>
                <w:p>
                  <w:pPr>
                    <w:rPr>
                      <w:szCs w:val="21"/>
                    </w:rPr>
                  </w:pPr>
                  <w:r>
                    <w:rPr>
                      <w:szCs w:val="21"/>
                    </w:rPr>
                    <w:t>本项目</w:t>
                  </w:r>
                  <w:r>
                    <w:rPr>
                      <w:rFonts w:hint="eastAsia"/>
                      <w:szCs w:val="21"/>
                    </w:rPr>
                    <w:t>生活污水经化粪池处理后与经一体化污水处理设施处理的实验室废水</w:t>
                  </w:r>
                  <w:r>
                    <w:rPr>
                      <w:szCs w:val="21"/>
                    </w:rPr>
                    <w:t>，</w:t>
                  </w:r>
                  <w:r>
                    <w:rPr>
                      <w:rFonts w:hint="eastAsia"/>
                      <w:szCs w:val="21"/>
                    </w:rPr>
                    <w:t>统一经市政管网</w:t>
                  </w:r>
                  <w:r>
                    <w:rPr>
                      <w:szCs w:val="21"/>
                    </w:rPr>
                    <w:t>排入新乡县综合污水处理厂</w:t>
                  </w:r>
                  <w:r>
                    <w:rPr>
                      <w:rFonts w:hint="eastAsia"/>
                      <w:szCs w:val="21"/>
                    </w:rPr>
                    <w:t>进一步处理</w:t>
                  </w:r>
                  <w:r>
                    <w:rPr>
                      <w:szCs w:val="21"/>
                    </w:rPr>
                    <w:t>，能够满足新乡县综合污水处理厂</w:t>
                  </w:r>
                  <w:r>
                    <w:rPr>
                      <w:rFonts w:hint="eastAsia"/>
                      <w:szCs w:val="21"/>
                    </w:rPr>
                    <w:t>收</w:t>
                  </w:r>
                  <w:r>
                    <w:rPr>
                      <w:szCs w:val="21"/>
                    </w:rPr>
                    <w:t>水</w:t>
                  </w:r>
                  <w:r>
                    <w:rPr>
                      <w:rFonts w:hint="eastAsia"/>
                      <w:szCs w:val="21"/>
                    </w:rPr>
                    <w:t>标准</w:t>
                  </w:r>
                  <w:r>
                    <w:rPr>
                      <w:szCs w:val="21"/>
                    </w:rPr>
                    <w:t>要求</w:t>
                  </w:r>
                  <w:r>
                    <w:rPr>
                      <w:rFonts w:hint="eastAsia"/>
                      <w:szCs w:val="21"/>
                    </w:rPr>
                    <w:t>。</w:t>
                  </w:r>
                  <w:r>
                    <w:rPr>
                      <w:szCs w:val="21"/>
                    </w:rPr>
                    <w:t>新乡县综合污水处理厂出水执行COD40mg/L、氨氮2mg/L。</w:t>
                  </w:r>
                </w:p>
              </w:tc>
              <w:tc>
                <w:tcPr>
                  <w:tcW w:w="689" w:type="dxa"/>
                  <w:tcBorders>
                    <w:top w:val="single" w:color="auto" w:sz="8" w:space="0"/>
                  </w:tcBorders>
                  <w:vAlign w:val="center"/>
                </w:tcPr>
                <w:p>
                  <w:pPr>
                    <w:jc w:val="center"/>
                    <w:rPr>
                      <w:szCs w:val="21"/>
                    </w:rPr>
                  </w:pPr>
                  <w:r>
                    <w:rPr>
                      <w:rFonts w:hint="eastAsia"/>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39" w:type="dxa"/>
                  <w:vMerge w:val="continue"/>
                  <w:vAlign w:val="center"/>
                </w:tcPr>
                <w:p>
                  <w:pPr>
                    <w:pStyle w:val="98"/>
                    <w:adjustRightInd w:val="0"/>
                    <w:snapToGrid w:val="0"/>
                    <w:jc w:val="both"/>
                    <w:rPr>
                      <w:rFonts w:eastAsia="宋体"/>
                      <w:color w:val="auto"/>
                      <w:sz w:val="21"/>
                      <w:szCs w:val="21"/>
                    </w:rPr>
                  </w:pPr>
                </w:p>
              </w:tc>
              <w:tc>
                <w:tcPr>
                  <w:tcW w:w="561" w:type="dxa"/>
                  <w:vMerge w:val="continue"/>
                  <w:vAlign w:val="center"/>
                </w:tcPr>
                <w:p>
                  <w:pPr>
                    <w:pStyle w:val="98"/>
                    <w:adjustRightInd w:val="0"/>
                    <w:snapToGrid w:val="0"/>
                    <w:jc w:val="both"/>
                    <w:rPr>
                      <w:rFonts w:eastAsia="宋体"/>
                      <w:color w:val="auto"/>
                      <w:sz w:val="21"/>
                      <w:szCs w:val="21"/>
                    </w:rPr>
                  </w:pPr>
                </w:p>
              </w:tc>
              <w:tc>
                <w:tcPr>
                  <w:tcW w:w="496" w:type="dxa"/>
                  <w:vAlign w:val="center"/>
                </w:tcPr>
                <w:p>
                  <w:pPr>
                    <w:jc w:val="center"/>
                    <w:rPr>
                      <w:szCs w:val="21"/>
                    </w:rPr>
                  </w:pPr>
                  <w:r>
                    <w:rPr>
                      <w:szCs w:val="21"/>
                    </w:rPr>
                    <w:t>地下水</w:t>
                  </w:r>
                </w:p>
              </w:tc>
              <w:tc>
                <w:tcPr>
                  <w:tcW w:w="3261" w:type="dxa"/>
                  <w:vAlign w:val="center"/>
                </w:tcPr>
                <w:p>
                  <w:pPr>
                    <w:pStyle w:val="98"/>
                    <w:adjustRightInd w:val="0"/>
                    <w:snapToGrid w:val="0"/>
                    <w:jc w:val="both"/>
                    <w:rPr>
                      <w:rFonts w:eastAsia="宋体"/>
                      <w:color w:val="auto"/>
                      <w:sz w:val="21"/>
                      <w:szCs w:val="21"/>
                    </w:rPr>
                  </w:pPr>
                  <w:r>
                    <w:rPr>
                      <w:rFonts w:eastAsia="宋体"/>
                      <w:color w:val="auto"/>
                      <w:sz w:val="21"/>
                      <w:szCs w:val="21"/>
                    </w:rPr>
                    <w:t>集聚区内地下水污染防治措施将按照“源头控制、分区防治、污染监控、应急响应”相结合的原则，从污染物的产生、入渗、扩散、应急响应全方位进行控制。同时，结合集聚区水文地质条件，在集聚区建设场地及周边共布设地下水水质监测井11眼，用以长期监控污染物在地下水中运移情况。如发现异常或发生事故，加密监测频次，并分析污染原因，确定泄漏污染源，及时采取应急措施。</w:t>
                  </w:r>
                </w:p>
              </w:tc>
              <w:tc>
                <w:tcPr>
                  <w:tcW w:w="1984" w:type="dxa"/>
                  <w:vAlign w:val="center"/>
                </w:tcPr>
                <w:p>
                  <w:pPr>
                    <w:pStyle w:val="98"/>
                    <w:adjustRightInd w:val="0"/>
                    <w:snapToGrid w:val="0"/>
                    <w:jc w:val="both"/>
                    <w:rPr>
                      <w:b/>
                      <w:sz w:val="24"/>
                      <w:highlight w:val="yellow"/>
                    </w:rPr>
                  </w:pPr>
                  <w:r>
                    <w:rPr>
                      <w:rFonts w:eastAsia="宋体"/>
                      <w:color w:val="auto"/>
                      <w:sz w:val="21"/>
                      <w:szCs w:val="21"/>
                    </w:rPr>
                    <w:t>本项目不涉及地下水污染。</w:t>
                  </w:r>
                </w:p>
              </w:tc>
              <w:tc>
                <w:tcPr>
                  <w:tcW w:w="689" w:type="dxa"/>
                  <w:vAlign w:val="center"/>
                </w:tcPr>
                <w:p>
                  <w:pPr>
                    <w:jc w:val="center"/>
                    <w:rPr>
                      <w:szCs w:val="21"/>
                    </w:rPr>
                  </w:pPr>
                  <w:r>
                    <w:rPr>
                      <w:rFonts w:hint="eastAsia"/>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39" w:type="dxa"/>
                  <w:vMerge w:val="continue"/>
                  <w:vAlign w:val="center"/>
                </w:tcPr>
                <w:p>
                  <w:pPr>
                    <w:pStyle w:val="98"/>
                    <w:adjustRightInd w:val="0"/>
                    <w:snapToGrid w:val="0"/>
                    <w:jc w:val="both"/>
                    <w:rPr>
                      <w:rFonts w:eastAsia="宋体"/>
                      <w:color w:val="auto"/>
                      <w:sz w:val="21"/>
                      <w:szCs w:val="21"/>
                      <w:highlight w:val="yellow"/>
                    </w:rPr>
                  </w:pPr>
                </w:p>
              </w:tc>
              <w:tc>
                <w:tcPr>
                  <w:tcW w:w="561" w:type="dxa"/>
                  <w:vMerge w:val="continue"/>
                  <w:vAlign w:val="center"/>
                </w:tcPr>
                <w:p>
                  <w:pPr>
                    <w:pStyle w:val="98"/>
                    <w:adjustRightInd w:val="0"/>
                    <w:snapToGrid w:val="0"/>
                    <w:jc w:val="both"/>
                    <w:rPr>
                      <w:rFonts w:eastAsia="宋体"/>
                      <w:color w:val="auto"/>
                      <w:sz w:val="21"/>
                      <w:szCs w:val="21"/>
                      <w:highlight w:val="yellow"/>
                    </w:rPr>
                  </w:pPr>
                </w:p>
              </w:tc>
              <w:tc>
                <w:tcPr>
                  <w:tcW w:w="496" w:type="dxa"/>
                  <w:vAlign w:val="center"/>
                </w:tcPr>
                <w:p>
                  <w:pPr>
                    <w:jc w:val="center"/>
                    <w:rPr>
                      <w:szCs w:val="21"/>
                    </w:rPr>
                  </w:pPr>
                  <w:r>
                    <w:rPr>
                      <w:szCs w:val="21"/>
                    </w:rPr>
                    <w:t>环境空气</w:t>
                  </w:r>
                </w:p>
              </w:tc>
              <w:tc>
                <w:tcPr>
                  <w:tcW w:w="3261" w:type="dxa"/>
                  <w:vAlign w:val="center"/>
                </w:tcPr>
                <w:p>
                  <w:pPr>
                    <w:pStyle w:val="98"/>
                    <w:adjustRightInd w:val="0"/>
                    <w:snapToGrid w:val="0"/>
                    <w:jc w:val="both"/>
                    <w:rPr>
                      <w:rFonts w:eastAsia="宋体"/>
                      <w:color w:val="auto"/>
                      <w:sz w:val="21"/>
                      <w:szCs w:val="21"/>
                    </w:rPr>
                  </w:pPr>
                  <w:r>
                    <w:rPr>
                      <w:rFonts w:hint="eastAsia" w:eastAsia="宋体"/>
                      <w:color w:val="auto"/>
                      <w:sz w:val="21"/>
                      <w:szCs w:val="21"/>
                    </w:rPr>
                    <w:t>本次</w:t>
                  </w:r>
                  <w:r>
                    <w:rPr>
                      <w:rFonts w:eastAsia="宋体"/>
                      <w:color w:val="auto"/>
                      <w:sz w:val="21"/>
                      <w:szCs w:val="21"/>
                    </w:rPr>
                    <w:t>规划调整后</w:t>
                  </w:r>
                  <w:r>
                    <w:rPr>
                      <w:rFonts w:hint="eastAsia" w:eastAsia="宋体"/>
                      <w:color w:val="auto"/>
                      <w:sz w:val="21"/>
                      <w:szCs w:val="21"/>
                    </w:rPr>
                    <w:t>，</w:t>
                  </w:r>
                  <w:r>
                    <w:rPr>
                      <w:rFonts w:eastAsia="宋体"/>
                      <w:color w:val="auto"/>
                      <w:sz w:val="21"/>
                      <w:szCs w:val="21"/>
                    </w:rPr>
                    <w:t>集聚区供热锅炉废气污染物排放量未超过集聚区内现状集中供热总锅炉规模</w:t>
                  </w:r>
                  <w:r>
                    <w:rPr>
                      <w:rFonts w:hint="eastAsia" w:eastAsia="宋体"/>
                      <w:color w:val="auto"/>
                      <w:sz w:val="21"/>
                      <w:szCs w:val="21"/>
                    </w:rPr>
                    <w:t>925t/h的废气污染物排放总量，产能调整后，增加的用热锅炉废气污染物排放量将从集聚区内现有锅炉废气污染物排放总量中支配，不新增区域供热锅炉废气污染物排放量。</w:t>
                  </w:r>
                </w:p>
              </w:tc>
              <w:tc>
                <w:tcPr>
                  <w:tcW w:w="1984" w:type="dxa"/>
                  <w:vAlign w:val="center"/>
                </w:tcPr>
                <w:p>
                  <w:pPr>
                    <w:pStyle w:val="98"/>
                    <w:adjustRightInd w:val="0"/>
                    <w:snapToGrid w:val="0"/>
                    <w:jc w:val="both"/>
                    <w:rPr>
                      <w:b/>
                      <w:sz w:val="24"/>
                      <w:highlight w:val="yellow"/>
                    </w:rPr>
                  </w:pPr>
                  <w:r>
                    <w:rPr>
                      <w:rFonts w:eastAsia="宋体"/>
                      <w:color w:val="auto"/>
                      <w:sz w:val="21"/>
                      <w:szCs w:val="21"/>
                    </w:rPr>
                    <w:t>本项目不涉及使用供热锅炉。</w:t>
                  </w:r>
                </w:p>
              </w:tc>
              <w:tc>
                <w:tcPr>
                  <w:tcW w:w="689" w:type="dxa"/>
                  <w:vAlign w:val="center"/>
                </w:tcPr>
                <w:p>
                  <w:pPr>
                    <w:jc w:val="center"/>
                    <w:rPr>
                      <w:szCs w:val="21"/>
                    </w:rPr>
                  </w:pPr>
                  <w:r>
                    <w:rPr>
                      <w:rFonts w:hint="eastAsia"/>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39" w:type="dxa"/>
                  <w:vMerge w:val="continue"/>
                  <w:vAlign w:val="center"/>
                </w:tcPr>
                <w:p>
                  <w:pPr>
                    <w:pStyle w:val="98"/>
                    <w:adjustRightInd w:val="0"/>
                    <w:snapToGrid w:val="0"/>
                    <w:jc w:val="both"/>
                    <w:rPr>
                      <w:rFonts w:eastAsia="宋体"/>
                      <w:color w:val="auto"/>
                      <w:sz w:val="21"/>
                      <w:szCs w:val="21"/>
                      <w:highlight w:val="yellow"/>
                    </w:rPr>
                  </w:pPr>
                </w:p>
              </w:tc>
              <w:tc>
                <w:tcPr>
                  <w:tcW w:w="561" w:type="dxa"/>
                  <w:vMerge w:val="continue"/>
                  <w:vAlign w:val="center"/>
                </w:tcPr>
                <w:p>
                  <w:pPr>
                    <w:pStyle w:val="98"/>
                    <w:adjustRightInd w:val="0"/>
                    <w:snapToGrid w:val="0"/>
                    <w:jc w:val="both"/>
                    <w:rPr>
                      <w:rFonts w:eastAsia="宋体"/>
                      <w:color w:val="auto"/>
                      <w:sz w:val="21"/>
                      <w:szCs w:val="21"/>
                      <w:highlight w:val="yellow"/>
                    </w:rPr>
                  </w:pPr>
                </w:p>
              </w:tc>
              <w:tc>
                <w:tcPr>
                  <w:tcW w:w="496" w:type="dxa"/>
                  <w:vAlign w:val="center"/>
                </w:tcPr>
                <w:p>
                  <w:pPr>
                    <w:jc w:val="center"/>
                    <w:rPr>
                      <w:szCs w:val="21"/>
                    </w:rPr>
                  </w:pPr>
                  <w:r>
                    <w:rPr>
                      <w:szCs w:val="21"/>
                    </w:rPr>
                    <w:t>声环境</w:t>
                  </w:r>
                </w:p>
              </w:tc>
              <w:tc>
                <w:tcPr>
                  <w:tcW w:w="3261" w:type="dxa"/>
                  <w:vAlign w:val="center"/>
                </w:tcPr>
                <w:p>
                  <w:pPr>
                    <w:pStyle w:val="98"/>
                    <w:adjustRightInd w:val="0"/>
                    <w:snapToGrid w:val="0"/>
                    <w:jc w:val="both"/>
                    <w:rPr>
                      <w:rFonts w:eastAsia="宋体"/>
                      <w:color w:val="auto"/>
                      <w:sz w:val="21"/>
                      <w:szCs w:val="21"/>
                    </w:rPr>
                  </w:pPr>
                  <w:r>
                    <w:rPr>
                      <w:rFonts w:eastAsia="宋体"/>
                      <w:color w:val="auto"/>
                      <w:sz w:val="21"/>
                      <w:szCs w:val="21"/>
                    </w:rPr>
                    <w:t>集聚区建成后，区域内环境噪声主要来源于工业噪声、和交通噪声，在采取降噪、隔离、布局防治等措施后，集聚区工业噪声和交通噪声等对周边声环境影响不大。</w:t>
                  </w:r>
                </w:p>
              </w:tc>
              <w:tc>
                <w:tcPr>
                  <w:tcW w:w="1984" w:type="dxa"/>
                  <w:vAlign w:val="center"/>
                </w:tcPr>
                <w:p>
                  <w:pPr>
                    <w:pStyle w:val="98"/>
                    <w:adjustRightInd w:val="0"/>
                    <w:snapToGrid w:val="0"/>
                    <w:jc w:val="both"/>
                    <w:rPr>
                      <w:b/>
                      <w:sz w:val="24"/>
                      <w:highlight w:val="yellow"/>
                    </w:rPr>
                  </w:pPr>
                  <w:r>
                    <w:rPr>
                      <w:rFonts w:eastAsia="宋体"/>
                      <w:color w:val="auto"/>
                      <w:sz w:val="21"/>
                      <w:szCs w:val="21"/>
                    </w:rPr>
                    <w:t>项目采取</w:t>
                  </w:r>
                  <w:r>
                    <w:rPr>
                      <w:rFonts w:hint="eastAsia" w:eastAsia="宋体"/>
                      <w:color w:val="auto"/>
                      <w:sz w:val="21"/>
                      <w:szCs w:val="21"/>
                    </w:rPr>
                    <w:t>厂房</w:t>
                  </w:r>
                  <w:r>
                    <w:rPr>
                      <w:rFonts w:eastAsia="宋体"/>
                      <w:color w:val="auto"/>
                      <w:sz w:val="21"/>
                      <w:szCs w:val="21"/>
                    </w:rPr>
                    <w:t>密闭隔音</w:t>
                  </w:r>
                  <w:r>
                    <w:rPr>
                      <w:rFonts w:hint="eastAsia" w:eastAsia="宋体"/>
                      <w:color w:val="auto"/>
                      <w:sz w:val="21"/>
                      <w:szCs w:val="21"/>
                    </w:rPr>
                    <w:t>、</w:t>
                  </w:r>
                  <w:r>
                    <w:rPr>
                      <w:rFonts w:eastAsia="宋体"/>
                      <w:color w:val="auto"/>
                      <w:sz w:val="21"/>
                      <w:szCs w:val="21"/>
                    </w:rPr>
                    <w:t>距离衰减</w:t>
                  </w:r>
                  <w:r>
                    <w:rPr>
                      <w:rFonts w:hint="eastAsia" w:eastAsia="宋体"/>
                      <w:color w:val="auto"/>
                      <w:sz w:val="21"/>
                      <w:szCs w:val="21"/>
                    </w:rPr>
                    <w:t>措施</w:t>
                  </w:r>
                  <w:r>
                    <w:rPr>
                      <w:rFonts w:eastAsia="宋体"/>
                      <w:color w:val="auto"/>
                      <w:sz w:val="21"/>
                      <w:szCs w:val="21"/>
                    </w:rPr>
                    <w:t>，对周边声环境影响不大。</w:t>
                  </w:r>
                </w:p>
              </w:tc>
              <w:tc>
                <w:tcPr>
                  <w:tcW w:w="689" w:type="dxa"/>
                  <w:vAlign w:val="center"/>
                </w:tcPr>
                <w:p>
                  <w:pPr>
                    <w:jc w:val="center"/>
                    <w:rPr>
                      <w:szCs w:val="21"/>
                    </w:rPr>
                  </w:pPr>
                  <w:r>
                    <w:rPr>
                      <w:rFonts w:hint="eastAsia"/>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39" w:type="dxa"/>
                  <w:vMerge w:val="continue"/>
                  <w:vAlign w:val="center"/>
                </w:tcPr>
                <w:p>
                  <w:pPr>
                    <w:adjustRightInd w:val="0"/>
                    <w:snapToGrid w:val="0"/>
                    <w:rPr>
                      <w:b/>
                      <w:kern w:val="0"/>
                      <w:sz w:val="24"/>
                      <w:highlight w:val="yellow"/>
                    </w:rPr>
                  </w:pPr>
                </w:p>
              </w:tc>
              <w:tc>
                <w:tcPr>
                  <w:tcW w:w="561" w:type="dxa"/>
                  <w:vMerge w:val="continue"/>
                  <w:vAlign w:val="center"/>
                </w:tcPr>
                <w:p>
                  <w:pPr>
                    <w:adjustRightInd w:val="0"/>
                    <w:snapToGrid w:val="0"/>
                    <w:rPr>
                      <w:b/>
                      <w:kern w:val="0"/>
                      <w:sz w:val="24"/>
                      <w:highlight w:val="yellow"/>
                    </w:rPr>
                  </w:pPr>
                </w:p>
              </w:tc>
              <w:tc>
                <w:tcPr>
                  <w:tcW w:w="496" w:type="dxa"/>
                  <w:vAlign w:val="center"/>
                </w:tcPr>
                <w:p>
                  <w:pPr>
                    <w:jc w:val="center"/>
                    <w:rPr>
                      <w:szCs w:val="21"/>
                    </w:rPr>
                  </w:pPr>
                  <w:r>
                    <w:rPr>
                      <w:szCs w:val="21"/>
                    </w:rPr>
                    <w:t>固体废物</w:t>
                  </w:r>
                </w:p>
              </w:tc>
              <w:tc>
                <w:tcPr>
                  <w:tcW w:w="3261" w:type="dxa"/>
                  <w:vAlign w:val="center"/>
                </w:tcPr>
                <w:p>
                  <w:pPr>
                    <w:pStyle w:val="98"/>
                    <w:adjustRightInd w:val="0"/>
                    <w:snapToGrid w:val="0"/>
                    <w:jc w:val="both"/>
                    <w:rPr>
                      <w:rFonts w:eastAsia="宋体"/>
                      <w:color w:val="auto"/>
                      <w:sz w:val="21"/>
                      <w:szCs w:val="21"/>
                    </w:rPr>
                  </w:pPr>
                  <w:r>
                    <w:rPr>
                      <w:rFonts w:eastAsia="宋体"/>
                      <w:color w:val="auto"/>
                      <w:sz w:val="21"/>
                      <w:szCs w:val="21"/>
                    </w:rPr>
                    <w:t>在采取合理利用、有效安全处置的前提下，集聚区生活垃圾、工业固废等固体废物均能得到合理处置，不会造成二次污染。</w:t>
                  </w:r>
                </w:p>
              </w:tc>
              <w:tc>
                <w:tcPr>
                  <w:tcW w:w="1984" w:type="dxa"/>
                  <w:vAlign w:val="center"/>
                </w:tcPr>
                <w:p>
                  <w:pPr>
                    <w:pStyle w:val="98"/>
                    <w:adjustRightInd w:val="0"/>
                    <w:snapToGrid w:val="0"/>
                    <w:jc w:val="both"/>
                    <w:rPr>
                      <w:b/>
                      <w:sz w:val="24"/>
                      <w:highlight w:val="yellow"/>
                    </w:rPr>
                  </w:pPr>
                  <w:r>
                    <w:rPr>
                      <w:rFonts w:eastAsia="宋体"/>
                      <w:color w:val="auto"/>
                      <w:sz w:val="21"/>
                      <w:szCs w:val="21"/>
                    </w:rPr>
                    <w:t>本项目</w:t>
                  </w:r>
                  <w:r>
                    <w:rPr>
                      <w:rFonts w:hint="eastAsia" w:eastAsia="宋体"/>
                      <w:color w:val="auto"/>
                      <w:sz w:val="21"/>
                      <w:szCs w:val="21"/>
                    </w:rPr>
                    <w:t>产生的</w:t>
                  </w:r>
                  <w:r>
                    <w:rPr>
                      <w:rFonts w:eastAsia="宋体"/>
                      <w:color w:val="auto"/>
                      <w:sz w:val="21"/>
                      <w:szCs w:val="21"/>
                    </w:rPr>
                    <w:t>一般固废</w:t>
                  </w:r>
                  <w:r>
                    <w:rPr>
                      <w:rFonts w:hint="eastAsia" w:eastAsia="宋体"/>
                      <w:color w:val="auto"/>
                      <w:sz w:val="21"/>
                      <w:szCs w:val="21"/>
                    </w:rPr>
                    <w:t>在一般固废间暂存后定期外售</w:t>
                  </w:r>
                  <w:r>
                    <w:rPr>
                      <w:rFonts w:eastAsia="宋体"/>
                      <w:color w:val="auto"/>
                      <w:sz w:val="21"/>
                      <w:szCs w:val="21"/>
                    </w:rPr>
                    <w:t>、危险废物</w:t>
                  </w:r>
                  <w:r>
                    <w:rPr>
                      <w:rFonts w:hint="eastAsia" w:eastAsia="宋体"/>
                      <w:color w:val="auto"/>
                      <w:sz w:val="21"/>
                      <w:szCs w:val="21"/>
                    </w:rPr>
                    <w:t>收集后在危险废物暂存间暂存定期委托有资质单位处置</w:t>
                  </w:r>
                  <w:r>
                    <w:rPr>
                      <w:rFonts w:eastAsia="宋体"/>
                      <w:color w:val="auto"/>
                      <w:sz w:val="21"/>
                      <w:szCs w:val="21"/>
                    </w:rPr>
                    <w:t>。</w:t>
                  </w:r>
                </w:p>
              </w:tc>
              <w:tc>
                <w:tcPr>
                  <w:tcW w:w="689" w:type="dxa"/>
                  <w:vAlign w:val="center"/>
                </w:tcPr>
                <w:p>
                  <w:pPr>
                    <w:jc w:val="center"/>
                    <w:rPr>
                      <w:szCs w:val="21"/>
                    </w:rPr>
                  </w:pPr>
                  <w:r>
                    <w:rPr>
                      <w:rFonts w:hint="eastAsia"/>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39" w:type="dxa"/>
                  <w:vAlign w:val="center"/>
                </w:tcPr>
                <w:p>
                  <w:pPr>
                    <w:jc w:val="center"/>
                    <w:rPr>
                      <w:szCs w:val="21"/>
                    </w:rPr>
                  </w:pPr>
                  <w:r>
                    <w:rPr>
                      <w:szCs w:val="21"/>
                    </w:rPr>
                    <w:t>2</w:t>
                  </w:r>
                </w:p>
              </w:tc>
              <w:tc>
                <w:tcPr>
                  <w:tcW w:w="1057" w:type="dxa"/>
                  <w:gridSpan w:val="2"/>
                  <w:vAlign w:val="center"/>
                </w:tcPr>
                <w:p>
                  <w:pPr>
                    <w:jc w:val="center"/>
                    <w:rPr>
                      <w:szCs w:val="21"/>
                    </w:rPr>
                  </w:pPr>
                  <w:r>
                    <w:rPr>
                      <w:szCs w:val="21"/>
                    </w:rPr>
                    <w:t>环境风险评价结论</w:t>
                  </w:r>
                </w:p>
              </w:tc>
              <w:tc>
                <w:tcPr>
                  <w:tcW w:w="3261" w:type="dxa"/>
                  <w:vAlign w:val="center"/>
                </w:tcPr>
                <w:p>
                  <w:pPr>
                    <w:pStyle w:val="98"/>
                    <w:adjustRightInd w:val="0"/>
                    <w:snapToGrid w:val="0"/>
                    <w:jc w:val="both"/>
                    <w:rPr>
                      <w:rFonts w:eastAsia="宋体"/>
                      <w:color w:val="auto"/>
                      <w:sz w:val="21"/>
                      <w:szCs w:val="21"/>
                    </w:rPr>
                  </w:pPr>
                  <w:r>
                    <w:rPr>
                      <w:rFonts w:eastAsia="宋体"/>
                      <w:color w:val="auto"/>
                      <w:sz w:val="21"/>
                      <w:szCs w:val="21"/>
                    </w:rPr>
                    <w:t>集聚区以化工产业和生物医药产业为主导产业，除化工外，其他行业存在的环境风险相对较小，而化工企业应严格按照有关环境风险的防范、应急要求进行管理，同时，集聚区管委会也应对其严格控制，定期对其风险防范措施进行检查。</w:t>
                  </w:r>
                </w:p>
              </w:tc>
              <w:tc>
                <w:tcPr>
                  <w:tcW w:w="1984" w:type="dxa"/>
                  <w:vAlign w:val="center"/>
                </w:tcPr>
                <w:p>
                  <w:pPr>
                    <w:pStyle w:val="98"/>
                    <w:adjustRightInd w:val="0"/>
                    <w:snapToGrid w:val="0"/>
                    <w:jc w:val="both"/>
                    <w:rPr>
                      <w:b/>
                      <w:sz w:val="24"/>
                    </w:rPr>
                  </w:pPr>
                  <w:r>
                    <w:rPr>
                      <w:rFonts w:eastAsia="宋体"/>
                      <w:color w:val="auto"/>
                      <w:sz w:val="21"/>
                      <w:szCs w:val="21"/>
                    </w:rPr>
                    <w:t>本项目</w:t>
                  </w:r>
                  <w:r>
                    <w:rPr>
                      <w:rFonts w:hint="eastAsia" w:eastAsia="宋体"/>
                      <w:color w:val="auto"/>
                      <w:sz w:val="21"/>
                      <w:szCs w:val="21"/>
                    </w:rPr>
                    <w:t>为新建项目，为检测服务业，</w:t>
                  </w:r>
                  <w:r>
                    <w:rPr>
                      <w:rFonts w:eastAsia="宋体"/>
                      <w:color w:val="auto"/>
                      <w:sz w:val="21"/>
                      <w:szCs w:val="21"/>
                    </w:rPr>
                    <w:t>不属于化工和医药产业。</w:t>
                  </w:r>
                </w:p>
              </w:tc>
              <w:tc>
                <w:tcPr>
                  <w:tcW w:w="689" w:type="dxa"/>
                  <w:vAlign w:val="center"/>
                </w:tcPr>
                <w:p>
                  <w:pPr>
                    <w:jc w:val="center"/>
                    <w:rPr>
                      <w:szCs w:val="21"/>
                    </w:rPr>
                  </w:pPr>
                  <w:r>
                    <w:rPr>
                      <w:rFonts w:hint="eastAsia"/>
                      <w:szCs w:val="21"/>
                    </w:rPr>
                    <w:t>符合</w:t>
                  </w:r>
                </w:p>
              </w:tc>
            </w:tr>
          </w:tbl>
          <w:p>
            <w:pPr>
              <w:adjustRightInd w:val="0"/>
              <w:snapToGrid w:val="0"/>
              <w:spacing w:line="480" w:lineRule="exact"/>
              <w:ind w:firstLine="482" w:firstLineChars="200"/>
              <w:rPr>
                <w:b/>
                <w:kern w:val="0"/>
                <w:sz w:val="24"/>
                <w:u w:val="single"/>
              </w:rPr>
            </w:pPr>
            <w:r>
              <w:rPr>
                <w:b/>
                <w:bCs/>
                <w:color w:val="000000"/>
                <w:sz w:val="24"/>
              </w:rPr>
              <w:t>4、</w:t>
            </w:r>
            <w:r>
              <w:rPr>
                <w:rFonts w:hint="eastAsia"/>
                <w:b/>
                <w:bCs/>
                <w:color w:val="000000"/>
                <w:sz w:val="24"/>
              </w:rPr>
              <w:t>本项目与</w:t>
            </w:r>
            <w:r>
              <w:rPr>
                <w:b/>
                <w:bCs/>
                <w:color w:val="000000"/>
                <w:sz w:val="24"/>
              </w:rPr>
              <w:t>规划环评审查意见相符性分析</w:t>
            </w:r>
          </w:p>
          <w:p>
            <w:pPr>
              <w:spacing w:line="460" w:lineRule="exact"/>
              <w:ind w:firstLine="480" w:firstLineChars="200"/>
              <w:rPr>
                <w:sz w:val="24"/>
              </w:rPr>
            </w:pPr>
            <w:r>
              <w:rPr>
                <w:sz w:val="24"/>
              </w:rPr>
              <w:t>本项目与河南省</w:t>
            </w:r>
            <w:r>
              <w:rPr>
                <w:rFonts w:hint="eastAsia"/>
                <w:sz w:val="24"/>
              </w:rPr>
              <w:t>环境保护</w:t>
            </w:r>
            <w:r>
              <w:rPr>
                <w:sz w:val="24"/>
              </w:rPr>
              <w:t>厅关于新乡经济技术产业集聚区总体发展规划（2015-2025）环境影响</w:t>
            </w:r>
            <w:r>
              <w:rPr>
                <w:rFonts w:hint="eastAsia"/>
                <w:sz w:val="24"/>
              </w:rPr>
              <w:t>报告书</w:t>
            </w:r>
            <w:r>
              <w:rPr>
                <w:sz w:val="24"/>
              </w:rPr>
              <w:t>的审查意见（豫环函[2018]28号）相符性对照分析如下。</w:t>
            </w:r>
          </w:p>
          <w:p>
            <w:pPr>
              <w:widowControl/>
              <w:spacing w:line="440" w:lineRule="exact"/>
              <w:ind w:firstLine="480" w:firstLineChars="200"/>
              <w:jc w:val="left"/>
              <w:rPr>
                <w:rFonts w:eastAsia="黑体"/>
                <w:sz w:val="24"/>
              </w:rPr>
            </w:pPr>
          </w:p>
          <w:p>
            <w:pPr>
              <w:widowControl/>
              <w:spacing w:line="440" w:lineRule="exact"/>
              <w:ind w:firstLine="480" w:firstLineChars="200"/>
              <w:jc w:val="left"/>
              <w:rPr>
                <w:rFonts w:eastAsia="黑体"/>
                <w:sz w:val="24"/>
              </w:rPr>
            </w:pPr>
          </w:p>
          <w:p>
            <w:pPr>
              <w:widowControl/>
              <w:spacing w:line="440" w:lineRule="exact"/>
              <w:ind w:firstLine="480" w:firstLineChars="200"/>
              <w:jc w:val="left"/>
              <w:rPr>
                <w:rFonts w:eastAsia="黑体"/>
                <w:sz w:val="24"/>
              </w:rPr>
            </w:pPr>
            <w:r>
              <w:rPr>
                <w:rFonts w:hint="eastAsia" w:eastAsia="黑体"/>
                <w:sz w:val="24"/>
              </w:rPr>
              <w:t>表</w:t>
            </w:r>
            <w:r>
              <w:rPr>
                <w:rFonts w:eastAsia="黑体"/>
                <w:sz w:val="24"/>
              </w:rPr>
              <w:t xml:space="preserve">6         </w:t>
            </w:r>
            <w:r>
              <w:rPr>
                <w:rFonts w:hint="eastAsia" w:eastAsia="黑体"/>
                <w:sz w:val="24"/>
              </w:rPr>
              <w:t>本项目与审查意见对照分析一览表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539"/>
              <w:gridCol w:w="704"/>
              <w:gridCol w:w="3922"/>
              <w:gridCol w:w="1681"/>
              <w:gridCol w:w="684"/>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46" w:type="dxa"/>
                  <w:vAlign w:val="center"/>
                </w:tcPr>
                <w:p>
                  <w:pPr>
                    <w:jc w:val="center"/>
                    <w:rPr>
                      <w:b/>
                      <w:bCs/>
                      <w:szCs w:val="21"/>
                    </w:rPr>
                  </w:pPr>
                  <w:r>
                    <w:rPr>
                      <w:b/>
                      <w:bCs/>
                      <w:szCs w:val="21"/>
                    </w:rPr>
                    <w:t>序号</w:t>
                  </w:r>
                </w:p>
              </w:tc>
              <w:tc>
                <w:tcPr>
                  <w:tcW w:w="4681" w:type="dxa"/>
                  <w:gridSpan w:val="2"/>
                  <w:vAlign w:val="center"/>
                </w:tcPr>
                <w:p>
                  <w:pPr>
                    <w:pStyle w:val="98"/>
                    <w:adjustRightInd w:val="0"/>
                    <w:snapToGrid w:val="0"/>
                    <w:jc w:val="center"/>
                    <w:rPr>
                      <w:rFonts w:eastAsia="宋体"/>
                      <w:b/>
                      <w:bCs/>
                      <w:color w:val="auto"/>
                      <w:sz w:val="21"/>
                      <w:szCs w:val="21"/>
                    </w:rPr>
                  </w:pPr>
                  <w:r>
                    <w:rPr>
                      <w:rFonts w:eastAsia="宋体"/>
                      <w:b/>
                      <w:bCs/>
                      <w:color w:val="auto"/>
                      <w:sz w:val="21"/>
                      <w:szCs w:val="21"/>
                    </w:rPr>
                    <w:t>具体内容</w:t>
                  </w:r>
                </w:p>
              </w:tc>
              <w:tc>
                <w:tcPr>
                  <w:tcW w:w="1701" w:type="dxa"/>
                  <w:vAlign w:val="center"/>
                </w:tcPr>
                <w:p>
                  <w:pPr>
                    <w:pStyle w:val="98"/>
                    <w:adjustRightInd w:val="0"/>
                    <w:snapToGrid w:val="0"/>
                    <w:jc w:val="center"/>
                    <w:rPr>
                      <w:rFonts w:eastAsia="宋体"/>
                      <w:b/>
                      <w:bCs/>
                      <w:color w:val="auto"/>
                      <w:sz w:val="21"/>
                      <w:szCs w:val="21"/>
                    </w:rPr>
                  </w:pPr>
                  <w:r>
                    <w:rPr>
                      <w:rFonts w:hint="eastAsia" w:eastAsia="宋体"/>
                      <w:b/>
                      <w:bCs/>
                      <w:color w:val="auto"/>
                      <w:sz w:val="21"/>
                      <w:szCs w:val="21"/>
                    </w:rPr>
                    <w:t>本</w:t>
                  </w:r>
                  <w:r>
                    <w:rPr>
                      <w:rFonts w:eastAsia="宋体"/>
                      <w:b/>
                      <w:bCs/>
                      <w:color w:val="auto"/>
                      <w:sz w:val="21"/>
                      <w:szCs w:val="21"/>
                    </w:rPr>
                    <w:t>项目情况</w:t>
                  </w:r>
                </w:p>
              </w:tc>
              <w:tc>
                <w:tcPr>
                  <w:tcW w:w="692" w:type="dxa"/>
                  <w:vAlign w:val="center"/>
                </w:tcPr>
                <w:p>
                  <w:pPr>
                    <w:pStyle w:val="98"/>
                    <w:adjustRightInd w:val="0"/>
                    <w:snapToGrid w:val="0"/>
                    <w:jc w:val="center"/>
                    <w:rPr>
                      <w:rFonts w:eastAsia="宋体"/>
                      <w:b/>
                      <w:bCs/>
                      <w:color w:val="auto"/>
                      <w:sz w:val="21"/>
                      <w:szCs w:val="21"/>
                    </w:rPr>
                  </w:pPr>
                  <w:r>
                    <w:rPr>
                      <w:rFonts w:hint="eastAsia" w:eastAsia="宋体"/>
                      <w:b/>
                      <w:bCs/>
                      <w:color w:val="auto"/>
                      <w:sz w:val="21"/>
                      <w:szCs w:val="21"/>
                    </w:rPr>
                    <w:t>相符性</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46" w:type="dxa"/>
                  <w:tcBorders>
                    <w:top w:val="single" w:color="auto" w:sz="8" w:space="0"/>
                  </w:tcBorders>
                  <w:vAlign w:val="center"/>
                </w:tcPr>
                <w:p>
                  <w:pPr>
                    <w:jc w:val="center"/>
                    <w:rPr>
                      <w:szCs w:val="21"/>
                    </w:rPr>
                  </w:pPr>
                  <w:r>
                    <w:rPr>
                      <w:rFonts w:hint="eastAsia"/>
                      <w:szCs w:val="21"/>
                    </w:rPr>
                    <w:t>1</w:t>
                  </w:r>
                </w:p>
              </w:tc>
              <w:tc>
                <w:tcPr>
                  <w:tcW w:w="712" w:type="dxa"/>
                  <w:tcBorders>
                    <w:top w:val="single" w:color="auto" w:sz="8" w:space="0"/>
                  </w:tcBorders>
                  <w:vAlign w:val="center"/>
                </w:tcPr>
                <w:p>
                  <w:pPr>
                    <w:pStyle w:val="98"/>
                    <w:adjustRightInd w:val="0"/>
                    <w:snapToGrid w:val="0"/>
                    <w:jc w:val="center"/>
                    <w:rPr>
                      <w:rFonts w:eastAsia="宋体"/>
                      <w:color w:val="auto"/>
                      <w:sz w:val="21"/>
                      <w:szCs w:val="21"/>
                    </w:rPr>
                  </w:pPr>
                  <w:r>
                    <w:rPr>
                      <w:rFonts w:hint="eastAsia" w:eastAsia="宋体"/>
                      <w:color w:val="auto"/>
                      <w:sz w:val="21"/>
                      <w:szCs w:val="21"/>
                    </w:rPr>
                    <w:t>四（一）合理用地布局</w:t>
                  </w:r>
                </w:p>
              </w:tc>
              <w:tc>
                <w:tcPr>
                  <w:tcW w:w="3969" w:type="dxa"/>
                  <w:tcBorders>
                    <w:top w:val="single" w:color="auto" w:sz="8" w:space="0"/>
                  </w:tcBorders>
                  <w:vAlign w:val="center"/>
                </w:tcPr>
                <w:p>
                  <w:pPr>
                    <w:pStyle w:val="98"/>
                    <w:adjustRightInd w:val="0"/>
                    <w:snapToGrid w:val="0"/>
                    <w:jc w:val="both"/>
                    <w:rPr>
                      <w:rFonts w:eastAsia="宋体"/>
                      <w:color w:val="auto"/>
                      <w:sz w:val="21"/>
                      <w:szCs w:val="21"/>
                    </w:rPr>
                  </w:pPr>
                  <w:r>
                    <w:rPr>
                      <w:rFonts w:hint="eastAsia" w:eastAsia="宋体"/>
                      <w:color w:val="auto"/>
                      <w:sz w:val="21"/>
                      <w:szCs w:val="21"/>
                    </w:rPr>
                    <w:t>进一步加强与城市总体规划、土地利用总体规划的衔接，保持规划之间一致，北区部分区域位于新乡市城市总体规划空间管制“限建区”范围，严格按照新乡市城市总体规划空间管制“限建区”管理要求进行开发建设。优化用地布局，在开发过程中不应随意改变各用地功能区的使用功能，并注重节约集约用地；北区发展方向原则上立足干河南心连心化肥有限公司退城入园项目及自身产业链条发展项目，严控其用地(包括三类工业用地)和产业发展规模，在距离新乡县主城区近的园区西侧设置二类工业用地，布置二类工业企业，不再规划发展化工项目，同时设置绿化带，防止工业对城区及周边生活环境造成不良影响，中区工业区与刘庄、刘店社区之间设置防护绿地，减少工业对居住的影响。贾太湖水源地位于集聚区北侧，加强对饮用水源保护区的保护，防止对水源地造成不良影响，同时与当地政府协调配合，加快水源地的调整工作。按照《报告书》要求，对现有的与集聚区用地及布局规划不相符的企业，限制其发展，部分企业逐步搬迁；园区内冷藏冷冻产业园位于装备制造产业组团内，不宜再发展食品企业，冷藏冷冻产业园内现有食品企业周围100米范围内不再布置喷漆等对食品企业有影响的企业。区内建设项目的大气环境防护范围内，不得规划新建居住区、学校、医院等环境敏感目标。</w:t>
                  </w:r>
                </w:p>
              </w:tc>
              <w:tc>
                <w:tcPr>
                  <w:tcW w:w="1701" w:type="dxa"/>
                  <w:tcBorders>
                    <w:top w:val="single" w:color="auto" w:sz="8" w:space="0"/>
                  </w:tcBorders>
                  <w:vAlign w:val="center"/>
                </w:tcPr>
                <w:p>
                  <w:pPr>
                    <w:adjustRightInd w:val="0"/>
                    <w:snapToGrid w:val="0"/>
                    <w:rPr>
                      <w:b/>
                      <w:bCs/>
                      <w:szCs w:val="21"/>
                    </w:rPr>
                  </w:pPr>
                  <w:r>
                    <w:rPr>
                      <w:rFonts w:hint="eastAsia"/>
                      <w:bCs/>
                      <w:szCs w:val="21"/>
                    </w:rPr>
                    <w:t>本项目为检测服务业，</w:t>
                  </w:r>
                  <w:r>
                    <w:rPr>
                      <w:szCs w:val="21"/>
                    </w:rPr>
                    <w:t>位于</w:t>
                  </w:r>
                  <w:r>
                    <w:rPr>
                      <w:rFonts w:hint="eastAsia"/>
                      <w:szCs w:val="21"/>
                    </w:rPr>
                    <w:t>新乡经济技术产业集聚区南区印海智谷产业园A3地块，占地类型属于</w:t>
                  </w:r>
                  <w:r>
                    <w:rPr>
                      <w:szCs w:val="21"/>
                    </w:rPr>
                    <w:t>工业用地</w:t>
                  </w:r>
                  <w:r>
                    <w:rPr>
                      <w:bCs/>
                      <w:szCs w:val="21"/>
                    </w:rPr>
                    <w:t>。</w:t>
                  </w:r>
                </w:p>
              </w:tc>
              <w:tc>
                <w:tcPr>
                  <w:tcW w:w="692" w:type="dxa"/>
                  <w:tcBorders>
                    <w:top w:val="single" w:color="auto" w:sz="8" w:space="0"/>
                  </w:tcBorders>
                  <w:vAlign w:val="center"/>
                </w:tcPr>
                <w:p>
                  <w:pPr>
                    <w:jc w:val="center"/>
                    <w:rPr>
                      <w:bCs/>
                      <w:szCs w:val="21"/>
                    </w:rPr>
                  </w:pPr>
                  <w:r>
                    <w:rPr>
                      <w:rFonts w:hint="eastAsia"/>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46" w:type="dxa"/>
                  <w:vAlign w:val="center"/>
                </w:tcPr>
                <w:p>
                  <w:pPr>
                    <w:pStyle w:val="98"/>
                    <w:adjustRightInd w:val="0"/>
                    <w:snapToGrid w:val="0"/>
                    <w:jc w:val="center"/>
                    <w:rPr>
                      <w:b/>
                      <w:color w:val="auto"/>
                      <w:sz w:val="21"/>
                      <w:szCs w:val="21"/>
                    </w:rPr>
                  </w:pPr>
                  <w:r>
                    <w:rPr>
                      <w:rFonts w:hint="eastAsia" w:eastAsia="宋体"/>
                      <w:color w:val="auto"/>
                      <w:sz w:val="21"/>
                      <w:szCs w:val="21"/>
                    </w:rPr>
                    <w:t>4</w:t>
                  </w:r>
                </w:p>
              </w:tc>
              <w:tc>
                <w:tcPr>
                  <w:tcW w:w="712" w:type="dxa"/>
                  <w:vAlign w:val="center"/>
                </w:tcPr>
                <w:p>
                  <w:pPr>
                    <w:pStyle w:val="98"/>
                    <w:adjustRightInd w:val="0"/>
                    <w:snapToGrid w:val="0"/>
                    <w:jc w:val="center"/>
                    <w:rPr>
                      <w:rFonts w:eastAsia="宋体"/>
                      <w:color w:val="auto"/>
                      <w:sz w:val="21"/>
                      <w:szCs w:val="21"/>
                    </w:rPr>
                  </w:pPr>
                  <w:r>
                    <w:rPr>
                      <w:rFonts w:hint="eastAsia" w:eastAsia="宋体"/>
                      <w:color w:val="auto"/>
                      <w:sz w:val="21"/>
                      <w:szCs w:val="21"/>
                    </w:rPr>
                    <w:t>四</w:t>
                  </w:r>
                  <w:r>
                    <w:rPr>
                      <w:rFonts w:eastAsia="宋体"/>
                      <w:color w:val="auto"/>
                      <w:sz w:val="21"/>
                      <w:szCs w:val="21"/>
                    </w:rPr>
                    <w:t>（二）优化产业结构</w:t>
                  </w:r>
                </w:p>
              </w:tc>
              <w:tc>
                <w:tcPr>
                  <w:tcW w:w="3969" w:type="dxa"/>
                  <w:vAlign w:val="center"/>
                </w:tcPr>
                <w:p>
                  <w:pPr>
                    <w:pStyle w:val="98"/>
                    <w:adjustRightInd w:val="0"/>
                    <w:snapToGrid w:val="0"/>
                    <w:jc w:val="both"/>
                    <w:rPr>
                      <w:rFonts w:eastAsia="宋体"/>
                      <w:color w:val="auto"/>
                      <w:sz w:val="21"/>
                      <w:szCs w:val="21"/>
                    </w:rPr>
                  </w:pPr>
                  <w:r>
                    <w:rPr>
                      <w:rFonts w:eastAsia="宋体"/>
                      <w:color w:val="auto"/>
                      <w:sz w:val="21"/>
                      <w:szCs w:val="21"/>
                    </w:rPr>
                    <w:t>入驻项目应遵循循环经济理念，实施清洁生产，逐步优化产业机构，构筑循环经济产业链；鼓励发展主导产业，并不断完善产业链条；北区禁止新建或单纯扩大产能的以煤为原料的煤化工项目，升级改造及退城入园的合成氨和甲醇项目产能应实现等量置换，且合成氨和甲醇总产能控制在110万吨；禁止发展化学合成制药项目（单纯分装、复配除外），单纯新建、扩建生物发酵制药项目（单纯分装、复配以及现有企业升级改造项目除外）；禁止农药类项目、独立电镀项目、造纸纸浆、油墨生产（单纯分装、复配除外）项目入驻；禁止发展不符合园区定位的制革、化纤浆粕、黑色冶金、焦化、煤焦油加工、金属冶炼等不符合园区产业定位且污染较重的项目。</w:t>
                  </w:r>
                </w:p>
              </w:tc>
              <w:tc>
                <w:tcPr>
                  <w:tcW w:w="1701" w:type="dxa"/>
                  <w:vAlign w:val="center"/>
                </w:tcPr>
                <w:p>
                  <w:pPr>
                    <w:adjustRightInd w:val="0"/>
                    <w:snapToGrid w:val="0"/>
                    <w:rPr>
                      <w:color w:val="FF0000"/>
                      <w:kern w:val="0"/>
                      <w:szCs w:val="21"/>
                    </w:rPr>
                  </w:pPr>
                  <w:r>
                    <w:rPr>
                      <w:rFonts w:hint="eastAsia"/>
                      <w:szCs w:val="21"/>
                    </w:rPr>
                    <w:t>本项目为检测服务业，位于新乡经济技术产业集聚区南区印海智谷产业园A3地块</w:t>
                  </w:r>
                  <w:r>
                    <w:rPr>
                      <w:szCs w:val="21"/>
                    </w:rPr>
                    <w:t>。项目属于新建项目，</w:t>
                  </w:r>
                  <w:r>
                    <w:rPr>
                      <w:rFonts w:hint="eastAsia"/>
                      <w:szCs w:val="21"/>
                    </w:rPr>
                    <w:t>与主导产业不冲突</w:t>
                  </w:r>
                  <w:r>
                    <w:rPr>
                      <w:szCs w:val="21"/>
                    </w:rPr>
                    <w:t>，不属于</w:t>
                  </w:r>
                  <w:r>
                    <w:rPr>
                      <w:rFonts w:hint="eastAsia"/>
                      <w:szCs w:val="21"/>
                    </w:rPr>
                    <w:t>负面清单中禁止、限制类项目，符合入驻条件。</w:t>
                  </w:r>
                </w:p>
              </w:tc>
              <w:tc>
                <w:tcPr>
                  <w:tcW w:w="692" w:type="dxa"/>
                  <w:vAlign w:val="center"/>
                </w:tcPr>
                <w:p>
                  <w:pPr>
                    <w:jc w:val="center"/>
                    <w:rPr>
                      <w:szCs w:val="21"/>
                    </w:rPr>
                  </w:pPr>
                  <w:r>
                    <w:rPr>
                      <w:rFonts w:hint="eastAsia"/>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46" w:type="dxa"/>
                  <w:vAlign w:val="center"/>
                </w:tcPr>
                <w:p>
                  <w:pPr>
                    <w:pStyle w:val="98"/>
                    <w:adjustRightInd w:val="0"/>
                    <w:snapToGrid w:val="0"/>
                    <w:jc w:val="center"/>
                    <w:rPr>
                      <w:rFonts w:eastAsia="宋体"/>
                      <w:color w:val="auto"/>
                      <w:sz w:val="21"/>
                      <w:szCs w:val="21"/>
                    </w:rPr>
                  </w:pPr>
                  <w:r>
                    <w:rPr>
                      <w:rFonts w:hint="eastAsia" w:eastAsia="宋体"/>
                      <w:color w:val="auto"/>
                      <w:sz w:val="21"/>
                      <w:szCs w:val="21"/>
                    </w:rPr>
                    <w:t>5</w:t>
                  </w:r>
                </w:p>
              </w:tc>
              <w:tc>
                <w:tcPr>
                  <w:tcW w:w="712" w:type="dxa"/>
                  <w:vAlign w:val="center"/>
                </w:tcPr>
                <w:p>
                  <w:pPr>
                    <w:pStyle w:val="98"/>
                    <w:adjustRightInd w:val="0"/>
                    <w:snapToGrid w:val="0"/>
                    <w:jc w:val="center"/>
                    <w:rPr>
                      <w:rFonts w:eastAsia="宋体"/>
                      <w:color w:val="auto"/>
                      <w:sz w:val="21"/>
                      <w:szCs w:val="21"/>
                    </w:rPr>
                  </w:pPr>
                  <w:r>
                    <w:rPr>
                      <w:rFonts w:hint="eastAsia" w:eastAsia="宋体"/>
                      <w:color w:val="auto"/>
                      <w:sz w:val="21"/>
                      <w:szCs w:val="21"/>
                    </w:rPr>
                    <w:t>四</w:t>
                  </w:r>
                  <w:r>
                    <w:rPr>
                      <w:rFonts w:eastAsia="宋体"/>
                      <w:color w:val="auto"/>
                      <w:sz w:val="21"/>
                      <w:szCs w:val="21"/>
                    </w:rPr>
                    <w:t>（三）尽快完善环保基础设施</w:t>
                  </w:r>
                </w:p>
              </w:tc>
              <w:tc>
                <w:tcPr>
                  <w:tcW w:w="3969" w:type="dxa"/>
                  <w:vAlign w:val="center"/>
                </w:tcPr>
                <w:p>
                  <w:pPr>
                    <w:pStyle w:val="98"/>
                    <w:adjustRightInd w:val="0"/>
                    <w:snapToGrid w:val="0"/>
                    <w:spacing w:line="240" w:lineRule="exact"/>
                    <w:jc w:val="both"/>
                    <w:rPr>
                      <w:rFonts w:eastAsia="宋体"/>
                      <w:color w:val="auto"/>
                      <w:sz w:val="21"/>
                      <w:szCs w:val="21"/>
                    </w:rPr>
                  </w:pPr>
                  <w:r>
                    <w:rPr>
                      <w:rFonts w:eastAsia="宋体"/>
                      <w:color w:val="auto"/>
                      <w:sz w:val="21"/>
                      <w:szCs w:val="21"/>
                    </w:rPr>
                    <w:t>按照“清污分流、雨污分流、中水回用”的要求，加快建设污水处理厂扩建工程和中水深度处理回用工程，完善配套污水管网，确保入区企业外排废水全部经管网收集后进入污水处理厂处理，入园企业均不得单独设置废水排放口，减少对纳污水体的影响。集聚区应实施集中供热、供气，进一步优化能源结构，加快集中供热中心及配套供热管网建设，区内不得建设分散燃煤锅炉。</w:t>
                  </w:r>
                </w:p>
                <w:p>
                  <w:pPr>
                    <w:pStyle w:val="98"/>
                    <w:adjustRightInd w:val="0"/>
                    <w:snapToGrid w:val="0"/>
                    <w:spacing w:line="240" w:lineRule="exact"/>
                    <w:jc w:val="both"/>
                    <w:rPr>
                      <w:rFonts w:eastAsia="宋体"/>
                      <w:color w:val="auto"/>
                      <w:sz w:val="21"/>
                      <w:szCs w:val="21"/>
                    </w:rPr>
                  </w:pPr>
                  <w:r>
                    <w:rPr>
                      <w:rFonts w:eastAsia="宋体"/>
                      <w:color w:val="auto"/>
                      <w:sz w:val="21"/>
                      <w:szCs w:val="21"/>
                    </w:rPr>
                    <w:t>按照循环经济的要求，提高固体废物的综合利用率，积极探索固废综合利用途径，提高一般工业固废综合利用率，严禁企业随意弃置；危险固废的收集、贮存应满足《危险废物贮存污染控制标准》（GB18597-2001）的要求，并送有资质的危险废物处置单位处置，危险废物的转运应执行《危险废物转移联单管理办法》的有关规定。</w:t>
                  </w:r>
                </w:p>
              </w:tc>
              <w:tc>
                <w:tcPr>
                  <w:tcW w:w="1701" w:type="dxa"/>
                  <w:vAlign w:val="center"/>
                </w:tcPr>
                <w:p>
                  <w:pPr>
                    <w:adjustRightInd w:val="0"/>
                    <w:snapToGrid w:val="0"/>
                    <w:rPr>
                      <w:b/>
                      <w:color w:val="FF0000"/>
                      <w:kern w:val="0"/>
                      <w:szCs w:val="21"/>
                    </w:rPr>
                  </w:pPr>
                  <w:r>
                    <w:rPr>
                      <w:szCs w:val="21"/>
                    </w:rPr>
                    <w:t>本项目生活污水</w:t>
                  </w:r>
                  <w:r>
                    <w:rPr>
                      <w:rFonts w:hint="eastAsia"/>
                      <w:szCs w:val="21"/>
                    </w:rPr>
                    <w:t>经化粪池处理后与经一体化污水处理设施处理的生产废水</w:t>
                  </w:r>
                  <w:r>
                    <w:rPr>
                      <w:szCs w:val="21"/>
                    </w:rPr>
                    <w:t>，</w:t>
                  </w:r>
                  <w:r>
                    <w:rPr>
                      <w:rFonts w:hint="eastAsia"/>
                      <w:szCs w:val="21"/>
                    </w:rPr>
                    <w:t>统一经市政管网</w:t>
                  </w:r>
                  <w:r>
                    <w:rPr>
                      <w:szCs w:val="21"/>
                    </w:rPr>
                    <w:t>排入新乡县综合污水处理厂</w:t>
                  </w:r>
                  <w:r>
                    <w:rPr>
                      <w:rFonts w:hint="eastAsia"/>
                      <w:szCs w:val="21"/>
                    </w:rPr>
                    <w:t>进一步处理</w:t>
                  </w:r>
                  <w:r>
                    <w:rPr>
                      <w:szCs w:val="21"/>
                    </w:rPr>
                    <w:t>，项目不使用燃煤锅炉。</w:t>
                  </w:r>
                  <w:r>
                    <w:rPr>
                      <w:kern w:val="0"/>
                      <w:szCs w:val="21"/>
                    </w:rPr>
                    <w:t>本项目一般固废能得到合理处置，危险废物</w:t>
                  </w:r>
                  <w:r>
                    <w:rPr>
                      <w:szCs w:val="21"/>
                    </w:rPr>
                    <w:t>送有资质的单位处置，能够满足《危险废物贮存污染控制标准》（GB18597-2001）</w:t>
                  </w:r>
                  <w:r>
                    <w:rPr>
                      <w:rFonts w:hint="eastAsia"/>
                      <w:szCs w:val="21"/>
                    </w:rPr>
                    <w:t>及2013年修改单</w:t>
                  </w:r>
                  <w:r>
                    <w:rPr>
                      <w:szCs w:val="21"/>
                    </w:rPr>
                    <w:t>的要求，转运</w:t>
                  </w:r>
                  <w:r>
                    <w:rPr>
                      <w:rFonts w:hint="eastAsia"/>
                      <w:szCs w:val="21"/>
                    </w:rPr>
                    <w:t>符合规定有求</w:t>
                  </w:r>
                  <w:r>
                    <w:rPr>
                      <w:szCs w:val="21"/>
                    </w:rPr>
                    <w:t>。</w:t>
                  </w:r>
                </w:p>
              </w:tc>
              <w:tc>
                <w:tcPr>
                  <w:tcW w:w="692" w:type="dxa"/>
                  <w:vAlign w:val="center"/>
                </w:tcPr>
                <w:p>
                  <w:pPr>
                    <w:jc w:val="center"/>
                    <w:rPr>
                      <w:szCs w:val="21"/>
                    </w:rPr>
                  </w:pPr>
                  <w:r>
                    <w:rPr>
                      <w:rFonts w:hint="eastAsia"/>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46" w:type="dxa"/>
                  <w:vAlign w:val="center"/>
                </w:tcPr>
                <w:p>
                  <w:pPr>
                    <w:pStyle w:val="98"/>
                    <w:adjustRightInd w:val="0"/>
                    <w:snapToGrid w:val="0"/>
                    <w:jc w:val="center"/>
                    <w:rPr>
                      <w:rFonts w:eastAsia="宋体"/>
                      <w:color w:val="auto"/>
                      <w:sz w:val="21"/>
                      <w:szCs w:val="21"/>
                    </w:rPr>
                  </w:pPr>
                  <w:r>
                    <w:rPr>
                      <w:rFonts w:hint="eastAsia" w:eastAsia="宋体"/>
                      <w:color w:val="auto"/>
                      <w:sz w:val="21"/>
                      <w:szCs w:val="21"/>
                    </w:rPr>
                    <w:t>6</w:t>
                  </w:r>
                </w:p>
              </w:tc>
              <w:tc>
                <w:tcPr>
                  <w:tcW w:w="712" w:type="dxa"/>
                  <w:vAlign w:val="center"/>
                </w:tcPr>
                <w:p>
                  <w:pPr>
                    <w:pStyle w:val="98"/>
                    <w:adjustRightInd w:val="0"/>
                    <w:snapToGrid w:val="0"/>
                    <w:jc w:val="center"/>
                    <w:rPr>
                      <w:rFonts w:eastAsia="宋体"/>
                      <w:color w:val="auto"/>
                      <w:sz w:val="21"/>
                      <w:szCs w:val="21"/>
                    </w:rPr>
                  </w:pPr>
                  <w:r>
                    <w:rPr>
                      <w:rFonts w:hint="eastAsia" w:eastAsia="宋体"/>
                      <w:color w:val="auto"/>
                      <w:sz w:val="21"/>
                      <w:szCs w:val="21"/>
                    </w:rPr>
                    <w:t>四</w:t>
                  </w:r>
                  <w:r>
                    <w:rPr>
                      <w:rFonts w:eastAsia="宋体"/>
                      <w:color w:val="auto"/>
                      <w:sz w:val="21"/>
                      <w:szCs w:val="21"/>
                    </w:rPr>
                    <w:t>（四）严格控制污染物排放</w:t>
                  </w:r>
                </w:p>
              </w:tc>
              <w:tc>
                <w:tcPr>
                  <w:tcW w:w="3969" w:type="dxa"/>
                  <w:vAlign w:val="center"/>
                </w:tcPr>
                <w:p>
                  <w:pPr>
                    <w:pStyle w:val="98"/>
                    <w:adjustRightInd w:val="0"/>
                    <w:snapToGrid w:val="0"/>
                    <w:spacing w:line="240" w:lineRule="exact"/>
                    <w:jc w:val="both"/>
                    <w:rPr>
                      <w:rFonts w:eastAsia="宋体"/>
                      <w:color w:val="auto"/>
                      <w:sz w:val="21"/>
                      <w:szCs w:val="21"/>
                    </w:rPr>
                  </w:pPr>
                  <w:r>
                    <w:rPr>
                      <w:rFonts w:eastAsia="宋体"/>
                      <w:color w:val="auto"/>
                      <w:sz w:val="21"/>
                      <w:szCs w:val="21"/>
                    </w:rPr>
                    <w:t>严格执行污染物排放总量控制制度，采取调整能源结构、加强污染治理等措施，严格控制烟粉尘、二氧化硫、氮氧化物、VOCs等大气污染物的排放。抓紧实施中水回用工程，完善配套中水回用管网，减少废水排放量，保证污水处理设施的正常运行，尽快对污水处理厂进行提标改造，确保污水处理厂出水执行《城镇污水处理厂污染物排放标准》（GB18918-2002）一级标准的A标准（其中COD≤40mg/L，氨氮≤2mg/L），减少对纳污水体的影响。尽快实现集聚区集中供水，逐步关停企业自备水井。定期对地下水质进行监测，发现问题，及时采取有效防治措施，避免对地下水造成污染。</w:t>
                  </w:r>
                </w:p>
              </w:tc>
              <w:tc>
                <w:tcPr>
                  <w:tcW w:w="1701" w:type="dxa"/>
                  <w:vAlign w:val="center"/>
                </w:tcPr>
                <w:p>
                  <w:pPr>
                    <w:pStyle w:val="98"/>
                    <w:adjustRightInd w:val="0"/>
                    <w:snapToGrid w:val="0"/>
                    <w:jc w:val="both"/>
                    <w:rPr>
                      <w:rFonts w:eastAsia="宋体"/>
                      <w:color w:val="auto"/>
                      <w:sz w:val="21"/>
                      <w:szCs w:val="21"/>
                    </w:rPr>
                  </w:pPr>
                  <w:r>
                    <w:rPr>
                      <w:rFonts w:hint="eastAsia" w:eastAsia="宋体"/>
                      <w:color w:val="auto"/>
                      <w:sz w:val="21"/>
                      <w:szCs w:val="21"/>
                    </w:rPr>
                    <w:t>本项目实验室产生的废气经收集后引至“水喷淋塔+除雾器+UV光催化氧化+活性炭吸附”设施治理后能实现达标排放</w:t>
                  </w:r>
                  <w:r>
                    <w:rPr>
                      <w:rFonts w:eastAsia="宋体"/>
                      <w:color w:val="auto"/>
                      <w:sz w:val="21"/>
                      <w:szCs w:val="21"/>
                    </w:rPr>
                    <w:t>，生活污水经化粪池处理后</w:t>
                  </w:r>
                  <w:r>
                    <w:rPr>
                      <w:rFonts w:hint="eastAsia" w:eastAsia="宋体"/>
                      <w:color w:val="auto"/>
                      <w:sz w:val="21"/>
                      <w:szCs w:val="21"/>
                    </w:rPr>
                    <w:t>与经一体化污水处理设施处理的实验室废水统一经市政管网</w:t>
                  </w:r>
                  <w:r>
                    <w:rPr>
                      <w:rFonts w:eastAsia="宋体"/>
                      <w:color w:val="auto"/>
                      <w:sz w:val="21"/>
                      <w:szCs w:val="21"/>
                    </w:rPr>
                    <w:t>排入</w:t>
                  </w:r>
                  <w:r>
                    <w:rPr>
                      <w:rFonts w:hint="eastAsia" w:eastAsia="宋体"/>
                      <w:color w:val="auto"/>
                      <w:sz w:val="21"/>
                      <w:szCs w:val="21"/>
                    </w:rPr>
                    <w:t>新乡县综合污水处理厂进一步</w:t>
                  </w:r>
                  <w:r>
                    <w:rPr>
                      <w:rFonts w:eastAsia="宋体"/>
                      <w:color w:val="auto"/>
                      <w:sz w:val="21"/>
                      <w:szCs w:val="21"/>
                    </w:rPr>
                    <w:t>。</w:t>
                  </w:r>
                </w:p>
              </w:tc>
              <w:tc>
                <w:tcPr>
                  <w:tcW w:w="692" w:type="dxa"/>
                  <w:vAlign w:val="center"/>
                </w:tcPr>
                <w:p>
                  <w:pPr>
                    <w:jc w:val="center"/>
                    <w:rPr>
                      <w:szCs w:val="21"/>
                    </w:rPr>
                  </w:pPr>
                  <w:r>
                    <w:rPr>
                      <w:rFonts w:hint="eastAsia"/>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46" w:type="dxa"/>
                  <w:vAlign w:val="center"/>
                </w:tcPr>
                <w:p>
                  <w:pPr>
                    <w:pStyle w:val="98"/>
                    <w:adjustRightInd w:val="0"/>
                    <w:snapToGrid w:val="0"/>
                    <w:jc w:val="center"/>
                    <w:rPr>
                      <w:b/>
                      <w:color w:val="auto"/>
                      <w:sz w:val="21"/>
                      <w:szCs w:val="21"/>
                    </w:rPr>
                  </w:pPr>
                  <w:r>
                    <w:rPr>
                      <w:rFonts w:hint="eastAsia" w:eastAsia="宋体"/>
                      <w:color w:val="auto"/>
                      <w:sz w:val="21"/>
                      <w:szCs w:val="21"/>
                    </w:rPr>
                    <w:t>7</w:t>
                  </w:r>
                </w:p>
              </w:tc>
              <w:tc>
                <w:tcPr>
                  <w:tcW w:w="712" w:type="dxa"/>
                  <w:vAlign w:val="center"/>
                </w:tcPr>
                <w:p>
                  <w:pPr>
                    <w:pStyle w:val="98"/>
                    <w:adjustRightInd w:val="0"/>
                    <w:snapToGrid w:val="0"/>
                    <w:jc w:val="center"/>
                    <w:rPr>
                      <w:rFonts w:eastAsia="宋体"/>
                      <w:color w:val="auto"/>
                      <w:sz w:val="21"/>
                      <w:szCs w:val="21"/>
                    </w:rPr>
                  </w:pPr>
                  <w:r>
                    <w:rPr>
                      <w:rFonts w:hint="eastAsia" w:eastAsia="宋体"/>
                      <w:color w:val="auto"/>
                      <w:sz w:val="21"/>
                      <w:szCs w:val="21"/>
                    </w:rPr>
                    <w:t>四</w:t>
                  </w:r>
                  <w:r>
                    <w:rPr>
                      <w:rFonts w:eastAsia="宋体"/>
                      <w:color w:val="auto"/>
                      <w:sz w:val="21"/>
                      <w:szCs w:val="21"/>
                    </w:rPr>
                    <w:t>（五）建立事故风险防范和应急处置体系</w:t>
                  </w:r>
                </w:p>
              </w:tc>
              <w:tc>
                <w:tcPr>
                  <w:tcW w:w="3969" w:type="dxa"/>
                  <w:vAlign w:val="center"/>
                </w:tcPr>
                <w:p>
                  <w:pPr>
                    <w:pStyle w:val="98"/>
                    <w:adjustRightInd w:val="0"/>
                    <w:snapToGrid w:val="0"/>
                    <w:jc w:val="both"/>
                    <w:rPr>
                      <w:rFonts w:eastAsia="宋体"/>
                      <w:color w:val="auto"/>
                      <w:sz w:val="21"/>
                      <w:szCs w:val="21"/>
                    </w:rPr>
                  </w:pPr>
                  <w:r>
                    <w:rPr>
                      <w:rFonts w:eastAsia="宋体"/>
                      <w:color w:val="auto"/>
                      <w:sz w:val="21"/>
                      <w:szCs w:val="21"/>
                    </w:rPr>
                    <w:t>加快环境风险预警体系建设，健全环境风险单位信息库，严格危险化学品管理；健全环境风险防控工程，建立企业、产业集聚区和周边水系环境风险防控体系。建立完善有效的环境风险防控设施和有效的拦截、降污、导流等措施，防止对地表水造成危害；加强环境应急保障体系建设，园内企业应制定环境应急预案，明确环境风险防范措施。园区管理机构应根据园区自身特点，制定园区级综合环境应急预案，结合园区新、改、扩建项目的建设，不断完善各类突发环境事件应急预案，有计划地组织应急培训和演练，全面提升园区风险防控和事故应急处置能力。</w:t>
                  </w:r>
                </w:p>
              </w:tc>
              <w:tc>
                <w:tcPr>
                  <w:tcW w:w="1701" w:type="dxa"/>
                  <w:vAlign w:val="center"/>
                </w:tcPr>
                <w:p>
                  <w:pPr>
                    <w:pStyle w:val="98"/>
                    <w:adjustRightInd w:val="0"/>
                    <w:snapToGrid w:val="0"/>
                    <w:jc w:val="both"/>
                    <w:rPr>
                      <w:rFonts w:eastAsia="宋体"/>
                      <w:color w:val="auto"/>
                      <w:sz w:val="21"/>
                      <w:szCs w:val="21"/>
                    </w:rPr>
                  </w:pPr>
                  <w:r>
                    <w:rPr>
                      <w:rFonts w:hint="eastAsia" w:eastAsia="宋体"/>
                      <w:color w:val="auto"/>
                      <w:sz w:val="21"/>
                      <w:szCs w:val="21"/>
                    </w:rPr>
                    <w:t>本项目涉及的风险物质主要为实验室试剂，试剂在药剂室暂存，在采取加强药剂室管理，制定突发环境事件应急预案等措施后，可以有效防控事故风险</w:t>
                  </w:r>
                  <w:r>
                    <w:rPr>
                      <w:rFonts w:eastAsia="宋体"/>
                      <w:color w:val="auto"/>
                      <w:sz w:val="21"/>
                      <w:szCs w:val="21"/>
                    </w:rPr>
                    <w:t>。</w:t>
                  </w:r>
                </w:p>
              </w:tc>
              <w:tc>
                <w:tcPr>
                  <w:tcW w:w="692" w:type="dxa"/>
                  <w:vAlign w:val="center"/>
                </w:tcPr>
                <w:p>
                  <w:pPr>
                    <w:jc w:val="center"/>
                    <w:rPr>
                      <w:szCs w:val="21"/>
                    </w:rPr>
                  </w:pPr>
                  <w:r>
                    <w:rPr>
                      <w:rFonts w:hint="eastAsia"/>
                      <w:szCs w:val="21"/>
                    </w:rPr>
                    <w:t>符合</w:t>
                  </w:r>
                </w:p>
              </w:tc>
            </w:tr>
          </w:tbl>
          <w:p>
            <w:pPr>
              <w:adjustRightInd w:val="0"/>
              <w:snapToGrid w:val="0"/>
              <w:spacing w:line="480" w:lineRule="exact"/>
              <w:ind w:firstLine="482" w:firstLineChars="200"/>
              <w:rPr>
                <w:b/>
                <w:kern w:val="0"/>
                <w:sz w:val="24"/>
                <w:u w:val="single"/>
              </w:rPr>
            </w:pPr>
            <w:r>
              <w:rPr>
                <w:b/>
                <w:bCs/>
                <w:color w:val="000000"/>
                <w:sz w:val="24"/>
              </w:rPr>
              <w:t>5、</w:t>
            </w:r>
            <w:r>
              <w:rPr>
                <w:rFonts w:hint="eastAsia"/>
                <w:b/>
                <w:bCs/>
                <w:color w:val="000000"/>
                <w:sz w:val="24"/>
              </w:rPr>
              <w:t>本项目与</w:t>
            </w:r>
            <w:r>
              <w:rPr>
                <w:b/>
                <w:bCs/>
                <w:color w:val="000000"/>
                <w:sz w:val="24"/>
              </w:rPr>
              <w:t>规划环评审查意见相符性分析</w:t>
            </w:r>
          </w:p>
          <w:p>
            <w:pPr>
              <w:spacing w:line="460" w:lineRule="exact"/>
              <w:ind w:firstLine="480" w:firstLineChars="200"/>
              <w:rPr>
                <w:sz w:val="24"/>
              </w:rPr>
            </w:pPr>
            <w:r>
              <w:rPr>
                <w:sz w:val="24"/>
              </w:rPr>
              <w:t>本项目与河南省</w:t>
            </w:r>
            <w:r>
              <w:rPr>
                <w:rFonts w:hint="eastAsia"/>
                <w:sz w:val="24"/>
              </w:rPr>
              <w:t>环境保护</w:t>
            </w:r>
            <w:r>
              <w:rPr>
                <w:sz w:val="24"/>
              </w:rPr>
              <w:t>厅关于新乡经济技术产业集聚区总体发展规划（2015-2025）环境影响</w:t>
            </w:r>
            <w:r>
              <w:rPr>
                <w:rFonts w:hint="eastAsia"/>
                <w:sz w:val="24"/>
              </w:rPr>
              <w:t>补充分析报告</w:t>
            </w:r>
            <w:r>
              <w:rPr>
                <w:sz w:val="24"/>
              </w:rPr>
              <w:t>的审查意见（豫环函[2019]39号）相符性对照分析如下。</w:t>
            </w:r>
          </w:p>
          <w:p>
            <w:pPr>
              <w:widowControl/>
              <w:spacing w:line="440" w:lineRule="exact"/>
              <w:ind w:firstLine="480" w:firstLineChars="200"/>
              <w:jc w:val="left"/>
              <w:rPr>
                <w:rFonts w:eastAsia="黑体"/>
                <w:sz w:val="24"/>
              </w:rPr>
            </w:pPr>
            <w:r>
              <w:rPr>
                <w:rFonts w:eastAsia="黑体"/>
                <w:sz w:val="24"/>
              </w:rPr>
              <w:t>表7  与集聚区规划环评</w:t>
            </w:r>
            <w:r>
              <w:rPr>
                <w:rFonts w:hint="eastAsia" w:eastAsia="黑体"/>
                <w:sz w:val="24"/>
              </w:rPr>
              <w:t>补充分析</w:t>
            </w:r>
            <w:r>
              <w:rPr>
                <w:rFonts w:eastAsia="黑体"/>
                <w:sz w:val="24"/>
              </w:rPr>
              <w:t>报告审查意见相符性分析一览表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539"/>
              <w:gridCol w:w="841"/>
              <w:gridCol w:w="3922"/>
              <w:gridCol w:w="1541"/>
              <w:gridCol w:w="687"/>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46" w:type="dxa"/>
                  <w:vAlign w:val="center"/>
                </w:tcPr>
                <w:p>
                  <w:pPr>
                    <w:jc w:val="center"/>
                    <w:rPr>
                      <w:b/>
                      <w:bCs/>
                      <w:szCs w:val="21"/>
                    </w:rPr>
                  </w:pPr>
                  <w:r>
                    <w:rPr>
                      <w:b/>
                      <w:bCs/>
                      <w:szCs w:val="21"/>
                    </w:rPr>
                    <w:t>序号</w:t>
                  </w:r>
                </w:p>
              </w:tc>
              <w:tc>
                <w:tcPr>
                  <w:tcW w:w="4820" w:type="dxa"/>
                  <w:gridSpan w:val="2"/>
                  <w:vAlign w:val="center"/>
                </w:tcPr>
                <w:p>
                  <w:pPr>
                    <w:pStyle w:val="98"/>
                    <w:adjustRightInd w:val="0"/>
                    <w:snapToGrid w:val="0"/>
                    <w:jc w:val="center"/>
                    <w:rPr>
                      <w:rFonts w:eastAsia="宋体"/>
                      <w:b/>
                      <w:bCs/>
                      <w:color w:val="auto"/>
                      <w:sz w:val="21"/>
                      <w:szCs w:val="21"/>
                    </w:rPr>
                  </w:pPr>
                  <w:r>
                    <w:rPr>
                      <w:rFonts w:eastAsia="宋体"/>
                      <w:b/>
                      <w:bCs/>
                      <w:color w:val="auto"/>
                      <w:sz w:val="21"/>
                      <w:szCs w:val="21"/>
                    </w:rPr>
                    <w:t>具体内容</w:t>
                  </w:r>
                </w:p>
              </w:tc>
              <w:tc>
                <w:tcPr>
                  <w:tcW w:w="1559" w:type="dxa"/>
                  <w:vAlign w:val="center"/>
                </w:tcPr>
                <w:p>
                  <w:pPr>
                    <w:pStyle w:val="98"/>
                    <w:adjustRightInd w:val="0"/>
                    <w:snapToGrid w:val="0"/>
                    <w:jc w:val="center"/>
                    <w:rPr>
                      <w:rFonts w:eastAsia="宋体"/>
                      <w:b/>
                      <w:bCs/>
                      <w:color w:val="auto"/>
                      <w:sz w:val="21"/>
                      <w:szCs w:val="21"/>
                    </w:rPr>
                  </w:pPr>
                  <w:r>
                    <w:rPr>
                      <w:rFonts w:eastAsia="宋体"/>
                      <w:b/>
                      <w:bCs/>
                      <w:color w:val="auto"/>
                      <w:sz w:val="21"/>
                      <w:szCs w:val="21"/>
                    </w:rPr>
                    <w:t>本</w:t>
                  </w:r>
                  <w:r>
                    <w:rPr>
                      <w:rFonts w:hint="eastAsia" w:eastAsia="宋体"/>
                      <w:b/>
                      <w:bCs/>
                      <w:color w:val="auto"/>
                      <w:sz w:val="21"/>
                      <w:szCs w:val="21"/>
                    </w:rPr>
                    <w:t>项目</w:t>
                  </w:r>
                  <w:r>
                    <w:rPr>
                      <w:rFonts w:eastAsia="宋体"/>
                      <w:b/>
                      <w:bCs/>
                      <w:color w:val="auto"/>
                      <w:sz w:val="21"/>
                      <w:szCs w:val="21"/>
                    </w:rPr>
                    <w:t>情况</w:t>
                  </w:r>
                </w:p>
              </w:tc>
              <w:tc>
                <w:tcPr>
                  <w:tcW w:w="695" w:type="dxa"/>
                  <w:vAlign w:val="center"/>
                </w:tcPr>
                <w:p>
                  <w:pPr>
                    <w:pStyle w:val="98"/>
                    <w:adjustRightInd w:val="0"/>
                    <w:snapToGrid w:val="0"/>
                    <w:jc w:val="center"/>
                    <w:rPr>
                      <w:rFonts w:eastAsia="宋体"/>
                      <w:b/>
                      <w:bCs/>
                      <w:color w:val="auto"/>
                      <w:sz w:val="21"/>
                      <w:szCs w:val="21"/>
                    </w:rPr>
                  </w:pPr>
                  <w:r>
                    <w:rPr>
                      <w:rFonts w:eastAsia="宋体"/>
                      <w:b/>
                      <w:bCs/>
                      <w:color w:val="auto"/>
                      <w:sz w:val="21"/>
                      <w:szCs w:val="21"/>
                    </w:rPr>
                    <w:t>相符性</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46" w:type="dxa"/>
                  <w:tcBorders>
                    <w:top w:val="single" w:color="auto" w:sz="8" w:space="0"/>
                  </w:tcBorders>
                  <w:vAlign w:val="center"/>
                </w:tcPr>
                <w:p>
                  <w:pPr>
                    <w:pStyle w:val="98"/>
                    <w:adjustRightInd w:val="0"/>
                    <w:snapToGrid w:val="0"/>
                    <w:jc w:val="center"/>
                    <w:rPr>
                      <w:rFonts w:eastAsia="宋体"/>
                      <w:color w:val="auto"/>
                      <w:sz w:val="21"/>
                      <w:szCs w:val="21"/>
                    </w:rPr>
                  </w:pPr>
                  <w:r>
                    <w:rPr>
                      <w:rFonts w:hint="eastAsia" w:eastAsia="宋体"/>
                      <w:color w:val="auto"/>
                      <w:sz w:val="21"/>
                      <w:szCs w:val="21"/>
                    </w:rPr>
                    <w:t>1</w:t>
                  </w:r>
                </w:p>
              </w:tc>
              <w:tc>
                <w:tcPr>
                  <w:tcW w:w="851" w:type="dxa"/>
                  <w:tcBorders>
                    <w:top w:val="single" w:color="auto" w:sz="8" w:space="0"/>
                  </w:tcBorders>
                  <w:vAlign w:val="center"/>
                </w:tcPr>
                <w:p>
                  <w:pPr>
                    <w:pStyle w:val="98"/>
                    <w:adjustRightInd w:val="0"/>
                    <w:snapToGrid w:val="0"/>
                    <w:jc w:val="center"/>
                    <w:rPr>
                      <w:rFonts w:eastAsia="宋体"/>
                      <w:color w:val="auto"/>
                      <w:sz w:val="21"/>
                      <w:szCs w:val="21"/>
                    </w:rPr>
                  </w:pPr>
                  <w:r>
                    <w:rPr>
                      <w:rFonts w:eastAsia="宋体"/>
                      <w:color w:val="auto"/>
                      <w:sz w:val="21"/>
                      <w:szCs w:val="21"/>
                    </w:rPr>
                    <w:t>三</w:t>
                  </w:r>
                  <w:r>
                    <w:rPr>
                      <w:rFonts w:hint="eastAsia" w:eastAsia="宋体"/>
                      <w:color w:val="auto"/>
                      <w:sz w:val="21"/>
                      <w:szCs w:val="21"/>
                    </w:rPr>
                    <w:t>（一）合理用地布局</w:t>
                  </w:r>
                </w:p>
              </w:tc>
              <w:tc>
                <w:tcPr>
                  <w:tcW w:w="3969" w:type="dxa"/>
                  <w:tcBorders>
                    <w:top w:val="single" w:color="auto" w:sz="8" w:space="0"/>
                  </w:tcBorders>
                  <w:vAlign w:val="center"/>
                </w:tcPr>
                <w:p>
                  <w:pPr>
                    <w:pStyle w:val="98"/>
                    <w:adjustRightInd w:val="0"/>
                    <w:snapToGrid w:val="0"/>
                    <w:jc w:val="both"/>
                    <w:rPr>
                      <w:rFonts w:eastAsia="宋体"/>
                      <w:color w:val="auto"/>
                      <w:sz w:val="21"/>
                      <w:szCs w:val="21"/>
                    </w:rPr>
                  </w:pPr>
                  <w:r>
                    <w:rPr>
                      <w:rFonts w:eastAsia="宋体"/>
                      <w:color w:val="auto"/>
                      <w:sz w:val="21"/>
                      <w:szCs w:val="21"/>
                    </w:rPr>
                    <w:t>进一步加强与新乡县城乡规划</w:t>
                  </w:r>
                  <w:r>
                    <w:rPr>
                      <w:rFonts w:hint="eastAsia" w:eastAsia="宋体"/>
                      <w:color w:val="auto"/>
                      <w:sz w:val="21"/>
                      <w:szCs w:val="21"/>
                    </w:rPr>
                    <w:t>、</w:t>
                  </w:r>
                  <w:r>
                    <w:rPr>
                      <w:rFonts w:eastAsia="宋体"/>
                      <w:color w:val="auto"/>
                      <w:sz w:val="21"/>
                      <w:szCs w:val="21"/>
                    </w:rPr>
                    <w:t>土地利用总体规划等衔接</w:t>
                  </w:r>
                  <w:r>
                    <w:rPr>
                      <w:rFonts w:hint="eastAsia" w:eastAsia="宋体"/>
                      <w:color w:val="auto"/>
                      <w:sz w:val="21"/>
                      <w:szCs w:val="21"/>
                    </w:rPr>
                    <w:t>，</w:t>
                  </w:r>
                  <w:r>
                    <w:rPr>
                      <w:rFonts w:eastAsia="宋体"/>
                      <w:color w:val="auto"/>
                      <w:sz w:val="21"/>
                      <w:szCs w:val="21"/>
                    </w:rPr>
                    <w:t>保持规划的一致性与协调性</w:t>
                  </w:r>
                  <w:r>
                    <w:rPr>
                      <w:rFonts w:hint="eastAsia" w:eastAsia="宋体"/>
                      <w:color w:val="auto"/>
                      <w:sz w:val="21"/>
                      <w:szCs w:val="21"/>
                    </w:rPr>
                    <w:t>；</w:t>
                  </w:r>
                  <w:r>
                    <w:rPr>
                      <w:rFonts w:eastAsia="宋体"/>
                      <w:color w:val="auto"/>
                      <w:sz w:val="21"/>
                      <w:szCs w:val="21"/>
                    </w:rPr>
                    <w:t>鉴于新乡市贾太湖饮用水源地取消</w:t>
                  </w:r>
                  <w:r>
                    <w:rPr>
                      <w:rFonts w:hint="eastAsia" w:eastAsia="宋体"/>
                      <w:color w:val="auto"/>
                      <w:sz w:val="21"/>
                      <w:szCs w:val="21"/>
                    </w:rPr>
                    <w:t>，</w:t>
                  </w:r>
                  <w:r>
                    <w:rPr>
                      <w:rFonts w:eastAsia="宋体"/>
                      <w:color w:val="auto"/>
                      <w:sz w:val="21"/>
                      <w:szCs w:val="21"/>
                    </w:rPr>
                    <w:t>北区东孟姜女河北侧规划的农林用地调整为工业用地</w:t>
                  </w:r>
                  <w:r>
                    <w:rPr>
                      <w:rFonts w:hint="eastAsia" w:eastAsia="宋体"/>
                      <w:color w:val="auto"/>
                      <w:sz w:val="21"/>
                      <w:szCs w:val="21"/>
                    </w:rPr>
                    <w:t>；</w:t>
                  </w:r>
                  <w:r>
                    <w:rPr>
                      <w:rFonts w:eastAsia="宋体"/>
                      <w:color w:val="auto"/>
                      <w:sz w:val="21"/>
                      <w:szCs w:val="21"/>
                    </w:rPr>
                    <w:t>北区距新乡县中心城区较近的西侧边界区域规划的二类工业用地调整为农林用地</w:t>
                  </w:r>
                  <w:r>
                    <w:rPr>
                      <w:rFonts w:hint="eastAsia" w:eastAsia="宋体"/>
                      <w:color w:val="auto"/>
                      <w:sz w:val="21"/>
                      <w:szCs w:val="21"/>
                    </w:rPr>
                    <w:t>；</w:t>
                  </w:r>
                  <w:r>
                    <w:rPr>
                      <w:rFonts w:eastAsia="宋体"/>
                      <w:color w:val="auto"/>
                      <w:sz w:val="21"/>
                      <w:szCs w:val="21"/>
                    </w:rPr>
                    <w:t>在北区东侧和南侧边界均设置绿化隔离带</w:t>
                  </w:r>
                  <w:r>
                    <w:rPr>
                      <w:rFonts w:hint="eastAsia" w:eastAsia="宋体"/>
                      <w:color w:val="auto"/>
                      <w:sz w:val="21"/>
                      <w:szCs w:val="21"/>
                    </w:rPr>
                    <w:t>，</w:t>
                  </w:r>
                  <w:r>
                    <w:rPr>
                      <w:rFonts w:eastAsia="宋体"/>
                      <w:color w:val="auto"/>
                      <w:sz w:val="21"/>
                      <w:szCs w:val="21"/>
                    </w:rPr>
                    <w:t>减轻对周围环境的不利影响</w:t>
                  </w:r>
                  <w:r>
                    <w:rPr>
                      <w:rFonts w:hint="eastAsia" w:eastAsia="宋体"/>
                      <w:color w:val="auto"/>
                      <w:sz w:val="21"/>
                      <w:szCs w:val="21"/>
                    </w:rPr>
                    <w:t>。</w:t>
                  </w:r>
                </w:p>
              </w:tc>
              <w:tc>
                <w:tcPr>
                  <w:tcW w:w="1559" w:type="dxa"/>
                  <w:tcBorders>
                    <w:top w:val="single" w:color="auto" w:sz="8" w:space="0"/>
                  </w:tcBorders>
                  <w:vAlign w:val="center"/>
                </w:tcPr>
                <w:p>
                  <w:pPr>
                    <w:pStyle w:val="98"/>
                    <w:adjustRightInd w:val="0"/>
                    <w:snapToGrid w:val="0"/>
                    <w:jc w:val="both"/>
                    <w:rPr>
                      <w:rFonts w:eastAsia="宋体"/>
                      <w:color w:val="auto"/>
                      <w:sz w:val="21"/>
                      <w:szCs w:val="21"/>
                    </w:rPr>
                  </w:pPr>
                  <w:r>
                    <w:rPr>
                      <w:rFonts w:hint="eastAsia" w:eastAsia="宋体"/>
                      <w:color w:val="auto"/>
                      <w:sz w:val="21"/>
                      <w:szCs w:val="21"/>
                    </w:rPr>
                    <w:t>本项目为检测服务业，位于新乡经济开发区107国道与胡韦线交汇处A3地块，属于集聚区南区纸制品印刷包装产业园，用地性质符合规划用地要求。</w:t>
                  </w:r>
                </w:p>
              </w:tc>
              <w:tc>
                <w:tcPr>
                  <w:tcW w:w="695" w:type="dxa"/>
                  <w:tcBorders>
                    <w:top w:val="single" w:color="auto" w:sz="8" w:space="0"/>
                  </w:tcBorders>
                  <w:vAlign w:val="center"/>
                </w:tcPr>
                <w:p>
                  <w:pPr>
                    <w:jc w:val="center"/>
                    <w:rPr>
                      <w:szCs w:val="21"/>
                    </w:rPr>
                  </w:pPr>
                  <w:r>
                    <w:rPr>
                      <w:rFonts w:hint="eastAsia"/>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46" w:type="dxa"/>
                  <w:vAlign w:val="center"/>
                </w:tcPr>
                <w:p>
                  <w:pPr>
                    <w:pStyle w:val="98"/>
                    <w:adjustRightInd w:val="0"/>
                    <w:snapToGrid w:val="0"/>
                    <w:jc w:val="center"/>
                    <w:rPr>
                      <w:rFonts w:eastAsia="宋体"/>
                      <w:color w:val="auto"/>
                      <w:sz w:val="21"/>
                      <w:szCs w:val="21"/>
                    </w:rPr>
                  </w:pPr>
                  <w:r>
                    <w:rPr>
                      <w:rFonts w:hint="eastAsia" w:eastAsia="宋体"/>
                      <w:color w:val="auto"/>
                      <w:sz w:val="21"/>
                      <w:szCs w:val="21"/>
                    </w:rPr>
                    <w:t>2</w:t>
                  </w:r>
                </w:p>
              </w:tc>
              <w:tc>
                <w:tcPr>
                  <w:tcW w:w="851" w:type="dxa"/>
                  <w:vAlign w:val="center"/>
                </w:tcPr>
                <w:p>
                  <w:pPr>
                    <w:pStyle w:val="98"/>
                    <w:adjustRightInd w:val="0"/>
                    <w:snapToGrid w:val="0"/>
                    <w:jc w:val="center"/>
                    <w:rPr>
                      <w:rFonts w:eastAsia="宋体"/>
                      <w:color w:val="auto"/>
                      <w:sz w:val="21"/>
                      <w:szCs w:val="21"/>
                    </w:rPr>
                  </w:pPr>
                  <w:r>
                    <w:rPr>
                      <w:rFonts w:eastAsia="宋体"/>
                      <w:color w:val="auto"/>
                      <w:sz w:val="21"/>
                      <w:szCs w:val="21"/>
                    </w:rPr>
                    <w:t>三</w:t>
                  </w:r>
                  <w:r>
                    <w:rPr>
                      <w:rFonts w:hint="eastAsia" w:eastAsia="宋体"/>
                      <w:color w:val="auto"/>
                      <w:sz w:val="21"/>
                      <w:szCs w:val="21"/>
                    </w:rPr>
                    <w:t>（二）严格传统煤化工建设项目环境准入</w:t>
                  </w:r>
                </w:p>
              </w:tc>
              <w:tc>
                <w:tcPr>
                  <w:tcW w:w="3969" w:type="dxa"/>
                  <w:vAlign w:val="center"/>
                </w:tcPr>
                <w:p>
                  <w:pPr>
                    <w:pStyle w:val="98"/>
                    <w:adjustRightInd w:val="0"/>
                    <w:snapToGrid w:val="0"/>
                    <w:jc w:val="both"/>
                    <w:rPr>
                      <w:rFonts w:eastAsia="宋体"/>
                      <w:color w:val="auto"/>
                      <w:sz w:val="21"/>
                      <w:szCs w:val="21"/>
                    </w:rPr>
                  </w:pPr>
                  <w:r>
                    <w:rPr>
                      <w:rFonts w:eastAsia="宋体"/>
                      <w:color w:val="auto"/>
                      <w:sz w:val="21"/>
                      <w:szCs w:val="21"/>
                    </w:rPr>
                    <w:t>产业园区北区重点发展以河南心连心化肥有限公司现有产品为原料的基础化工和下游产业链产品</w:t>
                  </w:r>
                  <w:r>
                    <w:rPr>
                      <w:rFonts w:hint="eastAsia" w:eastAsia="宋体"/>
                      <w:color w:val="auto"/>
                      <w:sz w:val="21"/>
                      <w:szCs w:val="21"/>
                    </w:rPr>
                    <w:t>，</w:t>
                  </w:r>
                  <w:r>
                    <w:rPr>
                      <w:rFonts w:eastAsia="宋体"/>
                      <w:color w:val="auto"/>
                      <w:sz w:val="21"/>
                      <w:szCs w:val="21"/>
                    </w:rPr>
                    <w:t>延长煤化工产业链</w:t>
                  </w:r>
                  <w:r>
                    <w:rPr>
                      <w:rFonts w:hint="eastAsia" w:eastAsia="宋体"/>
                      <w:color w:val="auto"/>
                      <w:sz w:val="21"/>
                      <w:szCs w:val="21"/>
                    </w:rPr>
                    <w:t>；</w:t>
                  </w:r>
                  <w:r>
                    <w:rPr>
                      <w:rFonts w:eastAsia="宋体"/>
                      <w:color w:val="auto"/>
                      <w:sz w:val="21"/>
                      <w:szCs w:val="21"/>
                    </w:rPr>
                    <w:t>煤化工行业的发展应严格落实</w:t>
                  </w:r>
                  <w:r>
                    <w:rPr>
                      <w:rFonts w:hint="eastAsia" w:eastAsia="宋体"/>
                      <w:color w:val="auto"/>
                      <w:sz w:val="21"/>
                      <w:szCs w:val="21"/>
                    </w:rPr>
                    <w:t>《河南省传统煤化工行业转型发展行动方案（2018-2020年）》（豫政办［2018］82号）要求。园区禁止新建或单纯扩大产能的以煤为原料的煤化工项目，升级改造项目、符合条件的退城入园的合成氨和甲醇项目产能应实现等量置换，且合成氨和甲醇总产能控制在200万吨，并按照要求落实煤炭及污染物排放总量的区域削减替代。</w:t>
                  </w:r>
                </w:p>
              </w:tc>
              <w:tc>
                <w:tcPr>
                  <w:tcW w:w="1559" w:type="dxa"/>
                  <w:vAlign w:val="center"/>
                </w:tcPr>
                <w:p>
                  <w:pPr>
                    <w:adjustRightInd w:val="0"/>
                    <w:snapToGrid w:val="0"/>
                    <w:rPr>
                      <w:b/>
                      <w:bCs/>
                      <w:szCs w:val="21"/>
                    </w:rPr>
                  </w:pPr>
                  <w:r>
                    <w:rPr>
                      <w:rFonts w:hint="eastAsia"/>
                      <w:szCs w:val="21"/>
                    </w:rPr>
                    <w:t>本项目为检测服务业，位于集聚区南区纸制品印刷包装产业园，不属于煤化工项目。</w:t>
                  </w:r>
                </w:p>
              </w:tc>
              <w:tc>
                <w:tcPr>
                  <w:tcW w:w="695" w:type="dxa"/>
                  <w:vAlign w:val="center"/>
                </w:tcPr>
                <w:p>
                  <w:pPr>
                    <w:jc w:val="center"/>
                    <w:rPr>
                      <w:szCs w:val="21"/>
                    </w:rPr>
                  </w:pPr>
                  <w:r>
                    <w:rPr>
                      <w:rFonts w:hint="eastAsia"/>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46" w:type="dxa"/>
                  <w:vAlign w:val="center"/>
                </w:tcPr>
                <w:p>
                  <w:pPr>
                    <w:pStyle w:val="98"/>
                    <w:adjustRightInd w:val="0"/>
                    <w:snapToGrid w:val="0"/>
                    <w:jc w:val="center"/>
                    <w:rPr>
                      <w:rFonts w:eastAsia="宋体"/>
                      <w:color w:val="auto"/>
                      <w:sz w:val="21"/>
                      <w:szCs w:val="21"/>
                    </w:rPr>
                  </w:pPr>
                  <w:r>
                    <w:rPr>
                      <w:rFonts w:hint="eastAsia" w:eastAsia="宋体"/>
                      <w:color w:val="auto"/>
                      <w:sz w:val="21"/>
                      <w:szCs w:val="21"/>
                    </w:rPr>
                    <w:t>3</w:t>
                  </w:r>
                </w:p>
              </w:tc>
              <w:tc>
                <w:tcPr>
                  <w:tcW w:w="851" w:type="dxa"/>
                  <w:vAlign w:val="center"/>
                </w:tcPr>
                <w:p>
                  <w:pPr>
                    <w:pStyle w:val="98"/>
                    <w:adjustRightInd w:val="0"/>
                    <w:snapToGrid w:val="0"/>
                    <w:jc w:val="center"/>
                    <w:rPr>
                      <w:rFonts w:eastAsia="宋体"/>
                      <w:color w:val="auto"/>
                      <w:sz w:val="21"/>
                      <w:szCs w:val="21"/>
                    </w:rPr>
                  </w:pPr>
                  <w:r>
                    <w:rPr>
                      <w:rFonts w:eastAsia="宋体"/>
                      <w:color w:val="auto"/>
                      <w:sz w:val="21"/>
                      <w:szCs w:val="21"/>
                    </w:rPr>
                    <w:t>三</w:t>
                  </w:r>
                  <w:r>
                    <w:rPr>
                      <w:rFonts w:hint="eastAsia" w:eastAsia="宋体"/>
                      <w:color w:val="auto"/>
                      <w:sz w:val="21"/>
                      <w:szCs w:val="21"/>
                    </w:rPr>
                    <w:t>（三）尽快完善环保基础设施</w:t>
                  </w:r>
                </w:p>
              </w:tc>
              <w:tc>
                <w:tcPr>
                  <w:tcW w:w="3969" w:type="dxa"/>
                  <w:vAlign w:val="center"/>
                </w:tcPr>
                <w:p>
                  <w:pPr>
                    <w:pStyle w:val="98"/>
                    <w:adjustRightInd w:val="0"/>
                    <w:snapToGrid w:val="0"/>
                    <w:jc w:val="both"/>
                    <w:rPr>
                      <w:rFonts w:eastAsia="宋体"/>
                      <w:color w:val="auto"/>
                      <w:sz w:val="21"/>
                      <w:szCs w:val="21"/>
                    </w:rPr>
                  </w:pPr>
                  <w:r>
                    <w:rPr>
                      <w:rFonts w:eastAsia="宋体"/>
                      <w:color w:val="auto"/>
                      <w:sz w:val="21"/>
                      <w:szCs w:val="21"/>
                    </w:rPr>
                    <w:t>加快新乡县东孟姜女河流域新建污水处理厂及配套管网建设</w:t>
                  </w:r>
                  <w:r>
                    <w:rPr>
                      <w:rFonts w:hint="eastAsia" w:eastAsia="宋体"/>
                      <w:color w:val="auto"/>
                      <w:sz w:val="21"/>
                      <w:szCs w:val="21"/>
                    </w:rPr>
                    <w:t>，</w:t>
                  </w:r>
                  <w:r>
                    <w:rPr>
                      <w:rFonts w:eastAsia="宋体"/>
                      <w:color w:val="auto"/>
                      <w:sz w:val="21"/>
                      <w:szCs w:val="21"/>
                    </w:rPr>
                    <w:t>以满足园区企业污水处理的需求</w:t>
                  </w:r>
                  <w:r>
                    <w:rPr>
                      <w:rFonts w:hint="eastAsia" w:eastAsia="宋体"/>
                      <w:color w:val="auto"/>
                      <w:sz w:val="21"/>
                      <w:szCs w:val="21"/>
                    </w:rPr>
                    <w:t>，</w:t>
                  </w:r>
                  <w:r>
                    <w:rPr>
                      <w:rFonts w:eastAsia="宋体"/>
                      <w:color w:val="auto"/>
                      <w:sz w:val="21"/>
                      <w:szCs w:val="21"/>
                    </w:rPr>
                    <w:t>确保入园企业外排废水全部经管网收集后进入污水处理厂处理，入园企业均不得单独设置废水排放口</w:t>
                  </w:r>
                  <w:r>
                    <w:rPr>
                      <w:rFonts w:hint="eastAsia" w:eastAsia="宋体"/>
                      <w:color w:val="auto"/>
                      <w:sz w:val="21"/>
                      <w:szCs w:val="21"/>
                    </w:rPr>
                    <w:t>。</w:t>
                  </w:r>
                </w:p>
              </w:tc>
              <w:tc>
                <w:tcPr>
                  <w:tcW w:w="1559" w:type="dxa"/>
                  <w:vAlign w:val="center"/>
                </w:tcPr>
                <w:p>
                  <w:pPr>
                    <w:adjustRightInd w:val="0"/>
                    <w:snapToGrid w:val="0"/>
                    <w:rPr>
                      <w:b/>
                      <w:bCs/>
                      <w:szCs w:val="21"/>
                    </w:rPr>
                  </w:pPr>
                  <w:r>
                    <w:rPr>
                      <w:szCs w:val="21"/>
                    </w:rPr>
                    <w:t>本项目外排废水经</w:t>
                  </w:r>
                  <w:r>
                    <w:rPr>
                      <w:rFonts w:hint="eastAsia"/>
                      <w:szCs w:val="21"/>
                    </w:rPr>
                    <w:t>市政</w:t>
                  </w:r>
                  <w:r>
                    <w:rPr>
                      <w:szCs w:val="21"/>
                    </w:rPr>
                    <w:t>管网排入新乡县综合污水处理厂</w:t>
                  </w:r>
                  <w:r>
                    <w:rPr>
                      <w:rFonts w:hint="eastAsia"/>
                      <w:szCs w:val="21"/>
                    </w:rPr>
                    <w:t>进一步处理。</w:t>
                  </w:r>
                </w:p>
              </w:tc>
              <w:tc>
                <w:tcPr>
                  <w:tcW w:w="695" w:type="dxa"/>
                  <w:vAlign w:val="center"/>
                </w:tcPr>
                <w:p>
                  <w:pPr>
                    <w:jc w:val="center"/>
                    <w:rPr>
                      <w:szCs w:val="21"/>
                    </w:rPr>
                  </w:pPr>
                  <w:r>
                    <w:rPr>
                      <w:rFonts w:hint="eastAsia"/>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46" w:type="dxa"/>
                  <w:vAlign w:val="center"/>
                </w:tcPr>
                <w:p>
                  <w:pPr>
                    <w:jc w:val="center"/>
                    <w:rPr>
                      <w:b/>
                      <w:szCs w:val="21"/>
                    </w:rPr>
                  </w:pPr>
                  <w:r>
                    <w:rPr>
                      <w:rFonts w:hint="eastAsia"/>
                      <w:szCs w:val="21"/>
                    </w:rPr>
                    <w:t>4</w:t>
                  </w:r>
                </w:p>
              </w:tc>
              <w:tc>
                <w:tcPr>
                  <w:tcW w:w="851" w:type="dxa"/>
                  <w:vMerge w:val="restart"/>
                  <w:vAlign w:val="center"/>
                </w:tcPr>
                <w:p>
                  <w:pPr>
                    <w:pStyle w:val="98"/>
                    <w:adjustRightInd w:val="0"/>
                    <w:snapToGrid w:val="0"/>
                    <w:jc w:val="center"/>
                    <w:rPr>
                      <w:rFonts w:eastAsia="宋体"/>
                      <w:color w:val="auto"/>
                      <w:sz w:val="21"/>
                      <w:szCs w:val="21"/>
                    </w:rPr>
                  </w:pPr>
                  <w:r>
                    <w:rPr>
                      <w:rFonts w:eastAsia="宋体"/>
                      <w:color w:val="auto"/>
                      <w:sz w:val="21"/>
                      <w:szCs w:val="21"/>
                    </w:rPr>
                    <w:t>四</w:t>
                  </w:r>
                  <w:r>
                    <w:rPr>
                      <w:rFonts w:hint="eastAsia" w:eastAsia="宋体"/>
                      <w:color w:val="auto"/>
                      <w:sz w:val="21"/>
                      <w:szCs w:val="21"/>
                    </w:rPr>
                    <w:t>、新乡县产业集聚区的其他要求仍按照豫环审[2018]28号执行</w:t>
                  </w:r>
                </w:p>
              </w:tc>
              <w:tc>
                <w:tcPr>
                  <w:tcW w:w="3969" w:type="dxa"/>
                  <w:vAlign w:val="center"/>
                </w:tcPr>
                <w:p>
                  <w:pPr>
                    <w:pStyle w:val="98"/>
                    <w:adjustRightInd w:val="0"/>
                    <w:snapToGrid w:val="0"/>
                    <w:jc w:val="both"/>
                    <w:rPr>
                      <w:rFonts w:eastAsia="宋体"/>
                      <w:color w:val="auto"/>
                      <w:sz w:val="21"/>
                      <w:szCs w:val="21"/>
                    </w:rPr>
                  </w:pPr>
                  <w:r>
                    <w:rPr>
                      <w:rFonts w:eastAsia="宋体"/>
                      <w:color w:val="auto"/>
                      <w:sz w:val="21"/>
                      <w:szCs w:val="21"/>
                    </w:rPr>
                    <w:t>三（二）优化产业结构</w:t>
                  </w:r>
                </w:p>
                <w:p>
                  <w:pPr>
                    <w:pStyle w:val="98"/>
                    <w:adjustRightInd w:val="0"/>
                    <w:snapToGrid w:val="0"/>
                    <w:jc w:val="both"/>
                    <w:rPr>
                      <w:rFonts w:eastAsia="宋体"/>
                      <w:color w:val="auto"/>
                      <w:sz w:val="21"/>
                      <w:szCs w:val="21"/>
                    </w:rPr>
                  </w:pPr>
                  <w:r>
                    <w:rPr>
                      <w:rFonts w:eastAsia="宋体"/>
                      <w:color w:val="auto"/>
                      <w:sz w:val="21"/>
                      <w:szCs w:val="21"/>
                    </w:rPr>
                    <w:t>入驻项目应遵循循环经济理念，实施清洁生产，逐步优化产业机构，构筑循环经济产业链；鼓励发展主导产业，并不断完善产业链条；北区禁止新建或单纯扩大产能的以煤为原料的煤化工项目，升级改造及退城入园的合成氨和甲醇项目产能应实现等量置换，且合成氨和甲醇总产能控制在110万吨；禁止发展化学合成制药项目（单纯分装、复配除外），单纯新建、扩建生物发酵制药项目（单纯分装、复配以及现有企业升级改造项目除外）；禁止农药类项目、独立电镀项目、造纸纸浆、油墨生产（单纯分装、复配除外）项目入驻；禁止发展不符合园区定位的制革、化纤浆粕、黑色冶金、焦化、煤焦油加工、金属冶炼等不符合园区产业定位且污染较重的项目。</w:t>
                  </w:r>
                </w:p>
              </w:tc>
              <w:tc>
                <w:tcPr>
                  <w:tcW w:w="1559" w:type="dxa"/>
                  <w:vAlign w:val="center"/>
                </w:tcPr>
                <w:p>
                  <w:pPr>
                    <w:adjustRightInd w:val="0"/>
                    <w:snapToGrid w:val="0"/>
                    <w:rPr>
                      <w:kern w:val="0"/>
                      <w:szCs w:val="21"/>
                    </w:rPr>
                  </w:pPr>
                  <w:r>
                    <w:rPr>
                      <w:rFonts w:hint="eastAsia"/>
                      <w:szCs w:val="21"/>
                    </w:rPr>
                    <w:t>本项目为检测服务业，位于集聚区南区纸制品印刷包装产业园，</w:t>
                  </w:r>
                  <w:r>
                    <w:rPr>
                      <w:szCs w:val="21"/>
                    </w:rPr>
                    <w:t>项目属于新建项目，</w:t>
                  </w:r>
                  <w:r>
                    <w:rPr>
                      <w:rFonts w:hint="eastAsia"/>
                      <w:szCs w:val="21"/>
                    </w:rPr>
                    <w:t>与主导产业不冲突</w:t>
                  </w:r>
                  <w:r>
                    <w:rPr>
                      <w:szCs w:val="21"/>
                    </w:rPr>
                    <w:t>，不属于</w:t>
                  </w:r>
                  <w:r>
                    <w:rPr>
                      <w:rFonts w:hint="eastAsia"/>
                      <w:szCs w:val="21"/>
                    </w:rPr>
                    <w:t>负面清单中禁止、限制类项目，符合入驻条件。</w:t>
                  </w:r>
                </w:p>
              </w:tc>
              <w:tc>
                <w:tcPr>
                  <w:tcW w:w="695" w:type="dxa"/>
                  <w:vAlign w:val="center"/>
                </w:tcPr>
                <w:p>
                  <w:pPr>
                    <w:jc w:val="center"/>
                    <w:rPr>
                      <w:szCs w:val="21"/>
                    </w:rPr>
                  </w:pPr>
                  <w:r>
                    <w:rPr>
                      <w:rFonts w:hint="eastAsia"/>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46" w:type="dxa"/>
                  <w:vAlign w:val="center"/>
                </w:tcPr>
                <w:p>
                  <w:pPr>
                    <w:pStyle w:val="98"/>
                    <w:adjustRightInd w:val="0"/>
                    <w:snapToGrid w:val="0"/>
                    <w:jc w:val="center"/>
                    <w:rPr>
                      <w:rFonts w:eastAsia="宋体"/>
                      <w:color w:val="auto"/>
                      <w:sz w:val="21"/>
                      <w:szCs w:val="21"/>
                    </w:rPr>
                  </w:pPr>
                  <w:r>
                    <w:rPr>
                      <w:rFonts w:hint="eastAsia" w:eastAsia="宋体"/>
                      <w:color w:val="auto"/>
                      <w:sz w:val="21"/>
                      <w:szCs w:val="21"/>
                    </w:rPr>
                    <w:t>5</w:t>
                  </w:r>
                </w:p>
              </w:tc>
              <w:tc>
                <w:tcPr>
                  <w:tcW w:w="851" w:type="dxa"/>
                  <w:vMerge w:val="continue"/>
                  <w:vAlign w:val="center"/>
                </w:tcPr>
                <w:p>
                  <w:pPr>
                    <w:pStyle w:val="98"/>
                    <w:adjustRightInd w:val="0"/>
                    <w:snapToGrid w:val="0"/>
                    <w:jc w:val="center"/>
                    <w:rPr>
                      <w:rFonts w:eastAsia="宋体"/>
                      <w:color w:val="auto"/>
                      <w:sz w:val="21"/>
                      <w:szCs w:val="21"/>
                    </w:rPr>
                  </w:pPr>
                </w:p>
              </w:tc>
              <w:tc>
                <w:tcPr>
                  <w:tcW w:w="3969" w:type="dxa"/>
                  <w:vAlign w:val="center"/>
                </w:tcPr>
                <w:p>
                  <w:pPr>
                    <w:pStyle w:val="98"/>
                    <w:adjustRightInd w:val="0"/>
                    <w:snapToGrid w:val="0"/>
                    <w:jc w:val="both"/>
                    <w:rPr>
                      <w:rFonts w:eastAsia="宋体"/>
                      <w:color w:val="auto"/>
                      <w:sz w:val="21"/>
                      <w:szCs w:val="21"/>
                    </w:rPr>
                  </w:pPr>
                  <w:r>
                    <w:rPr>
                      <w:rFonts w:eastAsia="宋体"/>
                      <w:color w:val="auto"/>
                      <w:sz w:val="21"/>
                      <w:szCs w:val="21"/>
                    </w:rPr>
                    <w:t>三（三）尽快完善环保基础设施</w:t>
                  </w:r>
                </w:p>
                <w:p>
                  <w:pPr>
                    <w:pStyle w:val="98"/>
                    <w:adjustRightInd w:val="0"/>
                    <w:snapToGrid w:val="0"/>
                    <w:jc w:val="both"/>
                    <w:rPr>
                      <w:rFonts w:eastAsia="宋体"/>
                      <w:color w:val="auto"/>
                      <w:sz w:val="21"/>
                      <w:szCs w:val="21"/>
                    </w:rPr>
                  </w:pPr>
                  <w:r>
                    <w:rPr>
                      <w:rFonts w:eastAsia="宋体"/>
                      <w:color w:val="auto"/>
                      <w:sz w:val="21"/>
                      <w:szCs w:val="21"/>
                    </w:rPr>
                    <w:t>按照“清污分流、雨污分流、中水回用”的要求，加快建设污水处理厂扩建工程和中水深度处理回用工程，完善配套污水管网，确保入区企业外排废水全部经管网收集后进入污水处理厂处理，入园企业均不得单独设置废水排放口，减少对纳污水体的影响。集聚区应实施集中供热、供气，进一步优化能源结构，加快集中供热中心及配套供热管网建设，区内不得建设分散燃煤锅炉。</w:t>
                  </w:r>
                </w:p>
                <w:p>
                  <w:pPr>
                    <w:pStyle w:val="98"/>
                    <w:adjustRightInd w:val="0"/>
                    <w:snapToGrid w:val="0"/>
                    <w:jc w:val="both"/>
                    <w:rPr>
                      <w:rFonts w:eastAsia="宋体"/>
                      <w:color w:val="auto"/>
                      <w:sz w:val="21"/>
                      <w:szCs w:val="21"/>
                    </w:rPr>
                  </w:pPr>
                  <w:r>
                    <w:rPr>
                      <w:rFonts w:eastAsia="宋体"/>
                      <w:color w:val="auto"/>
                      <w:sz w:val="21"/>
                      <w:szCs w:val="21"/>
                    </w:rPr>
                    <w:t>按照循环经济的要求，提高固体废物的综合利用率，积极探索固废综合利用途径，提高一般工业固废综合利用率，严禁企业随意弃置；危险固废的收集、贮存应满足《危险废物贮存污染控制标准》（GB18597-2001）的要求，并送有资质的危险废物处置单位处置，危险废物的转运应执行《危险废物转移联单管理办法》的有关规定。</w:t>
                  </w:r>
                </w:p>
              </w:tc>
              <w:tc>
                <w:tcPr>
                  <w:tcW w:w="1559" w:type="dxa"/>
                  <w:vAlign w:val="center"/>
                </w:tcPr>
                <w:p>
                  <w:pPr>
                    <w:adjustRightInd w:val="0"/>
                    <w:snapToGrid w:val="0"/>
                    <w:rPr>
                      <w:b/>
                      <w:kern w:val="0"/>
                      <w:szCs w:val="21"/>
                      <w:highlight w:val="yellow"/>
                    </w:rPr>
                  </w:pPr>
                  <w:r>
                    <w:rPr>
                      <w:szCs w:val="21"/>
                    </w:rPr>
                    <w:t>本项目生活污水</w:t>
                  </w:r>
                  <w:r>
                    <w:rPr>
                      <w:rFonts w:hint="eastAsia"/>
                      <w:szCs w:val="21"/>
                    </w:rPr>
                    <w:t>经化粪池处理后与经一体化污水处理设施处理的生产废水</w:t>
                  </w:r>
                  <w:r>
                    <w:rPr>
                      <w:szCs w:val="21"/>
                    </w:rPr>
                    <w:t>，</w:t>
                  </w:r>
                  <w:r>
                    <w:rPr>
                      <w:rFonts w:hint="eastAsia"/>
                      <w:szCs w:val="21"/>
                    </w:rPr>
                    <w:t>统一经市政管网</w:t>
                  </w:r>
                  <w:r>
                    <w:rPr>
                      <w:szCs w:val="21"/>
                    </w:rPr>
                    <w:t>排入新乡县综合污水处理厂</w:t>
                  </w:r>
                  <w:r>
                    <w:rPr>
                      <w:rFonts w:hint="eastAsia"/>
                      <w:szCs w:val="21"/>
                    </w:rPr>
                    <w:t>进一步处理</w:t>
                  </w:r>
                  <w:r>
                    <w:rPr>
                      <w:szCs w:val="21"/>
                    </w:rPr>
                    <w:t>，项目不使用燃煤锅炉。</w:t>
                  </w:r>
                  <w:r>
                    <w:rPr>
                      <w:kern w:val="0"/>
                      <w:szCs w:val="21"/>
                    </w:rPr>
                    <w:t>本项目一般固废能得到合理处置，危险废物</w:t>
                  </w:r>
                  <w:r>
                    <w:rPr>
                      <w:szCs w:val="21"/>
                    </w:rPr>
                    <w:t>送有资质的单位处置，能够满足《危险废物贮存污染控制标准》（GB18597-2001）</w:t>
                  </w:r>
                  <w:r>
                    <w:rPr>
                      <w:rFonts w:hint="eastAsia"/>
                      <w:szCs w:val="21"/>
                    </w:rPr>
                    <w:t>及2013年修改单</w:t>
                  </w:r>
                  <w:r>
                    <w:rPr>
                      <w:szCs w:val="21"/>
                    </w:rPr>
                    <w:t>的要求，转运</w:t>
                  </w:r>
                  <w:r>
                    <w:rPr>
                      <w:rFonts w:hint="eastAsia"/>
                      <w:szCs w:val="21"/>
                    </w:rPr>
                    <w:t>符合规定有求</w:t>
                  </w:r>
                  <w:r>
                    <w:rPr>
                      <w:szCs w:val="21"/>
                    </w:rPr>
                    <w:t>。</w:t>
                  </w:r>
                </w:p>
              </w:tc>
              <w:tc>
                <w:tcPr>
                  <w:tcW w:w="695" w:type="dxa"/>
                  <w:vAlign w:val="center"/>
                </w:tcPr>
                <w:p>
                  <w:pPr>
                    <w:jc w:val="center"/>
                    <w:rPr>
                      <w:szCs w:val="21"/>
                    </w:rPr>
                  </w:pPr>
                  <w:r>
                    <w:rPr>
                      <w:rFonts w:hint="eastAsia"/>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46" w:type="dxa"/>
                  <w:vAlign w:val="center"/>
                </w:tcPr>
                <w:p>
                  <w:pPr>
                    <w:pStyle w:val="98"/>
                    <w:adjustRightInd w:val="0"/>
                    <w:snapToGrid w:val="0"/>
                    <w:jc w:val="center"/>
                    <w:rPr>
                      <w:rFonts w:eastAsia="宋体"/>
                      <w:color w:val="auto"/>
                      <w:sz w:val="21"/>
                      <w:szCs w:val="21"/>
                    </w:rPr>
                  </w:pPr>
                  <w:r>
                    <w:rPr>
                      <w:rFonts w:hint="eastAsia" w:eastAsia="宋体"/>
                      <w:color w:val="auto"/>
                      <w:sz w:val="21"/>
                      <w:szCs w:val="21"/>
                    </w:rPr>
                    <w:t>6</w:t>
                  </w:r>
                </w:p>
              </w:tc>
              <w:tc>
                <w:tcPr>
                  <w:tcW w:w="851" w:type="dxa"/>
                  <w:vMerge w:val="continue"/>
                  <w:vAlign w:val="center"/>
                </w:tcPr>
                <w:p>
                  <w:pPr>
                    <w:pStyle w:val="98"/>
                    <w:adjustRightInd w:val="0"/>
                    <w:snapToGrid w:val="0"/>
                    <w:jc w:val="center"/>
                    <w:rPr>
                      <w:rFonts w:eastAsia="宋体"/>
                      <w:color w:val="auto"/>
                      <w:sz w:val="21"/>
                      <w:szCs w:val="21"/>
                    </w:rPr>
                  </w:pPr>
                </w:p>
              </w:tc>
              <w:tc>
                <w:tcPr>
                  <w:tcW w:w="3969" w:type="dxa"/>
                  <w:vAlign w:val="center"/>
                </w:tcPr>
                <w:p>
                  <w:pPr>
                    <w:pStyle w:val="98"/>
                    <w:adjustRightInd w:val="0"/>
                    <w:snapToGrid w:val="0"/>
                    <w:jc w:val="both"/>
                    <w:rPr>
                      <w:rFonts w:eastAsia="宋体"/>
                      <w:color w:val="auto"/>
                      <w:sz w:val="21"/>
                      <w:szCs w:val="21"/>
                    </w:rPr>
                  </w:pPr>
                  <w:r>
                    <w:rPr>
                      <w:rFonts w:eastAsia="宋体"/>
                      <w:color w:val="auto"/>
                      <w:sz w:val="21"/>
                      <w:szCs w:val="21"/>
                    </w:rPr>
                    <w:t>三（四）严格控制污染物排放</w:t>
                  </w:r>
                </w:p>
                <w:p>
                  <w:pPr>
                    <w:pStyle w:val="98"/>
                    <w:adjustRightInd w:val="0"/>
                    <w:snapToGrid w:val="0"/>
                    <w:jc w:val="both"/>
                    <w:rPr>
                      <w:rFonts w:eastAsia="宋体"/>
                      <w:color w:val="auto"/>
                      <w:sz w:val="21"/>
                      <w:szCs w:val="21"/>
                    </w:rPr>
                  </w:pPr>
                  <w:r>
                    <w:rPr>
                      <w:rFonts w:eastAsia="宋体"/>
                      <w:color w:val="auto"/>
                      <w:sz w:val="21"/>
                      <w:szCs w:val="21"/>
                    </w:rPr>
                    <w:t>严格执行污染物排放总量控制制度，采取调整能源结构、加强污染治理等措施，严格控制烟粉尘、二氧化硫、氮氧化物、VOCs等大气污染物的排放。抓紧实施中水回用工程，完善配套中水回用管网，减少废水排放量，保证污水处理设施的正常运行，尽快对污水处理厂进行提标改造，确保污水处理厂出水执行《城镇污水处理厂污染物排放标准》（GB18918-2002）一级标准的A标准（其中COD≤40mg/L，氨氮≤2mg/L），减少对纳污水体的影响。尽快实现集聚区集中供水，逐步关停企业自备水井。定期对地下水质进行监测，发现问题，及时采取有效防治措施，避免对地下水造成污染。</w:t>
                  </w:r>
                </w:p>
              </w:tc>
              <w:tc>
                <w:tcPr>
                  <w:tcW w:w="1559" w:type="dxa"/>
                  <w:vAlign w:val="center"/>
                </w:tcPr>
                <w:p>
                  <w:pPr>
                    <w:pStyle w:val="98"/>
                    <w:adjustRightInd w:val="0"/>
                    <w:snapToGrid w:val="0"/>
                    <w:jc w:val="both"/>
                    <w:rPr>
                      <w:rFonts w:eastAsia="宋体"/>
                      <w:color w:val="auto"/>
                      <w:sz w:val="21"/>
                      <w:szCs w:val="21"/>
                      <w:highlight w:val="yellow"/>
                    </w:rPr>
                  </w:pPr>
                  <w:r>
                    <w:rPr>
                      <w:rFonts w:hint="eastAsia" w:eastAsia="宋体"/>
                      <w:color w:val="auto"/>
                      <w:sz w:val="21"/>
                      <w:szCs w:val="21"/>
                    </w:rPr>
                    <w:t>本项目实验室产生的废气经收集后引至“水喷淋塔+碱喷淋塔+除雾器+UV光催化氧化+活性炭吸附”设施治理后能实现达标排放</w:t>
                  </w:r>
                  <w:r>
                    <w:rPr>
                      <w:rFonts w:eastAsia="宋体"/>
                      <w:color w:val="auto"/>
                      <w:sz w:val="21"/>
                      <w:szCs w:val="21"/>
                    </w:rPr>
                    <w:t>，生活污水经化粪池处理后</w:t>
                  </w:r>
                  <w:r>
                    <w:rPr>
                      <w:rFonts w:hint="eastAsia" w:eastAsia="宋体"/>
                      <w:color w:val="auto"/>
                      <w:sz w:val="21"/>
                      <w:szCs w:val="21"/>
                    </w:rPr>
                    <w:t>与经一体化污水处理设施处理的实验室废水统一经市政管网</w:t>
                  </w:r>
                  <w:r>
                    <w:rPr>
                      <w:rFonts w:eastAsia="宋体"/>
                      <w:color w:val="auto"/>
                      <w:sz w:val="21"/>
                      <w:szCs w:val="21"/>
                    </w:rPr>
                    <w:t>排入</w:t>
                  </w:r>
                  <w:r>
                    <w:rPr>
                      <w:rFonts w:hint="eastAsia" w:eastAsia="宋体"/>
                      <w:color w:val="auto"/>
                      <w:sz w:val="21"/>
                      <w:szCs w:val="21"/>
                    </w:rPr>
                    <w:t>新乡县综合污水处理厂进一步</w:t>
                  </w:r>
                  <w:r>
                    <w:rPr>
                      <w:rFonts w:eastAsia="宋体"/>
                      <w:color w:val="auto"/>
                      <w:sz w:val="21"/>
                      <w:szCs w:val="21"/>
                    </w:rPr>
                    <w:t>。</w:t>
                  </w:r>
                </w:p>
              </w:tc>
              <w:tc>
                <w:tcPr>
                  <w:tcW w:w="695" w:type="dxa"/>
                  <w:vAlign w:val="center"/>
                </w:tcPr>
                <w:p>
                  <w:pPr>
                    <w:jc w:val="center"/>
                    <w:rPr>
                      <w:szCs w:val="21"/>
                    </w:rPr>
                  </w:pPr>
                  <w:r>
                    <w:rPr>
                      <w:rFonts w:hint="eastAsia"/>
                      <w:szCs w:val="21"/>
                    </w:rPr>
                    <w:t>符合</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46" w:type="dxa"/>
                  <w:vAlign w:val="center"/>
                </w:tcPr>
                <w:p>
                  <w:pPr>
                    <w:pStyle w:val="98"/>
                    <w:adjustRightInd w:val="0"/>
                    <w:snapToGrid w:val="0"/>
                    <w:jc w:val="center"/>
                    <w:rPr>
                      <w:b/>
                      <w:sz w:val="21"/>
                      <w:szCs w:val="21"/>
                    </w:rPr>
                  </w:pPr>
                  <w:r>
                    <w:rPr>
                      <w:rFonts w:hint="eastAsia" w:eastAsia="宋体"/>
                      <w:color w:val="auto"/>
                      <w:sz w:val="21"/>
                      <w:szCs w:val="21"/>
                    </w:rPr>
                    <w:t>7</w:t>
                  </w:r>
                </w:p>
              </w:tc>
              <w:tc>
                <w:tcPr>
                  <w:tcW w:w="851" w:type="dxa"/>
                  <w:vMerge w:val="continue"/>
                  <w:vAlign w:val="center"/>
                </w:tcPr>
                <w:p>
                  <w:pPr>
                    <w:pStyle w:val="98"/>
                    <w:adjustRightInd w:val="0"/>
                    <w:snapToGrid w:val="0"/>
                    <w:jc w:val="center"/>
                    <w:rPr>
                      <w:rFonts w:eastAsia="宋体"/>
                      <w:color w:val="auto"/>
                      <w:sz w:val="21"/>
                      <w:szCs w:val="21"/>
                    </w:rPr>
                  </w:pPr>
                </w:p>
              </w:tc>
              <w:tc>
                <w:tcPr>
                  <w:tcW w:w="3969" w:type="dxa"/>
                  <w:vAlign w:val="center"/>
                </w:tcPr>
                <w:p>
                  <w:pPr>
                    <w:pStyle w:val="98"/>
                    <w:adjustRightInd w:val="0"/>
                    <w:snapToGrid w:val="0"/>
                    <w:jc w:val="both"/>
                    <w:rPr>
                      <w:rFonts w:eastAsia="宋体"/>
                      <w:color w:val="auto"/>
                      <w:sz w:val="21"/>
                      <w:szCs w:val="21"/>
                    </w:rPr>
                  </w:pPr>
                  <w:r>
                    <w:rPr>
                      <w:rFonts w:eastAsia="宋体"/>
                      <w:color w:val="auto"/>
                      <w:sz w:val="21"/>
                      <w:szCs w:val="21"/>
                    </w:rPr>
                    <w:t>三（五）建立事故风险防范和应急处置体系</w:t>
                  </w:r>
                </w:p>
                <w:p>
                  <w:pPr>
                    <w:pStyle w:val="98"/>
                    <w:adjustRightInd w:val="0"/>
                    <w:snapToGrid w:val="0"/>
                    <w:jc w:val="both"/>
                    <w:rPr>
                      <w:rFonts w:eastAsia="宋体"/>
                      <w:color w:val="auto"/>
                      <w:sz w:val="21"/>
                      <w:szCs w:val="21"/>
                    </w:rPr>
                  </w:pPr>
                  <w:r>
                    <w:rPr>
                      <w:rFonts w:eastAsia="宋体"/>
                      <w:color w:val="auto"/>
                      <w:sz w:val="21"/>
                      <w:szCs w:val="21"/>
                    </w:rPr>
                    <w:t>加快环境风险预警体系建设，健全环境风险单位信息库，严格危险化学品管理；健全环境风险防控工程，建立企业、产业集聚区和周边水系环境风险防控体系。建立完善有效的环境风险防控设施和有效的拦截、降污、导流等措施，防止对地表水造成危害；加强环境应急保障体系建设，园内企业应制定环境应急预案，明确环境风险防范措施。园区管理机构应根据园区自身特点，制定园区级综合环境应急预案，结合园区新、改、扩建项目的建设，不断完善各类突发环境事件应急预案，有计划地组织应急培训和演练，全面提升园区风险防控和事故应急处置能力。</w:t>
                  </w:r>
                </w:p>
              </w:tc>
              <w:tc>
                <w:tcPr>
                  <w:tcW w:w="1559" w:type="dxa"/>
                  <w:vAlign w:val="center"/>
                </w:tcPr>
                <w:p>
                  <w:pPr>
                    <w:pStyle w:val="98"/>
                    <w:adjustRightInd w:val="0"/>
                    <w:snapToGrid w:val="0"/>
                    <w:jc w:val="both"/>
                    <w:rPr>
                      <w:rFonts w:eastAsia="宋体"/>
                      <w:color w:val="auto"/>
                      <w:sz w:val="21"/>
                      <w:szCs w:val="21"/>
                      <w:highlight w:val="yellow"/>
                    </w:rPr>
                  </w:pPr>
                  <w:r>
                    <w:rPr>
                      <w:rFonts w:hint="eastAsia" w:eastAsia="宋体"/>
                      <w:color w:val="auto"/>
                      <w:sz w:val="21"/>
                      <w:szCs w:val="21"/>
                    </w:rPr>
                    <w:t>本项目涉及的风险物质主要为实验室试剂，试剂在药剂室暂存，在采取加强药剂室管理，制定突发环境事件应急预案等措施后，可以有效防控事故风险</w:t>
                  </w:r>
                  <w:r>
                    <w:rPr>
                      <w:rFonts w:eastAsia="宋体"/>
                      <w:color w:val="auto"/>
                      <w:sz w:val="21"/>
                      <w:szCs w:val="21"/>
                    </w:rPr>
                    <w:t>。</w:t>
                  </w:r>
                </w:p>
              </w:tc>
              <w:tc>
                <w:tcPr>
                  <w:tcW w:w="695" w:type="dxa"/>
                  <w:vAlign w:val="center"/>
                </w:tcPr>
                <w:p>
                  <w:pPr>
                    <w:jc w:val="center"/>
                    <w:rPr>
                      <w:szCs w:val="21"/>
                    </w:rPr>
                  </w:pPr>
                  <w:r>
                    <w:rPr>
                      <w:rFonts w:hint="eastAsia"/>
                      <w:szCs w:val="21"/>
                    </w:rPr>
                    <w:t>符合</w:t>
                  </w:r>
                </w:p>
              </w:tc>
            </w:tr>
          </w:tbl>
          <w:p>
            <w:pPr>
              <w:widowControl/>
              <w:spacing w:line="440" w:lineRule="exact"/>
              <w:ind w:firstLine="480" w:firstLineChars="200"/>
              <w:jc w:val="left"/>
              <w:rPr>
                <w:kern w:val="0"/>
                <w:sz w:val="24"/>
              </w:rPr>
            </w:pPr>
            <w:r>
              <w:rPr>
                <w:kern w:val="0"/>
                <w:sz w:val="24"/>
              </w:rPr>
              <w:t>由上表可知，本项目建设</w:t>
            </w:r>
            <w:r>
              <w:rPr>
                <w:rFonts w:hint="eastAsia"/>
                <w:kern w:val="0"/>
                <w:sz w:val="24"/>
              </w:rPr>
              <w:t>符合《新乡经济技术产业集聚区总体发展规划（2015-2025）环境影响评价补充分析报告》审查意见的要求。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24" w:type="dxa"/>
            <w:vAlign w:val="center"/>
          </w:tcPr>
          <w:p>
            <w:pPr>
              <w:autoSpaceDE w:val="0"/>
              <w:autoSpaceDN w:val="0"/>
              <w:adjustRightInd w:val="0"/>
              <w:snapToGrid w:val="0"/>
              <w:jc w:val="center"/>
              <w:rPr>
                <w:kern w:val="0"/>
                <w:szCs w:val="21"/>
              </w:rPr>
            </w:pPr>
            <w:r>
              <w:rPr>
                <w:kern w:val="0"/>
                <w:szCs w:val="21"/>
              </w:rPr>
              <w:t>其他符合性分析</w:t>
            </w:r>
          </w:p>
        </w:tc>
        <w:tc>
          <w:tcPr>
            <w:tcW w:w="7746" w:type="dxa"/>
            <w:gridSpan w:val="3"/>
            <w:vAlign w:val="center"/>
          </w:tcPr>
          <w:p>
            <w:pPr>
              <w:autoSpaceDE w:val="0"/>
              <w:autoSpaceDN w:val="0"/>
              <w:adjustRightInd w:val="0"/>
              <w:snapToGrid w:val="0"/>
              <w:spacing w:line="460" w:lineRule="atLeast"/>
              <w:rPr>
                <w:b/>
                <w:kern w:val="0"/>
                <w:sz w:val="24"/>
              </w:rPr>
            </w:pPr>
            <w:r>
              <w:rPr>
                <w:b/>
                <w:kern w:val="0"/>
                <w:sz w:val="24"/>
              </w:rPr>
              <w:t>1、与《建设项目环境影响评价分类管理名录》（2021年版）相符性分析</w:t>
            </w:r>
          </w:p>
          <w:p>
            <w:pPr>
              <w:autoSpaceDE w:val="0"/>
              <w:autoSpaceDN w:val="0"/>
              <w:adjustRightInd w:val="0"/>
              <w:snapToGrid w:val="0"/>
              <w:spacing w:line="460" w:lineRule="atLeast"/>
              <w:ind w:firstLine="480" w:firstLineChars="200"/>
              <w:rPr>
                <w:kern w:val="0"/>
                <w:sz w:val="24"/>
              </w:rPr>
            </w:pPr>
            <w:r>
              <w:rPr>
                <w:kern w:val="0"/>
                <w:sz w:val="24"/>
              </w:rPr>
              <w:t>经查阅《建设项目环境影响评价分类管理名录》（2021版），本项目属于四十五项</w:t>
            </w:r>
            <w:r>
              <w:rPr>
                <w:rFonts w:hint="eastAsia"/>
                <w:kern w:val="0"/>
                <w:sz w:val="24"/>
              </w:rPr>
              <w:t>“</w:t>
            </w:r>
            <w:r>
              <w:rPr>
                <w:kern w:val="0"/>
                <w:sz w:val="24"/>
              </w:rPr>
              <w:t>研究和试验发展</w:t>
            </w:r>
            <w:r>
              <w:rPr>
                <w:rFonts w:hint="eastAsia"/>
                <w:kern w:val="0"/>
                <w:sz w:val="24"/>
              </w:rPr>
              <w:t>”</w:t>
            </w:r>
            <w:r>
              <w:rPr>
                <w:kern w:val="0"/>
                <w:sz w:val="24"/>
              </w:rPr>
              <w:t>第98条</w:t>
            </w:r>
            <w:r>
              <w:rPr>
                <w:rFonts w:hint="eastAsia"/>
                <w:kern w:val="0"/>
                <w:sz w:val="24"/>
              </w:rPr>
              <w:t>“</w:t>
            </w:r>
            <w:r>
              <w:rPr>
                <w:kern w:val="0"/>
                <w:sz w:val="24"/>
              </w:rPr>
              <w:t>专业实验室、研发（试验）基地</w:t>
            </w:r>
            <w:r>
              <w:rPr>
                <w:rFonts w:hint="eastAsia"/>
                <w:kern w:val="0"/>
                <w:sz w:val="24"/>
              </w:rPr>
              <w:t>”</w:t>
            </w:r>
            <w:r>
              <w:rPr>
                <w:kern w:val="0"/>
                <w:sz w:val="24"/>
              </w:rPr>
              <w:t>。名录规定：</w:t>
            </w:r>
            <w:r>
              <w:rPr>
                <w:rFonts w:hint="eastAsia"/>
                <w:kern w:val="0"/>
                <w:sz w:val="24"/>
              </w:rPr>
              <w:t>“</w:t>
            </w:r>
            <w:r>
              <w:rPr>
                <w:kern w:val="0"/>
                <w:sz w:val="24"/>
              </w:rPr>
              <w:t>P3、P4生物安全实验室；转基因实验室”的项目应编制报告书；</w:t>
            </w:r>
            <w:r>
              <w:rPr>
                <w:rFonts w:hint="eastAsia"/>
                <w:kern w:val="0"/>
                <w:sz w:val="24"/>
              </w:rPr>
              <w:t>“</w:t>
            </w:r>
            <w:r>
              <w:rPr>
                <w:kern w:val="0"/>
                <w:sz w:val="24"/>
              </w:rPr>
              <w:t>其他（不产生实验废气、废水、危险废物的除外）</w:t>
            </w:r>
            <w:r>
              <w:rPr>
                <w:rFonts w:hint="eastAsia"/>
                <w:kern w:val="0"/>
                <w:sz w:val="24"/>
              </w:rPr>
              <w:t>”</w:t>
            </w:r>
            <w:r>
              <w:rPr>
                <w:kern w:val="0"/>
                <w:sz w:val="24"/>
              </w:rPr>
              <w:t>的项目应编制报告表。本项目属于M7451检验检疫服务、M7452检测服务、M7453计量服务，不属于生物安全实验室、转基因实验室项目，本项目产生实验废气、废水、危险废物，按要求本项目需编制环境影响评价报告表。</w:t>
            </w:r>
          </w:p>
          <w:p>
            <w:pPr>
              <w:spacing w:line="460" w:lineRule="exact"/>
              <w:ind w:firstLine="480" w:firstLineChars="200"/>
              <w:rPr>
                <w:kern w:val="0"/>
                <w:sz w:val="24"/>
              </w:rPr>
            </w:pPr>
            <w:r>
              <w:rPr>
                <w:rFonts w:hint="eastAsia"/>
                <w:sz w:val="24"/>
              </w:rPr>
              <w:t>本项目位于河南省新乡经济开发区107国道与胡韦线交汇处A3地块，属于</w:t>
            </w:r>
            <w:r>
              <w:rPr>
                <w:kern w:val="0"/>
                <w:sz w:val="24"/>
              </w:rPr>
              <w:t>四十五项</w:t>
            </w:r>
            <w:r>
              <w:rPr>
                <w:rFonts w:hint="eastAsia"/>
                <w:kern w:val="0"/>
                <w:sz w:val="24"/>
              </w:rPr>
              <w:t>“</w:t>
            </w:r>
            <w:r>
              <w:rPr>
                <w:kern w:val="0"/>
                <w:sz w:val="24"/>
              </w:rPr>
              <w:t>研究和试验发展</w:t>
            </w:r>
            <w:r>
              <w:rPr>
                <w:rFonts w:hint="eastAsia"/>
                <w:kern w:val="0"/>
                <w:sz w:val="24"/>
              </w:rPr>
              <w:t>”</w:t>
            </w:r>
            <w:r>
              <w:rPr>
                <w:kern w:val="0"/>
                <w:sz w:val="24"/>
              </w:rPr>
              <w:t>第98条</w:t>
            </w:r>
            <w:r>
              <w:rPr>
                <w:rFonts w:hint="eastAsia"/>
                <w:kern w:val="0"/>
                <w:sz w:val="24"/>
              </w:rPr>
              <w:t>“</w:t>
            </w:r>
            <w:r>
              <w:rPr>
                <w:kern w:val="0"/>
                <w:sz w:val="24"/>
              </w:rPr>
              <w:t>专业实验室、研发（试验）基地</w:t>
            </w:r>
            <w:r>
              <w:rPr>
                <w:rFonts w:hint="eastAsia"/>
                <w:kern w:val="0"/>
                <w:sz w:val="24"/>
              </w:rPr>
              <w:t>”</w:t>
            </w:r>
            <w:r>
              <w:rPr>
                <w:rFonts w:hint="eastAsia"/>
                <w:sz w:val="24"/>
              </w:rPr>
              <w:t>，根据《河南省生态环境厅办公室关于进一步优化环评审批推进重大投资项目建设的通知》（豫环办[20</w:t>
            </w:r>
            <w:r>
              <w:rPr>
                <w:sz w:val="24"/>
              </w:rPr>
              <w:t>22</w:t>
            </w:r>
            <w:r>
              <w:rPr>
                <w:rFonts w:hint="eastAsia"/>
                <w:sz w:val="24"/>
              </w:rPr>
              <w:t>]</w:t>
            </w:r>
            <w:r>
              <w:rPr>
                <w:sz w:val="24"/>
              </w:rPr>
              <w:t>44</w:t>
            </w:r>
            <w:r>
              <w:rPr>
                <w:rFonts w:hint="eastAsia"/>
                <w:sz w:val="24"/>
              </w:rPr>
              <w:t>号），全省范围内（不涉及环境敏感区）四十五项“研究和试验发展”第98条“专业实验室、研发（试验）基地”建设项目，在《河南省建设项目环评告知承诺制审批正面清单（2</w:t>
            </w:r>
            <w:r>
              <w:rPr>
                <w:sz w:val="24"/>
              </w:rPr>
              <w:t>022</w:t>
            </w:r>
            <w:r>
              <w:rPr>
                <w:rFonts w:hint="eastAsia"/>
                <w:sz w:val="24"/>
              </w:rPr>
              <w:t>年版）》建设项目环评告知承诺制审批正面清单内，因此本项目属于告知承诺类项目，告知承诺制审批申请及承诺书见附件。</w:t>
            </w:r>
          </w:p>
          <w:p>
            <w:pPr>
              <w:autoSpaceDE w:val="0"/>
              <w:autoSpaceDN w:val="0"/>
              <w:adjustRightInd w:val="0"/>
              <w:snapToGrid w:val="0"/>
              <w:spacing w:line="460" w:lineRule="atLeast"/>
              <w:rPr>
                <w:b/>
                <w:kern w:val="0"/>
                <w:sz w:val="24"/>
              </w:rPr>
            </w:pPr>
            <w:r>
              <w:rPr>
                <w:b/>
                <w:kern w:val="0"/>
                <w:sz w:val="24"/>
              </w:rPr>
              <w:t>2、</w:t>
            </w:r>
            <w:r>
              <w:rPr>
                <w:b/>
                <w:bCs/>
                <w:kern w:val="0"/>
                <w:sz w:val="24"/>
              </w:rPr>
              <w:t>与产业政策相符性分析</w:t>
            </w:r>
          </w:p>
          <w:p>
            <w:pPr>
              <w:pStyle w:val="9"/>
              <w:spacing w:line="460" w:lineRule="exact"/>
              <w:ind w:firstLine="480" w:firstLineChars="200"/>
              <w:jc w:val="both"/>
              <w:rPr>
                <w:color w:val="FF0000"/>
                <w:szCs w:val="24"/>
                <w:highlight w:val="yellow"/>
              </w:rPr>
            </w:pPr>
            <w:r>
              <w:rPr>
                <w:color w:val="000000"/>
                <w:szCs w:val="24"/>
              </w:rPr>
              <w:t>经查阅《产业结构调整指导目录（2019年本）》</w:t>
            </w:r>
            <w:r>
              <w:rPr>
                <w:rFonts w:hint="eastAsia"/>
                <w:color w:val="000000"/>
                <w:szCs w:val="24"/>
              </w:rPr>
              <w:t>及其修改文件</w:t>
            </w:r>
            <w:r>
              <w:rPr>
                <w:color w:val="000000"/>
                <w:szCs w:val="24"/>
              </w:rPr>
              <w:t>，</w:t>
            </w:r>
            <w:r>
              <w:rPr>
                <w:bCs/>
              </w:rPr>
              <w:t>本项目属于第一类鼓励类</w:t>
            </w:r>
            <w:r>
              <w:rPr>
                <w:color w:val="000000"/>
                <w:szCs w:val="21"/>
              </w:rPr>
              <w:t>三十一、科技服务业</w:t>
            </w:r>
            <w:r>
              <w:rPr>
                <w:bCs/>
              </w:rPr>
              <w:t>第1条（工业设计、气象、生物、新材料、新能源、节能、环保、测绘、海洋等专业科技服务，标准化服务、计量测试、质量认证和检验检测服务、科技普及），属于鼓励类。</w:t>
            </w:r>
            <w:r>
              <w:rPr>
                <w:bCs/>
                <w:color w:val="000000"/>
                <w:szCs w:val="24"/>
              </w:rPr>
              <w:t>符合国家产业政策要求。</w:t>
            </w:r>
          </w:p>
          <w:p>
            <w:pPr>
              <w:spacing w:line="460" w:lineRule="exact"/>
              <w:ind w:firstLine="480" w:firstLineChars="200"/>
              <w:rPr>
                <w:color w:val="000000"/>
                <w:sz w:val="24"/>
              </w:rPr>
            </w:pPr>
            <w:r>
              <w:rPr>
                <w:color w:val="000000"/>
                <w:sz w:val="24"/>
              </w:rPr>
              <w:t>本项目情况与产业政策相符性见表8。</w:t>
            </w:r>
          </w:p>
          <w:p>
            <w:pPr>
              <w:spacing w:line="460" w:lineRule="exact"/>
              <w:ind w:firstLine="480" w:firstLineChars="200"/>
              <w:jc w:val="left"/>
              <w:rPr>
                <w:rFonts w:eastAsia="黑体"/>
                <w:color w:val="000000"/>
                <w:sz w:val="24"/>
                <w:lang w:val="pt-BR"/>
              </w:rPr>
            </w:pPr>
            <w:r>
              <w:rPr>
                <w:rFonts w:eastAsia="黑体"/>
                <w:color w:val="000000"/>
                <w:sz w:val="24"/>
                <w:lang w:val="pt-BR"/>
              </w:rPr>
              <w:t>表</w:t>
            </w:r>
            <w:r>
              <w:rPr>
                <w:rFonts w:eastAsia="黑体"/>
                <w:color w:val="000000"/>
                <w:sz w:val="24"/>
              </w:rPr>
              <w:t xml:space="preserve">8            </w:t>
            </w:r>
            <w:r>
              <w:rPr>
                <w:rFonts w:eastAsia="黑体"/>
                <w:color w:val="000000"/>
                <w:sz w:val="24"/>
                <w:lang w:val="pt-BR"/>
              </w:rPr>
              <w:t>项目与产业政策相符性分析</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60"/>
              <w:gridCol w:w="911"/>
              <w:gridCol w:w="851"/>
              <w:gridCol w:w="3118"/>
              <w:gridCol w:w="1703"/>
              <w:gridCol w:w="68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71" w:type="dxa"/>
                  <w:gridSpan w:val="2"/>
                  <w:tcBorders>
                    <w:top w:val="single" w:color="auto" w:sz="8" w:space="0"/>
                  </w:tcBorders>
                  <w:vAlign w:val="center"/>
                </w:tcPr>
                <w:p>
                  <w:pPr>
                    <w:jc w:val="center"/>
                    <w:rPr>
                      <w:b/>
                      <w:color w:val="000000"/>
                      <w:szCs w:val="21"/>
                    </w:rPr>
                  </w:pPr>
                  <w:r>
                    <w:rPr>
                      <w:b/>
                      <w:color w:val="000000"/>
                      <w:szCs w:val="21"/>
                    </w:rPr>
                    <w:t>类别</w:t>
                  </w:r>
                </w:p>
              </w:tc>
              <w:tc>
                <w:tcPr>
                  <w:tcW w:w="851" w:type="dxa"/>
                  <w:tcBorders>
                    <w:top w:val="single" w:color="auto" w:sz="8" w:space="0"/>
                  </w:tcBorders>
                  <w:vAlign w:val="center"/>
                </w:tcPr>
                <w:p>
                  <w:pPr>
                    <w:jc w:val="center"/>
                    <w:rPr>
                      <w:b/>
                      <w:color w:val="000000"/>
                      <w:szCs w:val="21"/>
                    </w:rPr>
                  </w:pPr>
                  <w:r>
                    <w:rPr>
                      <w:b/>
                      <w:color w:val="000000"/>
                      <w:szCs w:val="21"/>
                    </w:rPr>
                    <w:t>条款</w:t>
                  </w:r>
                </w:p>
              </w:tc>
              <w:tc>
                <w:tcPr>
                  <w:tcW w:w="3118" w:type="dxa"/>
                  <w:tcBorders>
                    <w:top w:val="single" w:color="auto" w:sz="8" w:space="0"/>
                  </w:tcBorders>
                  <w:vAlign w:val="center"/>
                </w:tcPr>
                <w:p>
                  <w:pPr>
                    <w:jc w:val="center"/>
                    <w:rPr>
                      <w:b/>
                      <w:color w:val="000000"/>
                      <w:szCs w:val="21"/>
                    </w:rPr>
                  </w:pPr>
                  <w:r>
                    <w:rPr>
                      <w:b/>
                      <w:color w:val="000000"/>
                      <w:szCs w:val="21"/>
                    </w:rPr>
                    <w:t>内容</w:t>
                  </w:r>
                </w:p>
              </w:tc>
              <w:tc>
                <w:tcPr>
                  <w:tcW w:w="1703" w:type="dxa"/>
                  <w:tcBorders>
                    <w:top w:val="single" w:color="auto" w:sz="8" w:space="0"/>
                  </w:tcBorders>
                  <w:vAlign w:val="center"/>
                </w:tcPr>
                <w:p>
                  <w:pPr>
                    <w:jc w:val="center"/>
                    <w:rPr>
                      <w:b/>
                      <w:color w:val="000000"/>
                      <w:szCs w:val="21"/>
                    </w:rPr>
                  </w:pPr>
                  <w:r>
                    <w:rPr>
                      <w:b/>
                      <w:color w:val="000000"/>
                      <w:szCs w:val="21"/>
                    </w:rPr>
                    <w:t>本项目情况</w:t>
                  </w:r>
                </w:p>
              </w:tc>
              <w:tc>
                <w:tcPr>
                  <w:tcW w:w="687" w:type="dxa"/>
                  <w:tcBorders>
                    <w:top w:val="single" w:color="auto" w:sz="8" w:space="0"/>
                  </w:tcBorders>
                  <w:vAlign w:val="center"/>
                </w:tcPr>
                <w:p>
                  <w:pPr>
                    <w:jc w:val="center"/>
                    <w:rPr>
                      <w:b/>
                      <w:color w:val="000000"/>
                      <w:szCs w:val="21"/>
                    </w:rPr>
                  </w:pPr>
                  <w:r>
                    <w:rPr>
                      <w:b/>
                      <w:color w:val="000000"/>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71" w:type="dxa"/>
                  <w:gridSpan w:val="2"/>
                  <w:vAlign w:val="center"/>
                </w:tcPr>
                <w:p>
                  <w:pPr>
                    <w:jc w:val="center"/>
                    <w:rPr>
                      <w:color w:val="000000"/>
                      <w:szCs w:val="21"/>
                    </w:rPr>
                  </w:pPr>
                  <w:r>
                    <w:rPr>
                      <w:color w:val="000000"/>
                      <w:szCs w:val="21"/>
                    </w:rPr>
                    <w:t>鼓励类</w:t>
                  </w:r>
                </w:p>
              </w:tc>
              <w:tc>
                <w:tcPr>
                  <w:tcW w:w="851" w:type="dxa"/>
                  <w:vAlign w:val="center"/>
                </w:tcPr>
                <w:p>
                  <w:pPr>
                    <w:jc w:val="center"/>
                    <w:rPr>
                      <w:color w:val="000000"/>
                      <w:szCs w:val="21"/>
                    </w:rPr>
                  </w:pPr>
                  <w:r>
                    <w:rPr>
                      <w:color w:val="000000"/>
                      <w:szCs w:val="21"/>
                    </w:rPr>
                    <w:t>三十一、科技服务业</w:t>
                  </w:r>
                </w:p>
              </w:tc>
              <w:tc>
                <w:tcPr>
                  <w:tcW w:w="3118" w:type="dxa"/>
                  <w:vAlign w:val="center"/>
                </w:tcPr>
                <w:p>
                  <w:pPr>
                    <w:rPr>
                      <w:color w:val="000000"/>
                      <w:szCs w:val="21"/>
                    </w:rPr>
                  </w:pPr>
                  <w:r>
                    <w:rPr>
                      <w:color w:val="000000"/>
                      <w:szCs w:val="21"/>
                    </w:rPr>
                    <w:t>1、工业设计、气象、生物、新材料、新能源、节能、环保、测绘、海洋等专业科技服务，标准化服务、计量测试、质量认证和检验检测服务、科技普及</w:t>
                  </w:r>
                </w:p>
              </w:tc>
              <w:tc>
                <w:tcPr>
                  <w:tcW w:w="1703" w:type="dxa"/>
                  <w:vAlign w:val="center"/>
                </w:tcPr>
                <w:p>
                  <w:pPr>
                    <w:pStyle w:val="9"/>
                    <w:jc w:val="both"/>
                    <w:rPr>
                      <w:color w:val="000000"/>
                      <w:sz w:val="21"/>
                      <w:szCs w:val="21"/>
                    </w:rPr>
                  </w:pPr>
                  <w:r>
                    <w:rPr>
                      <w:color w:val="000000"/>
                      <w:sz w:val="21"/>
                      <w:szCs w:val="21"/>
                    </w:rPr>
                    <w:t>本项目为</w:t>
                  </w:r>
                  <w:r>
                    <w:rPr>
                      <w:rFonts w:hint="eastAsia"/>
                      <w:color w:val="000000"/>
                      <w:sz w:val="21"/>
                      <w:szCs w:val="21"/>
                    </w:rPr>
                    <w:t>检测服务业</w:t>
                  </w:r>
                </w:p>
              </w:tc>
              <w:tc>
                <w:tcPr>
                  <w:tcW w:w="687" w:type="dxa"/>
                  <w:vAlign w:val="center"/>
                </w:tcPr>
                <w:p>
                  <w:pPr>
                    <w:jc w:val="center"/>
                    <w:rPr>
                      <w:color w:val="000000"/>
                      <w:szCs w:val="21"/>
                    </w:rPr>
                  </w:pPr>
                  <w:r>
                    <w:rPr>
                      <w:color w:val="000000"/>
                      <w:szCs w:val="21"/>
                    </w:rPr>
                    <w:t>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71" w:type="dxa"/>
                  <w:gridSpan w:val="2"/>
                  <w:vAlign w:val="center"/>
                </w:tcPr>
                <w:p>
                  <w:pPr>
                    <w:jc w:val="center"/>
                    <w:rPr>
                      <w:color w:val="000000"/>
                      <w:szCs w:val="21"/>
                    </w:rPr>
                  </w:pPr>
                  <w:r>
                    <w:rPr>
                      <w:color w:val="000000"/>
                      <w:szCs w:val="21"/>
                    </w:rPr>
                    <w:t>限制类</w:t>
                  </w:r>
                </w:p>
              </w:tc>
              <w:tc>
                <w:tcPr>
                  <w:tcW w:w="851" w:type="dxa"/>
                  <w:vAlign w:val="center"/>
                </w:tcPr>
                <w:p>
                  <w:pPr>
                    <w:rPr>
                      <w:color w:val="000000"/>
                      <w:szCs w:val="21"/>
                    </w:rPr>
                  </w:pPr>
                  <w:r>
                    <w:rPr>
                      <w:color w:val="000000"/>
                      <w:szCs w:val="21"/>
                    </w:rPr>
                    <w:t>十六、其他</w:t>
                  </w:r>
                </w:p>
              </w:tc>
              <w:tc>
                <w:tcPr>
                  <w:tcW w:w="3118" w:type="dxa"/>
                  <w:vAlign w:val="center"/>
                </w:tcPr>
                <w:p>
                  <w:pPr>
                    <w:rPr>
                      <w:color w:val="000000"/>
                      <w:szCs w:val="21"/>
                    </w:rPr>
                  </w:pPr>
                  <w:r>
                    <w:rPr>
                      <w:color w:val="000000"/>
                      <w:szCs w:val="21"/>
                    </w:rPr>
                    <w:t>8、不符合《大气污染防治法》《水污染防治法》《固体废物污染环境防治法》《节约能源法》《安全生产法》《产品质量法》《土地管理法》《职业病防治法》等国家法律法规，不符合国家安全、环保、能耗、质量方面强制性标准，不符合国际环境公约等要求的工艺、技术、产品、装备</w:t>
                  </w:r>
                </w:p>
              </w:tc>
              <w:tc>
                <w:tcPr>
                  <w:tcW w:w="1703" w:type="dxa"/>
                  <w:vAlign w:val="center"/>
                </w:tcPr>
                <w:p>
                  <w:pPr>
                    <w:rPr>
                      <w:color w:val="000000"/>
                      <w:szCs w:val="21"/>
                    </w:rPr>
                  </w:pPr>
                  <w:r>
                    <w:rPr>
                      <w:color w:val="000000"/>
                      <w:szCs w:val="21"/>
                    </w:rPr>
                    <w:t>本项目为</w:t>
                  </w:r>
                  <w:r>
                    <w:rPr>
                      <w:rFonts w:hint="eastAsia"/>
                      <w:color w:val="000000"/>
                      <w:szCs w:val="21"/>
                    </w:rPr>
                    <w:t>检测服务业</w:t>
                  </w:r>
                  <w:r>
                    <w:rPr>
                      <w:color w:val="000000"/>
                      <w:szCs w:val="21"/>
                    </w:rPr>
                    <w:t>，</w:t>
                  </w:r>
                  <w:r>
                    <w:rPr>
                      <w:bCs/>
                      <w:color w:val="000000"/>
                      <w:szCs w:val="21"/>
                    </w:rPr>
                    <w:t>符合国家法律法规，符合国家安全、环保、能耗、质量方面强制性标准，符合国际环境公约等要求的工艺、技术、产品、装备。</w:t>
                  </w:r>
                </w:p>
              </w:tc>
              <w:tc>
                <w:tcPr>
                  <w:tcW w:w="687" w:type="dxa"/>
                  <w:vAlign w:val="center"/>
                </w:tcPr>
                <w:p>
                  <w:pPr>
                    <w:jc w:val="center"/>
                    <w:rPr>
                      <w:color w:val="000000"/>
                      <w:szCs w:val="21"/>
                    </w:rPr>
                  </w:pPr>
                  <w:r>
                    <w:rPr>
                      <w:color w:val="000000"/>
                      <w:szCs w:val="21"/>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0" w:type="dxa"/>
                  <w:vMerge w:val="restart"/>
                  <w:vAlign w:val="center"/>
                </w:tcPr>
                <w:p>
                  <w:pPr>
                    <w:jc w:val="center"/>
                    <w:rPr>
                      <w:color w:val="000000"/>
                      <w:szCs w:val="21"/>
                    </w:rPr>
                  </w:pPr>
                  <w:r>
                    <w:rPr>
                      <w:color w:val="000000"/>
                      <w:szCs w:val="21"/>
                    </w:rPr>
                    <w:t>淘汰类</w:t>
                  </w:r>
                </w:p>
              </w:tc>
              <w:tc>
                <w:tcPr>
                  <w:tcW w:w="911" w:type="dxa"/>
                  <w:vAlign w:val="center"/>
                </w:tcPr>
                <w:p>
                  <w:pPr>
                    <w:jc w:val="center"/>
                    <w:rPr>
                      <w:color w:val="000000"/>
                      <w:szCs w:val="21"/>
                    </w:rPr>
                  </w:pPr>
                  <w:r>
                    <w:rPr>
                      <w:color w:val="000000"/>
                      <w:szCs w:val="21"/>
                    </w:rPr>
                    <w:t>落后生产工艺装备</w:t>
                  </w:r>
                </w:p>
              </w:tc>
              <w:tc>
                <w:tcPr>
                  <w:tcW w:w="851" w:type="dxa"/>
                  <w:vAlign w:val="center"/>
                </w:tcPr>
                <w:p>
                  <w:pPr>
                    <w:jc w:val="center"/>
                    <w:rPr>
                      <w:color w:val="000000"/>
                      <w:szCs w:val="21"/>
                      <w:highlight w:val="yellow"/>
                    </w:rPr>
                  </w:pPr>
                  <w:r>
                    <w:rPr>
                      <w:color w:val="000000"/>
                      <w:szCs w:val="21"/>
                    </w:rPr>
                    <w:t>（十八）其他</w:t>
                  </w:r>
                </w:p>
              </w:tc>
              <w:tc>
                <w:tcPr>
                  <w:tcW w:w="3118" w:type="dxa"/>
                  <w:vAlign w:val="center"/>
                </w:tcPr>
                <w:p>
                  <w:pPr>
                    <w:jc w:val="center"/>
                    <w:rPr>
                      <w:color w:val="000000"/>
                      <w:szCs w:val="21"/>
                    </w:rPr>
                  </w:pPr>
                  <w:r>
                    <w:rPr>
                      <w:color w:val="000000"/>
                      <w:szCs w:val="21"/>
                    </w:rPr>
                    <w:t>查阅无相关对应条款</w:t>
                  </w:r>
                </w:p>
              </w:tc>
              <w:tc>
                <w:tcPr>
                  <w:tcW w:w="1703" w:type="dxa"/>
                  <w:vAlign w:val="center"/>
                </w:tcPr>
                <w:p>
                  <w:pPr>
                    <w:pStyle w:val="9"/>
                    <w:jc w:val="both"/>
                    <w:rPr>
                      <w:color w:val="000000"/>
                    </w:rPr>
                  </w:pPr>
                  <w:r>
                    <w:rPr>
                      <w:color w:val="000000"/>
                      <w:sz w:val="21"/>
                      <w:szCs w:val="21"/>
                    </w:rPr>
                    <w:t>本项目仪器设备为实验检测设备</w:t>
                  </w:r>
                </w:p>
              </w:tc>
              <w:tc>
                <w:tcPr>
                  <w:tcW w:w="687" w:type="dxa"/>
                  <w:vMerge w:val="restart"/>
                  <w:vAlign w:val="center"/>
                </w:tcPr>
                <w:p>
                  <w:pPr>
                    <w:jc w:val="center"/>
                    <w:rPr>
                      <w:color w:val="000000"/>
                      <w:szCs w:val="21"/>
                    </w:rPr>
                  </w:pPr>
                  <w:r>
                    <w:rPr>
                      <w:color w:val="000000"/>
                      <w:szCs w:val="21"/>
                    </w:rPr>
                    <w:t>不属于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0" w:type="dxa"/>
                  <w:vMerge w:val="continue"/>
                  <w:tcBorders>
                    <w:bottom w:val="single" w:color="auto" w:sz="8" w:space="0"/>
                  </w:tcBorders>
                  <w:vAlign w:val="center"/>
                </w:tcPr>
                <w:p>
                  <w:pPr>
                    <w:jc w:val="center"/>
                    <w:rPr>
                      <w:color w:val="000000"/>
                      <w:szCs w:val="21"/>
                      <w:highlight w:val="yellow"/>
                    </w:rPr>
                  </w:pPr>
                </w:p>
              </w:tc>
              <w:tc>
                <w:tcPr>
                  <w:tcW w:w="911" w:type="dxa"/>
                  <w:tcBorders>
                    <w:bottom w:val="single" w:color="auto" w:sz="8" w:space="0"/>
                  </w:tcBorders>
                  <w:vAlign w:val="center"/>
                </w:tcPr>
                <w:p>
                  <w:pPr>
                    <w:jc w:val="center"/>
                    <w:rPr>
                      <w:color w:val="000000"/>
                      <w:szCs w:val="21"/>
                    </w:rPr>
                  </w:pPr>
                  <w:r>
                    <w:rPr>
                      <w:color w:val="000000"/>
                      <w:szCs w:val="21"/>
                    </w:rPr>
                    <w:t>落后产品</w:t>
                  </w:r>
                </w:p>
              </w:tc>
              <w:tc>
                <w:tcPr>
                  <w:tcW w:w="851" w:type="dxa"/>
                  <w:tcBorders>
                    <w:bottom w:val="single" w:color="auto" w:sz="8" w:space="0"/>
                  </w:tcBorders>
                  <w:vAlign w:val="center"/>
                </w:tcPr>
                <w:p>
                  <w:pPr>
                    <w:jc w:val="center"/>
                    <w:rPr>
                      <w:color w:val="000000"/>
                      <w:szCs w:val="21"/>
                    </w:rPr>
                  </w:pPr>
                  <w:r>
                    <w:rPr>
                      <w:color w:val="000000"/>
                      <w:szCs w:val="21"/>
                    </w:rPr>
                    <w:t>（十二）其他</w:t>
                  </w:r>
                </w:p>
              </w:tc>
              <w:tc>
                <w:tcPr>
                  <w:tcW w:w="3118" w:type="dxa"/>
                  <w:tcBorders>
                    <w:bottom w:val="single" w:color="auto" w:sz="8" w:space="0"/>
                  </w:tcBorders>
                  <w:vAlign w:val="center"/>
                </w:tcPr>
                <w:p>
                  <w:pPr>
                    <w:jc w:val="center"/>
                    <w:rPr>
                      <w:color w:val="000000"/>
                      <w:szCs w:val="21"/>
                    </w:rPr>
                  </w:pPr>
                  <w:r>
                    <w:rPr>
                      <w:color w:val="000000"/>
                      <w:szCs w:val="21"/>
                    </w:rPr>
                    <w:t>查阅无相关对应条款</w:t>
                  </w:r>
                </w:p>
              </w:tc>
              <w:tc>
                <w:tcPr>
                  <w:tcW w:w="1703" w:type="dxa"/>
                  <w:tcBorders>
                    <w:bottom w:val="single" w:color="auto" w:sz="8" w:space="0"/>
                  </w:tcBorders>
                  <w:vAlign w:val="center"/>
                </w:tcPr>
                <w:p>
                  <w:pPr>
                    <w:rPr>
                      <w:color w:val="000000"/>
                      <w:szCs w:val="21"/>
                      <w:highlight w:val="yellow"/>
                    </w:rPr>
                  </w:pPr>
                  <w:r>
                    <w:rPr>
                      <w:color w:val="000000"/>
                      <w:szCs w:val="21"/>
                    </w:rPr>
                    <w:t>本项目</w:t>
                  </w:r>
                  <w:r>
                    <w:rPr>
                      <w:rFonts w:hint="eastAsia"/>
                      <w:color w:val="000000"/>
                      <w:szCs w:val="21"/>
                    </w:rPr>
                    <w:t>为检测服务业</w:t>
                  </w:r>
                </w:p>
              </w:tc>
              <w:tc>
                <w:tcPr>
                  <w:tcW w:w="687" w:type="dxa"/>
                  <w:vMerge w:val="continue"/>
                  <w:tcBorders>
                    <w:bottom w:val="single" w:color="auto" w:sz="8" w:space="0"/>
                  </w:tcBorders>
                  <w:vAlign w:val="center"/>
                </w:tcPr>
                <w:p>
                  <w:pPr>
                    <w:jc w:val="center"/>
                    <w:rPr>
                      <w:color w:val="000000"/>
                      <w:szCs w:val="21"/>
                      <w:highlight w:val="yellow"/>
                    </w:rPr>
                  </w:pPr>
                </w:p>
              </w:tc>
            </w:tr>
          </w:tbl>
          <w:p>
            <w:pPr>
              <w:spacing w:line="460" w:lineRule="exact"/>
              <w:ind w:firstLine="482" w:firstLineChars="200"/>
              <w:rPr>
                <w:b/>
                <w:color w:val="000000"/>
                <w:sz w:val="24"/>
              </w:rPr>
            </w:pPr>
            <w:r>
              <w:rPr>
                <w:b/>
                <w:color w:val="000000"/>
                <w:sz w:val="24"/>
              </w:rPr>
              <w:t>3、与当地建设相符性分析</w:t>
            </w:r>
          </w:p>
          <w:p>
            <w:pPr>
              <w:spacing w:line="460" w:lineRule="exact"/>
              <w:ind w:firstLine="480" w:firstLineChars="200"/>
              <w:rPr>
                <w:color w:val="000000"/>
                <w:sz w:val="24"/>
                <w:highlight w:val="yellow"/>
              </w:rPr>
            </w:pPr>
            <w:r>
              <w:rPr>
                <w:color w:val="000000"/>
                <w:sz w:val="24"/>
              </w:rPr>
              <w:t>（1）本项目利用印海智谷产业园现有空厂房进行建设，位于新乡经济开发区107国道与胡韦线交汇处A3地块，根据《</w:t>
            </w:r>
            <w:r>
              <w:rPr>
                <w:sz w:val="24"/>
              </w:rPr>
              <w:t>新乡经济技术产业集聚区总体发展规划（2017-2025）</w:t>
            </w:r>
            <w:r>
              <w:rPr>
                <w:color w:val="000000"/>
                <w:sz w:val="24"/>
              </w:rPr>
              <w:t>》，项目所占用地为工业用地（详见附图一），符合</w:t>
            </w:r>
            <w:r>
              <w:rPr>
                <w:sz w:val="24"/>
              </w:rPr>
              <w:t>新乡经济技术产业集聚区</w:t>
            </w:r>
            <w:r>
              <w:rPr>
                <w:color w:val="000000"/>
                <w:sz w:val="24"/>
              </w:rPr>
              <w:t>用地规划要求。</w:t>
            </w:r>
          </w:p>
          <w:p>
            <w:pPr>
              <w:autoSpaceDE w:val="0"/>
              <w:autoSpaceDN w:val="0"/>
              <w:adjustRightInd w:val="0"/>
              <w:snapToGrid w:val="0"/>
              <w:spacing w:line="460" w:lineRule="exact"/>
              <w:ind w:firstLine="480" w:firstLineChars="200"/>
              <w:rPr>
                <w:color w:val="000000"/>
                <w:sz w:val="24"/>
              </w:rPr>
            </w:pPr>
            <w:r>
              <w:rPr>
                <w:kern w:val="0"/>
                <w:sz w:val="24"/>
              </w:rPr>
              <w:t>（2）</w:t>
            </w:r>
            <w:r>
              <w:rPr>
                <w:color w:val="000000"/>
                <w:sz w:val="24"/>
              </w:rPr>
              <w:t>项目选址距离最近的饮用水源地为</w:t>
            </w:r>
            <w:r>
              <w:rPr>
                <w:rFonts w:hint="eastAsia"/>
                <w:color w:val="000000"/>
                <w:sz w:val="24"/>
              </w:rPr>
              <w:t>原阳县师寨镇师寨水厂地下水井群(共3眼井)，一级保护区范围：水厂厂区及外围东40米、西20米、南45米、北30米的区域。本项目</w:t>
            </w:r>
            <w:r>
              <w:rPr>
                <w:color w:val="000000"/>
                <w:sz w:val="24"/>
              </w:rPr>
              <w:t>距离</w:t>
            </w:r>
            <w:r>
              <w:rPr>
                <w:rFonts w:hint="eastAsia"/>
                <w:color w:val="000000"/>
                <w:sz w:val="24"/>
              </w:rPr>
              <w:t>保护区边界</w:t>
            </w:r>
            <w:r>
              <w:rPr>
                <w:color w:val="000000"/>
                <w:sz w:val="24"/>
              </w:rPr>
              <w:t>约4.294千米，不在其保护区范围内。</w:t>
            </w:r>
          </w:p>
          <w:p>
            <w:pPr>
              <w:autoSpaceDE w:val="0"/>
              <w:autoSpaceDN w:val="0"/>
              <w:adjustRightInd w:val="0"/>
              <w:snapToGrid w:val="0"/>
              <w:spacing w:line="460" w:lineRule="exact"/>
              <w:ind w:firstLine="482" w:firstLineChars="200"/>
              <w:rPr>
                <w:b/>
                <w:color w:val="000000"/>
                <w:sz w:val="24"/>
              </w:rPr>
            </w:pPr>
            <w:r>
              <w:rPr>
                <w:b/>
                <w:color w:val="000000"/>
                <w:sz w:val="24"/>
              </w:rPr>
              <w:t>4、与《新乡市“三线一单”生态环境准入清单》相符性分析</w:t>
            </w:r>
          </w:p>
          <w:p>
            <w:pPr>
              <w:autoSpaceDE w:val="0"/>
              <w:autoSpaceDN w:val="0"/>
              <w:adjustRightInd w:val="0"/>
              <w:snapToGrid w:val="0"/>
              <w:spacing w:line="460" w:lineRule="exact"/>
              <w:ind w:firstLine="480" w:firstLineChars="200"/>
              <w:rPr>
                <w:color w:val="000000"/>
                <w:sz w:val="24"/>
              </w:rPr>
            </w:pPr>
            <w:r>
              <w:rPr>
                <w:color w:val="000000"/>
                <w:sz w:val="24"/>
              </w:rPr>
              <w:t>（1）生态保护红线相符性</w:t>
            </w:r>
          </w:p>
          <w:p>
            <w:pPr>
              <w:autoSpaceDE w:val="0"/>
              <w:autoSpaceDN w:val="0"/>
              <w:adjustRightInd w:val="0"/>
              <w:snapToGrid w:val="0"/>
              <w:spacing w:line="460" w:lineRule="exact"/>
              <w:ind w:firstLine="480" w:firstLineChars="200"/>
              <w:rPr>
                <w:b/>
                <w:color w:val="000000"/>
                <w:sz w:val="24"/>
              </w:rPr>
            </w:pPr>
            <w:r>
              <w:rPr>
                <w:color w:val="000000"/>
                <w:sz w:val="24"/>
              </w:rPr>
              <w:t>本项目位于新乡经济开发区107国道与胡韦线交汇处A3地块，不在当地饮用水源、风景区、自然保护区等生态保护区内，根据《河南省生态保护红线划定方案》，本项目选址范围不涉及生态保护红线，本项目的实施与生态保护红线不冲突。</w:t>
            </w:r>
          </w:p>
          <w:p>
            <w:pPr>
              <w:autoSpaceDE w:val="0"/>
              <w:autoSpaceDN w:val="0"/>
              <w:adjustRightInd w:val="0"/>
              <w:snapToGrid w:val="0"/>
              <w:spacing w:line="460" w:lineRule="exact"/>
              <w:ind w:firstLine="480" w:firstLineChars="200"/>
              <w:rPr>
                <w:color w:val="000000"/>
                <w:sz w:val="24"/>
              </w:rPr>
            </w:pPr>
            <w:r>
              <w:rPr>
                <w:color w:val="000000"/>
                <w:sz w:val="24"/>
              </w:rPr>
              <w:t>（2）资源利用上线相符性</w:t>
            </w:r>
          </w:p>
          <w:p>
            <w:pPr>
              <w:autoSpaceDE w:val="0"/>
              <w:autoSpaceDN w:val="0"/>
              <w:adjustRightInd w:val="0"/>
              <w:snapToGrid w:val="0"/>
              <w:spacing w:line="460" w:lineRule="exact"/>
              <w:ind w:firstLine="480" w:firstLineChars="200"/>
              <w:rPr>
                <w:color w:val="000000"/>
                <w:sz w:val="24"/>
              </w:rPr>
            </w:pPr>
            <w:r>
              <w:rPr>
                <w:color w:val="000000"/>
                <w:sz w:val="24"/>
              </w:rPr>
              <w:t>本项目用水由产业集聚区统一供给；能源主要为电，电由产业集聚区统一供给。项目建成运行后通过内部管理、设备选择、原辅材料的选用和管理、废物回收利用、污染治理等多方面采取合理可行的防治措施，以</w:t>
            </w:r>
            <w:r>
              <w:rPr>
                <w:rFonts w:hint="eastAsia"/>
                <w:color w:val="000000"/>
                <w:sz w:val="24"/>
              </w:rPr>
              <w:t>“</w:t>
            </w:r>
            <w:r>
              <w:rPr>
                <w:color w:val="000000"/>
                <w:sz w:val="24"/>
              </w:rPr>
              <w:t>节能、降耗、减污</w:t>
            </w:r>
            <w:r>
              <w:rPr>
                <w:rFonts w:hint="eastAsia"/>
                <w:color w:val="000000"/>
                <w:sz w:val="24"/>
              </w:rPr>
              <w:t>”</w:t>
            </w:r>
            <w:r>
              <w:rPr>
                <w:color w:val="000000"/>
                <w:sz w:val="24"/>
              </w:rPr>
              <w:t>为目标，有效地控制污染。项目的水、气等资源利用不会突破区域的资源利用上线。</w:t>
            </w:r>
          </w:p>
          <w:p>
            <w:pPr>
              <w:autoSpaceDE w:val="0"/>
              <w:autoSpaceDN w:val="0"/>
              <w:adjustRightInd w:val="0"/>
              <w:snapToGrid w:val="0"/>
              <w:spacing w:line="460" w:lineRule="exact"/>
              <w:ind w:firstLine="480" w:firstLineChars="200"/>
              <w:rPr>
                <w:color w:val="000000"/>
                <w:sz w:val="24"/>
              </w:rPr>
            </w:pPr>
            <w:r>
              <w:rPr>
                <w:color w:val="000000"/>
                <w:sz w:val="24"/>
              </w:rPr>
              <w:t>（3）环境质量底线相符性</w:t>
            </w:r>
          </w:p>
          <w:p>
            <w:pPr>
              <w:autoSpaceDE w:val="0"/>
              <w:autoSpaceDN w:val="0"/>
              <w:adjustRightInd w:val="0"/>
              <w:snapToGrid w:val="0"/>
              <w:spacing w:line="460" w:lineRule="exact"/>
              <w:ind w:firstLine="480" w:firstLineChars="200"/>
              <w:rPr>
                <w:color w:val="000000"/>
                <w:sz w:val="24"/>
              </w:rPr>
            </w:pPr>
            <w:r>
              <w:rPr>
                <w:color w:val="000000"/>
                <w:sz w:val="24"/>
              </w:rPr>
              <w:t>本项目废气、废水、噪声排放对周边环境影响较小，不会导致区域环境产生明显变化。项目对周边大气环境、地表水环境、地下水环境、声环境、土壤环境影响均可接受。</w:t>
            </w:r>
          </w:p>
          <w:p>
            <w:pPr>
              <w:autoSpaceDE w:val="0"/>
              <w:autoSpaceDN w:val="0"/>
              <w:adjustRightInd w:val="0"/>
              <w:snapToGrid w:val="0"/>
              <w:spacing w:line="460" w:lineRule="exact"/>
              <w:ind w:firstLine="480" w:firstLineChars="200"/>
              <w:rPr>
                <w:color w:val="000000"/>
                <w:sz w:val="24"/>
              </w:rPr>
            </w:pPr>
            <w:r>
              <w:rPr>
                <w:color w:val="000000"/>
                <w:sz w:val="24"/>
              </w:rPr>
              <w:t>（4）本项目选址位于新乡经济开发区107国道与胡韦线交汇处A3地块，根据《新乡市环境管控单元图》，本项目位于重点管控单元区，详见下图：</w:t>
            </w:r>
          </w:p>
          <w:p>
            <w:pPr>
              <w:autoSpaceDE w:val="0"/>
              <w:autoSpaceDN w:val="0"/>
              <w:adjustRightInd w:val="0"/>
              <w:snapToGrid w:val="0"/>
              <w:jc w:val="center"/>
              <w:rPr>
                <w:color w:val="000000"/>
                <w:sz w:val="24"/>
              </w:rPr>
            </w:pPr>
            <w:r>
              <mc:AlternateContent>
                <mc:Choice Requires="wps">
                  <w:drawing>
                    <wp:anchor distT="0" distB="0" distL="114300" distR="114300" simplePos="0" relativeHeight="251659264" behindDoc="0" locked="0" layoutInCell="1" allowOverlap="1">
                      <wp:simplePos x="0" y="0"/>
                      <wp:positionH relativeFrom="column">
                        <wp:posOffset>1614170</wp:posOffset>
                      </wp:positionH>
                      <wp:positionV relativeFrom="paragraph">
                        <wp:posOffset>1522095</wp:posOffset>
                      </wp:positionV>
                      <wp:extent cx="654050" cy="227330"/>
                      <wp:effectExtent l="381000" t="0" r="12700" b="401320"/>
                      <wp:wrapNone/>
                      <wp:docPr id="10" name="对话气泡: 圆角矩形 10"/>
                      <wp:cNvGraphicFramePr/>
                      <a:graphic xmlns:a="http://schemas.openxmlformats.org/drawingml/2006/main">
                        <a:graphicData uri="http://schemas.microsoft.com/office/word/2010/wordprocessingShape">
                          <wps:wsp>
                            <wps:cNvSpPr>
                              <a:spLocks noChangeArrowheads="1"/>
                            </wps:cNvSpPr>
                            <wps:spPr bwMode="auto">
                              <a:xfrm>
                                <a:off x="3299615" y="4369260"/>
                                <a:ext cx="654050" cy="227330"/>
                              </a:xfrm>
                              <a:prstGeom prst="wedgeRoundRectCallout">
                                <a:avLst>
                                  <a:gd name="adj1" fmla="val -103268"/>
                                  <a:gd name="adj2" fmla="val 194124"/>
                                  <a:gd name="adj3" fmla="val 16667"/>
                                </a:avLst>
                              </a:prstGeom>
                              <a:solidFill>
                                <a:srgbClr val="FFFFFF"/>
                              </a:solidFill>
                              <a:ln w="12700">
                                <a:solidFill>
                                  <a:srgbClr val="FF0000"/>
                                </a:solidFill>
                                <a:miter lim="800000"/>
                              </a:ln>
                            </wps:spPr>
                            <wps:txbx>
                              <w:txbxContent>
                                <w:p>
                                  <w:pPr>
                                    <w:pStyle w:val="51"/>
                                    <w:jc w:val="both"/>
                                    <w:rPr>
                                      <w:sz w:val="13"/>
                                      <w:szCs w:val="13"/>
                                    </w:rPr>
                                  </w:pPr>
                                  <w:r>
                                    <w:rPr>
                                      <w:rFonts w:hint="eastAsia"/>
                                      <w:sz w:val="13"/>
                                      <w:szCs w:val="13"/>
                                    </w:rPr>
                                    <w:t>本项目位置</w:t>
                                  </w:r>
                                </w:p>
                              </w:txbxContent>
                            </wps:txbx>
                            <wps:bodyPr rot="0" vert="horz" wrap="square" lIns="91440" tIns="45720" rIns="91440" bIns="45720" anchor="t" anchorCtr="0" upright="1">
                              <a:noAutofit/>
                            </wps:bodyPr>
                          </wps:wsp>
                        </a:graphicData>
                      </a:graphic>
                    </wp:anchor>
                  </w:drawing>
                </mc:Choice>
                <mc:Fallback>
                  <w:pict>
                    <v:shape id="对话气泡: 圆角矩形 10" o:spid="_x0000_s1026" o:spt="62" type="#_x0000_t62" style="position:absolute;left:0pt;margin-left:127.1pt;margin-top:119.85pt;height:17.9pt;width:51.5pt;z-index:251659264;mso-width-relative:page;mso-height-relative:page;" fillcolor="#FFFFFF" filled="t" stroked="t" coordsize="21600,21600" o:gfxdata="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yKY79kAAAALAQAADwAAAAAAAAABACAAAAAiAAAAZHJzL2Rvd25yZXYueG1s&#10;UEsBAhQAFAAAAAgAh07iQIeVSZ+iAgAAJQUAAA4AAAAAAAAAAQAgAAAAKAEAAGRycy9lMm9Eb2Mu&#10;eG1sUEsFBgAAAAAGAAYAWQEAADwGAAAAAA==&#10;" adj="-11506,52731,14400">
                      <v:fill on="t" focussize="0,0"/>
                      <v:stroke weight="1pt" color="#FF0000" miterlimit="8" joinstyle="miter"/>
                      <v:imagedata o:title=""/>
                      <o:lock v:ext="edit" aspectratio="f"/>
                      <v:textbox>
                        <w:txbxContent>
                          <w:p>
                            <w:pPr>
                              <w:pStyle w:val="51"/>
                              <w:jc w:val="both"/>
                              <w:rPr>
                                <w:sz w:val="13"/>
                                <w:szCs w:val="13"/>
                              </w:rPr>
                            </w:pPr>
                            <w:r>
                              <w:rPr>
                                <w:rFonts w:hint="eastAsia"/>
                                <w:sz w:val="13"/>
                                <w:szCs w:val="13"/>
                              </w:rPr>
                              <w:t>本项目位置</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1253490</wp:posOffset>
                      </wp:positionH>
                      <wp:positionV relativeFrom="paragraph">
                        <wp:posOffset>2077720</wp:posOffset>
                      </wp:positionV>
                      <wp:extent cx="17780" cy="17780"/>
                      <wp:effectExtent l="19050" t="19050" r="20320" b="39370"/>
                      <wp:wrapNone/>
                      <wp:docPr id="9" name="椭圆 9"/>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00B0F0"/>
                              </a:solidFill>
                              <a:ln w="38100" cap="flat" cmpd="sng">
                                <a:solidFill>
                                  <a:srgbClr val="0066FF"/>
                                </a:solidFill>
                                <a:prstDash val="solid"/>
                                <a:headEnd type="none" w="med" len="med"/>
                                <a:tailEnd type="none" w="med" len="med"/>
                              </a:ln>
                              <a:effectLst>
                                <a:outerShdw dist="28398" dir="3806096" algn="ctr" rotWithShape="0">
                                  <a:srgbClr val="7F7F7F">
                                    <a:alpha val="50000"/>
                                  </a:srgbClr>
                                </a:outerShdw>
                              </a:effectLst>
                            </wps:spPr>
                            <wps:bodyPr upright="1"/>
                          </wps:wsp>
                        </a:graphicData>
                      </a:graphic>
                    </wp:anchor>
                  </w:drawing>
                </mc:Choice>
                <mc:Fallback>
                  <w:pict>
                    <v:shape id="_x0000_s1026" o:spid="_x0000_s1026" o:spt="3" type="#_x0000_t3" style="position:absolute;left:0pt;margin-left:98.7pt;margin-top:163.6pt;height:1.4pt;width:1.4pt;z-index:251660288;mso-width-relative:page;mso-height-relative:page;" fillcolor="#00B0F0" filled="t" stroked="t" coordsize="21600,21600" o:gfxdata="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WGbbWAAAACwEAAA8AAAAAAAAAAQAgAAAA&#10;IgAAAGRycy9kb3ducmV2LnhtbFBLAQIUABQAAAAIAIdO4kCx0JxMRgIAALwEAAAOAAAAAAAAAAEA&#10;IAAAACUBAABkcnMvZTJvRG9jLnhtbFBLBQYAAAAABgAGAFkBAADdBQAAAAA=&#10;">
                      <v:fill on="t" focussize="0,0"/>
                      <v:stroke weight="3pt" color="#0066FF" joinstyle="round"/>
                      <v:imagedata o:title=""/>
                      <o:lock v:ext="edit" aspectratio="f"/>
                      <v:shadow on="t" color="#7F7F7F" opacity="32768f" offset="1pt,2pt" origin="0f,0f" matrix="65536f,0f,0f,65536f"/>
                    </v:shape>
                  </w:pict>
                </mc:Fallback>
              </mc:AlternateContent>
            </w:r>
            <w:r>
              <w:rPr>
                <w:rFonts w:eastAsia="黑体"/>
                <w:color w:val="000000"/>
                <w:sz w:val="24"/>
                <w:szCs w:val="20"/>
              </w:rPr>
              <w:drawing>
                <wp:inline distT="0" distB="0" distL="0" distR="0">
                  <wp:extent cx="4825365" cy="316357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l="2502" t="8476" r="2171" b="3064"/>
                          <a:stretch>
                            <a:fillRect/>
                          </a:stretch>
                        </pic:blipFill>
                        <pic:spPr>
                          <a:xfrm>
                            <a:off x="0" y="0"/>
                            <a:ext cx="4863575" cy="3188448"/>
                          </a:xfrm>
                          <a:prstGeom prst="rect">
                            <a:avLst/>
                          </a:prstGeom>
                          <a:noFill/>
                          <a:ln>
                            <a:noFill/>
                          </a:ln>
                        </pic:spPr>
                      </pic:pic>
                    </a:graphicData>
                  </a:graphic>
                </wp:inline>
              </w:drawing>
            </w:r>
          </w:p>
          <w:p>
            <w:pPr>
              <w:autoSpaceDE w:val="0"/>
              <w:autoSpaceDN w:val="0"/>
              <w:adjustRightInd w:val="0"/>
              <w:snapToGrid w:val="0"/>
              <w:jc w:val="center"/>
              <w:rPr>
                <w:rFonts w:eastAsia="黑体"/>
                <w:color w:val="000000"/>
              </w:rPr>
            </w:pPr>
            <w:r>
              <w:rPr>
                <w:rFonts w:eastAsia="黑体"/>
                <w:color w:val="000000"/>
              </w:rPr>
              <w:t>图1      新乡市环境管控单元图</w:t>
            </w:r>
          </w:p>
          <w:p>
            <w:pPr>
              <w:autoSpaceDE w:val="0"/>
              <w:autoSpaceDN w:val="0"/>
              <w:adjustRightInd w:val="0"/>
              <w:snapToGrid w:val="0"/>
              <w:spacing w:line="460" w:lineRule="exact"/>
              <w:ind w:firstLine="480" w:firstLineChars="200"/>
              <w:rPr>
                <w:kern w:val="0"/>
                <w:sz w:val="24"/>
              </w:rPr>
            </w:pPr>
            <w:r>
              <w:rPr>
                <w:kern w:val="0"/>
                <w:sz w:val="24"/>
              </w:rPr>
              <w:t>本项目厂址位于新乡经济开发区107国道与胡韦线交汇处A3地块，根据上图，本项目厂址属于</w:t>
            </w:r>
            <w:r>
              <w:rPr>
                <w:color w:val="000000"/>
                <w:sz w:val="24"/>
              </w:rPr>
              <w:t>重点管控</w:t>
            </w:r>
            <w:r>
              <w:rPr>
                <w:kern w:val="0"/>
                <w:sz w:val="24"/>
              </w:rPr>
              <w:t>单元，与《新乡市“三线一单”生态环境准入清单》（以下简称《清单》）中的相关内容对比一致性分析见</w:t>
            </w:r>
            <w:r>
              <w:rPr>
                <w:rFonts w:hint="eastAsia"/>
                <w:kern w:val="0"/>
                <w:sz w:val="24"/>
              </w:rPr>
              <w:t>下</w:t>
            </w:r>
            <w:r>
              <w:rPr>
                <w:kern w:val="0"/>
                <w:sz w:val="24"/>
              </w:rPr>
              <w:t>表</w:t>
            </w:r>
            <w:r>
              <w:rPr>
                <w:rFonts w:hint="eastAsia"/>
                <w:kern w:val="0"/>
                <w:sz w:val="24"/>
              </w:rPr>
              <w:t>9</w:t>
            </w:r>
            <w:r>
              <w:rPr>
                <w:kern w:val="0"/>
                <w:sz w:val="24"/>
              </w:rPr>
              <w:t>，与《河南生态环境分区管控总体要求（试行）》（豫环函[2021]171号）</w:t>
            </w:r>
          </w:p>
        </w:tc>
      </w:tr>
    </w:tbl>
    <w:p>
      <w:pPr>
        <w:spacing w:line="360" w:lineRule="auto"/>
        <w:outlineLvl w:val="0"/>
        <w:rPr>
          <w:rFonts w:eastAsia="黑体"/>
          <w:sz w:val="30"/>
        </w:rPr>
        <w:sectPr>
          <w:footerReference r:id="rId5" w:type="default"/>
          <w:pgSz w:w="11906" w:h="16838"/>
          <w:pgMar w:top="1701" w:right="1418" w:bottom="1701" w:left="1418" w:header="851" w:footer="1077" w:gutter="0"/>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2" w:hRule="atLeast"/>
        </w:trPr>
        <w:tc>
          <w:tcPr>
            <w:tcW w:w="13652" w:type="dxa"/>
          </w:tcPr>
          <w:p>
            <w:pPr>
              <w:spacing w:line="460" w:lineRule="exact"/>
              <w:jc w:val="left"/>
              <w:rPr>
                <w:rFonts w:eastAsia="黑体"/>
                <w:color w:val="000000"/>
                <w:sz w:val="24"/>
              </w:rPr>
            </w:pPr>
            <w:r>
              <w:rPr>
                <w:kern w:val="0"/>
                <w:sz w:val="24"/>
              </w:rPr>
              <w:t>（以下简称《总体要求》）中的相关内容对比一致性分析见下表10。</w:t>
            </w:r>
          </w:p>
          <w:p>
            <w:pPr>
              <w:spacing w:line="460" w:lineRule="exact"/>
              <w:ind w:firstLine="480" w:firstLineChars="200"/>
              <w:rPr>
                <w:color w:val="000000"/>
                <w:sz w:val="24"/>
              </w:rPr>
            </w:pPr>
            <w:r>
              <w:rPr>
                <w:rFonts w:eastAsia="黑体"/>
                <w:color w:val="000000"/>
                <w:sz w:val="24"/>
              </w:rPr>
              <w:t>表9                                  本项目与《清单》对比分析一览表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09"/>
              <w:gridCol w:w="709"/>
              <w:gridCol w:w="850"/>
              <w:gridCol w:w="576"/>
              <w:gridCol w:w="593"/>
              <w:gridCol w:w="5954"/>
              <w:gridCol w:w="3543"/>
              <w:gridCol w:w="50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9" w:type="dxa"/>
                  <w:tcBorders>
                    <w:top w:val="single" w:color="auto" w:sz="8" w:space="0"/>
                    <w:left w:val="nil"/>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b/>
                      <w:color w:val="000000"/>
                      <w:sz w:val="21"/>
                      <w:szCs w:val="21"/>
                    </w:rPr>
                  </w:pPr>
                  <w:r>
                    <w:rPr>
                      <w:rFonts w:ascii="Times New Roman" w:hAnsi="Times New Roman"/>
                      <w:b/>
                      <w:snapToGrid w:val="0"/>
                      <w:sz w:val="21"/>
                      <w:szCs w:val="21"/>
                    </w:rPr>
                    <w:t>环境管控单元编码</w:t>
                  </w:r>
                </w:p>
              </w:tc>
              <w:tc>
                <w:tcPr>
                  <w:tcW w:w="709" w:type="dxa"/>
                  <w:tcBorders>
                    <w:top w:val="single" w:color="auto" w:sz="8" w:space="0"/>
                    <w:left w:val="nil"/>
                    <w:bottom w:val="single" w:color="auto" w:sz="4" w:space="0"/>
                    <w:right w:val="single" w:color="auto" w:sz="4" w:space="0"/>
                  </w:tcBorders>
                  <w:vAlign w:val="center"/>
                </w:tcPr>
                <w:p>
                  <w:pPr>
                    <w:pStyle w:val="17"/>
                    <w:spacing w:before="0" w:beforeAutospacing="0" w:after="0" w:afterAutospacing="0"/>
                    <w:jc w:val="center"/>
                    <w:outlineLvl w:val="0"/>
                    <w:rPr>
                      <w:rFonts w:ascii="Times New Roman" w:hAnsi="Times New Roman"/>
                      <w:b/>
                      <w:color w:val="000000"/>
                      <w:sz w:val="21"/>
                      <w:szCs w:val="21"/>
                    </w:rPr>
                  </w:pPr>
                  <w:r>
                    <w:rPr>
                      <w:rFonts w:ascii="Times New Roman" w:hAnsi="Times New Roman"/>
                      <w:b/>
                      <w:color w:val="000000"/>
                      <w:sz w:val="21"/>
                      <w:szCs w:val="21"/>
                    </w:rPr>
                    <w:t>行政区划</w:t>
                  </w:r>
                </w:p>
              </w:tc>
              <w:tc>
                <w:tcPr>
                  <w:tcW w:w="850"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b/>
                      <w:color w:val="000000"/>
                      <w:sz w:val="21"/>
                      <w:szCs w:val="21"/>
                    </w:rPr>
                  </w:pPr>
                  <w:r>
                    <w:rPr>
                      <w:rFonts w:ascii="Times New Roman" w:hAnsi="Times New Roman"/>
                      <w:b/>
                      <w:color w:val="000000"/>
                      <w:sz w:val="21"/>
                      <w:szCs w:val="21"/>
                    </w:rPr>
                    <w:t>环境管控单元名称</w:t>
                  </w:r>
                </w:p>
              </w:tc>
              <w:tc>
                <w:tcPr>
                  <w:tcW w:w="57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b/>
                      <w:color w:val="000000"/>
                      <w:sz w:val="21"/>
                      <w:szCs w:val="21"/>
                    </w:rPr>
                  </w:pPr>
                  <w:r>
                    <w:rPr>
                      <w:rFonts w:ascii="Times New Roman" w:hAnsi="Times New Roman"/>
                      <w:b/>
                      <w:color w:val="000000"/>
                      <w:sz w:val="21"/>
                      <w:szCs w:val="21"/>
                    </w:rPr>
                    <w:t>管控单元分类</w:t>
                  </w:r>
                </w:p>
              </w:tc>
              <w:tc>
                <w:tcPr>
                  <w:tcW w:w="6547" w:type="dxa"/>
                  <w:gridSpan w:val="2"/>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b/>
                      <w:color w:val="000000"/>
                      <w:sz w:val="21"/>
                      <w:szCs w:val="21"/>
                    </w:rPr>
                  </w:pPr>
                  <w:r>
                    <w:rPr>
                      <w:rFonts w:ascii="Times New Roman" w:hAnsi="Times New Roman"/>
                      <w:b/>
                      <w:color w:val="000000"/>
                      <w:sz w:val="21"/>
                      <w:szCs w:val="21"/>
                    </w:rPr>
                    <w:t>管控要求</w:t>
                  </w:r>
                </w:p>
              </w:tc>
              <w:tc>
                <w:tcPr>
                  <w:tcW w:w="3543"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b/>
                      <w:color w:val="000000"/>
                      <w:sz w:val="21"/>
                      <w:szCs w:val="21"/>
                    </w:rPr>
                  </w:pPr>
                  <w:r>
                    <w:rPr>
                      <w:rFonts w:ascii="Times New Roman" w:hAnsi="Times New Roman"/>
                      <w:b/>
                      <w:color w:val="000000"/>
                      <w:sz w:val="21"/>
                      <w:szCs w:val="21"/>
                    </w:rPr>
                    <w:t>本项目情况</w:t>
                  </w:r>
                </w:p>
              </w:tc>
              <w:tc>
                <w:tcPr>
                  <w:tcW w:w="502" w:type="dxa"/>
                  <w:tcBorders>
                    <w:top w:val="single" w:color="auto" w:sz="8"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b/>
                      <w:color w:val="000000"/>
                      <w:sz w:val="21"/>
                      <w:szCs w:val="21"/>
                    </w:rPr>
                  </w:pPr>
                  <w:r>
                    <w:rPr>
                      <w:rFonts w:ascii="Times New Roman" w:hAnsi="Times New Roman"/>
                      <w:b/>
                      <w:color w:val="000000"/>
                      <w:sz w:val="21"/>
                      <w:szCs w:val="21"/>
                    </w:rPr>
                    <w:t>是否符合要求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18" w:type="dxa"/>
                  <w:gridSpan w:val="2"/>
                  <w:vMerge w:val="restar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bCs/>
                      <w:color w:val="000000"/>
                      <w:sz w:val="21"/>
                      <w:szCs w:val="21"/>
                    </w:rPr>
                    <w:t>总体要求*</w:t>
                  </w:r>
                </w:p>
              </w:tc>
              <w:tc>
                <w:tcPr>
                  <w:tcW w:w="1426" w:type="dxa"/>
                  <w:gridSpan w:val="2"/>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bCs/>
                      <w:color w:val="000000"/>
                      <w:sz w:val="21"/>
                      <w:szCs w:val="21"/>
                    </w:rPr>
                    <w:t>空间布局约束</w:t>
                  </w:r>
                </w:p>
              </w:tc>
              <w:tc>
                <w:tcPr>
                  <w:tcW w:w="6547"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color w:val="000000"/>
                      <w:sz w:val="21"/>
                      <w:szCs w:val="21"/>
                    </w:rPr>
                  </w:pPr>
                  <w:r>
                    <w:rPr>
                      <w:rFonts w:ascii="Times New Roman" w:hAnsi="Times New Roman"/>
                      <w:sz w:val="21"/>
                      <w:szCs w:val="21"/>
                    </w:rPr>
                    <w:t>1.禁止在自然保护区内进行砍伐、放牧、狩猎、捕捞、采药、开垦、烧荒、开矿、采石、挖沙等活动；但是，法律、行政法规另有规定的除外。</w:t>
                  </w:r>
                </w:p>
              </w:tc>
              <w:tc>
                <w:tcPr>
                  <w:tcW w:w="35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本项目位于新乡经济开发区107国道与胡韦线交汇处A3地块，属于新乡经济技术产业集聚区南区纸制品印刷包装产业园内企业，项目位置不属于自然保护区内。</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18" w:type="dxa"/>
                  <w:gridSpan w:val="2"/>
                  <w:vMerge w:val="continue"/>
                  <w:tcBorders>
                    <w:top w:val="single" w:color="auto" w:sz="4" w:space="0"/>
                    <w:left w:val="nil"/>
                    <w:bottom w:val="single" w:color="auto" w:sz="4" w:space="0"/>
                    <w:right w:val="single" w:color="auto" w:sz="4" w:space="0"/>
                  </w:tcBorders>
                  <w:vAlign w:val="center"/>
                </w:tcPr>
                <w:p>
                  <w:pPr>
                    <w:widowControl/>
                    <w:jc w:val="left"/>
                    <w:rPr>
                      <w:color w:val="000000"/>
                      <w:kern w:val="0"/>
                      <w:szCs w:val="21"/>
                    </w:rPr>
                  </w:pPr>
                </w:p>
              </w:tc>
              <w:tc>
                <w:tcPr>
                  <w:tcW w:w="142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6547"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color w:val="000000"/>
                      <w:sz w:val="21"/>
                      <w:szCs w:val="21"/>
                    </w:rPr>
                  </w:pPr>
                  <w:r>
                    <w:rPr>
                      <w:rFonts w:ascii="Times New Roman" w:hAnsi="Times New Roman"/>
                      <w:sz w:val="21"/>
                      <w:szCs w:val="21"/>
                    </w:rPr>
                    <w:t>3.严格控制新建、扩建钢铁冶炼、水泥、有色金属冶炼、平板玻璃、化工、建筑陶瓷、耐火材料、砖瓦、矿山开采等行业的高排放、高污染项目，促进传统煤化工、水泥行业绿色转型、智能升级。</w:t>
                  </w:r>
                </w:p>
              </w:tc>
              <w:tc>
                <w:tcPr>
                  <w:tcW w:w="35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本项目为新建项目，为</w:t>
                  </w:r>
                  <w:r>
                    <w:rPr>
                      <w:rFonts w:hint="eastAsia" w:ascii="Times New Roman" w:hAnsi="Times New Roman"/>
                      <w:sz w:val="21"/>
                      <w:szCs w:val="21"/>
                    </w:rPr>
                    <w:t>检测服务业</w:t>
                  </w:r>
                  <w:r>
                    <w:rPr>
                      <w:rFonts w:ascii="Times New Roman" w:hAnsi="Times New Roman"/>
                      <w:sz w:val="21"/>
                      <w:szCs w:val="21"/>
                    </w:rPr>
                    <w:t>，不属于高排放、高污染项目。</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18" w:type="dxa"/>
                  <w:gridSpan w:val="2"/>
                  <w:vMerge w:val="continue"/>
                  <w:tcBorders>
                    <w:top w:val="single" w:color="auto" w:sz="4" w:space="0"/>
                    <w:left w:val="nil"/>
                    <w:bottom w:val="single" w:color="auto" w:sz="4" w:space="0"/>
                    <w:right w:val="single" w:color="auto" w:sz="4" w:space="0"/>
                  </w:tcBorders>
                  <w:vAlign w:val="center"/>
                </w:tcPr>
                <w:p>
                  <w:pPr>
                    <w:widowControl/>
                    <w:jc w:val="left"/>
                    <w:rPr>
                      <w:color w:val="000000"/>
                      <w:kern w:val="0"/>
                      <w:szCs w:val="21"/>
                    </w:rPr>
                  </w:pPr>
                </w:p>
              </w:tc>
              <w:tc>
                <w:tcPr>
                  <w:tcW w:w="1426" w:type="dxa"/>
                  <w:gridSpan w:val="2"/>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bCs/>
                      <w:color w:val="000000"/>
                      <w:sz w:val="21"/>
                      <w:szCs w:val="21"/>
                    </w:rPr>
                    <w:t>污染物排放管控</w:t>
                  </w:r>
                </w:p>
              </w:tc>
              <w:tc>
                <w:tcPr>
                  <w:tcW w:w="6547"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color w:val="000000"/>
                      <w:sz w:val="21"/>
                      <w:szCs w:val="21"/>
                    </w:rPr>
                  </w:pPr>
                  <w:r>
                    <w:rPr>
                      <w:rFonts w:ascii="Times New Roman" w:hAnsi="Times New Roman"/>
                      <w:sz w:val="21"/>
                      <w:szCs w:val="21"/>
                    </w:rPr>
                    <w:t>1.新、改、扩建项目主要污染物排放要求满足当地总量减排要求。</w:t>
                  </w:r>
                </w:p>
              </w:tc>
              <w:tc>
                <w:tcPr>
                  <w:tcW w:w="35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本项目为新建项目，</w:t>
                  </w:r>
                  <w:r>
                    <w:rPr>
                      <w:rFonts w:ascii="Times New Roman" w:hAnsi="Times New Roman"/>
                      <w:snapToGrid w:val="0"/>
                      <w:color w:val="000000"/>
                      <w:sz w:val="21"/>
                      <w:szCs w:val="21"/>
                    </w:rPr>
                    <w:t>本项目新增总量污染物为非甲烷总烃、氮氧化物、氯化氢、氨、硫酸雾，将根据要求从区域总量内进行双倍替代，区域内非甲烷总烃</w:t>
                  </w:r>
                  <w:r>
                    <w:rPr>
                      <w:rFonts w:hint="eastAsia" w:ascii="Times New Roman" w:hAnsi="Times New Roman"/>
                      <w:snapToGrid w:val="0"/>
                      <w:color w:val="000000"/>
                      <w:sz w:val="21"/>
                      <w:szCs w:val="21"/>
                    </w:rPr>
                    <w:t>、氮氧化物</w:t>
                  </w:r>
                  <w:r>
                    <w:rPr>
                      <w:rFonts w:ascii="Times New Roman" w:hAnsi="Times New Roman"/>
                      <w:snapToGrid w:val="0"/>
                      <w:color w:val="000000"/>
                      <w:sz w:val="21"/>
                      <w:szCs w:val="21"/>
                    </w:rPr>
                    <w:t>做到进一步削减。</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18" w:type="dxa"/>
                  <w:gridSpan w:val="2"/>
                  <w:vMerge w:val="continue"/>
                  <w:tcBorders>
                    <w:top w:val="single" w:color="auto" w:sz="4" w:space="0"/>
                    <w:left w:val="nil"/>
                    <w:bottom w:val="single" w:color="auto" w:sz="4" w:space="0"/>
                    <w:right w:val="single" w:color="auto" w:sz="4" w:space="0"/>
                  </w:tcBorders>
                  <w:vAlign w:val="center"/>
                </w:tcPr>
                <w:p>
                  <w:pPr>
                    <w:widowControl/>
                    <w:jc w:val="left"/>
                    <w:rPr>
                      <w:color w:val="000000"/>
                      <w:kern w:val="0"/>
                      <w:szCs w:val="21"/>
                    </w:rPr>
                  </w:pPr>
                </w:p>
              </w:tc>
              <w:tc>
                <w:tcPr>
                  <w:tcW w:w="142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6547"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color w:val="000000"/>
                      <w:sz w:val="21"/>
                      <w:szCs w:val="21"/>
                    </w:rPr>
                  </w:pPr>
                  <w:r>
                    <w:rPr>
                      <w:rFonts w:ascii="Times New Roman" w:hAnsi="Times New Roman"/>
                      <w:sz w:val="21"/>
                      <w:szCs w:val="21"/>
                    </w:rPr>
                    <w:t>2.新建项目审批实施“增产不増污”或“增产减污”。全省新建、改建、扩建重点行业重金属污染物排放项目，通过“以新带老”治理、淘汰落后产能、区域替代曾“等量置换”或“减量置换”措施，实现所在区域重点重金属污染排放总量零增长或进一步削减。</w:t>
                  </w:r>
                </w:p>
              </w:tc>
              <w:tc>
                <w:tcPr>
                  <w:tcW w:w="35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本新建项目为</w:t>
                  </w:r>
                  <w:r>
                    <w:rPr>
                      <w:rFonts w:hint="eastAsia" w:ascii="Times New Roman" w:hAnsi="Times New Roman"/>
                      <w:sz w:val="21"/>
                      <w:szCs w:val="21"/>
                    </w:rPr>
                    <w:t>检测服务业</w:t>
                  </w:r>
                  <w:r>
                    <w:rPr>
                      <w:rFonts w:ascii="Times New Roman" w:hAnsi="Times New Roman"/>
                      <w:sz w:val="21"/>
                      <w:szCs w:val="21"/>
                    </w:rPr>
                    <w:t>，不属于重点行业，项目实验废试剂中含有重金属试剂，为危险废物，危废间暂存后，定期委托有资质单位处置，不排入环境。</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18" w:type="dxa"/>
                  <w:gridSpan w:val="2"/>
                  <w:vMerge w:val="continue"/>
                  <w:tcBorders>
                    <w:top w:val="single" w:color="auto" w:sz="4" w:space="0"/>
                    <w:left w:val="nil"/>
                    <w:bottom w:val="single" w:color="auto" w:sz="4" w:space="0"/>
                    <w:right w:val="single" w:color="auto" w:sz="4" w:space="0"/>
                  </w:tcBorders>
                  <w:vAlign w:val="center"/>
                </w:tcPr>
                <w:p>
                  <w:pPr>
                    <w:widowControl/>
                    <w:jc w:val="left"/>
                    <w:rPr>
                      <w:color w:val="000000"/>
                      <w:kern w:val="0"/>
                      <w:szCs w:val="21"/>
                    </w:rPr>
                  </w:pPr>
                </w:p>
              </w:tc>
              <w:tc>
                <w:tcPr>
                  <w:tcW w:w="1426"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资源开发效率要求</w:t>
                  </w:r>
                </w:p>
              </w:tc>
              <w:tc>
                <w:tcPr>
                  <w:tcW w:w="6547"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color w:val="000000"/>
                      <w:sz w:val="21"/>
                      <w:szCs w:val="21"/>
                    </w:rPr>
                  </w:pPr>
                  <w:r>
                    <w:rPr>
                      <w:rFonts w:ascii="Times New Roman" w:hAnsi="Times New Roman"/>
                      <w:sz w:val="21"/>
                      <w:szCs w:val="21"/>
                    </w:rPr>
                    <w:t>1.开展高耗水工业行业节水技术改造，大力推广工业水循环利用，推进节水型企业、节水型工业园区建设。</w:t>
                  </w:r>
                </w:p>
              </w:tc>
              <w:tc>
                <w:tcPr>
                  <w:tcW w:w="35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本项目为</w:t>
                  </w:r>
                  <w:r>
                    <w:rPr>
                      <w:rFonts w:hint="eastAsia" w:ascii="Times New Roman" w:hAnsi="Times New Roman"/>
                      <w:sz w:val="21"/>
                      <w:szCs w:val="21"/>
                    </w:rPr>
                    <w:t>检测服务业</w:t>
                  </w:r>
                  <w:r>
                    <w:rPr>
                      <w:rFonts w:ascii="Times New Roman" w:hAnsi="Times New Roman"/>
                      <w:sz w:val="21"/>
                      <w:szCs w:val="21"/>
                    </w:rPr>
                    <w:t>，不属于高耗水行业。</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9" w:type="dxa"/>
                  <w:vMerge w:val="restart"/>
                  <w:tcBorders>
                    <w:top w:val="single" w:color="auto" w:sz="4" w:space="0"/>
                    <w:left w:val="nil"/>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bCs/>
                      <w:color w:val="000000"/>
                      <w:sz w:val="21"/>
                      <w:szCs w:val="21"/>
                    </w:rPr>
                  </w:pPr>
                  <w:r>
                    <w:rPr>
                      <w:rFonts w:ascii="Times New Roman" w:hAnsi="Times New Roman"/>
                      <w:bCs/>
                      <w:color w:val="000000"/>
                      <w:sz w:val="21"/>
                      <w:szCs w:val="21"/>
                    </w:rPr>
                    <w:t>ZH41072120001</w:t>
                  </w:r>
                </w:p>
              </w:tc>
              <w:tc>
                <w:tcPr>
                  <w:tcW w:w="709" w:type="dxa"/>
                  <w:vMerge w:val="restart"/>
                  <w:tcBorders>
                    <w:top w:val="single" w:color="auto" w:sz="4" w:space="0"/>
                    <w:left w:val="nil"/>
                    <w:right w:val="single" w:color="auto" w:sz="4" w:space="0"/>
                  </w:tcBorders>
                  <w:vAlign w:val="center"/>
                </w:tcPr>
                <w:p>
                  <w:pPr>
                    <w:pStyle w:val="17"/>
                    <w:spacing w:before="0" w:beforeAutospacing="0" w:after="0" w:afterAutospacing="0"/>
                    <w:jc w:val="center"/>
                    <w:outlineLvl w:val="0"/>
                    <w:rPr>
                      <w:rFonts w:ascii="Times New Roman" w:hAnsi="Times New Roman"/>
                      <w:sz w:val="21"/>
                      <w:szCs w:val="21"/>
                    </w:rPr>
                  </w:pPr>
                  <w:r>
                    <w:rPr>
                      <w:rFonts w:ascii="Times New Roman" w:hAnsi="Times New Roman"/>
                      <w:sz w:val="21"/>
                      <w:szCs w:val="21"/>
                    </w:rPr>
                    <w:t>新乡县</w:t>
                  </w:r>
                </w:p>
              </w:tc>
              <w:tc>
                <w:tcPr>
                  <w:tcW w:w="850" w:type="dxa"/>
                  <w:vMerge w:val="restart"/>
                  <w:tcBorders>
                    <w:top w:val="single" w:color="auto" w:sz="4" w:space="0"/>
                    <w:left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bCs/>
                      <w:sz w:val="21"/>
                      <w:szCs w:val="21"/>
                    </w:rPr>
                  </w:pPr>
                  <w:r>
                    <w:rPr>
                      <w:rFonts w:ascii="Times New Roman" w:hAnsi="Times New Roman"/>
                      <w:bCs/>
                      <w:sz w:val="21"/>
                      <w:szCs w:val="21"/>
                    </w:rPr>
                    <w:t>新乡经济技术产业集聚区</w:t>
                  </w:r>
                </w:p>
              </w:tc>
              <w:tc>
                <w:tcPr>
                  <w:tcW w:w="576" w:type="dxa"/>
                  <w:vMerge w:val="restart"/>
                  <w:tcBorders>
                    <w:top w:val="single" w:color="auto" w:sz="4" w:space="0"/>
                    <w:left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bCs/>
                      <w:sz w:val="21"/>
                      <w:szCs w:val="21"/>
                    </w:rPr>
                  </w:pPr>
                  <w:r>
                    <w:rPr>
                      <w:rFonts w:ascii="Times New Roman" w:hAnsi="Times New Roman"/>
                      <w:bCs/>
                      <w:sz w:val="21"/>
                      <w:szCs w:val="21"/>
                    </w:rPr>
                    <w:t>重点管控单元1</w:t>
                  </w:r>
                </w:p>
              </w:tc>
              <w:tc>
                <w:tcPr>
                  <w:tcW w:w="593" w:type="dxa"/>
                  <w:vMerge w:val="restart"/>
                  <w:tcBorders>
                    <w:top w:val="single" w:color="auto" w:sz="4" w:space="0"/>
                    <w:left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sz w:val="21"/>
                      <w:szCs w:val="21"/>
                    </w:rPr>
                  </w:pPr>
                  <w:r>
                    <w:rPr>
                      <w:rFonts w:ascii="Times New Roman" w:hAnsi="Times New Roman"/>
                      <w:bCs/>
                      <w:sz w:val="21"/>
                      <w:szCs w:val="21"/>
                    </w:rPr>
                    <w:t>空间布局约束</w:t>
                  </w:r>
                </w:p>
              </w:tc>
              <w:tc>
                <w:tcPr>
                  <w:tcW w:w="595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1、北区严控其用地（包括三类工业用地）和产业发展规模，在距离新乡县主城区近的园区西侧设置二类工业用地，布置二类工业企业，不再规划发展化工项目，同时设置绿化带，防止工业对城区及周边生活环境造成不良影响。</w:t>
                  </w:r>
                </w:p>
              </w:tc>
              <w:tc>
                <w:tcPr>
                  <w:tcW w:w="35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both"/>
                    <w:outlineLvl w:val="0"/>
                    <w:rPr>
                      <w:rFonts w:ascii="Times New Roman" w:hAnsi="Times New Roman"/>
                      <w:color w:val="000000"/>
                      <w:sz w:val="21"/>
                      <w:szCs w:val="21"/>
                    </w:rPr>
                  </w:pPr>
                  <w:r>
                    <w:rPr>
                      <w:rFonts w:ascii="Times New Roman" w:hAnsi="Times New Roman"/>
                      <w:sz w:val="21"/>
                      <w:szCs w:val="21"/>
                    </w:rPr>
                    <w:t>本项目位于新乡经济开发区107国道与胡韦线交汇处A3地块，属于新乡经济技术产业集聚区南区纸制品印刷包装产业园内建设项目。</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9" w:type="dxa"/>
                  <w:vMerge w:val="continue"/>
                  <w:tcBorders>
                    <w:left w:val="nil"/>
                    <w:right w:val="single" w:color="auto" w:sz="4" w:space="0"/>
                  </w:tcBorders>
                  <w:vAlign w:val="center"/>
                </w:tcPr>
                <w:p>
                  <w:pPr>
                    <w:widowControl/>
                    <w:jc w:val="left"/>
                    <w:rPr>
                      <w:color w:val="FF0000"/>
                      <w:kern w:val="0"/>
                      <w:szCs w:val="21"/>
                    </w:rPr>
                  </w:pPr>
                </w:p>
              </w:tc>
              <w:tc>
                <w:tcPr>
                  <w:tcW w:w="709" w:type="dxa"/>
                  <w:vMerge w:val="continue"/>
                  <w:tcBorders>
                    <w:left w:val="nil"/>
                    <w:right w:val="single" w:color="auto" w:sz="4" w:space="0"/>
                  </w:tcBorders>
                  <w:vAlign w:val="center"/>
                </w:tcPr>
                <w:p>
                  <w:pPr>
                    <w:widowControl/>
                    <w:jc w:val="left"/>
                    <w:rPr>
                      <w:color w:val="FF0000"/>
                      <w:kern w:val="0"/>
                      <w:szCs w:val="21"/>
                    </w:rPr>
                  </w:pPr>
                </w:p>
              </w:tc>
              <w:tc>
                <w:tcPr>
                  <w:tcW w:w="850" w:type="dxa"/>
                  <w:vMerge w:val="continue"/>
                  <w:tcBorders>
                    <w:left w:val="single" w:color="auto" w:sz="4" w:space="0"/>
                    <w:right w:val="single" w:color="auto" w:sz="4" w:space="0"/>
                  </w:tcBorders>
                  <w:vAlign w:val="center"/>
                </w:tcPr>
                <w:p>
                  <w:pPr>
                    <w:widowControl/>
                    <w:jc w:val="left"/>
                    <w:rPr>
                      <w:bCs/>
                      <w:color w:val="FF0000"/>
                      <w:kern w:val="0"/>
                      <w:szCs w:val="21"/>
                    </w:rPr>
                  </w:pPr>
                </w:p>
              </w:tc>
              <w:tc>
                <w:tcPr>
                  <w:tcW w:w="576" w:type="dxa"/>
                  <w:vMerge w:val="continue"/>
                  <w:tcBorders>
                    <w:left w:val="single" w:color="auto" w:sz="4" w:space="0"/>
                    <w:right w:val="single" w:color="auto" w:sz="4" w:space="0"/>
                  </w:tcBorders>
                  <w:vAlign w:val="center"/>
                </w:tcPr>
                <w:p>
                  <w:pPr>
                    <w:widowControl/>
                    <w:jc w:val="left"/>
                    <w:rPr>
                      <w:bCs/>
                      <w:color w:val="FF0000"/>
                      <w:kern w:val="0"/>
                      <w:szCs w:val="21"/>
                    </w:rPr>
                  </w:pPr>
                </w:p>
              </w:tc>
              <w:tc>
                <w:tcPr>
                  <w:tcW w:w="593" w:type="dxa"/>
                  <w:vMerge w:val="continue"/>
                  <w:tcBorders>
                    <w:left w:val="single" w:color="auto" w:sz="4" w:space="0"/>
                    <w:right w:val="single" w:color="auto" w:sz="4" w:space="0"/>
                  </w:tcBorders>
                  <w:vAlign w:val="center"/>
                </w:tcPr>
                <w:p>
                  <w:pPr>
                    <w:widowControl/>
                    <w:jc w:val="left"/>
                    <w:rPr>
                      <w:color w:val="FF0000"/>
                      <w:kern w:val="0"/>
                      <w:szCs w:val="21"/>
                    </w:rPr>
                  </w:pPr>
                </w:p>
              </w:tc>
              <w:tc>
                <w:tcPr>
                  <w:tcW w:w="595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2、冷藏冷冻产业园内现有食品企业周围100米范围内不再布置喷漆等对食品企业有影响的企业。</w:t>
                  </w:r>
                </w:p>
              </w:tc>
              <w:tc>
                <w:tcPr>
                  <w:tcW w:w="35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both"/>
                    <w:outlineLvl w:val="0"/>
                    <w:rPr>
                      <w:rFonts w:ascii="Times New Roman" w:hAnsi="Times New Roman"/>
                      <w:color w:val="000000"/>
                      <w:sz w:val="21"/>
                      <w:szCs w:val="21"/>
                    </w:rPr>
                  </w:pPr>
                  <w:r>
                    <w:rPr>
                      <w:rFonts w:ascii="Times New Roman" w:hAnsi="Times New Roman"/>
                      <w:sz w:val="21"/>
                      <w:szCs w:val="21"/>
                    </w:rPr>
                    <w:t>本项目位于新乡经济开发区107国道与胡韦线交汇处A3地块，属于新乡经济技术产业集聚区南区纸制品印刷包装产业园内建设项目，不属于冷藏冷冻产业园。</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9" w:type="dxa"/>
                  <w:vMerge w:val="continue"/>
                  <w:tcBorders>
                    <w:left w:val="nil"/>
                    <w:right w:val="single" w:color="auto" w:sz="4" w:space="0"/>
                  </w:tcBorders>
                  <w:vAlign w:val="center"/>
                </w:tcPr>
                <w:p>
                  <w:pPr>
                    <w:widowControl/>
                    <w:jc w:val="left"/>
                    <w:rPr>
                      <w:color w:val="FF0000"/>
                      <w:kern w:val="0"/>
                      <w:szCs w:val="21"/>
                    </w:rPr>
                  </w:pPr>
                </w:p>
              </w:tc>
              <w:tc>
                <w:tcPr>
                  <w:tcW w:w="709" w:type="dxa"/>
                  <w:vMerge w:val="continue"/>
                  <w:tcBorders>
                    <w:left w:val="nil"/>
                    <w:right w:val="single" w:color="auto" w:sz="4" w:space="0"/>
                  </w:tcBorders>
                  <w:vAlign w:val="center"/>
                </w:tcPr>
                <w:p>
                  <w:pPr>
                    <w:widowControl/>
                    <w:jc w:val="left"/>
                    <w:rPr>
                      <w:color w:val="FF0000"/>
                      <w:kern w:val="0"/>
                      <w:szCs w:val="21"/>
                    </w:rPr>
                  </w:pPr>
                </w:p>
              </w:tc>
              <w:tc>
                <w:tcPr>
                  <w:tcW w:w="850" w:type="dxa"/>
                  <w:vMerge w:val="continue"/>
                  <w:tcBorders>
                    <w:left w:val="single" w:color="auto" w:sz="4" w:space="0"/>
                    <w:right w:val="single" w:color="auto" w:sz="4" w:space="0"/>
                  </w:tcBorders>
                  <w:vAlign w:val="center"/>
                </w:tcPr>
                <w:p>
                  <w:pPr>
                    <w:widowControl/>
                    <w:jc w:val="left"/>
                    <w:rPr>
                      <w:bCs/>
                      <w:color w:val="FF0000"/>
                      <w:kern w:val="0"/>
                      <w:szCs w:val="21"/>
                    </w:rPr>
                  </w:pPr>
                </w:p>
              </w:tc>
              <w:tc>
                <w:tcPr>
                  <w:tcW w:w="576" w:type="dxa"/>
                  <w:vMerge w:val="continue"/>
                  <w:tcBorders>
                    <w:left w:val="single" w:color="auto" w:sz="4" w:space="0"/>
                    <w:right w:val="single" w:color="auto" w:sz="4" w:space="0"/>
                  </w:tcBorders>
                  <w:vAlign w:val="center"/>
                </w:tcPr>
                <w:p>
                  <w:pPr>
                    <w:widowControl/>
                    <w:jc w:val="left"/>
                    <w:rPr>
                      <w:bCs/>
                      <w:color w:val="FF0000"/>
                      <w:kern w:val="0"/>
                      <w:szCs w:val="21"/>
                    </w:rPr>
                  </w:pPr>
                </w:p>
              </w:tc>
              <w:tc>
                <w:tcPr>
                  <w:tcW w:w="593" w:type="dxa"/>
                  <w:vMerge w:val="continue"/>
                  <w:tcBorders>
                    <w:left w:val="single" w:color="auto" w:sz="4" w:space="0"/>
                    <w:right w:val="single" w:color="auto" w:sz="4" w:space="0"/>
                  </w:tcBorders>
                  <w:vAlign w:val="center"/>
                </w:tcPr>
                <w:p>
                  <w:pPr>
                    <w:widowControl/>
                    <w:jc w:val="left"/>
                    <w:rPr>
                      <w:color w:val="FF0000"/>
                      <w:kern w:val="0"/>
                      <w:szCs w:val="21"/>
                    </w:rPr>
                  </w:pPr>
                </w:p>
              </w:tc>
              <w:tc>
                <w:tcPr>
                  <w:tcW w:w="595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3、禁止新建或单纯扩大产能的以煤为原料的煤化工项目，升级改造项目、符合条件的退城入园的合成氨和甲醇项目产能应实现等量置换，且合成氨和甲醇总产能控制在200万吨，并按照要求落实煤炭及污染物排放总量的区域削减替代。</w:t>
                  </w:r>
                </w:p>
              </w:tc>
              <w:tc>
                <w:tcPr>
                  <w:tcW w:w="35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both"/>
                    <w:outlineLvl w:val="0"/>
                    <w:rPr>
                      <w:rFonts w:ascii="Times New Roman" w:hAnsi="Times New Roman"/>
                      <w:color w:val="000000"/>
                      <w:sz w:val="21"/>
                      <w:szCs w:val="21"/>
                    </w:rPr>
                  </w:pPr>
                  <w:r>
                    <w:rPr>
                      <w:rFonts w:ascii="Times New Roman" w:hAnsi="Times New Roman"/>
                      <w:sz w:val="21"/>
                      <w:szCs w:val="21"/>
                    </w:rPr>
                    <w:t>本项目为</w:t>
                  </w:r>
                  <w:r>
                    <w:rPr>
                      <w:rFonts w:hint="eastAsia" w:ascii="Times New Roman" w:hAnsi="Times New Roman"/>
                      <w:sz w:val="21"/>
                      <w:szCs w:val="21"/>
                    </w:rPr>
                    <w:t>检测服务业</w:t>
                  </w:r>
                  <w:r>
                    <w:rPr>
                      <w:rFonts w:ascii="Times New Roman" w:hAnsi="Times New Roman"/>
                      <w:sz w:val="21"/>
                      <w:szCs w:val="21"/>
                    </w:rPr>
                    <w:t>，不属于煤化工项目。</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9" w:type="dxa"/>
                  <w:vMerge w:val="continue"/>
                  <w:tcBorders>
                    <w:left w:val="nil"/>
                    <w:right w:val="single" w:color="auto" w:sz="4" w:space="0"/>
                  </w:tcBorders>
                  <w:vAlign w:val="center"/>
                </w:tcPr>
                <w:p>
                  <w:pPr>
                    <w:widowControl/>
                    <w:jc w:val="left"/>
                    <w:rPr>
                      <w:color w:val="FF0000"/>
                      <w:kern w:val="0"/>
                      <w:szCs w:val="21"/>
                    </w:rPr>
                  </w:pPr>
                </w:p>
              </w:tc>
              <w:tc>
                <w:tcPr>
                  <w:tcW w:w="709" w:type="dxa"/>
                  <w:vMerge w:val="continue"/>
                  <w:tcBorders>
                    <w:left w:val="nil"/>
                    <w:right w:val="single" w:color="auto" w:sz="4" w:space="0"/>
                  </w:tcBorders>
                  <w:vAlign w:val="center"/>
                </w:tcPr>
                <w:p>
                  <w:pPr>
                    <w:widowControl/>
                    <w:jc w:val="left"/>
                    <w:rPr>
                      <w:color w:val="FF0000"/>
                      <w:kern w:val="0"/>
                      <w:szCs w:val="21"/>
                    </w:rPr>
                  </w:pPr>
                </w:p>
              </w:tc>
              <w:tc>
                <w:tcPr>
                  <w:tcW w:w="850" w:type="dxa"/>
                  <w:vMerge w:val="continue"/>
                  <w:tcBorders>
                    <w:left w:val="single" w:color="auto" w:sz="4" w:space="0"/>
                    <w:right w:val="single" w:color="auto" w:sz="4" w:space="0"/>
                  </w:tcBorders>
                  <w:vAlign w:val="center"/>
                </w:tcPr>
                <w:p>
                  <w:pPr>
                    <w:widowControl/>
                    <w:jc w:val="left"/>
                    <w:rPr>
                      <w:bCs/>
                      <w:color w:val="FF0000"/>
                      <w:kern w:val="0"/>
                      <w:szCs w:val="21"/>
                    </w:rPr>
                  </w:pPr>
                </w:p>
              </w:tc>
              <w:tc>
                <w:tcPr>
                  <w:tcW w:w="576" w:type="dxa"/>
                  <w:vMerge w:val="continue"/>
                  <w:tcBorders>
                    <w:left w:val="single" w:color="auto" w:sz="4" w:space="0"/>
                    <w:right w:val="single" w:color="auto" w:sz="4" w:space="0"/>
                  </w:tcBorders>
                  <w:vAlign w:val="center"/>
                </w:tcPr>
                <w:p>
                  <w:pPr>
                    <w:widowControl/>
                    <w:jc w:val="left"/>
                    <w:rPr>
                      <w:bCs/>
                      <w:color w:val="FF0000"/>
                      <w:kern w:val="0"/>
                      <w:szCs w:val="21"/>
                    </w:rPr>
                  </w:pPr>
                </w:p>
              </w:tc>
              <w:tc>
                <w:tcPr>
                  <w:tcW w:w="593" w:type="dxa"/>
                  <w:vMerge w:val="continue"/>
                  <w:tcBorders>
                    <w:left w:val="single" w:color="auto" w:sz="4" w:space="0"/>
                    <w:right w:val="single" w:color="auto" w:sz="4" w:space="0"/>
                  </w:tcBorders>
                  <w:vAlign w:val="center"/>
                </w:tcPr>
                <w:p>
                  <w:pPr>
                    <w:widowControl/>
                    <w:jc w:val="left"/>
                    <w:rPr>
                      <w:color w:val="FF0000"/>
                      <w:kern w:val="0"/>
                      <w:szCs w:val="21"/>
                    </w:rPr>
                  </w:pPr>
                </w:p>
              </w:tc>
              <w:tc>
                <w:tcPr>
                  <w:tcW w:w="595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4、禁止发展化学合成制药项目（单纯分装、复配除外），单纯新建、扩建生物发酵制药项目（单纯分装、复配以及现有企业升级改造项目除外）；禁止农药类项目、独立电镀项目、造纸制浆、油墨生产（单纯分装、复配除外）项目入驻；禁止发展制革、化纤浆柏、黑色冶金、焦化、煤焦油加工、金属冶炼等不符合园区产业定位且污染较重的项目。</w:t>
                  </w:r>
                </w:p>
              </w:tc>
              <w:tc>
                <w:tcPr>
                  <w:tcW w:w="35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both"/>
                    <w:outlineLvl w:val="0"/>
                    <w:rPr>
                      <w:rFonts w:ascii="Times New Roman" w:hAnsi="Times New Roman"/>
                      <w:color w:val="000000"/>
                      <w:sz w:val="21"/>
                      <w:szCs w:val="21"/>
                    </w:rPr>
                  </w:pPr>
                  <w:r>
                    <w:rPr>
                      <w:rFonts w:ascii="Times New Roman" w:hAnsi="Times New Roman"/>
                      <w:sz w:val="21"/>
                      <w:szCs w:val="21"/>
                    </w:rPr>
                    <w:t>本项目为</w:t>
                  </w:r>
                  <w:r>
                    <w:rPr>
                      <w:rFonts w:hint="eastAsia" w:ascii="Times New Roman" w:hAnsi="Times New Roman"/>
                      <w:sz w:val="21"/>
                      <w:szCs w:val="21"/>
                    </w:rPr>
                    <w:t>检测服务业</w:t>
                  </w:r>
                  <w:r>
                    <w:rPr>
                      <w:rFonts w:ascii="Times New Roman" w:hAnsi="Times New Roman"/>
                      <w:sz w:val="21"/>
                      <w:szCs w:val="21"/>
                    </w:rPr>
                    <w:t>，位于新乡经济技术产业集聚区南区纸制品印刷包装产业园，项目符合产业园区产业定位，且项目不属于高污染物排放项目。</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9" w:type="dxa"/>
                  <w:vMerge w:val="continue"/>
                  <w:tcBorders>
                    <w:left w:val="nil"/>
                    <w:right w:val="single" w:color="auto" w:sz="4" w:space="0"/>
                  </w:tcBorders>
                  <w:vAlign w:val="center"/>
                </w:tcPr>
                <w:p>
                  <w:pPr>
                    <w:widowControl/>
                    <w:jc w:val="left"/>
                    <w:rPr>
                      <w:color w:val="FF0000"/>
                      <w:kern w:val="0"/>
                      <w:szCs w:val="21"/>
                    </w:rPr>
                  </w:pPr>
                </w:p>
              </w:tc>
              <w:tc>
                <w:tcPr>
                  <w:tcW w:w="709" w:type="dxa"/>
                  <w:vMerge w:val="continue"/>
                  <w:tcBorders>
                    <w:left w:val="nil"/>
                    <w:right w:val="single" w:color="auto" w:sz="4" w:space="0"/>
                  </w:tcBorders>
                  <w:vAlign w:val="center"/>
                </w:tcPr>
                <w:p>
                  <w:pPr>
                    <w:widowControl/>
                    <w:jc w:val="left"/>
                    <w:rPr>
                      <w:color w:val="FF0000"/>
                      <w:kern w:val="0"/>
                      <w:szCs w:val="21"/>
                    </w:rPr>
                  </w:pPr>
                </w:p>
              </w:tc>
              <w:tc>
                <w:tcPr>
                  <w:tcW w:w="850" w:type="dxa"/>
                  <w:vMerge w:val="continue"/>
                  <w:tcBorders>
                    <w:left w:val="single" w:color="auto" w:sz="4" w:space="0"/>
                    <w:right w:val="single" w:color="auto" w:sz="4" w:space="0"/>
                  </w:tcBorders>
                  <w:vAlign w:val="center"/>
                </w:tcPr>
                <w:p>
                  <w:pPr>
                    <w:widowControl/>
                    <w:jc w:val="left"/>
                    <w:rPr>
                      <w:bCs/>
                      <w:color w:val="FF0000"/>
                      <w:kern w:val="0"/>
                      <w:szCs w:val="21"/>
                    </w:rPr>
                  </w:pPr>
                </w:p>
              </w:tc>
              <w:tc>
                <w:tcPr>
                  <w:tcW w:w="576" w:type="dxa"/>
                  <w:vMerge w:val="continue"/>
                  <w:tcBorders>
                    <w:left w:val="single" w:color="auto" w:sz="4" w:space="0"/>
                    <w:right w:val="single" w:color="auto" w:sz="4" w:space="0"/>
                  </w:tcBorders>
                  <w:vAlign w:val="center"/>
                </w:tcPr>
                <w:p>
                  <w:pPr>
                    <w:widowControl/>
                    <w:jc w:val="left"/>
                    <w:rPr>
                      <w:bCs/>
                      <w:color w:val="FF0000"/>
                      <w:kern w:val="0"/>
                      <w:szCs w:val="21"/>
                    </w:rPr>
                  </w:pPr>
                </w:p>
              </w:tc>
              <w:tc>
                <w:tcPr>
                  <w:tcW w:w="593" w:type="dxa"/>
                  <w:vMerge w:val="continue"/>
                  <w:tcBorders>
                    <w:left w:val="single" w:color="auto" w:sz="4" w:space="0"/>
                    <w:right w:val="single" w:color="auto" w:sz="4" w:space="0"/>
                  </w:tcBorders>
                  <w:vAlign w:val="center"/>
                </w:tcPr>
                <w:p>
                  <w:pPr>
                    <w:widowControl/>
                    <w:jc w:val="left"/>
                    <w:rPr>
                      <w:color w:val="FF0000"/>
                      <w:kern w:val="0"/>
                      <w:szCs w:val="21"/>
                    </w:rPr>
                  </w:pPr>
                </w:p>
              </w:tc>
              <w:tc>
                <w:tcPr>
                  <w:tcW w:w="595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5、淘汰不符合国家产业政策的涉重行业企业生产工艺装备。鼓励产能严重过剩行业的涉重金属排放企业主动退出市场。</w:t>
                  </w:r>
                </w:p>
              </w:tc>
              <w:tc>
                <w:tcPr>
                  <w:tcW w:w="35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both"/>
                    <w:outlineLvl w:val="0"/>
                    <w:rPr>
                      <w:rFonts w:ascii="Times New Roman" w:hAnsi="Times New Roman"/>
                      <w:sz w:val="21"/>
                      <w:szCs w:val="21"/>
                    </w:rPr>
                  </w:pPr>
                  <w:r>
                    <w:rPr>
                      <w:rFonts w:ascii="Times New Roman" w:hAnsi="Times New Roman"/>
                      <w:sz w:val="21"/>
                      <w:szCs w:val="21"/>
                    </w:rPr>
                    <w:t>本项目使用的生产工艺装备符合《产业结构调整指导目录（2019年本）》</w:t>
                  </w:r>
                  <w:r>
                    <w:rPr>
                      <w:rFonts w:hint="eastAsia" w:ascii="Times New Roman" w:hAnsi="Times New Roman"/>
                      <w:sz w:val="21"/>
                      <w:szCs w:val="21"/>
                    </w:rPr>
                    <w:t>及其修改文件</w:t>
                  </w:r>
                  <w:r>
                    <w:rPr>
                      <w:rFonts w:ascii="Times New Roman" w:hAnsi="Times New Roman"/>
                      <w:sz w:val="21"/>
                      <w:szCs w:val="21"/>
                    </w:rPr>
                    <w:t>要求，符合国家产业政策要求，本项目为</w:t>
                  </w:r>
                  <w:r>
                    <w:rPr>
                      <w:rFonts w:hint="eastAsia" w:ascii="Times New Roman" w:hAnsi="Times New Roman"/>
                      <w:sz w:val="21"/>
                      <w:szCs w:val="21"/>
                    </w:rPr>
                    <w:t>检测服务业</w:t>
                  </w:r>
                  <w:r>
                    <w:rPr>
                      <w:rFonts w:ascii="Times New Roman" w:hAnsi="Times New Roman"/>
                      <w:sz w:val="21"/>
                      <w:szCs w:val="21"/>
                    </w:rPr>
                    <w:t>不属于产能过剩行业。</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9" w:type="dxa"/>
                  <w:vMerge w:val="continue"/>
                  <w:tcBorders>
                    <w:left w:val="nil"/>
                    <w:right w:val="single" w:color="auto" w:sz="4" w:space="0"/>
                  </w:tcBorders>
                  <w:vAlign w:val="center"/>
                </w:tcPr>
                <w:p>
                  <w:pPr>
                    <w:widowControl/>
                    <w:jc w:val="left"/>
                    <w:rPr>
                      <w:color w:val="FF0000"/>
                      <w:kern w:val="0"/>
                      <w:szCs w:val="21"/>
                    </w:rPr>
                  </w:pPr>
                </w:p>
              </w:tc>
              <w:tc>
                <w:tcPr>
                  <w:tcW w:w="709" w:type="dxa"/>
                  <w:vMerge w:val="continue"/>
                  <w:tcBorders>
                    <w:left w:val="nil"/>
                    <w:right w:val="single" w:color="auto" w:sz="4" w:space="0"/>
                  </w:tcBorders>
                  <w:vAlign w:val="center"/>
                </w:tcPr>
                <w:p>
                  <w:pPr>
                    <w:widowControl/>
                    <w:jc w:val="left"/>
                    <w:rPr>
                      <w:color w:val="FF0000"/>
                      <w:kern w:val="0"/>
                      <w:szCs w:val="21"/>
                    </w:rPr>
                  </w:pPr>
                </w:p>
              </w:tc>
              <w:tc>
                <w:tcPr>
                  <w:tcW w:w="850" w:type="dxa"/>
                  <w:vMerge w:val="continue"/>
                  <w:tcBorders>
                    <w:left w:val="single" w:color="auto" w:sz="4" w:space="0"/>
                    <w:right w:val="single" w:color="auto" w:sz="4" w:space="0"/>
                  </w:tcBorders>
                  <w:vAlign w:val="center"/>
                </w:tcPr>
                <w:p>
                  <w:pPr>
                    <w:widowControl/>
                    <w:jc w:val="left"/>
                    <w:rPr>
                      <w:bCs/>
                      <w:color w:val="FF0000"/>
                      <w:kern w:val="0"/>
                      <w:szCs w:val="21"/>
                    </w:rPr>
                  </w:pPr>
                </w:p>
              </w:tc>
              <w:tc>
                <w:tcPr>
                  <w:tcW w:w="576" w:type="dxa"/>
                  <w:vMerge w:val="continue"/>
                  <w:tcBorders>
                    <w:left w:val="single" w:color="auto" w:sz="4" w:space="0"/>
                    <w:right w:val="single" w:color="auto" w:sz="4" w:space="0"/>
                  </w:tcBorders>
                  <w:vAlign w:val="center"/>
                </w:tcPr>
                <w:p>
                  <w:pPr>
                    <w:widowControl/>
                    <w:jc w:val="left"/>
                    <w:rPr>
                      <w:bCs/>
                      <w:color w:val="FF0000"/>
                      <w:kern w:val="0"/>
                      <w:szCs w:val="21"/>
                    </w:rPr>
                  </w:pPr>
                </w:p>
              </w:tc>
              <w:tc>
                <w:tcPr>
                  <w:tcW w:w="593" w:type="dxa"/>
                  <w:vMerge w:val="continue"/>
                  <w:tcBorders>
                    <w:left w:val="single" w:color="auto" w:sz="4" w:space="0"/>
                    <w:right w:val="single" w:color="auto" w:sz="4" w:space="0"/>
                  </w:tcBorders>
                  <w:vAlign w:val="center"/>
                </w:tcPr>
                <w:p>
                  <w:pPr>
                    <w:widowControl/>
                    <w:jc w:val="left"/>
                    <w:rPr>
                      <w:color w:val="FF0000"/>
                      <w:kern w:val="0"/>
                      <w:szCs w:val="21"/>
                    </w:rPr>
                  </w:pPr>
                </w:p>
              </w:tc>
              <w:tc>
                <w:tcPr>
                  <w:tcW w:w="595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6、对列入疑似污染地块名单的地块，未经土壤污染状况调查确定为未污染地块的，不得进入用地程序，自然资源部门不得核发建设工程规划许可证。</w:t>
                  </w:r>
                </w:p>
              </w:tc>
              <w:tc>
                <w:tcPr>
                  <w:tcW w:w="35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both"/>
                    <w:outlineLvl w:val="0"/>
                    <w:rPr>
                      <w:rFonts w:ascii="Times New Roman" w:hAnsi="Times New Roman"/>
                      <w:color w:val="000000"/>
                      <w:sz w:val="21"/>
                      <w:szCs w:val="21"/>
                    </w:rPr>
                  </w:pPr>
                  <w:r>
                    <w:rPr>
                      <w:rFonts w:ascii="Times New Roman" w:hAnsi="Times New Roman"/>
                      <w:color w:val="000000"/>
                      <w:sz w:val="21"/>
                      <w:szCs w:val="21"/>
                    </w:rPr>
                    <w:t>本项目位于新乡经济技术产业集聚区南区纸制品印刷包装产业园，用地性质符合集聚区用地规划要求。</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9" w:type="dxa"/>
                  <w:vMerge w:val="continue"/>
                  <w:tcBorders>
                    <w:left w:val="nil"/>
                    <w:right w:val="single" w:color="auto" w:sz="4" w:space="0"/>
                  </w:tcBorders>
                  <w:vAlign w:val="center"/>
                </w:tcPr>
                <w:p>
                  <w:pPr>
                    <w:widowControl/>
                    <w:jc w:val="left"/>
                    <w:rPr>
                      <w:color w:val="FF0000"/>
                      <w:kern w:val="0"/>
                      <w:szCs w:val="21"/>
                    </w:rPr>
                  </w:pPr>
                </w:p>
              </w:tc>
              <w:tc>
                <w:tcPr>
                  <w:tcW w:w="709" w:type="dxa"/>
                  <w:vMerge w:val="continue"/>
                  <w:tcBorders>
                    <w:left w:val="nil"/>
                    <w:right w:val="single" w:color="auto" w:sz="4" w:space="0"/>
                  </w:tcBorders>
                  <w:vAlign w:val="center"/>
                </w:tcPr>
                <w:p>
                  <w:pPr>
                    <w:widowControl/>
                    <w:jc w:val="left"/>
                    <w:rPr>
                      <w:color w:val="FF0000"/>
                      <w:kern w:val="0"/>
                      <w:szCs w:val="21"/>
                    </w:rPr>
                  </w:pPr>
                </w:p>
              </w:tc>
              <w:tc>
                <w:tcPr>
                  <w:tcW w:w="850" w:type="dxa"/>
                  <w:vMerge w:val="continue"/>
                  <w:tcBorders>
                    <w:left w:val="single" w:color="auto" w:sz="4" w:space="0"/>
                    <w:right w:val="single" w:color="auto" w:sz="4" w:space="0"/>
                  </w:tcBorders>
                  <w:vAlign w:val="center"/>
                </w:tcPr>
                <w:p>
                  <w:pPr>
                    <w:widowControl/>
                    <w:jc w:val="left"/>
                    <w:rPr>
                      <w:bCs/>
                      <w:color w:val="FF0000"/>
                      <w:kern w:val="0"/>
                      <w:szCs w:val="21"/>
                    </w:rPr>
                  </w:pPr>
                </w:p>
              </w:tc>
              <w:tc>
                <w:tcPr>
                  <w:tcW w:w="576" w:type="dxa"/>
                  <w:vMerge w:val="continue"/>
                  <w:tcBorders>
                    <w:left w:val="single" w:color="auto" w:sz="4" w:space="0"/>
                    <w:right w:val="single" w:color="auto" w:sz="4" w:space="0"/>
                  </w:tcBorders>
                  <w:vAlign w:val="center"/>
                </w:tcPr>
                <w:p>
                  <w:pPr>
                    <w:widowControl/>
                    <w:jc w:val="left"/>
                    <w:rPr>
                      <w:bCs/>
                      <w:color w:val="FF0000"/>
                      <w:kern w:val="0"/>
                      <w:szCs w:val="21"/>
                    </w:rPr>
                  </w:pPr>
                </w:p>
              </w:tc>
              <w:tc>
                <w:tcPr>
                  <w:tcW w:w="593" w:type="dxa"/>
                  <w:vMerge w:val="continue"/>
                  <w:tcBorders>
                    <w:left w:val="single" w:color="auto" w:sz="4" w:space="0"/>
                    <w:bottom w:val="single" w:color="auto" w:sz="4" w:space="0"/>
                    <w:right w:val="single" w:color="auto" w:sz="4" w:space="0"/>
                  </w:tcBorders>
                  <w:vAlign w:val="center"/>
                </w:tcPr>
                <w:p>
                  <w:pPr>
                    <w:widowControl/>
                    <w:jc w:val="left"/>
                    <w:rPr>
                      <w:color w:val="FF0000"/>
                      <w:kern w:val="0"/>
                      <w:szCs w:val="21"/>
                    </w:rPr>
                  </w:pPr>
                </w:p>
              </w:tc>
              <w:tc>
                <w:tcPr>
                  <w:tcW w:w="595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7、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35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both"/>
                    <w:outlineLvl w:val="0"/>
                    <w:rPr>
                      <w:rFonts w:ascii="Times New Roman" w:hAnsi="Times New Roman"/>
                      <w:color w:val="000000"/>
                      <w:sz w:val="21"/>
                      <w:szCs w:val="21"/>
                    </w:rPr>
                  </w:pPr>
                  <w:r>
                    <w:rPr>
                      <w:rFonts w:ascii="Times New Roman" w:hAnsi="Times New Roman"/>
                      <w:color w:val="000000"/>
                      <w:sz w:val="21"/>
                      <w:szCs w:val="21"/>
                    </w:rPr>
                    <w:t>本项目为新建项目，不属于</w:t>
                  </w:r>
                  <w:r>
                    <w:rPr>
                      <w:rFonts w:hint="eastAsia" w:ascii="Times New Roman" w:hAnsi="Times New Roman"/>
                      <w:color w:val="000000"/>
                      <w:sz w:val="21"/>
                      <w:szCs w:val="21"/>
                    </w:rPr>
                    <w:t>“</w:t>
                  </w:r>
                  <w:r>
                    <w:rPr>
                      <w:rFonts w:ascii="Times New Roman" w:hAnsi="Times New Roman"/>
                      <w:color w:val="000000"/>
                      <w:sz w:val="21"/>
                      <w:szCs w:val="21"/>
                    </w:rPr>
                    <w:t>两高</w:t>
                  </w:r>
                  <w:r>
                    <w:rPr>
                      <w:rFonts w:hint="eastAsia" w:ascii="Times New Roman" w:hAnsi="Times New Roman"/>
                      <w:color w:val="000000"/>
                      <w:sz w:val="21"/>
                      <w:szCs w:val="21"/>
                    </w:rPr>
                    <w:t>”</w:t>
                  </w:r>
                  <w:r>
                    <w:rPr>
                      <w:rFonts w:ascii="Times New Roman" w:hAnsi="Times New Roman"/>
                      <w:color w:val="000000"/>
                      <w:sz w:val="21"/>
                      <w:szCs w:val="21"/>
                    </w:rPr>
                    <w:t>项目。</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9" w:type="dxa"/>
                  <w:vMerge w:val="continue"/>
                  <w:tcBorders>
                    <w:left w:val="nil"/>
                    <w:right w:val="single" w:color="auto" w:sz="4" w:space="0"/>
                  </w:tcBorders>
                  <w:vAlign w:val="center"/>
                </w:tcPr>
                <w:p>
                  <w:pPr>
                    <w:widowControl/>
                    <w:jc w:val="left"/>
                    <w:rPr>
                      <w:color w:val="000000"/>
                      <w:kern w:val="0"/>
                      <w:szCs w:val="21"/>
                    </w:rPr>
                  </w:pPr>
                </w:p>
              </w:tc>
              <w:tc>
                <w:tcPr>
                  <w:tcW w:w="709" w:type="dxa"/>
                  <w:vMerge w:val="continue"/>
                  <w:tcBorders>
                    <w:left w:val="nil"/>
                    <w:right w:val="single" w:color="auto" w:sz="4" w:space="0"/>
                  </w:tcBorders>
                  <w:vAlign w:val="center"/>
                </w:tcPr>
                <w:p>
                  <w:pPr>
                    <w:widowControl/>
                    <w:jc w:val="left"/>
                    <w:rPr>
                      <w:color w:val="000000"/>
                      <w:kern w:val="0"/>
                      <w:szCs w:val="21"/>
                    </w:rPr>
                  </w:pPr>
                </w:p>
              </w:tc>
              <w:tc>
                <w:tcPr>
                  <w:tcW w:w="850" w:type="dxa"/>
                  <w:vMerge w:val="continue"/>
                  <w:tcBorders>
                    <w:left w:val="single" w:color="auto" w:sz="4" w:space="0"/>
                    <w:right w:val="single" w:color="auto" w:sz="4" w:space="0"/>
                  </w:tcBorders>
                  <w:vAlign w:val="center"/>
                </w:tcPr>
                <w:p>
                  <w:pPr>
                    <w:widowControl/>
                    <w:jc w:val="left"/>
                    <w:rPr>
                      <w:bCs/>
                      <w:color w:val="000000"/>
                      <w:kern w:val="0"/>
                      <w:szCs w:val="21"/>
                    </w:rPr>
                  </w:pPr>
                </w:p>
              </w:tc>
              <w:tc>
                <w:tcPr>
                  <w:tcW w:w="576" w:type="dxa"/>
                  <w:vMerge w:val="continue"/>
                  <w:tcBorders>
                    <w:left w:val="single" w:color="auto" w:sz="4" w:space="0"/>
                    <w:right w:val="single" w:color="auto" w:sz="4" w:space="0"/>
                  </w:tcBorders>
                  <w:vAlign w:val="center"/>
                </w:tcPr>
                <w:p>
                  <w:pPr>
                    <w:widowControl/>
                    <w:jc w:val="left"/>
                    <w:rPr>
                      <w:bCs/>
                      <w:color w:val="000000"/>
                      <w:kern w:val="0"/>
                      <w:szCs w:val="21"/>
                    </w:rPr>
                  </w:pPr>
                </w:p>
              </w:tc>
              <w:tc>
                <w:tcPr>
                  <w:tcW w:w="593" w:type="dxa"/>
                  <w:vMerge w:val="restart"/>
                  <w:tcBorders>
                    <w:top w:val="single" w:color="auto" w:sz="4" w:space="0"/>
                    <w:left w:val="single" w:color="auto" w:sz="4" w:space="0"/>
                    <w:right w:val="single" w:color="auto" w:sz="4" w:space="0"/>
                  </w:tcBorders>
                  <w:tcMar>
                    <w:top w:w="0" w:type="dxa"/>
                    <w:left w:w="28" w:type="dxa"/>
                    <w:bottom w:w="0" w:type="dxa"/>
                    <w:right w:w="28" w:type="dxa"/>
                  </w:tcMar>
                  <w:vAlign w:val="center"/>
                </w:tcPr>
                <w:p>
                  <w:pPr>
                    <w:pStyle w:val="17"/>
                    <w:jc w:val="center"/>
                    <w:outlineLvl w:val="0"/>
                    <w:rPr>
                      <w:rFonts w:ascii="Times New Roman" w:hAnsi="Times New Roman"/>
                      <w:sz w:val="21"/>
                      <w:szCs w:val="21"/>
                    </w:rPr>
                  </w:pPr>
                  <w:r>
                    <w:rPr>
                      <w:rFonts w:ascii="Times New Roman" w:hAnsi="Times New Roman"/>
                      <w:sz w:val="21"/>
                      <w:szCs w:val="21"/>
                    </w:rPr>
                    <w:t>污染物排放管控</w:t>
                  </w:r>
                </w:p>
              </w:tc>
              <w:tc>
                <w:tcPr>
                  <w:tcW w:w="595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1、二氧化硫、氮氧化物、颗粒物、VOCs全面执行大气污染物特别排放限值。</w:t>
                  </w:r>
                </w:p>
              </w:tc>
              <w:tc>
                <w:tcPr>
                  <w:tcW w:w="35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both"/>
                    <w:outlineLvl w:val="0"/>
                    <w:rPr>
                      <w:rFonts w:ascii="Times New Roman" w:hAnsi="Times New Roman"/>
                      <w:color w:val="000000"/>
                      <w:sz w:val="21"/>
                      <w:szCs w:val="21"/>
                    </w:rPr>
                  </w:pPr>
                  <w:r>
                    <w:rPr>
                      <w:rFonts w:ascii="Times New Roman" w:hAnsi="Times New Roman"/>
                      <w:color w:val="000000"/>
                      <w:sz w:val="21"/>
                      <w:szCs w:val="21"/>
                    </w:rPr>
                    <w:t>本项目废气外排污染物为非甲烷总烃、氯化氢、硫酸雾、氮氧化物、氨，非甲烷总烃</w:t>
                  </w:r>
                  <w:r>
                    <w:rPr>
                      <w:rFonts w:hint="eastAsia" w:ascii="Times New Roman" w:hAnsi="Times New Roman"/>
                      <w:color w:val="000000"/>
                      <w:sz w:val="21"/>
                      <w:szCs w:val="21"/>
                    </w:rPr>
                    <w:t>、氮氧化物</w:t>
                  </w:r>
                  <w:r>
                    <w:rPr>
                      <w:rFonts w:ascii="Times New Roman" w:hAnsi="Times New Roman"/>
                      <w:color w:val="000000"/>
                      <w:sz w:val="21"/>
                      <w:szCs w:val="21"/>
                    </w:rPr>
                    <w:t>将按要求全面执行大气污染物特别排放限值。</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9" w:type="dxa"/>
                  <w:vMerge w:val="continue"/>
                  <w:tcBorders>
                    <w:left w:val="nil"/>
                    <w:right w:val="single" w:color="auto" w:sz="4" w:space="0"/>
                  </w:tcBorders>
                  <w:vAlign w:val="center"/>
                </w:tcPr>
                <w:p>
                  <w:pPr>
                    <w:widowControl/>
                    <w:jc w:val="left"/>
                    <w:rPr>
                      <w:color w:val="000000"/>
                      <w:kern w:val="0"/>
                      <w:szCs w:val="21"/>
                    </w:rPr>
                  </w:pPr>
                </w:p>
              </w:tc>
              <w:tc>
                <w:tcPr>
                  <w:tcW w:w="709" w:type="dxa"/>
                  <w:vMerge w:val="continue"/>
                  <w:tcBorders>
                    <w:left w:val="nil"/>
                    <w:right w:val="single" w:color="auto" w:sz="4" w:space="0"/>
                  </w:tcBorders>
                  <w:vAlign w:val="center"/>
                </w:tcPr>
                <w:p>
                  <w:pPr>
                    <w:widowControl/>
                    <w:jc w:val="left"/>
                    <w:rPr>
                      <w:color w:val="000000"/>
                      <w:kern w:val="0"/>
                      <w:szCs w:val="21"/>
                    </w:rPr>
                  </w:pPr>
                </w:p>
              </w:tc>
              <w:tc>
                <w:tcPr>
                  <w:tcW w:w="850" w:type="dxa"/>
                  <w:vMerge w:val="continue"/>
                  <w:tcBorders>
                    <w:left w:val="single" w:color="auto" w:sz="4" w:space="0"/>
                    <w:right w:val="single" w:color="auto" w:sz="4" w:space="0"/>
                  </w:tcBorders>
                  <w:vAlign w:val="center"/>
                </w:tcPr>
                <w:p>
                  <w:pPr>
                    <w:widowControl/>
                    <w:jc w:val="left"/>
                    <w:rPr>
                      <w:bCs/>
                      <w:color w:val="000000"/>
                      <w:kern w:val="0"/>
                      <w:szCs w:val="21"/>
                    </w:rPr>
                  </w:pPr>
                </w:p>
              </w:tc>
              <w:tc>
                <w:tcPr>
                  <w:tcW w:w="576" w:type="dxa"/>
                  <w:vMerge w:val="continue"/>
                  <w:tcBorders>
                    <w:left w:val="single" w:color="auto" w:sz="4" w:space="0"/>
                    <w:right w:val="single" w:color="auto" w:sz="4" w:space="0"/>
                  </w:tcBorders>
                  <w:vAlign w:val="center"/>
                </w:tcPr>
                <w:p>
                  <w:pPr>
                    <w:widowControl/>
                    <w:jc w:val="left"/>
                    <w:rPr>
                      <w:bCs/>
                      <w:color w:val="000000"/>
                      <w:kern w:val="0"/>
                      <w:szCs w:val="21"/>
                    </w:rPr>
                  </w:pPr>
                </w:p>
              </w:tc>
              <w:tc>
                <w:tcPr>
                  <w:tcW w:w="593" w:type="dxa"/>
                  <w:vMerge w:val="continue"/>
                  <w:tcBorders>
                    <w:left w:val="single" w:color="auto" w:sz="4" w:space="0"/>
                    <w:right w:val="single" w:color="auto" w:sz="4" w:space="0"/>
                  </w:tcBorders>
                  <w:vAlign w:val="center"/>
                </w:tcPr>
                <w:p>
                  <w:pPr>
                    <w:widowControl/>
                    <w:jc w:val="left"/>
                    <w:rPr>
                      <w:kern w:val="0"/>
                      <w:szCs w:val="21"/>
                    </w:rPr>
                  </w:pPr>
                </w:p>
              </w:tc>
              <w:tc>
                <w:tcPr>
                  <w:tcW w:w="595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2、污水处理厂逐步实施技改，出水执行《地表水环境质量标准》（GB3838-2002）Ⅴ类标准要求，减少对纳污水体的影响；加快新乡县东孟姜女河流域新建污水处理厂及配套管网建设，以满足园区企业污水处理的需求，确保入区企业外排废水全部经管网收集后进入污水处理厂处理。</w:t>
                  </w:r>
                </w:p>
              </w:tc>
              <w:tc>
                <w:tcPr>
                  <w:tcW w:w="35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本项目不涉及</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hint="eastAsia" w:ascii="Times New Roman" w:hAnsi="Times New Roman"/>
                      <w:color w:val="000000"/>
                      <w:sz w:val="21"/>
                      <w:szCs w:val="21"/>
                    </w:rPr>
                    <w:t>不涉及</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9" w:type="dxa"/>
                  <w:vMerge w:val="continue"/>
                  <w:tcBorders>
                    <w:left w:val="nil"/>
                    <w:right w:val="single" w:color="auto" w:sz="4" w:space="0"/>
                  </w:tcBorders>
                  <w:vAlign w:val="center"/>
                </w:tcPr>
                <w:p>
                  <w:pPr>
                    <w:widowControl/>
                    <w:jc w:val="left"/>
                    <w:rPr>
                      <w:color w:val="000000"/>
                      <w:kern w:val="0"/>
                      <w:szCs w:val="21"/>
                    </w:rPr>
                  </w:pPr>
                </w:p>
              </w:tc>
              <w:tc>
                <w:tcPr>
                  <w:tcW w:w="709" w:type="dxa"/>
                  <w:vMerge w:val="continue"/>
                  <w:tcBorders>
                    <w:left w:val="nil"/>
                    <w:right w:val="single" w:color="auto" w:sz="4" w:space="0"/>
                  </w:tcBorders>
                  <w:vAlign w:val="center"/>
                </w:tcPr>
                <w:p>
                  <w:pPr>
                    <w:widowControl/>
                    <w:jc w:val="left"/>
                    <w:rPr>
                      <w:color w:val="000000"/>
                      <w:kern w:val="0"/>
                      <w:szCs w:val="21"/>
                    </w:rPr>
                  </w:pPr>
                </w:p>
              </w:tc>
              <w:tc>
                <w:tcPr>
                  <w:tcW w:w="850" w:type="dxa"/>
                  <w:vMerge w:val="continue"/>
                  <w:tcBorders>
                    <w:left w:val="single" w:color="auto" w:sz="4" w:space="0"/>
                    <w:right w:val="single" w:color="auto" w:sz="4" w:space="0"/>
                  </w:tcBorders>
                  <w:vAlign w:val="center"/>
                </w:tcPr>
                <w:p>
                  <w:pPr>
                    <w:widowControl/>
                    <w:jc w:val="left"/>
                    <w:rPr>
                      <w:bCs/>
                      <w:color w:val="000000"/>
                      <w:kern w:val="0"/>
                      <w:szCs w:val="21"/>
                    </w:rPr>
                  </w:pPr>
                </w:p>
              </w:tc>
              <w:tc>
                <w:tcPr>
                  <w:tcW w:w="576" w:type="dxa"/>
                  <w:vMerge w:val="continue"/>
                  <w:tcBorders>
                    <w:left w:val="single" w:color="auto" w:sz="4" w:space="0"/>
                    <w:right w:val="single" w:color="auto" w:sz="4" w:space="0"/>
                  </w:tcBorders>
                  <w:vAlign w:val="center"/>
                </w:tcPr>
                <w:p>
                  <w:pPr>
                    <w:widowControl/>
                    <w:jc w:val="left"/>
                    <w:rPr>
                      <w:bCs/>
                      <w:color w:val="000000"/>
                      <w:kern w:val="0"/>
                      <w:szCs w:val="21"/>
                    </w:rPr>
                  </w:pPr>
                </w:p>
              </w:tc>
              <w:tc>
                <w:tcPr>
                  <w:tcW w:w="593" w:type="dxa"/>
                  <w:vMerge w:val="continue"/>
                  <w:tcBorders>
                    <w:left w:val="single" w:color="auto" w:sz="4" w:space="0"/>
                    <w:right w:val="single" w:color="auto" w:sz="4" w:space="0"/>
                  </w:tcBorders>
                  <w:vAlign w:val="center"/>
                </w:tcPr>
                <w:p>
                  <w:pPr>
                    <w:widowControl/>
                    <w:jc w:val="left"/>
                    <w:rPr>
                      <w:kern w:val="0"/>
                      <w:szCs w:val="21"/>
                    </w:rPr>
                  </w:pPr>
                </w:p>
              </w:tc>
              <w:tc>
                <w:tcPr>
                  <w:tcW w:w="595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3、新建“两高”项目应按照《关于加强重点行业建设项目区域削减措施监督管理的通知》要求，依据区域环境质量改善目标，制定配套区域污染物削减方案，采取有效的污染物区域削减措施，腾出足够的环境容量。</w:t>
                  </w:r>
                </w:p>
              </w:tc>
              <w:tc>
                <w:tcPr>
                  <w:tcW w:w="35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bCs/>
                      <w:color w:val="000000"/>
                      <w:sz w:val="21"/>
                      <w:szCs w:val="21"/>
                    </w:rPr>
                  </w:pPr>
                  <w:r>
                    <w:rPr>
                      <w:rFonts w:ascii="Times New Roman" w:hAnsi="Times New Roman"/>
                      <w:bCs/>
                      <w:color w:val="000000"/>
                      <w:sz w:val="21"/>
                      <w:szCs w:val="21"/>
                    </w:rPr>
                    <w:t>本项目为新建项目。不属于</w:t>
                  </w:r>
                  <w:r>
                    <w:rPr>
                      <w:rFonts w:hint="eastAsia" w:ascii="Times New Roman" w:hAnsi="Times New Roman"/>
                      <w:bCs/>
                      <w:color w:val="000000"/>
                      <w:sz w:val="21"/>
                      <w:szCs w:val="21"/>
                    </w:rPr>
                    <w:t>“</w:t>
                  </w:r>
                  <w:r>
                    <w:rPr>
                      <w:rFonts w:ascii="Times New Roman" w:hAnsi="Times New Roman"/>
                      <w:bCs/>
                      <w:color w:val="000000"/>
                      <w:sz w:val="21"/>
                      <w:szCs w:val="21"/>
                    </w:rPr>
                    <w:t>两高</w:t>
                  </w:r>
                  <w:r>
                    <w:rPr>
                      <w:rFonts w:hint="eastAsia" w:ascii="Times New Roman" w:hAnsi="Times New Roman"/>
                      <w:bCs/>
                      <w:color w:val="000000"/>
                      <w:sz w:val="21"/>
                      <w:szCs w:val="21"/>
                    </w:rPr>
                    <w:t>”</w:t>
                  </w:r>
                  <w:r>
                    <w:rPr>
                      <w:rFonts w:ascii="Times New Roman" w:hAnsi="Times New Roman"/>
                      <w:bCs/>
                      <w:color w:val="000000"/>
                      <w:sz w:val="21"/>
                      <w:szCs w:val="21"/>
                    </w:rPr>
                    <w:t>项目</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9" w:type="dxa"/>
                  <w:vMerge w:val="continue"/>
                  <w:tcBorders>
                    <w:left w:val="nil"/>
                    <w:right w:val="single" w:color="auto" w:sz="4" w:space="0"/>
                  </w:tcBorders>
                  <w:vAlign w:val="center"/>
                </w:tcPr>
                <w:p>
                  <w:pPr>
                    <w:widowControl/>
                    <w:jc w:val="left"/>
                    <w:rPr>
                      <w:color w:val="000000"/>
                      <w:kern w:val="0"/>
                      <w:szCs w:val="21"/>
                    </w:rPr>
                  </w:pPr>
                </w:p>
              </w:tc>
              <w:tc>
                <w:tcPr>
                  <w:tcW w:w="709" w:type="dxa"/>
                  <w:vMerge w:val="continue"/>
                  <w:tcBorders>
                    <w:left w:val="nil"/>
                    <w:right w:val="single" w:color="auto" w:sz="4" w:space="0"/>
                  </w:tcBorders>
                  <w:vAlign w:val="center"/>
                </w:tcPr>
                <w:p>
                  <w:pPr>
                    <w:widowControl/>
                    <w:jc w:val="left"/>
                    <w:rPr>
                      <w:color w:val="000000"/>
                      <w:kern w:val="0"/>
                      <w:szCs w:val="21"/>
                    </w:rPr>
                  </w:pPr>
                </w:p>
              </w:tc>
              <w:tc>
                <w:tcPr>
                  <w:tcW w:w="850" w:type="dxa"/>
                  <w:vMerge w:val="continue"/>
                  <w:tcBorders>
                    <w:left w:val="single" w:color="auto" w:sz="4" w:space="0"/>
                    <w:right w:val="single" w:color="auto" w:sz="4" w:space="0"/>
                  </w:tcBorders>
                  <w:vAlign w:val="center"/>
                </w:tcPr>
                <w:p>
                  <w:pPr>
                    <w:widowControl/>
                    <w:jc w:val="left"/>
                    <w:rPr>
                      <w:bCs/>
                      <w:color w:val="000000"/>
                      <w:kern w:val="0"/>
                      <w:szCs w:val="21"/>
                    </w:rPr>
                  </w:pPr>
                </w:p>
              </w:tc>
              <w:tc>
                <w:tcPr>
                  <w:tcW w:w="576" w:type="dxa"/>
                  <w:vMerge w:val="continue"/>
                  <w:tcBorders>
                    <w:left w:val="single" w:color="auto" w:sz="4" w:space="0"/>
                    <w:right w:val="single" w:color="auto" w:sz="4" w:space="0"/>
                  </w:tcBorders>
                  <w:vAlign w:val="center"/>
                </w:tcPr>
                <w:p>
                  <w:pPr>
                    <w:widowControl/>
                    <w:jc w:val="left"/>
                    <w:rPr>
                      <w:bCs/>
                      <w:color w:val="000000"/>
                      <w:kern w:val="0"/>
                      <w:szCs w:val="21"/>
                    </w:rPr>
                  </w:pPr>
                </w:p>
              </w:tc>
              <w:tc>
                <w:tcPr>
                  <w:tcW w:w="593" w:type="dxa"/>
                  <w:vMerge w:val="continue"/>
                  <w:tcBorders>
                    <w:left w:val="single" w:color="auto" w:sz="4" w:space="0"/>
                    <w:right w:val="single" w:color="auto" w:sz="4" w:space="0"/>
                  </w:tcBorders>
                  <w:vAlign w:val="center"/>
                </w:tcPr>
                <w:p>
                  <w:pPr>
                    <w:widowControl/>
                    <w:jc w:val="left"/>
                    <w:rPr>
                      <w:kern w:val="0"/>
                      <w:szCs w:val="21"/>
                    </w:rPr>
                  </w:pPr>
                </w:p>
              </w:tc>
              <w:tc>
                <w:tcPr>
                  <w:tcW w:w="595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4、新建耗煤项目还应严格按规定采取煤炭消费减量替代措施，不得使用高污染燃料作为煤炭减量替代措施。</w:t>
                  </w:r>
                </w:p>
              </w:tc>
              <w:tc>
                <w:tcPr>
                  <w:tcW w:w="35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bCs/>
                      <w:color w:val="000000"/>
                      <w:sz w:val="21"/>
                      <w:szCs w:val="21"/>
                      <w:highlight w:val="yellow"/>
                    </w:rPr>
                  </w:pPr>
                  <w:r>
                    <w:rPr>
                      <w:rFonts w:ascii="Times New Roman" w:hAnsi="Times New Roman"/>
                      <w:bCs/>
                      <w:color w:val="000000"/>
                      <w:sz w:val="21"/>
                      <w:szCs w:val="21"/>
                    </w:rPr>
                    <w:t>本项目为新建项目，不使用煤燃料，不属于耗煤项目。</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9" w:type="dxa"/>
                  <w:vMerge w:val="continue"/>
                  <w:tcBorders>
                    <w:left w:val="nil"/>
                    <w:right w:val="single" w:color="auto" w:sz="4" w:space="0"/>
                  </w:tcBorders>
                  <w:vAlign w:val="center"/>
                </w:tcPr>
                <w:p>
                  <w:pPr>
                    <w:widowControl/>
                    <w:jc w:val="left"/>
                    <w:rPr>
                      <w:color w:val="000000"/>
                      <w:kern w:val="0"/>
                      <w:szCs w:val="21"/>
                    </w:rPr>
                  </w:pPr>
                </w:p>
              </w:tc>
              <w:tc>
                <w:tcPr>
                  <w:tcW w:w="709" w:type="dxa"/>
                  <w:vMerge w:val="continue"/>
                  <w:tcBorders>
                    <w:left w:val="nil"/>
                    <w:right w:val="single" w:color="auto" w:sz="4" w:space="0"/>
                  </w:tcBorders>
                  <w:vAlign w:val="center"/>
                </w:tcPr>
                <w:p>
                  <w:pPr>
                    <w:widowControl/>
                    <w:jc w:val="left"/>
                    <w:rPr>
                      <w:color w:val="000000"/>
                      <w:kern w:val="0"/>
                      <w:szCs w:val="21"/>
                    </w:rPr>
                  </w:pPr>
                </w:p>
              </w:tc>
              <w:tc>
                <w:tcPr>
                  <w:tcW w:w="850" w:type="dxa"/>
                  <w:vMerge w:val="continue"/>
                  <w:tcBorders>
                    <w:left w:val="single" w:color="auto" w:sz="4" w:space="0"/>
                    <w:right w:val="single" w:color="auto" w:sz="4" w:space="0"/>
                  </w:tcBorders>
                  <w:vAlign w:val="center"/>
                </w:tcPr>
                <w:p>
                  <w:pPr>
                    <w:widowControl/>
                    <w:jc w:val="left"/>
                    <w:rPr>
                      <w:bCs/>
                      <w:color w:val="000000"/>
                      <w:kern w:val="0"/>
                      <w:szCs w:val="21"/>
                    </w:rPr>
                  </w:pPr>
                </w:p>
              </w:tc>
              <w:tc>
                <w:tcPr>
                  <w:tcW w:w="576" w:type="dxa"/>
                  <w:vMerge w:val="continue"/>
                  <w:tcBorders>
                    <w:left w:val="single" w:color="auto" w:sz="4" w:space="0"/>
                    <w:right w:val="single" w:color="auto" w:sz="4" w:space="0"/>
                  </w:tcBorders>
                  <w:vAlign w:val="center"/>
                </w:tcPr>
                <w:p>
                  <w:pPr>
                    <w:widowControl/>
                    <w:jc w:val="left"/>
                    <w:rPr>
                      <w:bCs/>
                      <w:color w:val="000000"/>
                      <w:kern w:val="0"/>
                      <w:szCs w:val="21"/>
                    </w:rPr>
                  </w:pPr>
                </w:p>
              </w:tc>
              <w:tc>
                <w:tcPr>
                  <w:tcW w:w="593" w:type="dxa"/>
                  <w:vMerge w:val="continue"/>
                  <w:tcBorders>
                    <w:left w:val="single" w:color="auto" w:sz="4" w:space="0"/>
                    <w:bottom w:val="single" w:color="auto" w:sz="4" w:space="0"/>
                    <w:right w:val="single" w:color="auto" w:sz="4" w:space="0"/>
                  </w:tcBorders>
                  <w:vAlign w:val="center"/>
                </w:tcPr>
                <w:p>
                  <w:pPr>
                    <w:widowControl/>
                    <w:jc w:val="left"/>
                    <w:rPr>
                      <w:kern w:val="0"/>
                      <w:szCs w:val="21"/>
                    </w:rPr>
                  </w:pPr>
                </w:p>
              </w:tc>
              <w:tc>
                <w:tcPr>
                  <w:tcW w:w="595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5、已出台超低排放要求的“两高”行业建设项目应满足超低排放要求。</w:t>
                  </w:r>
                </w:p>
              </w:tc>
              <w:tc>
                <w:tcPr>
                  <w:tcW w:w="35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center"/>
                    <w:outlineLvl w:val="0"/>
                    <w:rPr>
                      <w:rFonts w:ascii="Times New Roman" w:hAnsi="Times New Roman"/>
                      <w:bCs/>
                      <w:color w:val="000000"/>
                      <w:sz w:val="21"/>
                      <w:szCs w:val="21"/>
                      <w:highlight w:val="yellow"/>
                    </w:rPr>
                  </w:pPr>
                  <w:r>
                    <w:rPr>
                      <w:rFonts w:ascii="Times New Roman" w:hAnsi="Times New Roman"/>
                      <w:bCs/>
                      <w:color w:val="000000"/>
                      <w:sz w:val="21"/>
                      <w:szCs w:val="21"/>
                    </w:rPr>
                    <w:t>本项目不属于</w:t>
                  </w:r>
                  <w:r>
                    <w:rPr>
                      <w:rFonts w:hint="eastAsia" w:ascii="Times New Roman" w:hAnsi="Times New Roman"/>
                      <w:bCs/>
                      <w:color w:val="000000"/>
                      <w:sz w:val="21"/>
                      <w:szCs w:val="21"/>
                    </w:rPr>
                    <w:t>“</w:t>
                  </w:r>
                  <w:r>
                    <w:rPr>
                      <w:rFonts w:ascii="Times New Roman" w:hAnsi="Times New Roman"/>
                      <w:bCs/>
                      <w:color w:val="000000"/>
                      <w:sz w:val="21"/>
                      <w:szCs w:val="21"/>
                    </w:rPr>
                    <w:t>两高</w:t>
                  </w:r>
                  <w:r>
                    <w:rPr>
                      <w:rFonts w:hint="eastAsia" w:ascii="Times New Roman" w:hAnsi="Times New Roman"/>
                      <w:bCs/>
                      <w:color w:val="000000"/>
                      <w:sz w:val="21"/>
                      <w:szCs w:val="21"/>
                    </w:rPr>
                    <w:t>”</w:t>
                  </w:r>
                  <w:r>
                    <w:rPr>
                      <w:rFonts w:ascii="Times New Roman" w:hAnsi="Times New Roman"/>
                      <w:bCs/>
                      <w:color w:val="000000"/>
                      <w:sz w:val="21"/>
                      <w:szCs w:val="21"/>
                    </w:rPr>
                    <w:t>项目。</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9" w:type="dxa"/>
                  <w:vMerge w:val="continue"/>
                  <w:tcBorders>
                    <w:left w:val="nil"/>
                    <w:right w:val="single" w:color="auto" w:sz="4" w:space="0"/>
                  </w:tcBorders>
                  <w:vAlign w:val="center"/>
                </w:tcPr>
                <w:p>
                  <w:pPr>
                    <w:widowControl/>
                    <w:jc w:val="left"/>
                    <w:rPr>
                      <w:color w:val="000000"/>
                      <w:kern w:val="0"/>
                      <w:szCs w:val="21"/>
                    </w:rPr>
                  </w:pPr>
                </w:p>
              </w:tc>
              <w:tc>
                <w:tcPr>
                  <w:tcW w:w="709" w:type="dxa"/>
                  <w:vMerge w:val="continue"/>
                  <w:tcBorders>
                    <w:left w:val="nil"/>
                    <w:right w:val="single" w:color="auto" w:sz="4" w:space="0"/>
                  </w:tcBorders>
                  <w:vAlign w:val="center"/>
                </w:tcPr>
                <w:p>
                  <w:pPr>
                    <w:widowControl/>
                    <w:jc w:val="left"/>
                    <w:rPr>
                      <w:color w:val="000000"/>
                      <w:kern w:val="0"/>
                      <w:szCs w:val="21"/>
                    </w:rPr>
                  </w:pPr>
                </w:p>
              </w:tc>
              <w:tc>
                <w:tcPr>
                  <w:tcW w:w="850" w:type="dxa"/>
                  <w:vMerge w:val="continue"/>
                  <w:tcBorders>
                    <w:left w:val="single" w:color="auto" w:sz="4" w:space="0"/>
                    <w:right w:val="single" w:color="auto" w:sz="4" w:space="0"/>
                  </w:tcBorders>
                  <w:vAlign w:val="center"/>
                </w:tcPr>
                <w:p>
                  <w:pPr>
                    <w:widowControl/>
                    <w:jc w:val="left"/>
                    <w:rPr>
                      <w:bCs/>
                      <w:color w:val="000000"/>
                      <w:kern w:val="0"/>
                      <w:szCs w:val="21"/>
                    </w:rPr>
                  </w:pPr>
                </w:p>
              </w:tc>
              <w:tc>
                <w:tcPr>
                  <w:tcW w:w="576" w:type="dxa"/>
                  <w:vMerge w:val="continue"/>
                  <w:tcBorders>
                    <w:left w:val="single" w:color="auto" w:sz="4" w:space="0"/>
                    <w:right w:val="single" w:color="auto" w:sz="4" w:space="0"/>
                  </w:tcBorders>
                  <w:vAlign w:val="center"/>
                </w:tcPr>
                <w:p>
                  <w:pPr>
                    <w:widowControl/>
                    <w:jc w:val="left"/>
                    <w:rPr>
                      <w:bCs/>
                      <w:color w:val="000000"/>
                      <w:kern w:val="0"/>
                      <w:szCs w:val="21"/>
                    </w:rPr>
                  </w:pPr>
                </w:p>
              </w:tc>
              <w:tc>
                <w:tcPr>
                  <w:tcW w:w="593" w:type="dxa"/>
                  <w:vMerge w:val="restart"/>
                  <w:tcBorders>
                    <w:top w:val="single" w:color="auto" w:sz="4" w:space="0"/>
                    <w:left w:val="single" w:color="auto" w:sz="4" w:space="0"/>
                    <w:right w:val="single" w:color="auto" w:sz="4" w:space="0"/>
                  </w:tcBorders>
                  <w:vAlign w:val="center"/>
                </w:tcPr>
                <w:p>
                  <w:pPr>
                    <w:pStyle w:val="17"/>
                    <w:jc w:val="center"/>
                    <w:outlineLvl w:val="0"/>
                    <w:rPr>
                      <w:rFonts w:ascii="Times New Roman" w:hAnsi="Times New Roman"/>
                      <w:szCs w:val="21"/>
                    </w:rPr>
                  </w:pPr>
                  <w:r>
                    <w:rPr>
                      <w:rFonts w:ascii="Times New Roman" w:hAnsi="Times New Roman"/>
                      <w:sz w:val="21"/>
                      <w:szCs w:val="21"/>
                    </w:rPr>
                    <w:t>环境风险防控</w:t>
                  </w:r>
                </w:p>
              </w:tc>
              <w:tc>
                <w:tcPr>
                  <w:tcW w:w="595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1、规范产业集聚区建设，对涉重行业企业加强管理，建立土壤和地下水污染隐患排查治理制度、风险防控体系和长效监管机制。</w:t>
                  </w:r>
                </w:p>
              </w:tc>
              <w:tc>
                <w:tcPr>
                  <w:tcW w:w="35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bCs/>
                      <w:color w:val="000000"/>
                      <w:sz w:val="21"/>
                      <w:szCs w:val="21"/>
                    </w:rPr>
                  </w:pPr>
                  <w:r>
                    <w:rPr>
                      <w:rFonts w:ascii="Times New Roman" w:hAnsi="Times New Roman"/>
                      <w:bCs/>
                      <w:color w:val="000000"/>
                      <w:sz w:val="21"/>
                      <w:szCs w:val="21"/>
                    </w:rPr>
                    <w:t>本项目建成后按照环保要求，建立土壤和地下水污染隐患排查治理制度、风险防控体系和长效监管机制。</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9" w:type="dxa"/>
                  <w:vMerge w:val="continue"/>
                  <w:tcBorders>
                    <w:left w:val="nil"/>
                    <w:right w:val="single" w:color="auto" w:sz="4" w:space="0"/>
                  </w:tcBorders>
                  <w:vAlign w:val="center"/>
                </w:tcPr>
                <w:p>
                  <w:pPr>
                    <w:widowControl/>
                    <w:jc w:val="left"/>
                    <w:rPr>
                      <w:color w:val="000000"/>
                      <w:kern w:val="0"/>
                      <w:szCs w:val="21"/>
                    </w:rPr>
                  </w:pPr>
                </w:p>
              </w:tc>
              <w:tc>
                <w:tcPr>
                  <w:tcW w:w="709" w:type="dxa"/>
                  <w:vMerge w:val="continue"/>
                  <w:tcBorders>
                    <w:left w:val="nil"/>
                    <w:right w:val="single" w:color="auto" w:sz="4" w:space="0"/>
                  </w:tcBorders>
                  <w:vAlign w:val="center"/>
                </w:tcPr>
                <w:p>
                  <w:pPr>
                    <w:widowControl/>
                    <w:jc w:val="left"/>
                    <w:rPr>
                      <w:color w:val="000000"/>
                      <w:kern w:val="0"/>
                      <w:szCs w:val="21"/>
                    </w:rPr>
                  </w:pPr>
                </w:p>
              </w:tc>
              <w:tc>
                <w:tcPr>
                  <w:tcW w:w="850" w:type="dxa"/>
                  <w:vMerge w:val="continue"/>
                  <w:tcBorders>
                    <w:left w:val="single" w:color="auto" w:sz="4" w:space="0"/>
                    <w:right w:val="single" w:color="auto" w:sz="4" w:space="0"/>
                  </w:tcBorders>
                  <w:vAlign w:val="center"/>
                </w:tcPr>
                <w:p>
                  <w:pPr>
                    <w:widowControl/>
                    <w:jc w:val="left"/>
                    <w:rPr>
                      <w:bCs/>
                      <w:color w:val="000000"/>
                      <w:kern w:val="0"/>
                      <w:szCs w:val="21"/>
                    </w:rPr>
                  </w:pPr>
                </w:p>
              </w:tc>
              <w:tc>
                <w:tcPr>
                  <w:tcW w:w="576" w:type="dxa"/>
                  <w:vMerge w:val="continue"/>
                  <w:tcBorders>
                    <w:left w:val="single" w:color="auto" w:sz="4" w:space="0"/>
                    <w:right w:val="single" w:color="auto" w:sz="4" w:space="0"/>
                  </w:tcBorders>
                  <w:vAlign w:val="center"/>
                </w:tcPr>
                <w:p>
                  <w:pPr>
                    <w:widowControl/>
                    <w:jc w:val="left"/>
                    <w:rPr>
                      <w:bCs/>
                      <w:color w:val="000000"/>
                      <w:kern w:val="0"/>
                      <w:szCs w:val="21"/>
                    </w:rPr>
                  </w:pPr>
                </w:p>
              </w:tc>
              <w:tc>
                <w:tcPr>
                  <w:tcW w:w="593" w:type="dxa"/>
                  <w:vMerge w:val="continue"/>
                  <w:tcBorders>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center"/>
                    <w:outlineLvl w:val="0"/>
                    <w:rPr>
                      <w:rFonts w:ascii="Times New Roman" w:hAnsi="Times New Roman"/>
                      <w:sz w:val="21"/>
                      <w:szCs w:val="21"/>
                    </w:rPr>
                  </w:pPr>
                </w:p>
              </w:tc>
              <w:tc>
                <w:tcPr>
                  <w:tcW w:w="595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2、高关注地块划分污染风险等级，纳入优先管控名录。</w:t>
                  </w:r>
                </w:p>
              </w:tc>
              <w:tc>
                <w:tcPr>
                  <w:tcW w:w="354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bCs/>
                      <w:color w:val="000000"/>
                      <w:sz w:val="21"/>
                      <w:szCs w:val="21"/>
                    </w:rPr>
                  </w:pPr>
                  <w:r>
                    <w:rPr>
                      <w:rFonts w:ascii="Times New Roman" w:hAnsi="Times New Roman"/>
                      <w:bCs/>
                      <w:color w:val="000000"/>
                      <w:sz w:val="21"/>
                      <w:szCs w:val="21"/>
                    </w:rPr>
                    <w:t>本项目所在地块不属于高关注地块。</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709" w:type="dxa"/>
                  <w:vMerge w:val="continue"/>
                  <w:tcBorders>
                    <w:left w:val="nil"/>
                    <w:right w:val="single" w:color="auto" w:sz="4" w:space="0"/>
                  </w:tcBorders>
                  <w:vAlign w:val="center"/>
                </w:tcPr>
                <w:p>
                  <w:pPr>
                    <w:widowControl/>
                    <w:jc w:val="left"/>
                    <w:rPr>
                      <w:color w:val="000000"/>
                      <w:kern w:val="0"/>
                      <w:szCs w:val="21"/>
                    </w:rPr>
                  </w:pPr>
                </w:p>
              </w:tc>
              <w:tc>
                <w:tcPr>
                  <w:tcW w:w="709" w:type="dxa"/>
                  <w:vMerge w:val="continue"/>
                  <w:tcBorders>
                    <w:left w:val="nil"/>
                    <w:right w:val="single" w:color="auto" w:sz="4" w:space="0"/>
                  </w:tcBorders>
                  <w:vAlign w:val="center"/>
                </w:tcPr>
                <w:p>
                  <w:pPr>
                    <w:widowControl/>
                    <w:jc w:val="left"/>
                    <w:rPr>
                      <w:color w:val="000000"/>
                      <w:kern w:val="0"/>
                      <w:szCs w:val="21"/>
                    </w:rPr>
                  </w:pPr>
                </w:p>
              </w:tc>
              <w:tc>
                <w:tcPr>
                  <w:tcW w:w="850" w:type="dxa"/>
                  <w:vMerge w:val="continue"/>
                  <w:tcBorders>
                    <w:left w:val="single" w:color="auto" w:sz="4" w:space="0"/>
                    <w:right w:val="single" w:color="auto" w:sz="4" w:space="0"/>
                  </w:tcBorders>
                  <w:vAlign w:val="center"/>
                </w:tcPr>
                <w:p>
                  <w:pPr>
                    <w:widowControl/>
                    <w:jc w:val="left"/>
                    <w:rPr>
                      <w:bCs/>
                      <w:color w:val="000000"/>
                      <w:kern w:val="0"/>
                      <w:szCs w:val="21"/>
                    </w:rPr>
                  </w:pPr>
                </w:p>
              </w:tc>
              <w:tc>
                <w:tcPr>
                  <w:tcW w:w="576" w:type="dxa"/>
                  <w:vMerge w:val="continue"/>
                  <w:tcBorders>
                    <w:left w:val="single" w:color="auto" w:sz="4" w:space="0"/>
                    <w:right w:val="single" w:color="auto" w:sz="4" w:space="0"/>
                  </w:tcBorders>
                  <w:vAlign w:val="center"/>
                </w:tcPr>
                <w:p>
                  <w:pPr>
                    <w:widowControl/>
                    <w:jc w:val="left"/>
                    <w:rPr>
                      <w:bCs/>
                      <w:color w:val="000000"/>
                      <w:kern w:val="0"/>
                      <w:szCs w:val="21"/>
                    </w:rPr>
                  </w:pPr>
                </w:p>
              </w:tc>
              <w:tc>
                <w:tcPr>
                  <w:tcW w:w="593" w:type="dxa"/>
                  <w:vMerge w:val="restart"/>
                  <w:tcBorders>
                    <w:top w:val="single" w:color="auto" w:sz="4" w:space="0"/>
                    <w:left w:val="single" w:color="auto" w:sz="4" w:space="0"/>
                    <w:right w:val="single" w:color="auto" w:sz="4" w:space="0"/>
                  </w:tcBorders>
                  <w:tcMar>
                    <w:top w:w="0" w:type="dxa"/>
                    <w:left w:w="28" w:type="dxa"/>
                    <w:bottom w:w="0" w:type="dxa"/>
                    <w:right w:w="28" w:type="dxa"/>
                  </w:tcMar>
                  <w:vAlign w:val="center"/>
                </w:tcPr>
                <w:p>
                  <w:pPr>
                    <w:pStyle w:val="17"/>
                    <w:jc w:val="center"/>
                    <w:outlineLvl w:val="0"/>
                    <w:rPr>
                      <w:rFonts w:ascii="Times New Roman" w:hAnsi="Times New Roman"/>
                      <w:sz w:val="21"/>
                      <w:szCs w:val="21"/>
                    </w:rPr>
                  </w:pPr>
                  <w:r>
                    <w:rPr>
                      <w:rFonts w:ascii="Times New Roman" w:hAnsi="Times New Roman"/>
                      <w:sz w:val="21"/>
                      <w:szCs w:val="21"/>
                    </w:rPr>
                    <w:t>资源利用效率要求</w:t>
                  </w:r>
                </w:p>
              </w:tc>
              <w:tc>
                <w:tcPr>
                  <w:tcW w:w="595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1、集聚区应实施集中供热、供气，进一步优化能源结构，加快集中供热中心及配套供热管网建设，区内不得建设分散燃煤锅炉。</w:t>
                  </w:r>
                </w:p>
              </w:tc>
              <w:tc>
                <w:tcPr>
                  <w:tcW w:w="3543" w:type="dxa"/>
                  <w:tcBorders>
                    <w:top w:val="single" w:color="auto" w:sz="4" w:space="0"/>
                    <w:left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bCs/>
                      <w:color w:val="000000"/>
                      <w:sz w:val="21"/>
                      <w:szCs w:val="21"/>
                    </w:rPr>
                  </w:pPr>
                  <w:r>
                    <w:rPr>
                      <w:rFonts w:ascii="Times New Roman" w:hAnsi="Times New Roman"/>
                      <w:bCs/>
                      <w:color w:val="000000"/>
                      <w:sz w:val="21"/>
                      <w:szCs w:val="21"/>
                    </w:rPr>
                    <w:t>本项目为新建项目，厂区内不建设、无自备燃煤锅炉。</w:t>
                  </w:r>
                </w:p>
              </w:tc>
              <w:tc>
                <w:tcPr>
                  <w:tcW w:w="502" w:type="dxa"/>
                  <w:tcBorders>
                    <w:top w:val="single" w:color="auto" w:sz="4" w:space="0"/>
                    <w:left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709" w:type="dxa"/>
                  <w:vMerge w:val="continue"/>
                  <w:tcBorders>
                    <w:left w:val="nil"/>
                    <w:right w:val="single" w:color="auto" w:sz="4" w:space="0"/>
                  </w:tcBorders>
                  <w:vAlign w:val="center"/>
                </w:tcPr>
                <w:p>
                  <w:pPr>
                    <w:widowControl/>
                    <w:jc w:val="left"/>
                    <w:rPr>
                      <w:color w:val="000000"/>
                      <w:kern w:val="0"/>
                      <w:szCs w:val="21"/>
                    </w:rPr>
                  </w:pPr>
                </w:p>
              </w:tc>
              <w:tc>
                <w:tcPr>
                  <w:tcW w:w="709" w:type="dxa"/>
                  <w:vMerge w:val="continue"/>
                  <w:tcBorders>
                    <w:left w:val="nil"/>
                    <w:right w:val="single" w:color="auto" w:sz="4" w:space="0"/>
                  </w:tcBorders>
                  <w:vAlign w:val="center"/>
                </w:tcPr>
                <w:p>
                  <w:pPr>
                    <w:widowControl/>
                    <w:jc w:val="left"/>
                    <w:rPr>
                      <w:color w:val="000000"/>
                      <w:kern w:val="0"/>
                      <w:szCs w:val="21"/>
                    </w:rPr>
                  </w:pPr>
                </w:p>
              </w:tc>
              <w:tc>
                <w:tcPr>
                  <w:tcW w:w="850" w:type="dxa"/>
                  <w:vMerge w:val="continue"/>
                  <w:tcBorders>
                    <w:left w:val="single" w:color="auto" w:sz="4" w:space="0"/>
                    <w:right w:val="single" w:color="auto" w:sz="4" w:space="0"/>
                  </w:tcBorders>
                  <w:vAlign w:val="center"/>
                </w:tcPr>
                <w:p>
                  <w:pPr>
                    <w:widowControl/>
                    <w:jc w:val="left"/>
                    <w:rPr>
                      <w:bCs/>
                      <w:color w:val="000000"/>
                      <w:kern w:val="0"/>
                      <w:szCs w:val="21"/>
                    </w:rPr>
                  </w:pPr>
                </w:p>
              </w:tc>
              <w:tc>
                <w:tcPr>
                  <w:tcW w:w="576" w:type="dxa"/>
                  <w:vMerge w:val="continue"/>
                  <w:tcBorders>
                    <w:left w:val="single" w:color="auto" w:sz="4" w:space="0"/>
                    <w:right w:val="single" w:color="auto" w:sz="4" w:space="0"/>
                  </w:tcBorders>
                  <w:vAlign w:val="center"/>
                </w:tcPr>
                <w:p>
                  <w:pPr>
                    <w:widowControl/>
                    <w:jc w:val="left"/>
                    <w:rPr>
                      <w:bCs/>
                      <w:color w:val="000000"/>
                      <w:kern w:val="0"/>
                      <w:szCs w:val="21"/>
                    </w:rPr>
                  </w:pPr>
                </w:p>
              </w:tc>
              <w:tc>
                <w:tcPr>
                  <w:tcW w:w="593" w:type="dxa"/>
                  <w:vMerge w:val="continue"/>
                  <w:tcBorders>
                    <w:left w:val="single" w:color="auto" w:sz="4" w:space="0"/>
                    <w:right w:val="single" w:color="auto" w:sz="4" w:space="0"/>
                  </w:tcBorders>
                  <w:tcMar>
                    <w:top w:w="0" w:type="dxa"/>
                    <w:left w:w="28" w:type="dxa"/>
                    <w:bottom w:w="0" w:type="dxa"/>
                    <w:right w:w="28" w:type="dxa"/>
                  </w:tcMar>
                  <w:vAlign w:val="center"/>
                </w:tcPr>
                <w:p>
                  <w:pPr>
                    <w:pStyle w:val="17"/>
                    <w:jc w:val="center"/>
                    <w:outlineLvl w:val="0"/>
                    <w:rPr>
                      <w:rFonts w:ascii="Times New Roman" w:hAnsi="Times New Roman"/>
                      <w:sz w:val="21"/>
                      <w:szCs w:val="21"/>
                    </w:rPr>
                  </w:pPr>
                </w:p>
              </w:tc>
              <w:tc>
                <w:tcPr>
                  <w:tcW w:w="595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2、尽快实现集聚区集中供水，逐步关停企业自备水井。</w:t>
                  </w:r>
                </w:p>
              </w:tc>
              <w:tc>
                <w:tcPr>
                  <w:tcW w:w="3543" w:type="dxa"/>
                  <w:tcBorders>
                    <w:left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bCs/>
                      <w:color w:val="000000"/>
                      <w:sz w:val="21"/>
                      <w:szCs w:val="21"/>
                    </w:rPr>
                  </w:pPr>
                  <w:r>
                    <w:rPr>
                      <w:rFonts w:ascii="Times New Roman" w:hAnsi="Times New Roman"/>
                      <w:bCs/>
                      <w:color w:val="000000"/>
                      <w:sz w:val="21"/>
                      <w:szCs w:val="21"/>
                    </w:rPr>
                    <w:t>本项目用水为集聚区统一供给不自备水井</w:t>
                  </w:r>
                </w:p>
              </w:tc>
              <w:tc>
                <w:tcPr>
                  <w:tcW w:w="502" w:type="dxa"/>
                  <w:tcBorders>
                    <w:left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709" w:type="dxa"/>
                  <w:vMerge w:val="continue"/>
                  <w:tcBorders>
                    <w:left w:val="nil"/>
                    <w:bottom w:val="single" w:color="auto" w:sz="4" w:space="0"/>
                    <w:right w:val="single" w:color="auto" w:sz="4" w:space="0"/>
                  </w:tcBorders>
                  <w:vAlign w:val="center"/>
                </w:tcPr>
                <w:p>
                  <w:pPr>
                    <w:widowControl/>
                    <w:jc w:val="left"/>
                    <w:rPr>
                      <w:color w:val="000000"/>
                      <w:kern w:val="0"/>
                      <w:szCs w:val="21"/>
                    </w:rPr>
                  </w:pPr>
                </w:p>
              </w:tc>
              <w:tc>
                <w:tcPr>
                  <w:tcW w:w="709" w:type="dxa"/>
                  <w:vMerge w:val="continue"/>
                  <w:tcBorders>
                    <w:left w:val="nil"/>
                    <w:bottom w:val="single" w:color="auto" w:sz="4" w:space="0"/>
                    <w:right w:val="single" w:color="auto" w:sz="4" w:space="0"/>
                  </w:tcBorders>
                  <w:vAlign w:val="center"/>
                </w:tcPr>
                <w:p>
                  <w:pPr>
                    <w:widowControl/>
                    <w:jc w:val="left"/>
                    <w:rPr>
                      <w:color w:val="000000"/>
                      <w:kern w:val="0"/>
                      <w:szCs w:val="21"/>
                    </w:rPr>
                  </w:pPr>
                </w:p>
              </w:tc>
              <w:tc>
                <w:tcPr>
                  <w:tcW w:w="850" w:type="dxa"/>
                  <w:vMerge w:val="continue"/>
                  <w:tcBorders>
                    <w:left w:val="single" w:color="auto" w:sz="4" w:space="0"/>
                    <w:bottom w:val="single" w:color="auto" w:sz="4" w:space="0"/>
                    <w:right w:val="single" w:color="auto" w:sz="4" w:space="0"/>
                  </w:tcBorders>
                  <w:vAlign w:val="center"/>
                </w:tcPr>
                <w:p>
                  <w:pPr>
                    <w:widowControl/>
                    <w:jc w:val="left"/>
                    <w:rPr>
                      <w:bCs/>
                      <w:color w:val="000000"/>
                      <w:kern w:val="0"/>
                      <w:szCs w:val="21"/>
                    </w:rPr>
                  </w:pPr>
                </w:p>
              </w:tc>
              <w:tc>
                <w:tcPr>
                  <w:tcW w:w="576" w:type="dxa"/>
                  <w:vMerge w:val="continue"/>
                  <w:tcBorders>
                    <w:left w:val="single" w:color="auto" w:sz="4" w:space="0"/>
                    <w:bottom w:val="single" w:color="auto" w:sz="4" w:space="0"/>
                    <w:right w:val="single" w:color="auto" w:sz="4" w:space="0"/>
                  </w:tcBorders>
                  <w:vAlign w:val="center"/>
                </w:tcPr>
                <w:p>
                  <w:pPr>
                    <w:widowControl/>
                    <w:jc w:val="left"/>
                    <w:rPr>
                      <w:bCs/>
                      <w:color w:val="000000"/>
                      <w:kern w:val="0"/>
                      <w:szCs w:val="21"/>
                    </w:rPr>
                  </w:pPr>
                </w:p>
              </w:tc>
              <w:tc>
                <w:tcPr>
                  <w:tcW w:w="593" w:type="dxa"/>
                  <w:vMerge w:val="continue"/>
                  <w:tcBorders>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center"/>
                    <w:outlineLvl w:val="0"/>
                    <w:rPr>
                      <w:rFonts w:ascii="Times New Roman" w:hAnsi="Times New Roman"/>
                      <w:sz w:val="21"/>
                      <w:szCs w:val="21"/>
                    </w:rPr>
                  </w:pPr>
                </w:p>
              </w:tc>
              <w:tc>
                <w:tcPr>
                  <w:tcW w:w="595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3、抓紧实施中水回用工程，完善配套中水回用管网。</w:t>
                  </w:r>
                </w:p>
              </w:tc>
              <w:tc>
                <w:tcPr>
                  <w:tcW w:w="3543" w:type="dxa"/>
                  <w:tcBorders>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本项目不涉及</w:t>
                  </w:r>
                </w:p>
              </w:tc>
              <w:tc>
                <w:tcPr>
                  <w:tcW w:w="502" w:type="dxa"/>
                  <w:tcBorders>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hint="eastAsia" w:ascii="Times New Roman" w:hAnsi="Times New Roman"/>
                      <w:color w:val="000000"/>
                      <w:sz w:val="21"/>
                      <w:szCs w:val="21"/>
                    </w:rPr>
                    <w:t>不涉及</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436" w:type="dxa"/>
                  <w:gridSpan w:val="8"/>
                  <w:tcBorders>
                    <w:top w:val="single" w:color="auto" w:sz="4" w:space="0"/>
                    <w:left w:val="nil"/>
                    <w:bottom w:val="single" w:color="auto" w:sz="8" w:space="0"/>
                    <w:right w:val="nil"/>
                  </w:tcBorders>
                  <w:tcMar>
                    <w:top w:w="0" w:type="dxa"/>
                    <w:left w:w="28" w:type="dxa"/>
                    <w:bottom w:w="0" w:type="dxa"/>
                    <w:right w:w="28" w:type="dxa"/>
                  </w:tcMar>
                  <w:vAlign w:val="center"/>
                </w:tcPr>
                <w:p>
                  <w:pPr>
                    <w:pStyle w:val="17"/>
                    <w:spacing w:before="0" w:beforeAutospacing="0" w:after="0" w:afterAutospacing="0"/>
                    <w:jc w:val="both"/>
                    <w:outlineLvl w:val="0"/>
                    <w:rPr>
                      <w:rFonts w:ascii="Times New Roman" w:hAnsi="Times New Roman"/>
                      <w:color w:val="000000"/>
                      <w:sz w:val="21"/>
                      <w:szCs w:val="21"/>
                    </w:rPr>
                  </w:pPr>
                  <w:r>
                    <w:rPr>
                      <w:rFonts w:ascii="Times New Roman" w:hAnsi="Times New Roman" w:eastAsia="黑体"/>
                      <w:bCs/>
                      <w:color w:val="000000"/>
                      <w:sz w:val="21"/>
                      <w:szCs w:val="21"/>
                    </w:rPr>
                    <w:t>注：*本项目仅对与项目建设内容有关的总体要求进行对比分析。</w:t>
                  </w:r>
                </w:p>
              </w:tc>
            </w:tr>
          </w:tbl>
          <w:p>
            <w:pPr>
              <w:autoSpaceDE w:val="0"/>
              <w:autoSpaceDN w:val="0"/>
              <w:adjustRightInd w:val="0"/>
              <w:snapToGrid w:val="0"/>
              <w:spacing w:line="460" w:lineRule="exact"/>
              <w:ind w:firstLine="480" w:firstLineChars="200"/>
              <w:rPr>
                <w:color w:val="000000"/>
                <w:sz w:val="24"/>
              </w:rPr>
            </w:pPr>
            <w:r>
              <w:rPr>
                <w:color w:val="000000"/>
                <w:sz w:val="24"/>
              </w:rPr>
              <w:t>由上表可知，本项目符合《新乡市“三线一单”生态环境准入清单（试行）-新乡经济技术产业集聚区环境管控单元生态环境准入清单》中的相关要求。</w:t>
            </w:r>
          </w:p>
          <w:p>
            <w:pPr>
              <w:spacing w:line="460" w:lineRule="exact"/>
              <w:ind w:firstLine="480" w:firstLineChars="200"/>
              <w:rPr>
                <w:rFonts w:eastAsia="黑体"/>
                <w:color w:val="000000"/>
                <w:sz w:val="24"/>
              </w:rPr>
            </w:pPr>
            <w:r>
              <w:rPr>
                <w:rFonts w:eastAsia="黑体"/>
                <w:color w:val="000000"/>
                <w:sz w:val="24"/>
              </w:rPr>
              <w:t>表10                                本项目与《总体要求》对比分析一览表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67"/>
              <w:gridCol w:w="709"/>
              <w:gridCol w:w="6553"/>
              <w:gridCol w:w="5105"/>
              <w:gridCol w:w="50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29" w:type="dxa"/>
                  <w:gridSpan w:val="3"/>
                  <w:tcBorders>
                    <w:top w:val="single" w:color="auto" w:sz="8" w:space="0"/>
                    <w:left w:val="nil"/>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b/>
                      <w:color w:val="000000"/>
                      <w:sz w:val="21"/>
                      <w:szCs w:val="21"/>
                    </w:rPr>
                  </w:pPr>
                  <w:r>
                    <w:rPr>
                      <w:rFonts w:ascii="Times New Roman" w:hAnsi="Times New Roman"/>
                      <w:b/>
                      <w:color w:val="000000"/>
                      <w:sz w:val="21"/>
                      <w:szCs w:val="21"/>
                    </w:rPr>
                    <w:t>总体准入要求</w:t>
                  </w:r>
                </w:p>
              </w:tc>
              <w:tc>
                <w:tcPr>
                  <w:tcW w:w="5105"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b/>
                      <w:color w:val="000000"/>
                      <w:sz w:val="21"/>
                      <w:szCs w:val="21"/>
                    </w:rPr>
                  </w:pPr>
                  <w:r>
                    <w:rPr>
                      <w:rFonts w:ascii="Times New Roman" w:hAnsi="Times New Roman"/>
                      <w:b/>
                      <w:color w:val="000000"/>
                      <w:sz w:val="21"/>
                      <w:szCs w:val="21"/>
                    </w:rPr>
                    <w:t>本项目情况</w:t>
                  </w:r>
                </w:p>
              </w:tc>
              <w:tc>
                <w:tcPr>
                  <w:tcW w:w="502" w:type="dxa"/>
                  <w:tcBorders>
                    <w:top w:val="single" w:color="auto" w:sz="8"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b/>
                      <w:color w:val="000000"/>
                      <w:sz w:val="21"/>
                      <w:szCs w:val="21"/>
                    </w:rPr>
                  </w:pPr>
                  <w:r>
                    <w:rPr>
                      <w:rFonts w:ascii="Times New Roman" w:hAnsi="Times New Roman"/>
                      <w:b/>
                      <w:color w:val="000000"/>
                      <w:sz w:val="21"/>
                      <w:szCs w:val="21"/>
                    </w:rPr>
                    <w:t>是否符合要求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7" w:type="dxa"/>
                  <w:vMerge w:val="restar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产业发展</w:t>
                  </w:r>
                </w:p>
              </w:tc>
              <w:tc>
                <w:tcPr>
                  <w:tcW w:w="709"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通用</w:t>
                  </w:r>
                </w:p>
              </w:tc>
              <w:tc>
                <w:tcPr>
                  <w:tcW w:w="65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color w:val="000000"/>
                      <w:sz w:val="21"/>
                      <w:szCs w:val="21"/>
                    </w:rPr>
                  </w:pPr>
                  <w:r>
                    <w:rPr>
                      <w:rFonts w:ascii="Times New Roman" w:hAnsi="Times New Roman"/>
                      <w:color w:val="000000"/>
                      <w:sz w:val="21"/>
                      <w:szCs w:val="21"/>
                    </w:rPr>
                    <w:t>1.禁止新改扩建《产业结构调整指导目录（2019年本）》明确的淘汰类项目；禁止引入《市场准入负面清单（2020年版）》禁止准入类事项。</w:t>
                  </w:r>
                </w:p>
              </w:tc>
              <w:tc>
                <w:tcPr>
                  <w:tcW w:w="510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本项目为新建项目，经查阅</w:t>
                  </w:r>
                  <w:r>
                    <w:rPr>
                      <w:rFonts w:ascii="Times New Roman" w:hAnsi="Times New Roman"/>
                      <w:color w:val="000000"/>
                      <w:sz w:val="21"/>
                      <w:szCs w:val="21"/>
                    </w:rPr>
                    <w:t>《产业结构调整指导目录（2019年本）》</w:t>
                  </w:r>
                  <w:r>
                    <w:rPr>
                      <w:rFonts w:hint="eastAsia" w:ascii="Times New Roman" w:hAnsi="Times New Roman"/>
                      <w:color w:val="000000"/>
                      <w:sz w:val="21"/>
                      <w:szCs w:val="21"/>
                    </w:rPr>
                    <w:t>及其修改文件</w:t>
                  </w:r>
                  <w:r>
                    <w:rPr>
                      <w:rFonts w:ascii="Times New Roman" w:hAnsi="Times New Roman"/>
                      <w:color w:val="000000"/>
                      <w:sz w:val="21"/>
                      <w:szCs w:val="21"/>
                    </w:rPr>
                    <w:t>，本项目属于第一类鼓励类三十一、科技服务业第1条（工业设计、气象、生物、新材料、新能源、节能、环保、测绘、海洋等专业科技服务，标准化服务、计量测试、质量认证和检验检测服务、科技普及），属于鼓励类项目，本项目不属于《市场准入负面清单（2020年版）》禁止准入类事项。</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7" w:type="dxa"/>
                  <w:vMerge w:val="continue"/>
                  <w:tcBorders>
                    <w:top w:val="single" w:color="auto" w:sz="4" w:space="0"/>
                    <w:left w:val="nil"/>
                    <w:bottom w:val="single" w:color="auto" w:sz="4" w:space="0"/>
                    <w:right w:val="single" w:color="auto" w:sz="4" w:space="0"/>
                  </w:tcBorders>
                  <w:vAlign w:val="center"/>
                </w:tcPr>
                <w:p>
                  <w:pPr>
                    <w:widowControl/>
                    <w:jc w:val="left"/>
                    <w:rPr>
                      <w:color w:val="000000"/>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65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color w:val="000000"/>
                      <w:sz w:val="21"/>
                      <w:szCs w:val="21"/>
                    </w:rPr>
                  </w:pPr>
                  <w:r>
                    <w:rPr>
                      <w:rFonts w:ascii="Times New Roman" w:hAnsi="Times New Roman"/>
                      <w:color w:val="000000"/>
                      <w:sz w:val="21"/>
                      <w:szCs w:val="21"/>
                    </w:rPr>
                    <w:t>2.重点区域严禁新增钢铁、焦化、水泥熟料、平板玻璃、电解铝、氧化铝、煤化工产能，严控新增炼油产能；禁止建设生产和使用高VOCs含量的溶剂型涂料、油墨、胶粘剂等项目；全面取缔露天和敞开式喷涂作业；重点区域原则上禁止新建露天矿山建设项目。</w:t>
                  </w:r>
                </w:p>
              </w:tc>
              <w:tc>
                <w:tcPr>
                  <w:tcW w:w="510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本项目为新建项目，为</w:t>
                  </w:r>
                  <w:r>
                    <w:rPr>
                      <w:rFonts w:hint="eastAsia" w:ascii="Times New Roman" w:hAnsi="Times New Roman"/>
                      <w:sz w:val="21"/>
                      <w:szCs w:val="21"/>
                    </w:rPr>
                    <w:t>检测服务业，不涉及高</w:t>
                  </w:r>
                  <w:r>
                    <w:rPr>
                      <w:rFonts w:ascii="Times New Roman" w:hAnsi="Times New Roman"/>
                      <w:color w:val="000000"/>
                      <w:sz w:val="21"/>
                      <w:szCs w:val="21"/>
                    </w:rPr>
                    <w:t>VOCs含量溶剂型涂料、油墨、胶粘剂</w:t>
                  </w:r>
                  <w:r>
                    <w:rPr>
                      <w:rFonts w:ascii="Times New Roman" w:hAnsi="Times New Roman"/>
                      <w:sz w:val="21"/>
                      <w:szCs w:val="21"/>
                    </w:rPr>
                    <w:t>。</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7" w:type="dxa"/>
                  <w:vMerge w:val="continue"/>
                  <w:tcBorders>
                    <w:top w:val="single" w:color="auto" w:sz="4" w:space="0"/>
                    <w:left w:val="nil"/>
                    <w:bottom w:val="single" w:color="auto" w:sz="4" w:space="0"/>
                    <w:right w:val="single" w:color="auto" w:sz="4" w:space="0"/>
                  </w:tcBorders>
                  <w:vAlign w:val="center"/>
                </w:tcPr>
                <w:p>
                  <w:pPr>
                    <w:widowControl/>
                    <w:jc w:val="left"/>
                    <w:rPr>
                      <w:color w:val="000000"/>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65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color w:val="000000"/>
                      <w:sz w:val="21"/>
                      <w:szCs w:val="21"/>
                    </w:rPr>
                  </w:pPr>
                  <w:r>
                    <w:rPr>
                      <w:rFonts w:ascii="Times New Roman" w:hAnsi="Times New Roman"/>
                      <w:color w:val="000000"/>
                      <w:sz w:val="21"/>
                      <w:szCs w:val="21"/>
                    </w:rPr>
                    <w:t>3.严把“两高”项目生态环境准入关，严格限制“两高”项目盲目发展。新改扩建“两高”项目须符合生态环境保护法律法规和相关法定规划，符合产业政策、国土空间规划、“三线一单”、能耗“双控”、煤炭消费减量替代、碳排放强度、污染物区域削减替代等约束性要求，按照《河南省淘汰落后产能综合标准体系（2020年本）》，严格执行能耗、环保、质量、安全、技术等法规标准。</w:t>
                  </w:r>
                </w:p>
              </w:tc>
              <w:tc>
                <w:tcPr>
                  <w:tcW w:w="510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本项目为新建项目，不属于</w:t>
                  </w:r>
                  <w:r>
                    <w:rPr>
                      <w:rFonts w:hint="eastAsia" w:ascii="Times New Roman" w:hAnsi="Times New Roman"/>
                      <w:bCs/>
                      <w:color w:val="000000"/>
                      <w:sz w:val="21"/>
                      <w:szCs w:val="21"/>
                    </w:rPr>
                    <w:t>“</w:t>
                  </w:r>
                  <w:r>
                    <w:rPr>
                      <w:rFonts w:ascii="Times New Roman" w:hAnsi="Times New Roman"/>
                      <w:bCs/>
                      <w:color w:val="000000"/>
                      <w:sz w:val="21"/>
                      <w:szCs w:val="21"/>
                    </w:rPr>
                    <w:t>两高</w:t>
                  </w:r>
                  <w:r>
                    <w:rPr>
                      <w:rFonts w:hint="eastAsia" w:ascii="Times New Roman" w:hAnsi="Times New Roman"/>
                      <w:bCs/>
                      <w:color w:val="000000"/>
                      <w:sz w:val="21"/>
                      <w:szCs w:val="21"/>
                    </w:rPr>
                    <w:t>”</w:t>
                  </w:r>
                  <w:r>
                    <w:rPr>
                      <w:rFonts w:ascii="Times New Roman" w:hAnsi="Times New Roman"/>
                      <w:sz w:val="21"/>
                      <w:szCs w:val="21"/>
                    </w:rPr>
                    <w:t>项目。</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7" w:type="dxa"/>
                  <w:vMerge w:val="restar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大气生态环境</w:t>
                  </w:r>
                </w:p>
              </w:tc>
              <w:tc>
                <w:tcPr>
                  <w:tcW w:w="70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空间布局约束</w:t>
                  </w:r>
                </w:p>
              </w:tc>
              <w:tc>
                <w:tcPr>
                  <w:tcW w:w="65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color w:val="000000"/>
                      <w:sz w:val="21"/>
                      <w:szCs w:val="21"/>
                    </w:rPr>
                  </w:pPr>
                  <w:r>
                    <w:rPr>
                      <w:rFonts w:ascii="Times New Roman" w:hAnsi="Times New Roman"/>
                      <w:color w:val="000000"/>
                      <w:sz w:val="21"/>
                      <w:szCs w:val="21"/>
                    </w:rPr>
                    <w:t>1.不符合城市建设规划、行业发展规划、生态环境功能定位的重点污染企业退出城市建成区；城市建成区、人群密集区的重污染企业和危险化学品等环境风险大的企业搬迁改造、关停退出；重点地区要严格限制石化、化工、包装印刷、工业涂装等高VOCs排放建设项目；新建涉VOCs排放的工业企业要入园区；实行区域内VOCs排放等量或倍量削减替代。</w:t>
                  </w:r>
                </w:p>
              </w:tc>
              <w:tc>
                <w:tcPr>
                  <w:tcW w:w="510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本项目位于河南省新乡经济开发区107国道与胡韦线交汇处A3地块，属于新乡经济技术产业集聚区南区纸制品印刷包装产业园，为检测服务业项目，本项目</w:t>
                  </w:r>
                  <w:r>
                    <w:rPr>
                      <w:rFonts w:ascii="Times New Roman" w:hAnsi="Times New Roman"/>
                      <w:color w:val="000000"/>
                      <w:sz w:val="21"/>
                      <w:szCs w:val="21"/>
                    </w:rPr>
                    <w:t>VOCs排放量实行区域内倍量削减替代。</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7" w:type="dxa"/>
                  <w:vMerge w:val="continue"/>
                  <w:tcBorders>
                    <w:top w:val="single" w:color="auto" w:sz="4" w:space="0"/>
                    <w:left w:val="nil"/>
                    <w:bottom w:val="single" w:color="auto" w:sz="4" w:space="0"/>
                    <w:right w:val="single" w:color="auto" w:sz="4" w:space="0"/>
                  </w:tcBorders>
                  <w:vAlign w:val="center"/>
                </w:tcPr>
                <w:p>
                  <w:pPr>
                    <w:widowControl/>
                    <w:jc w:val="left"/>
                    <w:rPr>
                      <w:color w:val="000000"/>
                      <w:kern w:val="0"/>
                      <w:szCs w:val="21"/>
                    </w:rPr>
                  </w:pPr>
                </w:p>
              </w:tc>
              <w:tc>
                <w:tcPr>
                  <w:tcW w:w="709"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污染物排放管控</w:t>
                  </w:r>
                </w:p>
              </w:tc>
              <w:tc>
                <w:tcPr>
                  <w:tcW w:w="65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color w:val="000000"/>
                      <w:sz w:val="21"/>
                      <w:szCs w:val="21"/>
                    </w:rPr>
                  </w:pPr>
                  <w:r>
                    <w:rPr>
                      <w:rFonts w:ascii="Times New Roman" w:hAnsi="Times New Roman"/>
                      <w:color w:val="000000"/>
                      <w:sz w:val="21"/>
                      <w:szCs w:val="21"/>
                    </w:rPr>
                    <w:t>1.实施工业低碳行动。推进钢铁、水泥、铝加工、平板玻璃、煤化工、煤电、有色金属等产业绿色、减量、提质发展，开展全流程清洁化、循环化、低碳化改造，加快建设绿色制造体系；对具有一定规模、符合条件的钢铁企业实施超低排放改造；煤化工企业全面完成VOCs治理；水泥企业生产工序达到超低排放标准。</w:t>
                  </w:r>
                </w:p>
              </w:tc>
              <w:tc>
                <w:tcPr>
                  <w:tcW w:w="510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本项目为检测服务项目</w:t>
                  </w:r>
                  <w:r>
                    <w:rPr>
                      <w:rFonts w:hint="eastAsia" w:ascii="Times New Roman" w:hAnsi="Times New Roman"/>
                      <w:sz w:val="21"/>
                      <w:szCs w:val="21"/>
                    </w:rPr>
                    <w:t>，不属于高耗能项目，不涉及燃煤锅炉，不属于高碳排放项目</w:t>
                  </w:r>
                  <w:r>
                    <w:rPr>
                      <w:rFonts w:ascii="Times New Roman" w:hAnsi="Times New Roman"/>
                      <w:sz w:val="21"/>
                      <w:szCs w:val="21"/>
                    </w:rPr>
                    <w:t>。</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7" w:type="dxa"/>
                  <w:vMerge w:val="continue"/>
                  <w:tcBorders>
                    <w:top w:val="single" w:color="auto" w:sz="4" w:space="0"/>
                    <w:left w:val="nil"/>
                    <w:bottom w:val="single" w:color="auto" w:sz="4" w:space="0"/>
                    <w:right w:val="single" w:color="auto" w:sz="4" w:space="0"/>
                  </w:tcBorders>
                  <w:vAlign w:val="center"/>
                </w:tcPr>
                <w:p>
                  <w:pPr>
                    <w:widowControl/>
                    <w:jc w:val="left"/>
                    <w:rPr>
                      <w:color w:val="000000"/>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65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color w:val="000000"/>
                      <w:sz w:val="21"/>
                      <w:szCs w:val="21"/>
                    </w:rPr>
                  </w:pPr>
                  <w:r>
                    <w:rPr>
                      <w:rFonts w:ascii="Times New Roman" w:hAnsi="Times New Roman"/>
                      <w:color w:val="000000"/>
                      <w:sz w:val="21"/>
                      <w:szCs w:val="21"/>
                    </w:rPr>
                    <w:t>2.重点行业二氧化硫、氮氧化物、颗粒物、VOCs全面执行大气污染物特别排放限值；综合整治VOCs排放，新改扩建涉VOCs排放项目，应加强废气收集，安装高效治理设施；对确有必要新建或改造升级的高端铸造建设项目，原则上应使用天然气或电力等清洁能源；所有产生颗粒物或VOCs的工序应配备高效收集和处理装置；县级以上建成区餐饮企业全部安装油烟净化设施并符合河南省《餐饮业油烟污染物排放标准》（DB41/1604-2018）。</w:t>
                  </w:r>
                </w:p>
              </w:tc>
              <w:tc>
                <w:tcPr>
                  <w:tcW w:w="510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本项目为检测服务项目。不属于重点行业，本项目涉及的</w:t>
                  </w:r>
                  <w:r>
                    <w:rPr>
                      <w:rFonts w:hint="eastAsia" w:ascii="Times New Roman" w:hAnsi="Times New Roman"/>
                      <w:sz w:val="21"/>
                      <w:szCs w:val="21"/>
                    </w:rPr>
                    <w:t>氮氧化物、</w:t>
                  </w:r>
                  <w:r>
                    <w:rPr>
                      <w:rFonts w:ascii="Times New Roman" w:hAnsi="Times New Roman"/>
                      <w:sz w:val="21"/>
                      <w:szCs w:val="21"/>
                    </w:rPr>
                    <w:t>VOCs污染物执行大气污染物特别排放限制；本项目产生的VOCs经通风橱</w:t>
                  </w:r>
                  <w:r>
                    <w:rPr>
                      <w:rFonts w:hint="eastAsia" w:ascii="Times New Roman" w:hAnsi="Times New Roman"/>
                      <w:sz w:val="21"/>
                      <w:szCs w:val="21"/>
                    </w:rPr>
                    <w:t>和万向</w:t>
                  </w:r>
                  <w:r>
                    <w:rPr>
                      <w:rFonts w:ascii="Times New Roman" w:hAnsi="Times New Roman"/>
                      <w:sz w:val="21"/>
                      <w:szCs w:val="21"/>
                    </w:rPr>
                    <w:t>集气罩收集后经</w:t>
                  </w:r>
                  <w:r>
                    <w:rPr>
                      <w:rFonts w:hint="eastAsia" w:ascii="Times New Roman" w:hAnsi="Times New Roman"/>
                      <w:sz w:val="21"/>
                      <w:szCs w:val="21"/>
                    </w:rPr>
                    <w:t>“水喷淋塔</w:t>
                  </w:r>
                  <w:r>
                    <w:rPr>
                      <w:rFonts w:ascii="Times New Roman" w:hAnsi="Times New Roman"/>
                      <w:sz w:val="21"/>
                      <w:szCs w:val="21"/>
                    </w:rPr>
                    <w:t>+除雾器+UV光催化氧化+活性炭吸附装置</w:t>
                  </w:r>
                  <w:r>
                    <w:rPr>
                      <w:rFonts w:hint="eastAsia" w:ascii="Times New Roman" w:hAnsi="Times New Roman"/>
                      <w:sz w:val="21"/>
                      <w:szCs w:val="21"/>
                    </w:rPr>
                    <w:t>”</w:t>
                  </w:r>
                  <w:r>
                    <w:rPr>
                      <w:rFonts w:ascii="Times New Roman" w:hAnsi="Times New Roman"/>
                      <w:sz w:val="21"/>
                      <w:szCs w:val="21"/>
                    </w:rPr>
                    <w:t>处理后经1根15高排气筒排放。</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7" w:type="dxa"/>
                  <w:vMerge w:val="continue"/>
                  <w:tcBorders>
                    <w:top w:val="single" w:color="auto" w:sz="4" w:space="0"/>
                    <w:left w:val="nil"/>
                    <w:bottom w:val="single" w:color="auto" w:sz="4" w:space="0"/>
                    <w:right w:val="single" w:color="auto" w:sz="4" w:space="0"/>
                  </w:tcBorders>
                  <w:vAlign w:val="center"/>
                </w:tcPr>
                <w:p>
                  <w:pPr>
                    <w:widowControl/>
                    <w:jc w:val="left"/>
                    <w:rPr>
                      <w:color w:val="000000"/>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65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color w:val="000000"/>
                      <w:sz w:val="21"/>
                      <w:szCs w:val="21"/>
                    </w:rPr>
                  </w:pPr>
                  <w:r>
                    <w:rPr>
                      <w:rFonts w:ascii="Times New Roman" w:hAnsi="Times New Roman"/>
                      <w:color w:val="000000"/>
                      <w:sz w:val="21"/>
                      <w:szCs w:val="21"/>
                    </w:rPr>
                    <w:t>3.强化项目环评及“三同时”管理，国家、省绩效分级重点行业的新改扩建项目达到B级以上要求。</w:t>
                  </w:r>
                </w:p>
              </w:tc>
              <w:tc>
                <w:tcPr>
                  <w:tcW w:w="510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color w:val="000000"/>
                      <w:sz w:val="21"/>
                      <w:szCs w:val="21"/>
                    </w:rPr>
                  </w:pPr>
                  <w:r>
                    <w:rPr>
                      <w:rFonts w:ascii="Times New Roman" w:hAnsi="Times New Roman"/>
                      <w:color w:val="000000"/>
                      <w:sz w:val="21"/>
                      <w:szCs w:val="21"/>
                    </w:rPr>
                    <w:t>本项目属于新建项目，将严格按照要求进行环评及“三同时”建设，项目将按照《河南省重污染天气通用行业应急减排措施制定技术指南（2021年修订版）》中通用行业涉VOCs企业要求进行建设。</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7" w:type="dxa"/>
                  <w:vMerge w:val="continue"/>
                  <w:tcBorders>
                    <w:top w:val="single" w:color="auto" w:sz="4" w:space="0"/>
                    <w:left w:val="nil"/>
                    <w:bottom w:val="single" w:color="auto" w:sz="4" w:space="0"/>
                    <w:right w:val="single" w:color="auto" w:sz="4" w:space="0"/>
                  </w:tcBorders>
                  <w:vAlign w:val="center"/>
                </w:tcPr>
                <w:p>
                  <w:pPr>
                    <w:widowControl/>
                    <w:jc w:val="left"/>
                    <w:rPr>
                      <w:color w:val="000000"/>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65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color w:val="000000"/>
                      <w:sz w:val="21"/>
                      <w:szCs w:val="21"/>
                    </w:rPr>
                  </w:pPr>
                  <w:r>
                    <w:rPr>
                      <w:rFonts w:ascii="Times New Roman" w:hAnsi="Times New Roman"/>
                      <w:color w:val="000000"/>
                      <w:sz w:val="21"/>
                      <w:szCs w:val="21"/>
                    </w:rPr>
                    <w:t>4.鼓励工业炉窑使用电、天然气等清洁能源或由周边热电厂供热；大力推广优质能源替代民用散煤；农村地区综合推广使用生物质成型燃料、沼气、太阳能等清洁能源，减少散煤使用。</w:t>
                  </w:r>
                </w:p>
              </w:tc>
              <w:tc>
                <w:tcPr>
                  <w:tcW w:w="510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center"/>
                    <w:outlineLvl w:val="0"/>
                    <w:rPr>
                      <w:rFonts w:ascii="Times New Roman" w:hAnsi="Times New Roman"/>
                      <w:color w:val="000000"/>
                      <w:sz w:val="21"/>
                      <w:szCs w:val="21"/>
                    </w:rPr>
                  </w:pPr>
                  <w:r>
                    <w:rPr>
                      <w:rFonts w:ascii="Times New Roman" w:hAnsi="Times New Roman"/>
                      <w:color w:val="000000"/>
                      <w:sz w:val="21"/>
                      <w:szCs w:val="21"/>
                    </w:rPr>
                    <w:t>本项目使用的能源为电能，由集聚区统一供给，不涉及散煤</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7" w:type="dxa"/>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资源利用效率</w:t>
                  </w:r>
                </w:p>
              </w:tc>
              <w:tc>
                <w:tcPr>
                  <w:tcW w:w="70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能源</w:t>
                  </w:r>
                </w:p>
              </w:tc>
              <w:tc>
                <w:tcPr>
                  <w:tcW w:w="65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color w:val="000000"/>
                      <w:sz w:val="21"/>
                      <w:szCs w:val="21"/>
                    </w:rPr>
                  </w:pPr>
                  <w:r>
                    <w:rPr>
                      <w:rFonts w:ascii="Times New Roman" w:hAnsi="Times New Roman"/>
                      <w:color w:val="000000"/>
                      <w:sz w:val="21"/>
                      <w:szCs w:val="21"/>
                    </w:rPr>
                    <w:t>1.禁燃区内，鼓励有条件的工业窑炉开展煤改气、煤改电；鼓励符合条件的区域建设大型风电基地，因地制宜推动分散式风电开发；鼓励新型工业、高技术企业利用天然气，深入推进城镇天然气利用工程，扩大天然气利用规模和提升供气保障能力。</w:t>
                  </w:r>
                </w:p>
              </w:tc>
              <w:tc>
                <w:tcPr>
                  <w:tcW w:w="510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center"/>
                    <w:outlineLvl w:val="0"/>
                    <w:rPr>
                      <w:rFonts w:ascii="Times New Roman" w:hAnsi="Times New Roman"/>
                      <w:color w:val="000000"/>
                      <w:sz w:val="21"/>
                      <w:szCs w:val="21"/>
                    </w:rPr>
                  </w:pPr>
                  <w:r>
                    <w:rPr>
                      <w:rFonts w:ascii="Times New Roman" w:hAnsi="Times New Roman"/>
                      <w:color w:val="000000"/>
                      <w:sz w:val="21"/>
                      <w:szCs w:val="21"/>
                    </w:rPr>
                    <w:t>本项目使用能源为电能。</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7" w:type="dxa"/>
                  <w:vMerge w:val="restart"/>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重点区域大气生态环境</w:t>
                  </w:r>
                </w:p>
              </w:tc>
              <w:tc>
                <w:tcPr>
                  <w:tcW w:w="709"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“2+26”城市地区（郑州、开封、安阳、鹤壁、新乡、焦作、濮阳、济源示范区）</w:t>
                  </w:r>
                </w:p>
              </w:tc>
              <w:tc>
                <w:tcPr>
                  <w:tcW w:w="65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color w:val="000000"/>
                      <w:sz w:val="21"/>
                      <w:szCs w:val="21"/>
                    </w:rPr>
                  </w:pPr>
                  <w:r>
                    <w:rPr>
                      <w:rFonts w:ascii="Times New Roman" w:hAnsi="Times New Roman"/>
                      <w:color w:val="000000"/>
                      <w:sz w:val="21"/>
                      <w:szCs w:val="21"/>
                    </w:rPr>
                    <w:t>1.关停退出治理设施工艺落后、热效率低下、规模小、无组织排放突出的工业炉窑；清理整顿燃煤锅炉。</w:t>
                  </w:r>
                </w:p>
              </w:tc>
              <w:tc>
                <w:tcPr>
                  <w:tcW w:w="510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center"/>
                    <w:outlineLvl w:val="0"/>
                    <w:rPr>
                      <w:rFonts w:ascii="Times New Roman" w:hAnsi="Times New Roman"/>
                      <w:color w:val="000000"/>
                      <w:sz w:val="21"/>
                      <w:szCs w:val="21"/>
                    </w:rPr>
                  </w:pPr>
                  <w:r>
                    <w:rPr>
                      <w:rFonts w:ascii="Times New Roman" w:hAnsi="Times New Roman"/>
                      <w:color w:val="000000"/>
                      <w:sz w:val="21"/>
                      <w:szCs w:val="21"/>
                    </w:rPr>
                    <w:t>本项目不涉及</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hint="eastAsia" w:ascii="Times New Roman" w:hAnsi="Times New Roman"/>
                      <w:color w:val="000000"/>
                      <w:sz w:val="21"/>
                      <w:szCs w:val="21"/>
                    </w:rPr>
                    <w:t>不涉及</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7" w:type="dxa"/>
                  <w:vMerge w:val="continue"/>
                  <w:tcBorders>
                    <w:top w:val="single" w:color="auto" w:sz="4" w:space="0"/>
                    <w:left w:val="nil"/>
                    <w:bottom w:val="single" w:color="auto" w:sz="4" w:space="0"/>
                    <w:right w:val="single" w:color="auto" w:sz="4" w:space="0"/>
                  </w:tcBorders>
                  <w:vAlign w:val="center"/>
                </w:tcPr>
                <w:p>
                  <w:pPr>
                    <w:widowControl/>
                    <w:jc w:val="left"/>
                    <w:rPr>
                      <w:color w:val="000000"/>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65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color w:val="000000"/>
                      <w:sz w:val="21"/>
                      <w:szCs w:val="21"/>
                    </w:rPr>
                  </w:pPr>
                  <w:r>
                    <w:rPr>
                      <w:rFonts w:ascii="Times New Roman" w:hAnsi="Times New Roman"/>
                      <w:color w:val="000000"/>
                      <w:sz w:val="21"/>
                      <w:szCs w:val="21"/>
                    </w:rPr>
                    <w:t>2.强化电力、煤炭、钢铁、化工、有色、建材等重点行业煤炭消费减量措施，淘汰落后产能；全面落实超低排放要求、无组织排放特别控制要求。</w:t>
                  </w:r>
                </w:p>
              </w:tc>
              <w:tc>
                <w:tcPr>
                  <w:tcW w:w="510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本项目不属于电力、煤炭、钢铁、化工、有色、建材等行业；本项目将全面落实超低排放要求、无组织排放特别控制要求。</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7" w:type="dxa"/>
                  <w:vMerge w:val="continue"/>
                  <w:tcBorders>
                    <w:top w:val="single" w:color="auto" w:sz="4" w:space="0"/>
                    <w:left w:val="nil"/>
                    <w:bottom w:val="single" w:color="auto" w:sz="4" w:space="0"/>
                    <w:right w:val="single" w:color="auto" w:sz="4" w:space="0"/>
                  </w:tcBorders>
                  <w:vAlign w:val="center"/>
                </w:tcPr>
                <w:p>
                  <w:pPr>
                    <w:widowControl/>
                    <w:jc w:val="left"/>
                    <w:rPr>
                      <w:color w:val="000000"/>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65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color w:val="000000"/>
                      <w:sz w:val="21"/>
                      <w:szCs w:val="21"/>
                    </w:rPr>
                  </w:pPr>
                  <w:r>
                    <w:rPr>
                      <w:rFonts w:ascii="Times New Roman" w:hAnsi="Times New Roman"/>
                      <w:color w:val="000000"/>
                      <w:sz w:val="21"/>
                      <w:szCs w:val="21"/>
                    </w:rPr>
                    <w:t>3.严格执行火电、钢铁、石化、化工、有色、水泥行业以及工业锅炉等重点行业二氧化硫、氮氧化物、颗粒物、VOCs大气污染物特别排放限值，推进重点行业污染治理设施升级改造，强化施工扬尘污染治理。</w:t>
                  </w:r>
                </w:p>
              </w:tc>
              <w:tc>
                <w:tcPr>
                  <w:tcW w:w="510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sz w:val="21"/>
                      <w:szCs w:val="21"/>
                    </w:rPr>
                  </w:pPr>
                  <w:r>
                    <w:rPr>
                      <w:rFonts w:ascii="Times New Roman" w:hAnsi="Times New Roman"/>
                      <w:sz w:val="21"/>
                      <w:szCs w:val="21"/>
                    </w:rPr>
                    <w:t>本项目不属于火电、钢铁、石化、化工、有色、水泥行业以及工业锅炉等重点行业；本项目采用电力能源，污染物</w:t>
                  </w:r>
                  <w:r>
                    <w:rPr>
                      <w:rFonts w:hint="eastAsia" w:ascii="Times New Roman" w:hAnsi="Times New Roman"/>
                      <w:sz w:val="21"/>
                      <w:szCs w:val="21"/>
                    </w:rPr>
                    <w:t>氮氧化物、</w:t>
                  </w:r>
                  <w:r>
                    <w:rPr>
                      <w:rFonts w:ascii="Times New Roman" w:hAnsi="Times New Roman"/>
                      <w:sz w:val="21"/>
                      <w:szCs w:val="21"/>
                    </w:rPr>
                    <w:t>VOCs严格执行大气污染物特别排放限值；项目将按照《河南省重污染天气通用行业应急减排措施制定技术指南（2021年修订版）》中通用行业涉VOCs企业要求进行建设。</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ascii="Times New Roman" w:hAnsi="Times New Roman"/>
                      <w:color w:val="000000"/>
                      <w:sz w:val="21"/>
                      <w:szCs w:val="21"/>
                    </w:rP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7" w:type="dxa"/>
                  <w:vMerge w:val="continue"/>
                  <w:tcBorders>
                    <w:top w:val="single" w:color="auto" w:sz="4" w:space="0"/>
                    <w:left w:val="nil"/>
                    <w:bottom w:val="single" w:color="auto" w:sz="4" w:space="0"/>
                    <w:right w:val="single" w:color="auto" w:sz="4" w:space="0"/>
                  </w:tcBorders>
                  <w:vAlign w:val="center"/>
                </w:tcPr>
                <w:p>
                  <w:pPr>
                    <w:widowControl/>
                    <w:jc w:val="left"/>
                    <w:rPr>
                      <w:color w:val="000000"/>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65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color w:val="000000"/>
                      <w:sz w:val="21"/>
                      <w:szCs w:val="21"/>
                    </w:rPr>
                  </w:pPr>
                  <w:r>
                    <w:rPr>
                      <w:rFonts w:ascii="Times New Roman" w:hAnsi="Times New Roman"/>
                      <w:color w:val="000000"/>
                      <w:sz w:val="21"/>
                      <w:szCs w:val="21"/>
                    </w:rPr>
                    <w:t>4.推进燃气锅炉低氮改造，执行河南省《锅炉大气污染物排放标准》（DB41/2089-2021）；基本取缔燃煤热风炉，基本淘汰热电联产供热管网覆盖范围内的燃煤加热、烘干炉（窑）；淘汰炉膛直径3米以下燃料类煤气发生炉；集中使用煤气发生炉的工业园区，暂不具备改用天然气条件的，原则上应建设统一的清洁煤制气中心；禁止掺烧高硫石油焦。</w:t>
                  </w:r>
                </w:p>
              </w:tc>
              <w:tc>
                <w:tcPr>
                  <w:tcW w:w="510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center"/>
                    <w:outlineLvl w:val="0"/>
                    <w:rPr>
                      <w:rFonts w:ascii="Times New Roman" w:hAnsi="Times New Roman"/>
                      <w:sz w:val="21"/>
                      <w:szCs w:val="21"/>
                    </w:rPr>
                  </w:pPr>
                  <w:r>
                    <w:rPr>
                      <w:rFonts w:ascii="Times New Roman" w:hAnsi="Times New Roman"/>
                      <w:color w:val="000000"/>
                      <w:sz w:val="21"/>
                      <w:szCs w:val="21"/>
                    </w:rPr>
                    <w:t>本项目不涉及</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hint="eastAsia" w:ascii="Times New Roman" w:hAnsi="Times New Roman"/>
                      <w:color w:val="000000"/>
                      <w:sz w:val="21"/>
                      <w:szCs w:val="21"/>
                    </w:rPr>
                    <w:t>不涉及</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7" w:type="dxa"/>
                  <w:vMerge w:val="continue"/>
                  <w:tcBorders>
                    <w:top w:val="single" w:color="auto" w:sz="4" w:space="0"/>
                    <w:left w:val="nil"/>
                    <w:bottom w:val="single" w:color="auto" w:sz="4" w:space="0"/>
                    <w:right w:val="single" w:color="auto" w:sz="4" w:space="0"/>
                  </w:tcBorders>
                  <w:vAlign w:val="center"/>
                </w:tcPr>
                <w:p>
                  <w:pPr>
                    <w:widowControl/>
                    <w:jc w:val="left"/>
                    <w:rPr>
                      <w:color w:val="000000"/>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65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both"/>
                    <w:outlineLvl w:val="0"/>
                    <w:rPr>
                      <w:rFonts w:ascii="Times New Roman" w:hAnsi="Times New Roman"/>
                      <w:color w:val="000000"/>
                      <w:sz w:val="21"/>
                      <w:szCs w:val="21"/>
                    </w:rPr>
                  </w:pPr>
                  <w:r>
                    <w:rPr>
                      <w:rFonts w:ascii="Times New Roman" w:hAnsi="Times New Roman"/>
                      <w:color w:val="000000"/>
                      <w:sz w:val="21"/>
                      <w:szCs w:val="21"/>
                    </w:rPr>
                    <w:t>5.控制煤炭消费总量。对标钢铁、水泥行业超低排放要求；落实VOCs无组织排放特别控制要求，实现VOCs集中高效处置；加快淘汰国三及以下重型柴油货车。</w:t>
                  </w:r>
                </w:p>
              </w:tc>
              <w:tc>
                <w:tcPr>
                  <w:tcW w:w="510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7"/>
                    <w:jc w:val="center"/>
                    <w:outlineLvl w:val="0"/>
                    <w:rPr>
                      <w:rFonts w:ascii="Times New Roman" w:hAnsi="Times New Roman"/>
                      <w:sz w:val="21"/>
                      <w:szCs w:val="21"/>
                    </w:rPr>
                  </w:pPr>
                  <w:r>
                    <w:rPr>
                      <w:rFonts w:ascii="Times New Roman" w:hAnsi="Times New Roman"/>
                      <w:sz w:val="21"/>
                      <w:szCs w:val="21"/>
                    </w:rPr>
                    <w:t>本项目不涉及</w:t>
                  </w:r>
                </w:p>
              </w:tc>
              <w:tc>
                <w:tcPr>
                  <w:tcW w:w="502"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pStyle w:val="17"/>
                    <w:spacing w:before="0" w:beforeAutospacing="0" w:after="0" w:afterAutospacing="0"/>
                    <w:jc w:val="center"/>
                    <w:outlineLvl w:val="0"/>
                    <w:rPr>
                      <w:rFonts w:ascii="Times New Roman" w:hAnsi="Times New Roman"/>
                      <w:color w:val="000000"/>
                      <w:sz w:val="21"/>
                      <w:szCs w:val="21"/>
                    </w:rPr>
                  </w:pPr>
                  <w:r>
                    <w:rPr>
                      <w:rFonts w:hint="eastAsia" w:ascii="Times New Roman" w:hAnsi="Times New Roman"/>
                      <w:color w:val="000000"/>
                      <w:sz w:val="21"/>
                      <w:szCs w:val="21"/>
                    </w:rPr>
                    <w:t>不涉及</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436" w:type="dxa"/>
                  <w:gridSpan w:val="5"/>
                  <w:tcBorders>
                    <w:top w:val="single" w:color="auto" w:sz="4" w:space="0"/>
                    <w:left w:val="nil"/>
                    <w:bottom w:val="single" w:color="auto" w:sz="8" w:space="0"/>
                    <w:right w:val="nil"/>
                  </w:tcBorders>
                  <w:tcMar>
                    <w:top w:w="0" w:type="dxa"/>
                    <w:left w:w="28" w:type="dxa"/>
                    <w:bottom w:w="0" w:type="dxa"/>
                    <w:right w:w="28" w:type="dxa"/>
                  </w:tcMar>
                  <w:vAlign w:val="center"/>
                </w:tcPr>
                <w:p>
                  <w:pPr>
                    <w:pStyle w:val="17"/>
                    <w:spacing w:before="0" w:beforeAutospacing="0" w:after="0" w:afterAutospacing="0"/>
                    <w:jc w:val="both"/>
                    <w:outlineLvl w:val="0"/>
                    <w:rPr>
                      <w:rFonts w:ascii="Times New Roman" w:hAnsi="Times New Roman"/>
                      <w:color w:val="000000"/>
                      <w:sz w:val="21"/>
                      <w:szCs w:val="21"/>
                    </w:rPr>
                  </w:pPr>
                  <w:r>
                    <w:rPr>
                      <w:rFonts w:ascii="Times New Roman" w:hAnsi="Times New Roman" w:eastAsia="黑体"/>
                      <w:bCs/>
                      <w:color w:val="000000"/>
                      <w:sz w:val="21"/>
                      <w:szCs w:val="21"/>
                    </w:rPr>
                    <w:t>注：本项目仅对与项目建设内容有关的总体准入要求进行对比分析。</w:t>
                  </w:r>
                </w:p>
              </w:tc>
            </w:tr>
          </w:tbl>
          <w:p>
            <w:pPr>
              <w:autoSpaceDE w:val="0"/>
              <w:autoSpaceDN w:val="0"/>
              <w:adjustRightInd w:val="0"/>
              <w:snapToGrid w:val="0"/>
              <w:spacing w:line="460" w:lineRule="exact"/>
              <w:ind w:firstLine="480" w:firstLineChars="200"/>
              <w:rPr>
                <w:color w:val="000000"/>
                <w:sz w:val="24"/>
              </w:rPr>
            </w:pPr>
            <w:r>
              <w:rPr>
                <w:color w:val="000000"/>
                <w:sz w:val="24"/>
              </w:rPr>
              <w:t>由上表可知，本项目符合</w:t>
            </w:r>
            <w:r>
              <w:rPr>
                <w:kern w:val="0"/>
                <w:sz w:val="24"/>
              </w:rPr>
              <w:t>《河南生态环境分区管控总体要求（试行）》（豫环函[2021]171号）</w:t>
            </w:r>
            <w:r>
              <w:rPr>
                <w:color w:val="000000"/>
                <w:sz w:val="24"/>
              </w:rPr>
              <w:t>中的相关要求。</w:t>
            </w:r>
          </w:p>
          <w:p>
            <w:pPr>
              <w:autoSpaceDE w:val="0"/>
              <w:autoSpaceDN w:val="0"/>
              <w:adjustRightInd w:val="0"/>
              <w:snapToGrid w:val="0"/>
              <w:spacing w:line="460" w:lineRule="exact"/>
              <w:ind w:firstLine="482" w:firstLineChars="200"/>
              <w:rPr>
                <w:b/>
                <w:color w:val="000000"/>
                <w:sz w:val="24"/>
              </w:rPr>
            </w:pPr>
            <w:r>
              <w:rPr>
                <w:b/>
                <w:color w:val="000000"/>
                <w:sz w:val="24"/>
              </w:rPr>
              <w:t>5、与其他相关政策文件相符性分析</w:t>
            </w:r>
          </w:p>
          <w:p>
            <w:pPr>
              <w:pStyle w:val="17"/>
              <w:snapToGrid w:val="0"/>
              <w:spacing w:before="0" w:beforeAutospacing="0" w:after="0" w:afterAutospacing="0" w:line="460" w:lineRule="exact"/>
              <w:ind w:firstLine="480" w:firstLineChars="200"/>
              <w:outlineLvl w:val="0"/>
              <w:rPr>
                <w:rFonts w:ascii="Times New Roman" w:hAnsi="Times New Roman"/>
                <w:color w:val="000000"/>
                <w:szCs w:val="24"/>
              </w:rPr>
            </w:pPr>
            <w:r>
              <w:rPr>
                <w:rFonts w:ascii="Times New Roman" w:hAnsi="Times New Roman"/>
                <w:color w:val="000000"/>
              </w:rPr>
              <w:t>（1）本项目与《河南省生态环境保护委员会办公室关于印发河南省2022年大气、水、土壤污染防治攻坚战及农业农村污染治理攻坚实施方案的通知》（豫环委办〔2022〕9号）（以下简称《攻坚战实施方案》）对比分析</w:t>
            </w:r>
          </w:p>
          <w:p>
            <w:pPr>
              <w:adjustRightInd w:val="0"/>
              <w:snapToGrid w:val="0"/>
              <w:spacing w:line="460" w:lineRule="exact"/>
              <w:ind w:firstLine="480" w:firstLineChars="200"/>
              <w:textAlignment w:val="baseline"/>
              <w:outlineLvl w:val="0"/>
              <w:rPr>
                <w:rFonts w:eastAsia="黑体"/>
                <w:sz w:val="24"/>
              </w:rPr>
            </w:pPr>
            <w:r>
              <w:rPr>
                <w:rFonts w:eastAsia="黑体"/>
                <w:sz w:val="24"/>
              </w:rPr>
              <w:t>表11                                  与《攻坚战实施方案》对比表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67"/>
              <w:gridCol w:w="8396"/>
              <w:gridCol w:w="3937"/>
              <w:gridCol w:w="53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963" w:type="dxa"/>
                  <w:gridSpan w:val="2"/>
                  <w:tcBorders>
                    <w:top w:val="single" w:color="auto" w:sz="8" w:space="0"/>
                    <w:left w:val="nil"/>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textAlignment w:val="baseline"/>
                    <w:outlineLvl w:val="0"/>
                    <w:rPr>
                      <w:b/>
                      <w:bCs/>
                      <w:szCs w:val="21"/>
                    </w:rPr>
                  </w:pPr>
                  <w:r>
                    <w:rPr>
                      <w:b/>
                      <w:bCs/>
                    </w:rPr>
                    <w:t>与本项目相关条文</w:t>
                  </w:r>
                </w:p>
              </w:tc>
              <w:tc>
                <w:tcPr>
                  <w:tcW w:w="3937"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textAlignment w:val="baseline"/>
                    <w:outlineLvl w:val="0"/>
                    <w:rPr>
                      <w:b/>
                      <w:bCs/>
                    </w:rPr>
                  </w:pPr>
                  <w:r>
                    <w:rPr>
                      <w:b/>
                      <w:bCs/>
                    </w:rPr>
                    <w:t>本项目情况</w:t>
                  </w:r>
                </w:p>
              </w:tc>
              <w:tc>
                <w:tcPr>
                  <w:tcW w:w="536" w:type="dxa"/>
                  <w:tcBorders>
                    <w:top w:val="single" w:color="auto" w:sz="8" w:space="0"/>
                    <w:left w:val="single" w:color="auto" w:sz="4" w:space="0"/>
                    <w:bottom w:val="single" w:color="auto" w:sz="4" w:space="0"/>
                    <w:right w:val="nil"/>
                  </w:tcBorders>
                  <w:tcMar>
                    <w:top w:w="0" w:type="dxa"/>
                    <w:left w:w="28" w:type="dxa"/>
                    <w:bottom w:w="0" w:type="dxa"/>
                    <w:right w:w="28" w:type="dxa"/>
                  </w:tcMar>
                  <w:vAlign w:val="center"/>
                </w:tcPr>
                <w:p>
                  <w:pPr>
                    <w:adjustRightInd w:val="0"/>
                    <w:snapToGrid w:val="0"/>
                    <w:jc w:val="center"/>
                    <w:textAlignment w:val="baseline"/>
                    <w:outlineLvl w:val="0"/>
                    <w:rPr>
                      <w:b/>
                      <w:bCs/>
                    </w:rPr>
                  </w:pPr>
                  <w:r>
                    <w:rPr>
                      <w:b/>
                      <w:bCs/>
                    </w:rPr>
                    <w:t>对比结果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436" w:type="dxa"/>
                  <w:gridSpan w:val="4"/>
                  <w:tcBorders>
                    <w:top w:val="single" w:color="auto" w:sz="4" w:space="0"/>
                    <w:left w:val="nil"/>
                    <w:bottom w:val="single" w:color="auto" w:sz="4" w:space="0"/>
                    <w:right w:val="nil"/>
                  </w:tcBorders>
                  <w:tcMar>
                    <w:top w:w="0" w:type="dxa"/>
                    <w:left w:w="28" w:type="dxa"/>
                    <w:bottom w:w="0" w:type="dxa"/>
                    <w:right w:w="28" w:type="dxa"/>
                  </w:tcMar>
                  <w:vAlign w:val="center"/>
                </w:tcPr>
                <w:p>
                  <w:pPr>
                    <w:adjustRightInd w:val="0"/>
                    <w:snapToGrid w:val="0"/>
                    <w:jc w:val="center"/>
                    <w:textAlignment w:val="baseline"/>
                    <w:outlineLvl w:val="0"/>
                    <w:rPr>
                      <w:b/>
                      <w:bCs/>
                    </w:rPr>
                  </w:pPr>
                  <w:r>
                    <w:rPr>
                      <w:b/>
                    </w:rPr>
                    <w:t>《河南省2022年大气污染防治攻坚战实施方案》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7" w:type="dxa"/>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textAlignment w:val="baseline"/>
                    <w:outlineLvl w:val="0"/>
                  </w:pPr>
                  <w:r>
                    <w:t>3.推进绿色低碳产业发展</w:t>
                  </w:r>
                </w:p>
              </w:tc>
              <w:tc>
                <w:tcPr>
                  <w:tcW w:w="839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textAlignment w:val="baseline"/>
                    <w:outlineLvl w:val="0"/>
                  </w:pPr>
                  <w:r>
                    <w:t>落实国家产业规划、产业政策、“三线一单”、规划环评，以及产能置换、煤炭消费减量替代、区域污染物削减等相关要求，积极支持节能环保、新能源等战略性新兴产业发展，坚决遏制高耗能、高排放项目盲目建设。落实“两高”项目会商联审机制，强化项目环评及“三同时”管理，重点行业企业新建、扩建项目达到A级绩效水平，改建项目达到B级以上绩效水平。严禁新增钢铁、电解铝、水泥熟料、平板玻璃、煤化工(甲醇、合成氨)、氧化铝、焦化、铸造、铝用碳素、烧结砖瓦、铁合金等行业产能。禁止耐火材料、铅锌冶炼(含再生铅)行业单纯新增产能。水泥行业产能置换项目应实现矿石皮带廊密闭运输，大宗物料产品清洁运输。</w:t>
                  </w:r>
                </w:p>
              </w:tc>
              <w:tc>
                <w:tcPr>
                  <w:tcW w:w="393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textAlignment w:val="baseline"/>
                    <w:outlineLvl w:val="0"/>
                  </w:pPr>
                  <w:r>
                    <w:t>本项目为新建项目，属于检测服务业，位于河南省新乡经济开发区107国道与胡韦线交汇处A3地块。项目满足“三线一单”生态环境分区管控要求，不属于高耗能、高排放项目，本项目将严格按照要求进行环评及“三同时”建设，</w:t>
                  </w:r>
                  <w:r>
                    <w:rPr>
                      <w:szCs w:val="21"/>
                    </w:rPr>
                    <w:t>项目将按照《河南省重污染天气通用行业应急减排措施制定技术指南（2021年修订版）》中通用行业涉VOCs企业要求进行建设。</w:t>
                  </w:r>
                </w:p>
              </w:tc>
              <w:tc>
                <w:tcPr>
                  <w:tcW w:w="536"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adjustRightInd w:val="0"/>
                    <w:snapToGrid w:val="0"/>
                    <w:jc w:val="center"/>
                    <w:textAlignment w:val="baseline"/>
                    <w:outlineLvl w:val="0"/>
                  </w:pPr>
                  <w: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436" w:type="dxa"/>
                  <w:gridSpan w:val="4"/>
                  <w:tcBorders>
                    <w:top w:val="single" w:color="auto" w:sz="4" w:space="0"/>
                    <w:left w:val="nil"/>
                    <w:bottom w:val="single" w:color="auto" w:sz="4" w:space="0"/>
                    <w:right w:val="nil"/>
                  </w:tcBorders>
                  <w:tcMar>
                    <w:top w:w="0" w:type="dxa"/>
                    <w:left w:w="28" w:type="dxa"/>
                    <w:bottom w:w="0" w:type="dxa"/>
                    <w:right w:w="28" w:type="dxa"/>
                  </w:tcMar>
                  <w:vAlign w:val="center"/>
                </w:tcPr>
                <w:p>
                  <w:pPr>
                    <w:adjustRightInd w:val="0"/>
                    <w:snapToGrid w:val="0"/>
                    <w:jc w:val="center"/>
                    <w:textAlignment w:val="baseline"/>
                    <w:outlineLvl w:val="0"/>
                  </w:pPr>
                  <w:r>
                    <w:rPr>
                      <w:b/>
                      <w:color w:val="000000"/>
                    </w:rPr>
                    <w:t>《</w:t>
                  </w:r>
                  <w:r>
                    <w:rPr>
                      <w:b/>
                    </w:rPr>
                    <w:t>河南省2022</w:t>
                  </w:r>
                  <w:r>
                    <w:rPr>
                      <w:b/>
                      <w:color w:val="000000"/>
                    </w:rPr>
                    <w:t>年水污染防治攻坚战实施方案》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67" w:type="dxa"/>
                  <w:tcBorders>
                    <w:top w:val="single" w:color="auto" w:sz="4" w:space="0"/>
                    <w:left w:val="nil"/>
                    <w:bottom w:val="single" w:color="auto" w:sz="8" w:space="0"/>
                    <w:right w:val="single" w:color="auto" w:sz="4" w:space="0"/>
                  </w:tcBorders>
                  <w:tcMar>
                    <w:top w:w="0" w:type="dxa"/>
                    <w:left w:w="28" w:type="dxa"/>
                    <w:bottom w:w="0" w:type="dxa"/>
                    <w:right w:w="28" w:type="dxa"/>
                  </w:tcMar>
                  <w:vAlign w:val="center"/>
                </w:tcPr>
                <w:p>
                  <w:pPr>
                    <w:adjustRightInd w:val="0"/>
                    <w:snapToGrid w:val="0"/>
                    <w:jc w:val="center"/>
                    <w:textAlignment w:val="baseline"/>
                    <w:outlineLvl w:val="0"/>
                  </w:pPr>
                  <w:r>
                    <w:t>14.调整优化产业结构</w:t>
                  </w:r>
                </w:p>
              </w:tc>
              <w:tc>
                <w:tcPr>
                  <w:tcW w:w="8396" w:type="dxa"/>
                  <w:tcBorders>
                    <w:top w:val="single" w:color="auto" w:sz="4" w:space="0"/>
                    <w:left w:val="single" w:color="auto" w:sz="4" w:space="0"/>
                    <w:bottom w:val="single" w:color="auto" w:sz="8" w:space="0"/>
                    <w:right w:val="single" w:color="auto" w:sz="4" w:space="0"/>
                  </w:tcBorders>
                  <w:tcMar>
                    <w:top w:w="0" w:type="dxa"/>
                    <w:left w:w="28" w:type="dxa"/>
                    <w:bottom w:w="0" w:type="dxa"/>
                    <w:right w:w="28" w:type="dxa"/>
                  </w:tcMar>
                  <w:vAlign w:val="center"/>
                </w:tcPr>
                <w:p>
                  <w:pPr>
                    <w:adjustRightInd w:val="0"/>
                    <w:snapToGrid w:val="0"/>
                    <w:textAlignment w:val="baseline"/>
                    <w:outlineLvl w:val="0"/>
                  </w:pPr>
                  <w:r>
                    <w:t>落实“三线一单”生态环境分区管控体系，加强重点区域、重点流域、重点行业和产业布局规划环评。持续推进钢铁、有色、石化、化工、电镀、皮革、造纸、印染、农副食品加工等行业改造转型升级，推动化工、印染、电镀等产业集群提升改造。推动重点行业、重点区域产业布局调整，实施传统产业兼并重组、城市建成区高污染企业退城入园和敏感区域、水污染严重地区高污染企业布局优化，制定实施落后产能淘汰方案。严禁在黄河干流及主要支流临岸一定范围内新建“两高一资”项目及相关产业园区。</w:t>
                  </w:r>
                </w:p>
              </w:tc>
              <w:tc>
                <w:tcPr>
                  <w:tcW w:w="3937" w:type="dxa"/>
                  <w:tcBorders>
                    <w:top w:val="single" w:color="auto" w:sz="4" w:space="0"/>
                    <w:left w:val="single" w:color="auto" w:sz="4" w:space="0"/>
                    <w:bottom w:val="single" w:color="auto" w:sz="8" w:space="0"/>
                    <w:right w:val="single" w:color="auto" w:sz="4" w:space="0"/>
                  </w:tcBorders>
                  <w:tcMar>
                    <w:top w:w="0" w:type="dxa"/>
                    <w:left w:w="28" w:type="dxa"/>
                    <w:bottom w:w="0" w:type="dxa"/>
                    <w:right w:w="28" w:type="dxa"/>
                  </w:tcMar>
                  <w:vAlign w:val="center"/>
                </w:tcPr>
                <w:p>
                  <w:pPr>
                    <w:adjustRightInd w:val="0"/>
                    <w:snapToGrid w:val="0"/>
                    <w:textAlignment w:val="baseline"/>
                    <w:outlineLvl w:val="0"/>
                  </w:pPr>
                  <w:r>
                    <w:t>本项目属于检测服务业，位于河南省新乡经济开发区107国道与胡韦线交汇处A3地块，</w:t>
                  </w:r>
                  <w:r>
                    <w:rPr>
                      <w:szCs w:val="21"/>
                    </w:rPr>
                    <w:t>属于新乡经济技术产业集聚区南区纸制品印刷包装产业园</w:t>
                  </w:r>
                  <w:r>
                    <w:t>。项目满足“三线一单”生态环境分区管控要求，不属于高耗水、高排放工业项目。</w:t>
                  </w:r>
                </w:p>
              </w:tc>
              <w:tc>
                <w:tcPr>
                  <w:tcW w:w="536" w:type="dxa"/>
                  <w:tcBorders>
                    <w:top w:val="single" w:color="auto" w:sz="4" w:space="0"/>
                    <w:left w:val="single" w:color="auto" w:sz="4" w:space="0"/>
                    <w:bottom w:val="single" w:color="auto" w:sz="8" w:space="0"/>
                    <w:right w:val="nil"/>
                  </w:tcBorders>
                  <w:tcMar>
                    <w:top w:w="0" w:type="dxa"/>
                    <w:left w:w="28" w:type="dxa"/>
                    <w:bottom w:w="0" w:type="dxa"/>
                    <w:right w:w="28" w:type="dxa"/>
                  </w:tcMar>
                  <w:vAlign w:val="center"/>
                </w:tcPr>
                <w:p>
                  <w:pPr>
                    <w:adjustRightInd w:val="0"/>
                    <w:snapToGrid w:val="0"/>
                    <w:jc w:val="center"/>
                    <w:textAlignment w:val="baseline"/>
                    <w:outlineLvl w:val="0"/>
                  </w:pPr>
                  <w:r>
                    <w:t>符合</w:t>
                  </w:r>
                </w:p>
              </w:tc>
            </w:tr>
          </w:tbl>
          <w:p>
            <w:pPr>
              <w:pStyle w:val="17"/>
              <w:snapToGrid w:val="0"/>
              <w:spacing w:before="0" w:beforeAutospacing="0" w:after="0" w:afterAutospacing="0" w:line="460" w:lineRule="exact"/>
              <w:ind w:firstLine="480" w:firstLineChars="200"/>
              <w:jc w:val="both"/>
              <w:outlineLvl w:val="0"/>
              <w:rPr>
                <w:rFonts w:ascii="Times New Roman" w:hAnsi="Times New Roman" w:eastAsia="黑体"/>
                <w:szCs w:val="24"/>
              </w:rPr>
            </w:pPr>
            <w:r>
              <w:rPr>
                <w:rFonts w:ascii="Times New Roman" w:hAnsi="Times New Roman"/>
              </w:rPr>
              <w:t>由上表可知，本项目符合《攻坚战实施方案》相关要求。</w:t>
            </w:r>
          </w:p>
          <w:p>
            <w:pPr>
              <w:pStyle w:val="17"/>
              <w:snapToGrid w:val="0"/>
              <w:spacing w:before="0" w:beforeAutospacing="0" w:after="0" w:afterAutospacing="0" w:line="460" w:lineRule="exact"/>
              <w:ind w:firstLine="480" w:firstLineChars="200"/>
              <w:outlineLvl w:val="0"/>
              <w:rPr>
                <w:rFonts w:ascii="Times New Roman" w:hAnsi="Times New Roman"/>
                <w:color w:val="000000"/>
              </w:rPr>
            </w:pPr>
            <w:r>
              <w:rPr>
                <w:rFonts w:ascii="Times New Roman" w:hAnsi="Times New Roman"/>
                <w:color w:val="000000"/>
              </w:rPr>
              <w:t>（2）本项目与《新乡市环境污染防治攻坚指挥部办公室关于印发新乡市2022年大气、水、土壤污染防治攻坚战及农业农村污染治理攻坚实施方案的通知》（新环攻坚办〔2022〕60号）（以下简称《攻坚战实施方案》）对比分析</w:t>
            </w:r>
          </w:p>
          <w:p>
            <w:pPr>
              <w:adjustRightInd w:val="0"/>
              <w:snapToGrid w:val="0"/>
              <w:spacing w:line="460" w:lineRule="exact"/>
              <w:ind w:firstLine="480" w:firstLineChars="200"/>
              <w:textAlignment w:val="baseline"/>
              <w:outlineLvl w:val="0"/>
              <w:rPr>
                <w:rFonts w:eastAsia="黑体"/>
                <w:sz w:val="24"/>
              </w:rPr>
            </w:pPr>
            <w:r>
              <w:rPr>
                <w:rFonts w:eastAsia="黑体"/>
                <w:sz w:val="24"/>
              </w:rPr>
              <w:t>表12                                 与《攻坚战实施方案》对比表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09"/>
              <w:gridCol w:w="7938"/>
              <w:gridCol w:w="4253"/>
              <w:gridCol w:w="53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647" w:type="dxa"/>
                  <w:gridSpan w:val="2"/>
                  <w:tcBorders>
                    <w:top w:val="single" w:color="auto" w:sz="8" w:space="0"/>
                    <w:left w:val="nil"/>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textAlignment w:val="baseline"/>
                    <w:outlineLvl w:val="0"/>
                    <w:rPr>
                      <w:b/>
                      <w:bCs/>
                      <w:szCs w:val="21"/>
                    </w:rPr>
                  </w:pPr>
                  <w:r>
                    <w:rPr>
                      <w:b/>
                      <w:bCs/>
                    </w:rPr>
                    <w:t>与本项目相关条文</w:t>
                  </w:r>
                </w:p>
              </w:tc>
              <w:tc>
                <w:tcPr>
                  <w:tcW w:w="4253"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textAlignment w:val="baseline"/>
                    <w:outlineLvl w:val="0"/>
                    <w:rPr>
                      <w:b/>
                      <w:bCs/>
                    </w:rPr>
                  </w:pPr>
                  <w:r>
                    <w:rPr>
                      <w:b/>
                      <w:bCs/>
                    </w:rPr>
                    <w:t>本项目情况</w:t>
                  </w:r>
                </w:p>
              </w:tc>
              <w:tc>
                <w:tcPr>
                  <w:tcW w:w="536" w:type="dxa"/>
                  <w:tcBorders>
                    <w:top w:val="single" w:color="auto" w:sz="8" w:space="0"/>
                    <w:left w:val="single" w:color="auto" w:sz="4" w:space="0"/>
                    <w:bottom w:val="single" w:color="auto" w:sz="4" w:space="0"/>
                    <w:right w:val="nil"/>
                  </w:tcBorders>
                  <w:tcMar>
                    <w:top w:w="0" w:type="dxa"/>
                    <w:left w:w="28" w:type="dxa"/>
                    <w:bottom w:w="0" w:type="dxa"/>
                    <w:right w:w="28" w:type="dxa"/>
                  </w:tcMar>
                  <w:vAlign w:val="center"/>
                </w:tcPr>
                <w:p>
                  <w:pPr>
                    <w:adjustRightInd w:val="0"/>
                    <w:snapToGrid w:val="0"/>
                    <w:jc w:val="center"/>
                    <w:textAlignment w:val="baseline"/>
                    <w:outlineLvl w:val="0"/>
                    <w:rPr>
                      <w:b/>
                      <w:bCs/>
                    </w:rPr>
                  </w:pPr>
                  <w:r>
                    <w:rPr>
                      <w:b/>
                      <w:bCs/>
                    </w:rPr>
                    <w:t>对比结果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436" w:type="dxa"/>
                  <w:gridSpan w:val="4"/>
                  <w:tcBorders>
                    <w:top w:val="single" w:color="auto" w:sz="4" w:space="0"/>
                    <w:left w:val="nil"/>
                    <w:bottom w:val="single" w:color="auto" w:sz="4" w:space="0"/>
                    <w:right w:val="nil"/>
                  </w:tcBorders>
                  <w:tcMar>
                    <w:top w:w="0" w:type="dxa"/>
                    <w:left w:w="28" w:type="dxa"/>
                    <w:bottom w:w="0" w:type="dxa"/>
                    <w:right w:w="28" w:type="dxa"/>
                  </w:tcMar>
                  <w:vAlign w:val="center"/>
                </w:tcPr>
                <w:p>
                  <w:pPr>
                    <w:adjustRightInd w:val="0"/>
                    <w:snapToGrid w:val="0"/>
                    <w:jc w:val="center"/>
                    <w:textAlignment w:val="baseline"/>
                    <w:outlineLvl w:val="0"/>
                    <w:rPr>
                      <w:b/>
                      <w:bCs/>
                    </w:rPr>
                  </w:pPr>
                  <w:r>
                    <w:rPr>
                      <w:b/>
                    </w:rPr>
                    <w:t>《新乡市2022年大气污染防治攻坚战实施方案》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9" w:type="dxa"/>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textAlignment w:val="baseline"/>
                    <w:outlineLvl w:val="0"/>
                  </w:pPr>
                  <w:r>
                    <w:t>3.严格项目准入，推进绿色低碳产业发展</w:t>
                  </w:r>
                </w:p>
              </w:tc>
              <w:tc>
                <w:tcPr>
                  <w:tcW w:w="793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textAlignment w:val="baseline"/>
                    <w:outlineLvl w:val="0"/>
                  </w:pPr>
                  <w:r>
                    <w:t>项目准入严格落实国家产业规划、产业政策、“三线一单”、规划环评，以及产能置换、煤炭消费减量替代、区域污染物削减等相关要求，积极支持节能环保、新能源等战略性新兴产业发展，坚决遏制高耗能、高排放项目盲目建设，“两高”项目由省级相关部门实施联合会商联审机制。严禁新增钢铁、电解铝、水泥熟料、平板玻璃、传统煤化工（甲醇、合成氨）、氧化铝、焦化、铸造、铝用碳素、烧结砖瓦、铁合金等行业产能。禁止耐火材料、铅锌冶炼（含再生铅）行业单纯新增产能。水泥行业产能置换项目应实现矿石皮带廊密闭运输、大宗物料产品清洁运输。强化项目环评及“三同时”管理，国家、省绩效分级重点行业企业新建、扩建项目达到A级绩效水平，改建项目达到B级以上绩效水平。</w:t>
                  </w:r>
                </w:p>
              </w:tc>
              <w:tc>
                <w:tcPr>
                  <w:tcW w:w="42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textAlignment w:val="baseline"/>
                    <w:outlineLvl w:val="0"/>
                  </w:pPr>
                  <w:r>
                    <w:t>本项目为新建项目，属于检测服务业，位于河南省新乡经济开发区107国道与胡韦线交汇处A3地块。项目满足“三线一单”生态环境分区管控要求，不属于高耗能、高排放项目，本项目将严格按照要求进行环评及“三同时”建设，</w:t>
                  </w:r>
                  <w:r>
                    <w:rPr>
                      <w:szCs w:val="21"/>
                    </w:rPr>
                    <w:t>项目将按照《河南省重污染天气通用行业应急减排措施制定技术指南（2021年修订版）》中通用行业涉VOCs企业要求进行建设。</w:t>
                  </w:r>
                </w:p>
              </w:tc>
              <w:tc>
                <w:tcPr>
                  <w:tcW w:w="536"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adjustRightInd w:val="0"/>
                    <w:snapToGrid w:val="0"/>
                    <w:jc w:val="center"/>
                    <w:textAlignment w:val="baseline"/>
                    <w:outlineLvl w:val="0"/>
                  </w:pPr>
                  <w: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9" w:type="dxa"/>
                  <w:tcBorders>
                    <w:top w:val="single" w:color="auto" w:sz="4" w:space="0"/>
                    <w:left w:val="nil"/>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textAlignment w:val="baseline"/>
                    <w:outlineLvl w:val="0"/>
                  </w:pPr>
                  <w:r>
                    <w:t>6.实施清洁能源替代</w:t>
                  </w:r>
                </w:p>
              </w:tc>
              <w:tc>
                <w:tcPr>
                  <w:tcW w:w="793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textAlignment w:val="baseline"/>
                    <w:outlineLvl w:val="0"/>
                  </w:pPr>
                  <w:r>
                    <w:t>大力推进清洁能源应用，鼓励支持现有使用高污染燃料的工业炉窑改用工业余热、电能、天然气等，对2024年10月底前完成拆改任务的工业炉窑，优先给予大气污染防治专项资金支持。新、改、扩建加热炉、热处理炉、干燥炉、熔化炉等工业窑炉，应采用清洁能源。全市禁止新建企业自备燃煤锅炉。</w:t>
                  </w:r>
                </w:p>
              </w:tc>
              <w:tc>
                <w:tcPr>
                  <w:tcW w:w="42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r>
                    <w:t>本项目使用能源为电能，满足清洁生产要求。</w:t>
                  </w:r>
                </w:p>
              </w:tc>
              <w:tc>
                <w:tcPr>
                  <w:tcW w:w="536" w:type="dxa"/>
                  <w:tcBorders>
                    <w:top w:val="single" w:color="auto" w:sz="4" w:space="0"/>
                    <w:left w:val="single" w:color="auto" w:sz="4" w:space="0"/>
                    <w:bottom w:val="single" w:color="auto" w:sz="4" w:space="0"/>
                    <w:right w:val="nil"/>
                  </w:tcBorders>
                  <w:tcMar>
                    <w:top w:w="0" w:type="dxa"/>
                    <w:left w:w="28" w:type="dxa"/>
                    <w:bottom w:w="0" w:type="dxa"/>
                    <w:right w:w="28" w:type="dxa"/>
                  </w:tcMar>
                  <w:vAlign w:val="center"/>
                </w:tcPr>
                <w:p>
                  <w:pPr>
                    <w:adjustRightInd w:val="0"/>
                    <w:snapToGrid w:val="0"/>
                    <w:jc w:val="center"/>
                    <w:textAlignment w:val="baseline"/>
                    <w:outlineLvl w:val="0"/>
                  </w:pPr>
                  <w:r>
                    <w:t>符合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436" w:type="dxa"/>
                  <w:gridSpan w:val="4"/>
                  <w:tcBorders>
                    <w:top w:val="single" w:color="auto" w:sz="4" w:space="0"/>
                    <w:left w:val="nil"/>
                    <w:bottom w:val="single" w:color="auto" w:sz="4" w:space="0"/>
                    <w:right w:val="nil"/>
                  </w:tcBorders>
                  <w:tcMar>
                    <w:top w:w="0" w:type="dxa"/>
                    <w:left w:w="28" w:type="dxa"/>
                    <w:bottom w:w="0" w:type="dxa"/>
                    <w:right w:w="28" w:type="dxa"/>
                  </w:tcMar>
                  <w:vAlign w:val="center"/>
                </w:tcPr>
                <w:p>
                  <w:pPr>
                    <w:adjustRightInd w:val="0"/>
                    <w:snapToGrid w:val="0"/>
                    <w:jc w:val="center"/>
                    <w:textAlignment w:val="baseline"/>
                    <w:outlineLvl w:val="0"/>
                  </w:pPr>
                  <w:r>
                    <w:rPr>
                      <w:b/>
                      <w:color w:val="000000"/>
                    </w:rPr>
                    <w:t>《新乡市</w:t>
                  </w:r>
                  <w:r>
                    <w:rPr>
                      <w:b/>
                    </w:rPr>
                    <w:t>2022</w:t>
                  </w:r>
                  <w:r>
                    <w:rPr>
                      <w:b/>
                      <w:color w:val="000000"/>
                    </w:rPr>
                    <w:t>年水污染防治攻坚战实施方案》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9" w:type="dxa"/>
                  <w:tcBorders>
                    <w:top w:val="single" w:color="auto" w:sz="4" w:space="0"/>
                    <w:left w:val="nil"/>
                    <w:bottom w:val="single" w:color="auto" w:sz="8" w:space="0"/>
                    <w:right w:val="single" w:color="auto" w:sz="4" w:space="0"/>
                  </w:tcBorders>
                  <w:tcMar>
                    <w:top w:w="0" w:type="dxa"/>
                    <w:left w:w="28" w:type="dxa"/>
                    <w:bottom w:w="0" w:type="dxa"/>
                    <w:right w:w="28" w:type="dxa"/>
                  </w:tcMar>
                  <w:vAlign w:val="center"/>
                </w:tcPr>
                <w:p>
                  <w:pPr>
                    <w:adjustRightInd w:val="0"/>
                    <w:snapToGrid w:val="0"/>
                    <w:jc w:val="center"/>
                    <w:textAlignment w:val="baseline"/>
                    <w:outlineLvl w:val="0"/>
                  </w:pPr>
                  <w:r>
                    <w:t>14.调整优化产业结构</w:t>
                  </w:r>
                </w:p>
              </w:tc>
              <w:tc>
                <w:tcPr>
                  <w:tcW w:w="7938" w:type="dxa"/>
                  <w:tcBorders>
                    <w:top w:val="single" w:color="auto" w:sz="4" w:space="0"/>
                    <w:left w:val="single" w:color="auto" w:sz="4" w:space="0"/>
                    <w:bottom w:val="single" w:color="auto" w:sz="8" w:space="0"/>
                    <w:right w:val="single" w:color="auto" w:sz="4" w:space="0"/>
                  </w:tcBorders>
                  <w:tcMar>
                    <w:top w:w="0" w:type="dxa"/>
                    <w:left w:w="28" w:type="dxa"/>
                    <w:bottom w:w="0" w:type="dxa"/>
                    <w:right w:w="28" w:type="dxa"/>
                  </w:tcMar>
                  <w:vAlign w:val="center"/>
                </w:tcPr>
                <w:p>
                  <w:pPr>
                    <w:adjustRightInd w:val="0"/>
                    <w:snapToGrid w:val="0"/>
                    <w:textAlignment w:val="baseline"/>
                    <w:outlineLvl w:val="0"/>
                  </w:pPr>
                  <w:r>
                    <w:t>严格执行“三线一单”生态环境分区管控要求，对重点区域、重点流域、重点行业和产业布局开展规划环评。持续推进化工、电镀、皮革、造纸、印染、农副食品加工等行业绿色化改造转型升级，推进化工、印染、电镀等产业集群提升改造。推动重点行业、重点区域产业布局调整，实施传统产业兼并重组、城市建成区高污染企业退城入园和敏感区域、水污染严重地区高污染企业布局优化，制定实施落后产能淘汰方案。严禁在黄河干流及主要支流临岸一定范围内新建“两高一资”项目及相关产业园区。</w:t>
                  </w:r>
                </w:p>
              </w:tc>
              <w:tc>
                <w:tcPr>
                  <w:tcW w:w="4253" w:type="dxa"/>
                  <w:tcBorders>
                    <w:top w:val="single" w:color="auto" w:sz="4" w:space="0"/>
                    <w:left w:val="single" w:color="auto" w:sz="4" w:space="0"/>
                    <w:bottom w:val="single" w:color="auto" w:sz="8" w:space="0"/>
                    <w:right w:val="single" w:color="auto" w:sz="4" w:space="0"/>
                  </w:tcBorders>
                  <w:tcMar>
                    <w:top w:w="0" w:type="dxa"/>
                    <w:left w:w="28" w:type="dxa"/>
                    <w:bottom w:w="0" w:type="dxa"/>
                    <w:right w:w="28" w:type="dxa"/>
                  </w:tcMar>
                  <w:vAlign w:val="center"/>
                </w:tcPr>
                <w:p>
                  <w:r>
                    <w:t>本项目为新建项目，属于检测服务业，将严格执行</w:t>
                  </w:r>
                  <w:r>
                    <w:rPr>
                      <w:rFonts w:hint="eastAsia"/>
                    </w:rPr>
                    <w:t>“</w:t>
                  </w:r>
                  <w:r>
                    <w:t>三线一单</w:t>
                  </w:r>
                  <w:r>
                    <w:rPr>
                      <w:rFonts w:hint="eastAsia"/>
                    </w:rPr>
                    <w:t>”</w:t>
                  </w:r>
                  <w:r>
                    <w:t>生态环境分区管控要求，本项目位于河南省新乡经济开发区107国道与胡韦线交汇处A3地块，不属于</w:t>
                  </w:r>
                  <w:r>
                    <w:rPr>
                      <w:rFonts w:hint="eastAsia"/>
                    </w:rPr>
                    <w:t>“</w:t>
                  </w:r>
                  <w:r>
                    <w:t>两高一资</w:t>
                  </w:r>
                  <w:r>
                    <w:rPr>
                      <w:rFonts w:hint="eastAsia"/>
                    </w:rPr>
                    <w:t>”</w:t>
                  </w:r>
                  <w:r>
                    <w:t>项目。</w:t>
                  </w:r>
                </w:p>
              </w:tc>
              <w:tc>
                <w:tcPr>
                  <w:tcW w:w="536" w:type="dxa"/>
                  <w:tcBorders>
                    <w:top w:val="single" w:color="auto" w:sz="4" w:space="0"/>
                    <w:left w:val="single" w:color="auto" w:sz="4" w:space="0"/>
                    <w:bottom w:val="single" w:color="auto" w:sz="8" w:space="0"/>
                    <w:right w:val="nil"/>
                  </w:tcBorders>
                  <w:tcMar>
                    <w:top w:w="0" w:type="dxa"/>
                    <w:left w:w="28" w:type="dxa"/>
                    <w:bottom w:w="0" w:type="dxa"/>
                    <w:right w:w="28" w:type="dxa"/>
                  </w:tcMar>
                  <w:vAlign w:val="center"/>
                </w:tcPr>
                <w:p>
                  <w:pPr>
                    <w:adjustRightInd w:val="0"/>
                    <w:snapToGrid w:val="0"/>
                    <w:jc w:val="center"/>
                    <w:textAlignment w:val="baseline"/>
                    <w:outlineLvl w:val="0"/>
                  </w:pPr>
                  <w:r>
                    <w:t>符合</w:t>
                  </w:r>
                </w:p>
              </w:tc>
            </w:tr>
          </w:tbl>
          <w:p>
            <w:pPr>
              <w:pStyle w:val="17"/>
              <w:snapToGrid w:val="0"/>
              <w:spacing w:before="0" w:beforeAutospacing="0" w:after="0" w:afterAutospacing="0" w:line="460" w:lineRule="exact"/>
              <w:ind w:firstLine="480" w:firstLineChars="200"/>
              <w:jc w:val="both"/>
              <w:outlineLvl w:val="0"/>
              <w:rPr>
                <w:rFonts w:ascii="Times New Roman" w:hAnsi="Times New Roman" w:eastAsia="黑体"/>
                <w:szCs w:val="24"/>
              </w:rPr>
            </w:pPr>
            <w:r>
              <w:rPr>
                <w:rFonts w:ascii="Times New Roman" w:hAnsi="Times New Roman"/>
              </w:rPr>
              <w:t>由上表可知，本项目符合《攻坚战实施方案》相关要求。</w:t>
            </w:r>
          </w:p>
          <w:p>
            <w:pPr>
              <w:pStyle w:val="17"/>
              <w:spacing w:before="0" w:beforeAutospacing="0" w:after="0" w:afterAutospacing="0" w:line="460" w:lineRule="exact"/>
              <w:ind w:firstLine="480" w:firstLineChars="200"/>
              <w:outlineLvl w:val="0"/>
              <w:rPr>
                <w:rFonts w:ascii="Times New Roman" w:hAnsi="Times New Roman"/>
              </w:rPr>
            </w:pPr>
            <w:r>
              <w:rPr>
                <w:rFonts w:ascii="Times New Roman" w:hAnsi="Times New Roman"/>
              </w:rPr>
              <w:t>（3）与《河南省重污染天气通用行业应急减排措施制定技术指南（2021年修订）》相符性分析</w:t>
            </w:r>
          </w:p>
          <w:p>
            <w:pPr>
              <w:pStyle w:val="17"/>
              <w:spacing w:before="0" w:beforeAutospacing="0" w:after="0" w:afterAutospacing="0" w:line="460" w:lineRule="exact"/>
              <w:ind w:firstLine="480" w:firstLineChars="200"/>
              <w:outlineLvl w:val="0"/>
              <w:rPr>
                <w:rFonts w:ascii="Times New Roman" w:hAnsi="Times New Roman"/>
              </w:rPr>
            </w:pPr>
            <w:r>
              <w:rPr>
                <w:rFonts w:ascii="Times New Roman" w:hAnsi="Times New Roman"/>
              </w:rPr>
              <w:t>本新建项目不属于国家、省绩效分级重点行业，按照《河南省重污染天气通用行业应急减排措施制定技术指南（2021年修订）》中通用行业（涉VOCs企业）及其他基本要求进行建设，结合本项目的情况，该方案中涉及到本项目的内容与本项目实际情况的对比情况有：</w:t>
            </w:r>
          </w:p>
          <w:p>
            <w:pPr>
              <w:spacing w:line="460" w:lineRule="exact"/>
              <w:ind w:firstLine="480" w:firstLineChars="200"/>
              <w:jc w:val="left"/>
              <w:rPr>
                <w:rFonts w:eastAsia="黑体"/>
                <w:sz w:val="24"/>
                <w:lang w:val="pt-BR"/>
              </w:rPr>
            </w:pPr>
            <w:r>
              <w:rPr>
                <w:rFonts w:eastAsia="黑体"/>
                <w:sz w:val="24"/>
                <w:lang w:val="pt-BR"/>
              </w:rPr>
              <w:t>表13                  本项目与《重污染天气通用行业应急减排措施指南（2021年修订）》对比分析</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6"/>
              <w:gridCol w:w="707"/>
              <w:gridCol w:w="6097"/>
              <w:gridCol w:w="5243"/>
              <w:gridCol w:w="50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5"/>
                  <w:vAlign w:val="center"/>
                </w:tcPr>
                <w:p>
                  <w:pPr>
                    <w:pStyle w:val="56"/>
                    <w:rPr>
                      <w:rFonts w:cs="Times New Roman"/>
                      <w:color w:val="auto"/>
                    </w:rPr>
                  </w:pPr>
                  <w:r>
                    <w:rPr>
                      <w:rFonts w:cs="Times New Roman"/>
                      <w:color w:val="auto"/>
                    </w:rPr>
                    <w:t>通用行业（涉VOCs企业）及其他基本要求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0" w:type="pct"/>
                  <w:vAlign w:val="center"/>
                </w:tcPr>
                <w:p>
                  <w:pPr>
                    <w:pStyle w:val="56"/>
                    <w:rPr>
                      <w:rFonts w:cs="Times New Roman"/>
                      <w:color w:val="auto"/>
                    </w:rPr>
                  </w:pPr>
                  <w:r>
                    <w:rPr>
                      <w:rFonts w:cs="Times New Roman"/>
                      <w:color w:val="auto"/>
                    </w:rPr>
                    <w:t>项目</w:t>
                  </w:r>
                </w:p>
              </w:tc>
              <w:tc>
                <w:tcPr>
                  <w:tcW w:w="2532" w:type="pct"/>
                  <w:gridSpan w:val="2"/>
                  <w:vAlign w:val="center"/>
                </w:tcPr>
                <w:p>
                  <w:pPr>
                    <w:pStyle w:val="56"/>
                    <w:rPr>
                      <w:rFonts w:cs="Times New Roman"/>
                      <w:color w:val="auto"/>
                    </w:rPr>
                  </w:pPr>
                  <w:r>
                    <w:rPr>
                      <w:rFonts w:cs="Times New Roman"/>
                      <w:color w:val="auto"/>
                    </w:rPr>
                    <w:t>通用行业（涉VOCs企业）及其他基本要求</w:t>
                  </w:r>
                </w:p>
              </w:tc>
              <w:tc>
                <w:tcPr>
                  <w:tcW w:w="1951" w:type="pct"/>
                  <w:vAlign w:val="center"/>
                </w:tcPr>
                <w:p>
                  <w:pPr>
                    <w:pStyle w:val="56"/>
                    <w:rPr>
                      <w:rFonts w:cs="Times New Roman"/>
                      <w:color w:val="auto"/>
                    </w:rPr>
                  </w:pPr>
                  <w:r>
                    <w:rPr>
                      <w:rFonts w:cs="Times New Roman"/>
                      <w:color w:val="auto"/>
                    </w:rPr>
                    <w:t>本项目拟建设情况</w:t>
                  </w:r>
                </w:p>
              </w:tc>
              <w:tc>
                <w:tcPr>
                  <w:tcW w:w="187" w:type="pct"/>
                  <w:vAlign w:val="center"/>
                </w:tcPr>
                <w:p>
                  <w:pPr>
                    <w:pStyle w:val="56"/>
                    <w:rPr>
                      <w:rFonts w:cs="Times New Roman"/>
                      <w:color w:val="auto"/>
                    </w:rPr>
                  </w:pPr>
                  <w:r>
                    <w:rPr>
                      <w:rFonts w:cs="Times New Roman"/>
                      <w:color w:val="auto"/>
                    </w:rPr>
                    <w:t>对比</w:t>
                  </w:r>
                </w:p>
                <w:p>
                  <w:pPr>
                    <w:pStyle w:val="56"/>
                    <w:rPr>
                      <w:rFonts w:cs="Times New Roman"/>
                      <w:color w:val="auto"/>
                    </w:rPr>
                  </w:pPr>
                  <w:r>
                    <w:rPr>
                      <w:rFonts w:cs="Times New Roman"/>
                      <w:color w:val="auto"/>
                    </w:rPr>
                    <w:t>结果</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5"/>
                  <w:vAlign w:val="center"/>
                </w:tcPr>
                <w:p>
                  <w:pPr>
                    <w:pStyle w:val="56"/>
                    <w:rPr>
                      <w:rFonts w:cs="Times New Roman"/>
                      <w:color w:val="auto"/>
                    </w:rPr>
                  </w:pPr>
                  <w:r>
                    <w:rPr>
                      <w:rFonts w:cs="Times New Roman"/>
                      <w:color w:val="auto"/>
                    </w:rPr>
                    <w:t>通用行业（涉VOCs企业）基本要求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0" w:type="pct"/>
                  <w:vMerge w:val="restart"/>
                  <w:vAlign w:val="center"/>
                </w:tcPr>
                <w:p>
                  <w:pPr>
                    <w:adjustRightInd w:val="0"/>
                    <w:snapToGrid w:val="0"/>
                    <w:textAlignment w:val="baseline"/>
                    <w:outlineLvl w:val="0"/>
                    <w:rPr>
                      <w:szCs w:val="28"/>
                    </w:rPr>
                  </w:pPr>
                  <w:r>
                    <w:rPr>
                      <w:szCs w:val="28"/>
                    </w:rPr>
                    <w:t>涉VOCs企业基本要求</w:t>
                  </w:r>
                </w:p>
              </w:tc>
              <w:tc>
                <w:tcPr>
                  <w:tcW w:w="263" w:type="pct"/>
                  <w:vAlign w:val="center"/>
                </w:tcPr>
                <w:p>
                  <w:pPr>
                    <w:adjustRightInd w:val="0"/>
                    <w:snapToGrid w:val="0"/>
                    <w:textAlignment w:val="baseline"/>
                    <w:outlineLvl w:val="0"/>
                  </w:pPr>
                  <w:r>
                    <w:rPr>
                      <w:szCs w:val="28"/>
                    </w:rPr>
                    <w:t>1、物料储存</w:t>
                  </w:r>
                </w:p>
              </w:tc>
              <w:tc>
                <w:tcPr>
                  <w:tcW w:w="2269" w:type="pct"/>
                  <w:vAlign w:val="center"/>
                </w:tcPr>
                <w:p>
                  <w:pPr>
                    <w:widowControl/>
                    <w:adjustRightInd w:val="0"/>
                    <w:snapToGrid w:val="0"/>
                    <w:ind w:firstLine="420" w:firstLineChars="200"/>
                    <w:textAlignment w:val="center"/>
                    <w:rPr>
                      <w:kern w:val="0"/>
                      <w:szCs w:val="21"/>
                    </w:rPr>
                  </w:pPr>
                  <w:r>
                    <w:rPr>
                      <w:kern w:val="0"/>
                      <w:szCs w:val="21"/>
                    </w:rPr>
                    <w:t>涂料、稀释剂、清洗剂等原辅材料密闭储存。盛装过VOCs物料的包装容器、含VOCs废料（渣、液）、废吸附剂等通过加盖、封装等方式密闭储存；生产车间内涉VOCs物料应密闭储存。</w:t>
                  </w:r>
                </w:p>
              </w:tc>
              <w:tc>
                <w:tcPr>
                  <w:tcW w:w="1951" w:type="pct"/>
                  <w:vAlign w:val="center"/>
                </w:tcPr>
                <w:p>
                  <w:pPr>
                    <w:widowControl/>
                    <w:adjustRightInd w:val="0"/>
                    <w:snapToGrid w:val="0"/>
                    <w:ind w:firstLine="420" w:firstLineChars="200"/>
                    <w:textAlignment w:val="center"/>
                    <w:rPr>
                      <w:kern w:val="0"/>
                      <w:szCs w:val="21"/>
                    </w:rPr>
                  </w:pPr>
                  <w:r>
                    <w:rPr>
                      <w:kern w:val="0"/>
                      <w:szCs w:val="21"/>
                    </w:rPr>
                    <w:t>本项目所用</w:t>
                  </w:r>
                  <w:r>
                    <w:rPr>
                      <w:rFonts w:hint="eastAsia"/>
                      <w:kern w:val="0"/>
                      <w:szCs w:val="21"/>
                    </w:rPr>
                    <w:t>检测试剂</w:t>
                  </w:r>
                  <w:r>
                    <w:rPr>
                      <w:kern w:val="0"/>
                      <w:szCs w:val="21"/>
                    </w:rPr>
                    <w:t>均密闭储存于密闭药剂室。盛装过VOCs物料的包装容器、含VOCs废料（渣、液）、废活性碳等通过加盖、封装等方式密闭储存于危废间内；</w:t>
                  </w:r>
                </w:p>
              </w:tc>
              <w:tc>
                <w:tcPr>
                  <w:tcW w:w="187" w:type="pct"/>
                  <w:vAlign w:val="center"/>
                </w:tcPr>
                <w:p>
                  <w:pPr>
                    <w:pStyle w:val="51"/>
                    <w:rPr>
                      <w:szCs w:val="28"/>
                    </w:rPr>
                  </w:pPr>
                  <w:r>
                    <w:rPr>
                      <w:szCs w:val="28"/>
                    </w:rPr>
                    <w:t>满足要求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0" w:type="pct"/>
                  <w:vMerge w:val="continue"/>
                  <w:vAlign w:val="center"/>
                </w:tcPr>
                <w:p>
                  <w:pPr>
                    <w:pStyle w:val="51"/>
                    <w:jc w:val="both"/>
                    <w:rPr>
                      <w:szCs w:val="28"/>
                    </w:rPr>
                  </w:pPr>
                </w:p>
              </w:tc>
              <w:tc>
                <w:tcPr>
                  <w:tcW w:w="263" w:type="pct"/>
                  <w:vAlign w:val="center"/>
                </w:tcPr>
                <w:p>
                  <w:pPr>
                    <w:adjustRightInd w:val="0"/>
                    <w:snapToGrid w:val="0"/>
                    <w:textAlignment w:val="baseline"/>
                    <w:outlineLvl w:val="0"/>
                  </w:pPr>
                  <w:r>
                    <w:rPr>
                      <w:szCs w:val="28"/>
                    </w:rPr>
                    <w:t>2、物料转移和输送</w:t>
                  </w:r>
                </w:p>
              </w:tc>
              <w:tc>
                <w:tcPr>
                  <w:tcW w:w="2269" w:type="pct"/>
                  <w:vAlign w:val="center"/>
                </w:tcPr>
                <w:p>
                  <w:pPr>
                    <w:widowControl/>
                    <w:adjustRightInd w:val="0"/>
                    <w:snapToGrid w:val="0"/>
                    <w:ind w:firstLine="420" w:firstLineChars="200"/>
                    <w:textAlignment w:val="center"/>
                    <w:rPr>
                      <w:kern w:val="0"/>
                      <w:szCs w:val="21"/>
                    </w:rPr>
                  </w:pPr>
                  <w:r>
                    <w:rPr>
                      <w:kern w:val="0"/>
                      <w:szCs w:val="21"/>
                    </w:rPr>
                    <w:t>采用密闭管道或密闭容器等输送。</w:t>
                  </w:r>
                </w:p>
              </w:tc>
              <w:tc>
                <w:tcPr>
                  <w:tcW w:w="1951" w:type="pct"/>
                  <w:vAlign w:val="center"/>
                </w:tcPr>
                <w:p>
                  <w:pPr>
                    <w:widowControl/>
                    <w:adjustRightInd w:val="0"/>
                    <w:snapToGrid w:val="0"/>
                    <w:ind w:firstLine="420" w:firstLineChars="200"/>
                    <w:textAlignment w:val="center"/>
                    <w:rPr>
                      <w:kern w:val="0"/>
                      <w:szCs w:val="21"/>
                    </w:rPr>
                  </w:pPr>
                  <w:r>
                    <w:rPr>
                      <w:kern w:val="0"/>
                      <w:szCs w:val="21"/>
                    </w:rPr>
                    <w:t>本项目所用试剂、涉VOCs物料全部在密闭实验室内，使用密闭试剂瓶转移。</w:t>
                  </w:r>
                </w:p>
              </w:tc>
              <w:tc>
                <w:tcPr>
                  <w:tcW w:w="187" w:type="pct"/>
                  <w:vAlign w:val="center"/>
                </w:tcPr>
                <w:p>
                  <w:pPr>
                    <w:pStyle w:val="51"/>
                    <w:rPr>
                      <w:szCs w:val="28"/>
                    </w:rPr>
                  </w:pPr>
                  <w:r>
                    <w:rPr>
                      <w:szCs w:val="28"/>
                    </w:rPr>
                    <w:t>满足要求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0" w:type="pct"/>
                  <w:vMerge w:val="continue"/>
                  <w:vAlign w:val="center"/>
                </w:tcPr>
                <w:p>
                  <w:pPr>
                    <w:pStyle w:val="51"/>
                    <w:jc w:val="both"/>
                    <w:rPr>
                      <w:szCs w:val="28"/>
                    </w:rPr>
                  </w:pPr>
                </w:p>
              </w:tc>
              <w:tc>
                <w:tcPr>
                  <w:tcW w:w="263" w:type="pct"/>
                  <w:vAlign w:val="center"/>
                </w:tcPr>
                <w:p>
                  <w:pPr>
                    <w:adjustRightInd w:val="0"/>
                    <w:snapToGrid w:val="0"/>
                    <w:textAlignment w:val="baseline"/>
                    <w:outlineLvl w:val="0"/>
                  </w:pPr>
                  <w:r>
                    <w:rPr>
                      <w:szCs w:val="28"/>
                    </w:rPr>
                    <w:t>3、工艺过程</w:t>
                  </w:r>
                </w:p>
              </w:tc>
              <w:tc>
                <w:tcPr>
                  <w:tcW w:w="2269" w:type="pct"/>
                  <w:vAlign w:val="center"/>
                </w:tcPr>
                <w:p>
                  <w:pPr>
                    <w:widowControl/>
                    <w:adjustRightInd w:val="0"/>
                    <w:snapToGrid w:val="0"/>
                    <w:ind w:firstLine="420" w:firstLineChars="200"/>
                    <w:textAlignment w:val="center"/>
                    <w:rPr>
                      <w:kern w:val="0"/>
                      <w:szCs w:val="21"/>
                    </w:rPr>
                  </w:pPr>
                  <w:r>
                    <w:rPr>
                      <w:kern w:val="0"/>
                      <w:szCs w:val="21"/>
                    </w:rPr>
                    <w:t>原辅材料调配、使用（施胶、喷涂、干燥等）、回收等过程采用密闭设备或在密闭空间内操作。</w:t>
                  </w:r>
                </w:p>
                <w:p>
                  <w:pPr>
                    <w:widowControl/>
                    <w:adjustRightInd w:val="0"/>
                    <w:snapToGrid w:val="0"/>
                    <w:ind w:firstLine="420" w:firstLineChars="200"/>
                    <w:textAlignment w:val="center"/>
                    <w:rPr>
                      <w:kern w:val="0"/>
                      <w:szCs w:val="21"/>
                    </w:rPr>
                  </w:pPr>
                  <w:r>
                    <w:rPr>
                      <w:kern w:val="0"/>
                      <w:szCs w:val="21"/>
                    </w:rPr>
                    <w:t>涉VOCs原料装卸、储存、转移和输送、工艺过程等环节的废气全部收集引至VOCs处理系统。</w:t>
                  </w:r>
                </w:p>
              </w:tc>
              <w:tc>
                <w:tcPr>
                  <w:tcW w:w="1951" w:type="pct"/>
                  <w:vAlign w:val="center"/>
                </w:tcPr>
                <w:p>
                  <w:pPr>
                    <w:adjustRightInd w:val="0"/>
                    <w:snapToGrid w:val="0"/>
                    <w:ind w:firstLine="420" w:firstLineChars="200"/>
                    <w:textAlignment w:val="baseline"/>
                    <w:outlineLvl w:val="0"/>
                    <w:rPr>
                      <w:color w:val="FF0000"/>
                      <w:kern w:val="0"/>
                      <w:szCs w:val="21"/>
                    </w:rPr>
                  </w:pPr>
                  <w:r>
                    <w:t>本项目试剂配制、试剂使用、回收等过程，均在密闭间内操作，涉VOCs原料储存、转移和输送、工艺过程等环节的废气全部收集引至</w:t>
                  </w:r>
                  <w:r>
                    <w:rPr>
                      <w:rFonts w:hint="eastAsia"/>
                    </w:rPr>
                    <w:t>“</w:t>
                  </w:r>
                  <w:r>
                    <w:t>UV光催化氧化+活性炭吸附</w:t>
                  </w:r>
                  <w:r>
                    <w:rPr>
                      <w:rFonts w:hint="eastAsia"/>
                    </w:rPr>
                    <w:t>”</w:t>
                  </w:r>
                  <w:r>
                    <w:t>装置处理达标后排放。</w:t>
                  </w:r>
                </w:p>
              </w:tc>
              <w:tc>
                <w:tcPr>
                  <w:tcW w:w="187" w:type="pct"/>
                  <w:vAlign w:val="center"/>
                </w:tcPr>
                <w:p>
                  <w:pPr>
                    <w:pStyle w:val="51"/>
                    <w:rPr>
                      <w:szCs w:val="28"/>
                    </w:rPr>
                  </w:pPr>
                  <w:r>
                    <w:rPr>
                      <w:szCs w:val="28"/>
                    </w:rPr>
                    <w:t>满足要求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5"/>
                  <w:vAlign w:val="center"/>
                </w:tcPr>
                <w:p>
                  <w:pPr>
                    <w:pStyle w:val="56"/>
                    <w:rPr>
                      <w:rFonts w:cs="Times New Roman"/>
                      <w:color w:val="auto"/>
                    </w:rPr>
                  </w:pPr>
                  <w:r>
                    <w:rPr>
                      <w:rFonts w:cs="Times New Roman"/>
                      <w:color w:val="auto"/>
                    </w:rPr>
                    <w:t>其他基本要求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0" w:type="pct"/>
                  <w:vMerge w:val="restart"/>
                  <w:vAlign w:val="center"/>
                </w:tcPr>
                <w:p>
                  <w:pPr>
                    <w:pStyle w:val="51"/>
                    <w:jc w:val="both"/>
                    <w:rPr>
                      <w:szCs w:val="28"/>
                    </w:rPr>
                  </w:pPr>
                  <w:r>
                    <w:rPr>
                      <w:szCs w:val="28"/>
                    </w:rPr>
                    <w:t>1、运输方式及运输监管</w:t>
                  </w:r>
                </w:p>
              </w:tc>
              <w:tc>
                <w:tcPr>
                  <w:tcW w:w="263" w:type="pct"/>
                  <w:vMerge w:val="restart"/>
                  <w:vAlign w:val="center"/>
                </w:tcPr>
                <w:p>
                  <w:pPr>
                    <w:adjustRightInd w:val="0"/>
                    <w:snapToGrid w:val="0"/>
                    <w:textAlignment w:val="baseline"/>
                    <w:outlineLvl w:val="0"/>
                  </w:pPr>
                  <w:r>
                    <w:t>（1）运输方式</w:t>
                  </w:r>
                </w:p>
              </w:tc>
              <w:tc>
                <w:tcPr>
                  <w:tcW w:w="2269" w:type="pct"/>
                  <w:vAlign w:val="center"/>
                </w:tcPr>
                <w:p>
                  <w:pPr>
                    <w:widowControl/>
                    <w:adjustRightInd w:val="0"/>
                    <w:snapToGrid w:val="0"/>
                    <w:ind w:firstLine="420" w:firstLineChars="200"/>
                    <w:textAlignment w:val="center"/>
                    <w:rPr>
                      <w:kern w:val="0"/>
                      <w:szCs w:val="21"/>
                    </w:rPr>
                  </w:pPr>
                  <w:r>
                    <w:rPr>
                      <w:kern w:val="0"/>
                      <w:szCs w:val="21"/>
                    </w:rPr>
                    <w:fldChar w:fldCharType="begin"/>
                  </w:r>
                  <w:r>
                    <w:rPr>
                      <w:kern w:val="0"/>
                      <w:szCs w:val="21"/>
                    </w:rPr>
                    <w:instrText xml:space="preserve"> = 1 \* GB3 </w:instrText>
                  </w:r>
                  <w:r>
                    <w:rPr>
                      <w:kern w:val="0"/>
                      <w:szCs w:val="21"/>
                    </w:rPr>
                    <w:fldChar w:fldCharType="separate"/>
                  </w:r>
                  <w:r>
                    <w:rPr>
                      <w:rFonts w:hint="eastAsia" w:ascii="宋体" w:hAnsi="宋体" w:cs="宋体"/>
                      <w:kern w:val="0"/>
                      <w:szCs w:val="21"/>
                    </w:rPr>
                    <w:t>①</w:t>
                  </w:r>
                  <w:r>
                    <w:rPr>
                      <w:kern w:val="0"/>
                      <w:szCs w:val="21"/>
                    </w:rPr>
                    <w:fldChar w:fldCharType="end"/>
                  </w:r>
                  <w:r>
                    <w:rPr>
                      <w:kern w:val="0"/>
                      <w:szCs w:val="21"/>
                    </w:rPr>
                    <w:t>公路运输。物料公路运输使用达到国五及以上排放标准重型载货车辆（重型燃气车辆达到国六排放标准）或新能源车辆比例（A级100%，B级不低于80%），其他车辆达到国四排放标准（重型燃气车辆达到国五及以上排放标准）；</w:t>
                  </w:r>
                </w:p>
              </w:tc>
              <w:tc>
                <w:tcPr>
                  <w:tcW w:w="1951" w:type="pct"/>
                  <w:vAlign w:val="center"/>
                </w:tcPr>
                <w:p>
                  <w:pPr>
                    <w:widowControl/>
                    <w:adjustRightInd w:val="0"/>
                    <w:snapToGrid w:val="0"/>
                    <w:ind w:firstLine="420" w:firstLineChars="200"/>
                    <w:textAlignment w:val="center"/>
                    <w:rPr>
                      <w:kern w:val="0"/>
                      <w:szCs w:val="21"/>
                    </w:rPr>
                  </w:pPr>
                  <w:r>
                    <w:rPr>
                      <w:kern w:val="0"/>
                      <w:szCs w:val="21"/>
                    </w:rPr>
                    <w:t>本项目公路运输所用物料均为供货方通过公路运输送至厂区，供货方所用车辆均达到国五及以上排放标准。</w:t>
                  </w:r>
                </w:p>
              </w:tc>
              <w:tc>
                <w:tcPr>
                  <w:tcW w:w="187" w:type="pct"/>
                  <w:vAlign w:val="center"/>
                </w:tcPr>
                <w:p>
                  <w:pPr>
                    <w:pStyle w:val="51"/>
                    <w:rPr>
                      <w:szCs w:val="28"/>
                    </w:rPr>
                  </w:pPr>
                  <w:r>
                    <w:rPr>
                      <w:szCs w:val="28"/>
                    </w:rPr>
                    <w:t>满足要求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0" w:type="pct"/>
                  <w:vMerge w:val="continue"/>
                  <w:vAlign w:val="center"/>
                </w:tcPr>
                <w:p>
                  <w:pPr>
                    <w:pStyle w:val="51"/>
                    <w:rPr>
                      <w:szCs w:val="28"/>
                    </w:rPr>
                  </w:pPr>
                </w:p>
              </w:tc>
              <w:tc>
                <w:tcPr>
                  <w:tcW w:w="263" w:type="pct"/>
                  <w:vMerge w:val="continue"/>
                  <w:vAlign w:val="center"/>
                </w:tcPr>
                <w:p>
                  <w:pPr>
                    <w:adjustRightInd w:val="0"/>
                    <w:snapToGrid w:val="0"/>
                    <w:ind w:firstLine="420" w:firstLineChars="200"/>
                    <w:textAlignment w:val="baseline"/>
                    <w:outlineLvl w:val="0"/>
                  </w:pPr>
                </w:p>
              </w:tc>
              <w:tc>
                <w:tcPr>
                  <w:tcW w:w="2269" w:type="pct"/>
                  <w:vAlign w:val="center"/>
                </w:tcPr>
                <w:p>
                  <w:pPr>
                    <w:widowControl/>
                    <w:adjustRightInd w:val="0"/>
                    <w:snapToGrid w:val="0"/>
                    <w:ind w:firstLine="420" w:firstLineChars="200"/>
                    <w:textAlignment w:val="center"/>
                    <w:rPr>
                      <w:kern w:val="0"/>
                      <w:szCs w:val="21"/>
                    </w:rPr>
                  </w:pPr>
                  <w:r>
                    <w:rPr>
                      <w:kern w:val="0"/>
                      <w:szCs w:val="21"/>
                    </w:rPr>
                    <w:fldChar w:fldCharType="begin"/>
                  </w:r>
                  <w:r>
                    <w:rPr>
                      <w:kern w:val="0"/>
                      <w:szCs w:val="21"/>
                    </w:rPr>
                    <w:instrText xml:space="preserve"> = 2 \* GB3 </w:instrText>
                  </w:r>
                  <w:r>
                    <w:rPr>
                      <w:kern w:val="0"/>
                      <w:szCs w:val="21"/>
                    </w:rPr>
                    <w:fldChar w:fldCharType="separate"/>
                  </w:r>
                  <w:r>
                    <w:rPr>
                      <w:rFonts w:hint="eastAsia" w:ascii="宋体" w:hAnsi="宋体" w:cs="宋体"/>
                      <w:kern w:val="0"/>
                      <w:szCs w:val="21"/>
                    </w:rPr>
                    <w:t>②</w:t>
                  </w:r>
                  <w:r>
                    <w:rPr>
                      <w:kern w:val="0"/>
                      <w:szCs w:val="21"/>
                    </w:rPr>
                    <w:fldChar w:fldCharType="end"/>
                  </w:r>
                  <w:r>
                    <w:rPr>
                      <w:kern w:val="0"/>
                      <w:szCs w:val="21"/>
                    </w:rPr>
                    <w:t>厂内运输车辆。达到国五及以上排放标准（重型燃气车辆达到国六排放标准）或使用新能源车辆的比例（A级100%，B级不低于80%），其他车辆达到国四排放标准（重型燃气车辆达到国五及以上排放标准）；</w:t>
                  </w:r>
                </w:p>
              </w:tc>
              <w:tc>
                <w:tcPr>
                  <w:tcW w:w="1951" w:type="pct"/>
                  <w:vAlign w:val="center"/>
                </w:tcPr>
                <w:p>
                  <w:pPr>
                    <w:widowControl/>
                    <w:adjustRightInd w:val="0"/>
                    <w:snapToGrid w:val="0"/>
                    <w:ind w:firstLine="420" w:firstLineChars="200"/>
                    <w:textAlignment w:val="center"/>
                    <w:rPr>
                      <w:kern w:val="0"/>
                      <w:szCs w:val="21"/>
                    </w:rPr>
                  </w:pPr>
                  <w:r>
                    <w:rPr>
                      <w:kern w:val="0"/>
                      <w:szCs w:val="21"/>
                    </w:rPr>
                    <w:t>本项目建成后内部无运输车辆，所用物料均通过人工进行搬运和转移。</w:t>
                  </w:r>
                </w:p>
              </w:tc>
              <w:tc>
                <w:tcPr>
                  <w:tcW w:w="187" w:type="pct"/>
                  <w:vAlign w:val="center"/>
                </w:tcPr>
                <w:p>
                  <w:pPr>
                    <w:pStyle w:val="51"/>
                    <w:rPr>
                      <w:szCs w:val="28"/>
                    </w:rPr>
                  </w:pPr>
                  <w:r>
                    <w:rPr>
                      <w:szCs w:val="28"/>
                    </w:rPr>
                    <w:t>满足要求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0" w:type="pct"/>
                  <w:vMerge w:val="continue"/>
                  <w:vAlign w:val="center"/>
                </w:tcPr>
                <w:p>
                  <w:pPr>
                    <w:pStyle w:val="51"/>
                    <w:rPr>
                      <w:szCs w:val="28"/>
                    </w:rPr>
                  </w:pPr>
                </w:p>
              </w:tc>
              <w:tc>
                <w:tcPr>
                  <w:tcW w:w="263" w:type="pct"/>
                  <w:vMerge w:val="continue"/>
                  <w:vAlign w:val="center"/>
                </w:tcPr>
                <w:p>
                  <w:pPr>
                    <w:adjustRightInd w:val="0"/>
                    <w:snapToGrid w:val="0"/>
                    <w:ind w:firstLine="420" w:firstLineChars="200"/>
                    <w:textAlignment w:val="baseline"/>
                    <w:outlineLvl w:val="0"/>
                  </w:pPr>
                </w:p>
              </w:tc>
              <w:tc>
                <w:tcPr>
                  <w:tcW w:w="2269" w:type="pct"/>
                  <w:vAlign w:val="center"/>
                </w:tcPr>
                <w:p>
                  <w:pPr>
                    <w:widowControl/>
                    <w:adjustRightInd w:val="0"/>
                    <w:snapToGrid w:val="0"/>
                    <w:ind w:firstLine="420" w:firstLineChars="200"/>
                    <w:textAlignment w:val="center"/>
                    <w:rPr>
                      <w:kern w:val="0"/>
                      <w:szCs w:val="21"/>
                    </w:rPr>
                  </w:pPr>
                  <w:r>
                    <w:rPr>
                      <w:kern w:val="0"/>
                      <w:szCs w:val="21"/>
                    </w:rPr>
                    <w:fldChar w:fldCharType="begin"/>
                  </w:r>
                  <w:r>
                    <w:rPr>
                      <w:kern w:val="0"/>
                      <w:szCs w:val="21"/>
                    </w:rPr>
                    <w:instrText xml:space="preserve"> = 3 \* GB3 </w:instrText>
                  </w:r>
                  <w:r>
                    <w:rPr>
                      <w:kern w:val="0"/>
                      <w:szCs w:val="21"/>
                    </w:rPr>
                    <w:fldChar w:fldCharType="separate"/>
                  </w:r>
                  <w:r>
                    <w:rPr>
                      <w:rFonts w:hint="eastAsia" w:ascii="宋体" w:hAnsi="宋体" w:cs="宋体"/>
                      <w:kern w:val="0"/>
                      <w:szCs w:val="21"/>
                    </w:rPr>
                    <w:t>③</w:t>
                  </w:r>
                  <w:r>
                    <w:rPr>
                      <w:kern w:val="0"/>
                      <w:szCs w:val="21"/>
                    </w:rPr>
                    <w:fldChar w:fldCharType="end"/>
                  </w:r>
                  <w:r>
                    <w:rPr>
                      <w:kern w:val="0"/>
                      <w:szCs w:val="21"/>
                    </w:rPr>
                    <w:t>危险品及危废运输。国五及以上或新能源车辆（A级/B级100%）；</w:t>
                  </w:r>
                </w:p>
              </w:tc>
              <w:tc>
                <w:tcPr>
                  <w:tcW w:w="1951" w:type="pct"/>
                  <w:vAlign w:val="center"/>
                </w:tcPr>
                <w:p>
                  <w:pPr>
                    <w:widowControl/>
                    <w:adjustRightInd w:val="0"/>
                    <w:snapToGrid w:val="0"/>
                    <w:ind w:firstLine="420" w:firstLineChars="200"/>
                    <w:textAlignment w:val="center"/>
                    <w:rPr>
                      <w:kern w:val="0"/>
                      <w:szCs w:val="21"/>
                    </w:rPr>
                  </w:pPr>
                  <w:r>
                    <w:t>本项目建成后所用的危险品及危废转运均为供货方及危废处置单位提供车辆进行公路运输，运输车辆均满足国五及以上标准。</w:t>
                  </w:r>
                </w:p>
              </w:tc>
              <w:tc>
                <w:tcPr>
                  <w:tcW w:w="187" w:type="pct"/>
                  <w:vAlign w:val="center"/>
                </w:tcPr>
                <w:p>
                  <w:pPr>
                    <w:pStyle w:val="51"/>
                    <w:rPr>
                      <w:szCs w:val="28"/>
                    </w:rPr>
                  </w:pPr>
                  <w:r>
                    <w:rPr>
                      <w:szCs w:val="28"/>
                    </w:rPr>
                    <w:t>满足要求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0" w:type="pct"/>
                  <w:vMerge w:val="continue"/>
                  <w:vAlign w:val="center"/>
                </w:tcPr>
                <w:p>
                  <w:pPr>
                    <w:pStyle w:val="51"/>
                    <w:rPr>
                      <w:szCs w:val="28"/>
                    </w:rPr>
                  </w:pPr>
                </w:p>
              </w:tc>
              <w:tc>
                <w:tcPr>
                  <w:tcW w:w="263" w:type="pct"/>
                  <w:vMerge w:val="continue"/>
                  <w:vAlign w:val="center"/>
                </w:tcPr>
                <w:p>
                  <w:pPr>
                    <w:adjustRightInd w:val="0"/>
                    <w:snapToGrid w:val="0"/>
                    <w:ind w:firstLine="420" w:firstLineChars="200"/>
                    <w:textAlignment w:val="baseline"/>
                    <w:outlineLvl w:val="0"/>
                  </w:pPr>
                </w:p>
              </w:tc>
              <w:tc>
                <w:tcPr>
                  <w:tcW w:w="2269" w:type="pct"/>
                  <w:vAlign w:val="center"/>
                </w:tcPr>
                <w:p>
                  <w:pPr>
                    <w:widowControl/>
                    <w:adjustRightInd w:val="0"/>
                    <w:snapToGrid w:val="0"/>
                    <w:ind w:firstLine="420" w:firstLineChars="200"/>
                    <w:textAlignment w:val="center"/>
                    <w:rPr>
                      <w:kern w:val="0"/>
                      <w:szCs w:val="21"/>
                    </w:rPr>
                  </w:pPr>
                  <w:r>
                    <w:rPr>
                      <w:kern w:val="0"/>
                      <w:szCs w:val="21"/>
                    </w:rPr>
                    <w:fldChar w:fldCharType="begin"/>
                  </w:r>
                  <w:r>
                    <w:rPr>
                      <w:kern w:val="0"/>
                      <w:szCs w:val="21"/>
                    </w:rPr>
                    <w:instrText xml:space="preserve"> = 4 \* GB3 </w:instrText>
                  </w:r>
                  <w:r>
                    <w:rPr>
                      <w:kern w:val="0"/>
                      <w:szCs w:val="21"/>
                    </w:rPr>
                    <w:fldChar w:fldCharType="separate"/>
                  </w:r>
                  <w:r>
                    <w:rPr>
                      <w:rFonts w:hint="eastAsia" w:ascii="宋体" w:hAnsi="宋体" w:cs="宋体"/>
                      <w:kern w:val="0"/>
                      <w:szCs w:val="21"/>
                    </w:rPr>
                    <w:t>④</w:t>
                  </w:r>
                  <w:r>
                    <w:rPr>
                      <w:kern w:val="0"/>
                      <w:szCs w:val="21"/>
                    </w:rPr>
                    <w:fldChar w:fldCharType="end"/>
                  </w:r>
                  <w:r>
                    <w:rPr>
                      <w:kern w:val="0"/>
                      <w:szCs w:val="21"/>
                    </w:rPr>
                    <w:t>厂内非道路移动机械。国三及以上排放标准或使用新能源机械（A级/B级100%）。</w:t>
                  </w:r>
                </w:p>
              </w:tc>
              <w:tc>
                <w:tcPr>
                  <w:tcW w:w="1951" w:type="pct"/>
                  <w:vAlign w:val="center"/>
                </w:tcPr>
                <w:p>
                  <w:pPr>
                    <w:adjustRightInd w:val="0"/>
                    <w:snapToGrid w:val="0"/>
                    <w:jc w:val="center"/>
                    <w:textAlignment w:val="baseline"/>
                    <w:outlineLvl w:val="0"/>
                  </w:pPr>
                  <w:r>
                    <w:t>本项目不涉及</w:t>
                  </w:r>
                </w:p>
              </w:tc>
              <w:tc>
                <w:tcPr>
                  <w:tcW w:w="187" w:type="pct"/>
                  <w:vAlign w:val="center"/>
                </w:tcPr>
                <w:p>
                  <w:pPr>
                    <w:pStyle w:val="51"/>
                    <w:rPr>
                      <w:szCs w:val="28"/>
                    </w:rPr>
                  </w:pPr>
                  <w:r>
                    <w:rPr>
                      <w:szCs w:val="28"/>
                    </w:rPr>
                    <w:t>满足要求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0" w:type="pct"/>
                  <w:vMerge w:val="continue"/>
                  <w:vAlign w:val="center"/>
                </w:tcPr>
                <w:p>
                  <w:pPr>
                    <w:pStyle w:val="51"/>
                    <w:rPr>
                      <w:szCs w:val="28"/>
                    </w:rPr>
                  </w:pPr>
                </w:p>
              </w:tc>
              <w:tc>
                <w:tcPr>
                  <w:tcW w:w="263" w:type="pct"/>
                  <w:vAlign w:val="center"/>
                </w:tcPr>
                <w:p>
                  <w:pPr>
                    <w:adjustRightInd w:val="0"/>
                    <w:snapToGrid w:val="0"/>
                    <w:textAlignment w:val="baseline"/>
                    <w:outlineLvl w:val="0"/>
                  </w:pPr>
                  <w:r>
                    <w:t>（2）运输监管</w:t>
                  </w:r>
                </w:p>
              </w:tc>
              <w:tc>
                <w:tcPr>
                  <w:tcW w:w="2269" w:type="pct"/>
                  <w:vAlign w:val="center"/>
                </w:tcPr>
                <w:p>
                  <w:pPr>
                    <w:widowControl/>
                    <w:adjustRightInd w:val="0"/>
                    <w:snapToGrid w:val="0"/>
                    <w:ind w:firstLine="420" w:firstLineChars="200"/>
                    <w:textAlignment w:val="center"/>
                    <w:rPr>
                      <w:kern w:val="0"/>
                      <w:szCs w:val="21"/>
                    </w:rPr>
                  </w:pPr>
                  <w:r>
                    <w:rPr>
                      <w:kern w:val="0"/>
                      <w:szCs w:val="21"/>
                    </w:rPr>
                    <w:t>厂区货运车辆进出大门口：日均进出货物150吨（或载货车辆日进出10辆次）及以上（货物包括原料、辅料、燃料、产品和其他与生产相关物料）的企业，或纳入我省重点行业年产值1000万及以上的企业，拟申报A、B级企业时，应参照《重污染天气重点行业移动源应急管理技术指南》建立门禁视频监控系统和电子台账；其他企业建立电子台账。安装高清视频监控系统并能保留数据6个月以上。</w:t>
                  </w:r>
                </w:p>
              </w:tc>
              <w:tc>
                <w:tcPr>
                  <w:tcW w:w="1951" w:type="pct"/>
                  <w:vAlign w:val="center"/>
                </w:tcPr>
                <w:p>
                  <w:pPr>
                    <w:widowControl/>
                    <w:adjustRightInd w:val="0"/>
                    <w:snapToGrid w:val="0"/>
                    <w:ind w:firstLine="420" w:firstLineChars="200"/>
                    <w:textAlignment w:val="center"/>
                    <w:rPr>
                      <w:kern w:val="0"/>
                      <w:szCs w:val="21"/>
                    </w:rPr>
                  </w:pPr>
                  <w:r>
                    <w:rPr>
                      <w:rFonts w:hint="eastAsia"/>
                      <w:kern w:val="0"/>
                      <w:szCs w:val="21"/>
                    </w:rPr>
                    <w:t>本项目企业全部采用多功能检测车，进行检测实验试剂、试样的运输，不涉及重型货车，且项目位于</w:t>
                  </w:r>
                  <w:r>
                    <w:rPr>
                      <w:szCs w:val="21"/>
                    </w:rPr>
                    <w:t>新乡经济技术产业集聚区南区纸制品印刷包装产业园</w:t>
                  </w:r>
                  <w:r>
                    <w:rPr>
                      <w:rFonts w:hint="eastAsia"/>
                      <w:szCs w:val="21"/>
                    </w:rPr>
                    <w:t>，利用园区现有空厂房进行建设，无单独的厂区，且项目不属于工业项目，属于检测服务业，故可不安装门禁系统和车辆视频监控系统。</w:t>
                  </w:r>
                </w:p>
              </w:tc>
              <w:tc>
                <w:tcPr>
                  <w:tcW w:w="187" w:type="pct"/>
                  <w:vAlign w:val="center"/>
                </w:tcPr>
                <w:p>
                  <w:pPr>
                    <w:pStyle w:val="51"/>
                    <w:rPr>
                      <w:szCs w:val="28"/>
                    </w:rPr>
                  </w:pPr>
                  <w:r>
                    <w:rPr>
                      <w:szCs w:val="28"/>
                    </w:rPr>
                    <w:t>满足要求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0" w:type="pct"/>
                  <w:vMerge w:val="restart"/>
                  <w:vAlign w:val="center"/>
                </w:tcPr>
                <w:p>
                  <w:pPr>
                    <w:pStyle w:val="51"/>
                    <w:jc w:val="both"/>
                    <w:rPr>
                      <w:szCs w:val="28"/>
                    </w:rPr>
                  </w:pPr>
                  <w:r>
                    <w:rPr>
                      <w:szCs w:val="28"/>
                    </w:rPr>
                    <w:t>2、环境管理要求</w:t>
                  </w:r>
                </w:p>
              </w:tc>
              <w:tc>
                <w:tcPr>
                  <w:tcW w:w="263" w:type="pct"/>
                  <w:vMerge w:val="restart"/>
                  <w:vAlign w:val="center"/>
                </w:tcPr>
                <w:p>
                  <w:pPr>
                    <w:adjustRightInd w:val="0"/>
                    <w:snapToGrid w:val="0"/>
                    <w:textAlignment w:val="baseline"/>
                    <w:outlineLvl w:val="0"/>
                  </w:pPr>
                  <w:r>
                    <w:t>（1）环保档案资料齐全</w:t>
                  </w:r>
                </w:p>
              </w:tc>
              <w:tc>
                <w:tcPr>
                  <w:tcW w:w="2269" w:type="pct"/>
                  <w:vAlign w:val="center"/>
                </w:tcPr>
                <w:p>
                  <w:pPr>
                    <w:widowControl/>
                    <w:adjustRightInd w:val="0"/>
                    <w:snapToGrid w:val="0"/>
                    <w:ind w:firstLine="420" w:firstLineChars="200"/>
                    <w:textAlignment w:val="center"/>
                    <w:rPr>
                      <w:kern w:val="0"/>
                      <w:szCs w:val="21"/>
                    </w:rPr>
                  </w:pPr>
                  <w:r>
                    <w:rPr>
                      <w:rFonts w:hint="eastAsia" w:ascii="宋体" w:hAnsi="宋体" w:cs="宋体"/>
                      <w:kern w:val="0"/>
                      <w:szCs w:val="21"/>
                    </w:rPr>
                    <w:t>①</w:t>
                  </w:r>
                  <w:r>
                    <w:rPr>
                      <w:kern w:val="0"/>
                      <w:szCs w:val="21"/>
                    </w:rPr>
                    <w:t>环评批复文件和竣工验收文件/现状评估文件；</w:t>
                  </w:r>
                </w:p>
              </w:tc>
              <w:tc>
                <w:tcPr>
                  <w:tcW w:w="1951" w:type="pct"/>
                  <w:vMerge w:val="restart"/>
                  <w:vAlign w:val="center"/>
                </w:tcPr>
                <w:p>
                  <w:pPr>
                    <w:widowControl/>
                    <w:adjustRightInd w:val="0"/>
                    <w:snapToGrid w:val="0"/>
                    <w:ind w:firstLine="420" w:firstLineChars="200"/>
                    <w:textAlignment w:val="center"/>
                    <w:rPr>
                      <w:kern w:val="0"/>
                      <w:szCs w:val="21"/>
                    </w:rPr>
                  </w:pPr>
                  <w:r>
                    <w:rPr>
                      <w:kern w:val="0"/>
                      <w:szCs w:val="21"/>
                    </w:rPr>
                    <w:t>本项目建成后企业将按要求配备专职人员管理各项环保档案，确保各项环保档案齐全完整。</w:t>
                  </w:r>
                </w:p>
              </w:tc>
              <w:tc>
                <w:tcPr>
                  <w:tcW w:w="187" w:type="pct"/>
                  <w:vMerge w:val="restart"/>
                  <w:vAlign w:val="center"/>
                </w:tcPr>
                <w:p>
                  <w:pPr>
                    <w:pStyle w:val="51"/>
                    <w:rPr>
                      <w:szCs w:val="28"/>
                    </w:rPr>
                  </w:pPr>
                  <w:r>
                    <w:rPr>
                      <w:szCs w:val="28"/>
                    </w:rPr>
                    <w:t>满足要求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0" w:type="pct"/>
                  <w:vMerge w:val="continue"/>
                  <w:vAlign w:val="center"/>
                </w:tcPr>
                <w:p>
                  <w:pPr>
                    <w:pStyle w:val="51"/>
                    <w:jc w:val="both"/>
                    <w:rPr>
                      <w:szCs w:val="28"/>
                    </w:rPr>
                  </w:pPr>
                </w:p>
              </w:tc>
              <w:tc>
                <w:tcPr>
                  <w:tcW w:w="263" w:type="pct"/>
                  <w:vMerge w:val="continue"/>
                  <w:vAlign w:val="center"/>
                </w:tcPr>
                <w:p>
                  <w:pPr>
                    <w:adjustRightInd w:val="0"/>
                    <w:snapToGrid w:val="0"/>
                    <w:textAlignment w:val="baseline"/>
                    <w:outlineLvl w:val="0"/>
                  </w:pPr>
                </w:p>
              </w:tc>
              <w:tc>
                <w:tcPr>
                  <w:tcW w:w="2269" w:type="pct"/>
                  <w:vAlign w:val="center"/>
                </w:tcPr>
                <w:p>
                  <w:pPr>
                    <w:widowControl/>
                    <w:adjustRightInd w:val="0"/>
                    <w:snapToGrid w:val="0"/>
                    <w:ind w:firstLine="420" w:firstLineChars="200"/>
                    <w:textAlignment w:val="center"/>
                    <w:rPr>
                      <w:kern w:val="0"/>
                      <w:szCs w:val="21"/>
                    </w:rPr>
                  </w:pPr>
                  <w:r>
                    <w:rPr>
                      <w:rFonts w:hint="eastAsia" w:ascii="宋体" w:hAnsi="宋体" w:cs="宋体"/>
                      <w:kern w:val="0"/>
                      <w:szCs w:val="21"/>
                    </w:rPr>
                    <w:t>②</w:t>
                  </w:r>
                  <w:r>
                    <w:rPr>
                      <w:kern w:val="0"/>
                      <w:szCs w:val="21"/>
                    </w:rPr>
                    <w:t>废气治理设施运行管理规程</w:t>
                  </w:r>
                </w:p>
              </w:tc>
              <w:tc>
                <w:tcPr>
                  <w:tcW w:w="1951" w:type="pct"/>
                  <w:vMerge w:val="continue"/>
                  <w:vAlign w:val="center"/>
                </w:tcPr>
                <w:p>
                  <w:pPr>
                    <w:widowControl/>
                    <w:adjustRightInd w:val="0"/>
                    <w:snapToGrid w:val="0"/>
                    <w:ind w:firstLine="420" w:firstLineChars="200"/>
                    <w:textAlignment w:val="center"/>
                    <w:rPr>
                      <w:color w:val="FF0000"/>
                      <w:kern w:val="0"/>
                      <w:szCs w:val="21"/>
                    </w:rPr>
                  </w:pPr>
                </w:p>
              </w:tc>
              <w:tc>
                <w:tcPr>
                  <w:tcW w:w="187" w:type="pct"/>
                  <w:vMerge w:val="continue"/>
                  <w:vAlign w:val="center"/>
                </w:tcPr>
                <w:p>
                  <w:pPr>
                    <w:pStyle w:val="51"/>
                    <w:rPr>
                      <w:color w:val="FF0000"/>
                      <w:szCs w:val="28"/>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0" w:type="pct"/>
                  <w:vMerge w:val="continue"/>
                  <w:vAlign w:val="center"/>
                </w:tcPr>
                <w:p>
                  <w:pPr>
                    <w:pStyle w:val="51"/>
                    <w:jc w:val="both"/>
                    <w:rPr>
                      <w:szCs w:val="28"/>
                    </w:rPr>
                  </w:pPr>
                </w:p>
              </w:tc>
              <w:tc>
                <w:tcPr>
                  <w:tcW w:w="263" w:type="pct"/>
                  <w:vMerge w:val="continue"/>
                  <w:vAlign w:val="center"/>
                </w:tcPr>
                <w:p>
                  <w:pPr>
                    <w:adjustRightInd w:val="0"/>
                    <w:snapToGrid w:val="0"/>
                    <w:textAlignment w:val="baseline"/>
                    <w:outlineLvl w:val="0"/>
                  </w:pPr>
                </w:p>
              </w:tc>
              <w:tc>
                <w:tcPr>
                  <w:tcW w:w="2269" w:type="pct"/>
                  <w:vAlign w:val="center"/>
                </w:tcPr>
                <w:p>
                  <w:pPr>
                    <w:widowControl/>
                    <w:adjustRightInd w:val="0"/>
                    <w:snapToGrid w:val="0"/>
                    <w:ind w:firstLine="420" w:firstLineChars="200"/>
                    <w:textAlignment w:val="center"/>
                    <w:rPr>
                      <w:kern w:val="0"/>
                      <w:szCs w:val="21"/>
                    </w:rPr>
                  </w:pPr>
                  <w:r>
                    <w:rPr>
                      <w:rFonts w:hint="eastAsia" w:ascii="宋体" w:hAnsi="宋体" w:cs="宋体"/>
                      <w:kern w:val="0"/>
                      <w:szCs w:val="21"/>
                    </w:rPr>
                    <w:t>③</w:t>
                  </w:r>
                  <w:r>
                    <w:rPr>
                      <w:kern w:val="0"/>
                      <w:szCs w:val="21"/>
                    </w:rPr>
                    <w:t>一年内废气监测报告；</w:t>
                  </w:r>
                </w:p>
              </w:tc>
              <w:tc>
                <w:tcPr>
                  <w:tcW w:w="1951" w:type="pct"/>
                  <w:vMerge w:val="continue"/>
                  <w:vAlign w:val="center"/>
                </w:tcPr>
                <w:p>
                  <w:pPr>
                    <w:widowControl/>
                    <w:adjustRightInd w:val="0"/>
                    <w:snapToGrid w:val="0"/>
                    <w:ind w:firstLine="420" w:firstLineChars="200"/>
                    <w:textAlignment w:val="center"/>
                    <w:rPr>
                      <w:color w:val="FF0000"/>
                      <w:kern w:val="0"/>
                      <w:szCs w:val="21"/>
                    </w:rPr>
                  </w:pPr>
                </w:p>
              </w:tc>
              <w:tc>
                <w:tcPr>
                  <w:tcW w:w="187" w:type="pct"/>
                  <w:vMerge w:val="continue"/>
                  <w:vAlign w:val="center"/>
                </w:tcPr>
                <w:p>
                  <w:pPr>
                    <w:pStyle w:val="51"/>
                    <w:rPr>
                      <w:color w:val="FF0000"/>
                      <w:szCs w:val="28"/>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0" w:type="pct"/>
                  <w:vMerge w:val="continue"/>
                  <w:vAlign w:val="center"/>
                </w:tcPr>
                <w:p>
                  <w:pPr>
                    <w:pStyle w:val="51"/>
                    <w:jc w:val="both"/>
                    <w:rPr>
                      <w:szCs w:val="28"/>
                    </w:rPr>
                  </w:pPr>
                </w:p>
              </w:tc>
              <w:tc>
                <w:tcPr>
                  <w:tcW w:w="263" w:type="pct"/>
                  <w:vMerge w:val="continue"/>
                  <w:vAlign w:val="center"/>
                </w:tcPr>
                <w:p>
                  <w:pPr>
                    <w:adjustRightInd w:val="0"/>
                    <w:snapToGrid w:val="0"/>
                    <w:textAlignment w:val="baseline"/>
                    <w:outlineLvl w:val="0"/>
                  </w:pPr>
                </w:p>
              </w:tc>
              <w:tc>
                <w:tcPr>
                  <w:tcW w:w="2269" w:type="pct"/>
                  <w:vAlign w:val="center"/>
                </w:tcPr>
                <w:p>
                  <w:pPr>
                    <w:widowControl/>
                    <w:adjustRightInd w:val="0"/>
                    <w:snapToGrid w:val="0"/>
                    <w:ind w:firstLine="420" w:firstLineChars="200"/>
                    <w:textAlignment w:val="center"/>
                    <w:rPr>
                      <w:kern w:val="0"/>
                      <w:szCs w:val="21"/>
                    </w:rPr>
                  </w:pPr>
                  <w:r>
                    <w:rPr>
                      <w:rFonts w:hint="eastAsia" w:ascii="宋体" w:hAnsi="宋体" w:cs="宋体"/>
                      <w:kern w:val="0"/>
                      <w:szCs w:val="21"/>
                    </w:rPr>
                    <w:t>④</w:t>
                  </w:r>
                  <w:r>
                    <w:rPr>
                      <w:kern w:val="0"/>
                      <w:szCs w:val="21"/>
                    </w:rPr>
                    <w:t>国家版排污许可证，并按要求开展自行监测和信息披露，有规范的排气筒监测平台和排污口标识。</w:t>
                  </w:r>
                </w:p>
              </w:tc>
              <w:tc>
                <w:tcPr>
                  <w:tcW w:w="1951" w:type="pct"/>
                  <w:vMerge w:val="continue"/>
                  <w:vAlign w:val="center"/>
                </w:tcPr>
                <w:p>
                  <w:pPr>
                    <w:widowControl/>
                    <w:adjustRightInd w:val="0"/>
                    <w:snapToGrid w:val="0"/>
                    <w:ind w:firstLine="420" w:firstLineChars="200"/>
                    <w:textAlignment w:val="center"/>
                    <w:rPr>
                      <w:color w:val="FF0000"/>
                      <w:kern w:val="0"/>
                      <w:szCs w:val="21"/>
                    </w:rPr>
                  </w:pPr>
                </w:p>
              </w:tc>
              <w:tc>
                <w:tcPr>
                  <w:tcW w:w="187" w:type="pct"/>
                  <w:vMerge w:val="continue"/>
                  <w:vAlign w:val="center"/>
                </w:tcPr>
                <w:p>
                  <w:pPr>
                    <w:pStyle w:val="51"/>
                    <w:rPr>
                      <w:color w:val="FF0000"/>
                      <w:szCs w:val="28"/>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0" w:type="pct"/>
                  <w:vMerge w:val="continue"/>
                  <w:vAlign w:val="center"/>
                </w:tcPr>
                <w:p>
                  <w:pPr>
                    <w:pStyle w:val="51"/>
                    <w:jc w:val="both"/>
                    <w:rPr>
                      <w:szCs w:val="28"/>
                    </w:rPr>
                  </w:pPr>
                </w:p>
              </w:tc>
              <w:tc>
                <w:tcPr>
                  <w:tcW w:w="263" w:type="pct"/>
                  <w:vMerge w:val="restart"/>
                  <w:vAlign w:val="center"/>
                </w:tcPr>
                <w:p>
                  <w:pPr>
                    <w:adjustRightInd w:val="0"/>
                    <w:snapToGrid w:val="0"/>
                    <w:textAlignment w:val="baseline"/>
                    <w:outlineLvl w:val="0"/>
                  </w:pPr>
                  <w:r>
                    <w:t>（2）台账记录信息完整</w:t>
                  </w:r>
                </w:p>
              </w:tc>
              <w:tc>
                <w:tcPr>
                  <w:tcW w:w="2269" w:type="pct"/>
                  <w:vAlign w:val="center"/>
                </w:tcPr>
                <w:p>
                  <w:pPr>
                    <w:widowControl/>
                    <w:adjustRightInd w:val="0"/>
                    <w:snapToGrid w:val="0"/>
                    <w:ind w:firstLine="420" w:firstLineChars="200"/>
                    <w:textAlignment w:val="center"/>
                    <w:rPr>
                      <w:kern w:val="0"/>
                      <w:szCs w:val="21"/>
                    </w:rPr>
                  </w:pPr>
                  <w:r>
                    <w:rPr>
                      <w:rFonts w:hint="eastAsia" w:ascii="宋体" w:hAnsi="宋体" w:cs="宋体"/>
                      <w:kern w:val="0"/>
                      <w:szCs w:val="21"/>
                    </w:rPr>
                    <w:t>①</w:t>
                  </w:r>
                  <w:r>
                    <w:rPr>
                      <w:kern w:val="0"/>
                      <w:szCs w:val="21"/>
                    </w:rPr>
                    <w:t>生产设施运行管理信息（生产时间、运行负荷、产品产量等）；</w:t>
                  </w:r>
                </w:p>
              </w:tc>
              <w:tc>
                <w:tcPr>
                  <w:tcW w:w="1951" w:type="pct"/>
                  <w:vMerge w:val="restart"/>
                  <w:vAlign w:val="center"/>
                </w:tcPr>
                <w:p>
                  <w:pPr>
                    <w:widowControl/>
                    <w:adjustRightInd w:val="0"/>
                    <w:snapToGrid w:val="0"/>
                    <w:ind w:firstLine="420" w:firstLineChars="200"/>
                    <w:textAlignment w:val="center"/>
                    <w:rPr>
                      <w:kern w:val="0"/>
                      <w:szCs w:val="21"/>
                    </w:rPr>
                  </w:pPr>
                  <w:r>
                    <w:rPr>
                      <w:kern w:val="0"/>
                      <w:szCs w:val="21"/>
                    </w:rPr>
                    <w:t>本项目建成后企业将按要求做好各项台账记录，并存档保存。</w:t>
                  </w:r>
                </w:p>
              </w:tc>
              <w:tc>
                <w:tcPr>
                  <w:tcW w:w="187" w:type="pct"/>
                  <w:vMerge w:val="restart"/>
                  <w:vAlign w:val="center"/>
                </w:tcPr>
                <w:p>
                  <w:pPr>
                    <w:pStyle w:val="51"/>
                    <w:rPr>
                      <w:szCs w:val="28"/>
                    </w:rPr>
                  </w:pPr>
                  <w:r>
                    <w:rPr>
                      <w:szCs w:val="28"/>
                    </w:rPr>
                    <w:t>满足要求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0" w:type="pct"/>
                  <w:vMerge w:val="continue"/>
                  <w:vAlign w:val="center"/>
                </w:tcPr>
                <w:p>
                  <w:pPr>
                    <w:pStyle w:val="51"/>
                    <w:jc w:val="both"/>
                    <w:rPr>
                      <w:color w:val="FF0000"/>
                      <w:szCs w:val="28"/>
                    </w:rPr>
                  </w:pPr>
                </w:p>
              </w:tc>
              <w:tc>
                <w:tcPr>
                  <w:tcW w:w="263" w:type="pct"/>
                  <w:vMerge w:val="continue"/>
                  <w:vAlign w:val="center"/>
                </w:tcPr>
                <w:p>
                  <w:pPr>
                    <w:adjustRightInd w:val="0"/>
                    <w:snapToGrid w:val="0"/>
                    <w:textAlignment w:val="baseline"/>
                    <w:outlineLvl w:val="0"/>
                    <w:rPr>
                      <w:color w:val="FF0000"/>
                    </w:rPr>
                  </w:pPr>
                </w:p>
              </w:tc>
              <w:tc>
                <w:tcPr>
                  <w:tcW w:w="2269" w:type="pct"/>
                  <w:vAlign w:val="center"/>
                </w:tcPr>
                <w:p>
                  <w:pPr>
                    <w:widowControl/>
                    <w:adjustRightInd w:val="0"/>
                    <w:snapToGrid w:val="0"/>
                    <w:ind w:firstLine="420" w:firstLineChars="200"/>
                    <w:textAlignment w:val="center"/>
                    <w:rPr>
                      <w:kern w:val="0"/>
                      <w:szCs w:val="21"/>
                    </w:rPr>
                  </w:pPr>
                  <w:r>
                    <w:rPr>
                      <w:rFonts w:hint="eastAsia" w:ascii="宋体" w:hAnsi="宋体" w:cs="宋体"/>
                      <w:kern w:val="0"/>
                      <w:szCs w:val="21"/>
                    </w:rPr>
                    <w:t>②</w:t>
                  </w:r>
                  <w:r>
                    <w:rPr>
                      <w:kern w:val="0"/>
                      <w:szCs w:val="21"/>
                    </w:rPr>
                    <w:t>废气污染治理设施运行管理信息（除尘滤料、活性炭等更换量和时间）；</w:t>
                  </w:r>
                </w:p>
              </w:tc>
              <w:tc>
                <w:tcPr>
                  <w:tcW w:w="1951" w:type="pct"/>
                  <w:vMerge w:val="continue"/>
                  <w:vAlign w:val="center"/>
                </w:tcPr>
                <w:p>
                  <w:pPr>
                    <w:adjustRightInd w:val="0"/>
                    <w:snapToGrid w:val="0"/>
                    <w:ind w:firstLine="420" w:firstLineChars="200"/>
                    <w:textAlignment w:val="baseline"/>
                    <w:outlineLvl w:val="0"/>
                    <w:rPr>
                      <w:color w:val="FF0000"/>
                    </w:rPr>
                  </w:pPr>
                </w:p>
              </w:tc>
              <w:tc>
                <w:tcPr>
                  <w:tcW w:w="187" w:type="pct"/>
                  <w:vMerge w:val="continue"/>
                  <w:vAlign w:val="center"/>
                </w:tcPr>
                <w:p>
                  <w:pPr>
                    <w:pStyle w:val="51"/>
                    <w:rPr>
                      <w:color w:val="FF0000"/>
                      <w:szCs w:val="28"/>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0" w:type="pct"/>
                  <w:vMerge w:val="continue"/>
                  <w:vAlign w:val="center"/>
                </w:tcPr>
                <w:p>
                  <w:pPr>
                    <w:pStyle w:val="51"/>
                    <w:jc w:val="both"/>
                    <w:rPr>
                      <w:color w:val="FF0000"/>
                      <w:szCs w:val="28"/>
                    </w:rPr>
                  </w:pPr>
                </w:p>
              </w:tc>
              <w:tc>
                <w:tcPr>
                  <w:tcW w:w="263" w:type="pct"/>
                  <w:vMerge w:val="continue"/>
                  <w:vAlign w:val="center"/>
                </w:tcPr>
                <w:p>
                  <w:pPr>
                    <w:adjustRightInd w:val="0"/>
                    <w:snapToGrid w:val="0"/>
                    <w:textAlignment w:val="baseline"/>
                    <w:outlineLvl w:val="0"/>
                    <w:rPr>
                      <w:color w:val="FF0000"/>
                    </w:rPr>
                  </w:pPr>
                </w:p>
              </w:tc>
              <w:tc>
                <w:tcPr>
                  <w:tcW w:w="2269" w:type="pct"/>
                  <w:vAlign w:val="center"/>
                </w:tcPr>
                <w:p>
                  <w:pPr>
                    <w:widowControl/>
                    <w:adjustRightInd w:val="0"/>
                    <w:snapToGrid w:val="0"/>
                    <w:ind w:firstLine="420" w:firstLineChars="200"/>
                    <w:textAlignment w:val="center"/>
                    <w:rPr>
                      <w:kern w:val="0"/>
                      <w:szCs w:val="21"/>
                    </w:rPr>
                  </w:pPr>
                  <w:r>
                    <w:rPr>
                      <w:rFonts w:hint="eastAsia" w:ascii="宋体" w:hAnsi="宋体" w:cs="宋体"/>
                      <w:kern w:val="0"/>
                      <w:szCs w:val="21"/>
                    </w:rPr>
                    <w:t>③</w:t>
                  </w:r>
                  <w:r>
                    <w:rPr>
                      <w:kern w:val="0"/>
                      <w:szCs w:val="21"/>
                    </w:rPr>
                    <w:t>监测记录信息（主要污染排放口废气排放记录（手工监测和在线监测）等）；</w:t>
                  </w:r>
                </w:p>
              </w:tc>
              <w:tc>
                <w:tcPr>
                  <w:tcW w:w="1951" w:type="pct"/>
                  <w:vMerge w:val="continue"/>
                  <w:vAlign w:val="center"/>
                </w:tcPr>
                <w:p>
                  <w:pPr>
                    <w:adjustRightInd w:val="0"/>
                    <w:snapToGrid w:val="0"/>
                    <w:ind w:firstLine="420" w:firstLineChars="200"/>
                    <w:textAlignment w:val="baseline"/>
                    <w:outlineLvl w:val="0"/>
                    <w:rPr>
                      <w:color w:val="FF0000"/>
                    </w:rPr>
                  </w:pPr>
                </w:p>
              </w:tc>
              <w:tc>
                <w:tcPr>
                  <w:tcW w:w="187" w:type="pct"/>
                  <w:vMerge w:val="continue"/>
                  <w:vAlign w:val="center"/>
                </w:tcPr>
                <w:p>
                  <w:pPr>
                    <w:pStyle w:val="51"/>
                    <w:rPr>
                      <w:color w:val="FF0000"/>
                      <w:szCs w:val="28"/>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0" w:type="pct"/>
                  <w:vMerge w:val="continue"/>
                  <w:vAlign w:val="center"/>
                </w:tcPr>
                <w:p>
                  <w:pPr>
                    <w:pStyle w:val="51"/>
                    <w:jc w:val="both"/>
                    <w:rPr>
                      <w:color w:val="FF0000"/>
                      <w:szCs w:val="28"/>
                    </w:rPr>
                  </w:pPr>
                </w:p>
              </w:tc>
              <w:tc>
                <w:tcPr>
                  <w:tcW w:w="263" w:type="pct"/>
                  <w:vMerge w:val="continue"/>
                  <w:vAlign w:val="center"/>
                </w:tcPr>
                <w:p>
                  <w:pPr>
                    <w:adjustRightInd w:val="0"/>
                    <w:snapToGrid w:val="0"/>
                    <w:textAlignment w:val="baseline"/>
                    <w:outlineLvl w:val="0"/>
                    <w:rPr>
                      <w:color w:val="FF0000"/>
                    </w:rPr>
                  </w:pPr>
                </w:p>
              </w:tc>
              <w:tc>
                <w:tcPr>
                  <w:tcW w:w="2269" w:type="pct"/>
                  <w:vAlign w:val="center"/>
                </w:tcPr>
                <w:p>
                  <w:pPr>
                    <w:widowControl/>
                    <w:adjustRightInd w:val="0"/>
                    <w:snapToGrid w:val="0"/>
                    <w:ind w:firstLine="420" w:firstLineChars="200"/>
                    <w:textAlignment w:val="center"/>
                    <w:rPr>
                      <w:kern w:val="0"/>
                      <w:szCs w:val="21"/>
                    </w:rPr>
                  </w:pPr>
                  <w:r>
                    <w:rPr>
                      <w:rFonts w:hint="eastAsia" w:ascii="宋体" w:hAnsi="宋体" w:cs="宋体"/>
                      <w:kern w:val="0"/>
                      <w:szCs w:val="21"/>
                    </w:rPr>
                    <w:t>④</w:t>
                  </w:r>
                  <w:r>
                    <w:rPr>
                      <w:kern w:val="0"/>
                      <w:szCs w:val="21"/>
                    </w:rPr>
                    <w:t>主要原辅材料、燃料消耗记录（A、B级企业必需）；</w:t>
                  </w:r>
                </w:p>
              </w:tc>
              <w:tc>
                <w:tcPr>
                  <w:tcW w:w="1951" w:type="pct"/>
                  <w:vMerge w:val="continue"/>
                  <w:vAlign w:val="center"/>
                </w:tcPr>
                <w:p>
                  <w:pPr>
                    <w:adjustRightInd w:val="0"/>
                    <w:snapToGrid w:val="0"/>
                    <w:ind w:firstLine="420" w:firstLineChars="200"/>
                    <w:textAlignment w:val="baseline"/>
                    <w:outlineLvl w:val="0"/>
                    <w:rPr>
                      <w:color w:val="FF0000"/>
                    </w:rPr>
                  </w:pPr>
                </w:p>
              </w:tc>
              <w:tc>
                <w:tcPr>
                  <w:tcW w:w="187" w:type="pct"/>
                  <w:vMerge w:val="continue"/>
                  <w:vAlign w:val="center"/>
                </w:tcPr>
                <w:p>
                  <w:pPr>
                    <w:pStyle w:val="51"/>
                    <w:rPr>
                      <w:color w:val="FF0000"/>
                      <w:szCs w:val="28"/>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0" w:type="pct"/>
                  <w:vMerge w:val="continue"/>
                  <w:vAlign w:val="center"/>
                </w:tcPr>
                <w:p>
                  <w:pPr>
                    <w:pStyle w:val="51"/>
                    <w:jc w:val="both"/>
                    <w:rPr>
                      <w:color w:val="FF0000"/>
                      <w:szCs w:val="28"/>
                    </w:rPr>
                  </w:pPr>
                </w:p>
              </w:tc>
              <w:tc>
                <w:tcPr>
                  <w:tcW w:w="263" w:type="pct"/>
                  <w:vMerge w:val="continue"/>
                  <w:vAlign w:val="center"/>
                </w:tcPr>
                <w:p>
                  <w:pPr>
                    <w:adjustRightInd w:val="0"/>
                    <w:snapToGrid w:val="0"/>
                    <w:textAlignment w:val="baseline"/>
                    <w:outlineLvl w:val="0"/>
                    <w:rPr>
                      <w:color w:val="FF0000"/>
                    </w:rPr>
                  </w:pPr>
                </w:p>
              </w:tc>
              <w:tc>
                <w:tcPr>
                  <w:tcW w:w="2269" w:type="pct"/>
                  <w:vAlign w:val="center"/>
                </w:tcPr>
                <w:p>
                  <w:pPr>
                    <w:widowControl/>
                    <w:adjustRightInd w:val="0"/>
                    <w:snapToGrid w:val="0"/>
                    <w:ind w:firstLine="420" w:firstLineChars="200"/>
                    <w:textAlignment w:val="center"/>
                    <w:rPr>
                      <w:kern w:val="0"/>
                      <w:szCs w:val="21"/>
                    </w:rPr>
                  </w:pPr>
                  <w:r>
                    <w:rPr>
                      <w:rFonts w:hint="eastAsia" w:ascii="宋体" w:hAnsi="宋体" w:cs="宋体"/>
                      <w:kern w:val="0"/>
                      <w:szCs w:val="21"/>
                    </w:rPr>
                    <w:t>⑤</w:t>
                  </w:r>
                  <w:r>
                    <w:rPr>
                      <w:kern w:val="0"/>
                      <w:szCs w:val="21"/>
                    </w:rPr>
                    <w:t>电消耗记录（已安装用电监管设备的A、B级企业必需）。</w:t>
                  </w:r>
                </w:p>
              </w:tc>
              <w:tc>
                <w:tcPr>
                  <w:tcW w:w="1951" w:type="pct"/>
                  <w:vMerge w:val="continue"/>
                  <w:vAlign w:val="center"/>
                </w:tcPr>
                <w:p>
                  <w:pPr>
                    <w:adjustRightInd w:val="0"/>
                    <w:snapToGrid w:val="0"/>
                    <w:ind w:firstLine="420" w:firstLineChars="200"/>
                    <w:textAlignment w:val="baseline"/>
                    <w:outlineLvl w:val="0"/>
                    <w:rPr>
                      <w:color w:val="FF0000"/>
                    </w:rPr>
                  </w:pPr>
                </w:p>
              </w:tc>
              <w:tc>
                <w:tcPr>
                  <w:tcW w:w="187" w:type="pct"/>
                  <w:vMerge w:val="continue"/>
                  <w:vAlign w:val="center"/>
                </w:tcPr>
                <w:p>
                  <w:pPr>
                    <w:pStyle w:val="51"/>
                    <w:rPr>
                      <w:color w:val="FF0000"/>
                      <w:szCs w:val="28"/>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0" w:type="pct"/>
                  <w:vMerge w:val="continue"/>
                  <w:vAlign w:val="center"/>
                </w:tcPr>
                <w:p>
                  <w:pPr>
                    <w:pStyle w:val="51"/>
                    <w:jc w:val="both"/>
                    <w:rPr>
                      <w:color w:val="FF0000"/>
                      <w:szCs w:val="28"/>
                    </w:rPr>
                  </w:pPr>
                </w:p>
              </w:tc>
              <w:tc>
                <w:tcPr>
                  <w:tcW w:w="263" w:type="pct"/>
                  <w:vAlign w:val="center"/>
                </w:tcPr>
                <w:p>
                  <w:pPr>
                    <w:adjustRightInd w:val="0"/>
                    <w:snapToGrid w:val="0"/>
                    <w:textAlignment w:val="baseline"/>
                    <w:outlineLvl w:val="0"/>
                  </w:pPr>
                  <w:r>
                    <w:t>（3）人员配置合理</w:t>
                  </w:r>
                </w:p>
              </w:tc>
              <w:tc>
                <w:tcPr>
                  <w:tcW w:w="2269" w:type="pct"/>
                  <w:vAlign w:val="center"/>
                </w:tcPr>
                <w:p>
                  <w:pPr>
                    <w:widowControl/>
                    <w:adjustRightInd w:val="0"/>
                    <w:snapToGrid w:val="0"/>
                    <w:ind w:firstLine="420" w:firstLineChars="200"/>
                    <w:textAlignment w:val="center"/>
                    <w:rPr>
                      <w:kern w:val="0"/>
                      <w:szCs w:val="21"/>
                    </w:rPr>
                  </w:pPr>
                  <w:r>
                    <w:rPr>
                      <w:kern w:val="0"/>
                      <w:szCs w:val="21"/>
                    </w:rPr>
                    <w:t>配备专/兼职环保人员，并具备相应的环境管理能力（学历、培训、从业经验等）。</w:t>
                  </w:r>
                </w:p>
              </w:tc>
              <w:tc>
                <w:tcPr>
                  <w:tcW w:w="1951" w:type="pct"/>
                  <w:vAlign w:val="center"/>
                </w:tcPr>
                <w:p>
                  <w:pPr>
                    <w:widowControl/>
                    <w:adjustRightInd w:val="0"/>
                    <w:snapToGrid w:val="0"/>
                    <w:ind w:firstLine="420" w:firstLineChars="200"/>
                    <w:textAlignment w:val="center"/>
                    <w:rPr>
                      <w:kern w:val="0"/>
                      <w:szCs w:val="21"/>
                    </w:rPr>
                  </w:pPr>
                  <w:r>
                    <w:rPr>
                      <w:kern w:val="0"/>
                      <w:szCs w:val="21"/>
                    </w:rPr>
                    <w:t>本项目建成后企业将按要求设置环保部门，配备具备环境管理能力的专职环保人员。</w:t>
                  </w:r>
                </w:p>
              </w:tc>
              <w:tc>
                <w:tcPr>
                  <w:tcW w:w="187" w:type="pct"/>
                  <w:vAlign w:val="center"/>
                </w:tcPr>
                <w:p>
                  <w:pPr>
                    <w:pStyle w:val="51"/>
                    <w:rPr>
                      <w:szCs w:val="28"/>
                    </w:rPr>
                  </w:pPr>
                  <w:r>
                    <w:rPr>
                      <w:szCs w:val="28"/>
                    </w:rPr>
                    <w:t>满足要求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0" w:type="pct"/>
                  <w:vMerge w:val="restart"/>
                  <w:vAlign w:val="center"/>
                </w:tcPr>
                <w:p>
                  <w:pPr>
                    <w:pStyle w:val="51"/>
                    <w:jc w:val="both"/>
                    <w:rPr>
                      <w:szCs w:val="28"/>
                    </w:rPr>
                  </w:pPr>
                  <w:r>
                    <w:rPr>
                      <w:szCs w:val="28"/>
                    </w:rPr>
                    <w:t>3、其他控制要求</w:t>
                  </w:r>
                </w:p>
              </w:tc>
              <w:tc>
                <w:tcPr>
                  <w:tcW w:w="263" w:type="pct"/>
                  <w:vAlign w:val="center"/>
                </w:tcPr>
                <w:p>
                  <w:pPr>
                    <w:adjustRightInd w:val="0"/>
                    <w:snapToGrid w:val="0"/>
                    <w:textAlignment w:val="baseline"/>
                    <w:outlineLvl w:val="0"/>
                  </w:pPr>
                  <w:r>
                    <w:t>（1）生产工艺和装备</w:t>
                  </w:r>
                </w:p>
              </w:tc>
              <w:tc>
                <w:tcPr>
                  <w:tcW w:w="2269" w:type="pct"/>
                  <w:vAlign w:val="center"/>
                </w:tcPr>
                <w:p>
                  <w:pPr>
                    <w:widowControl/>
                    <w:adjustRightInd w:val="0"/>
                    <w:snapToGrid w:val="0"/>
                    <w:ind w:firstLine="420" w:firstLineChars="200"/>
                    <w:textAlignment w:val="center"/>
                    <w:rPr>
                      <w:kern w:val="0"/>
                      <w:szCs w:val="21"/>
                    </w:rPr>
                  </w:pPr>
                  <w:r>
                    <w:rPr>
                      <w:kern w:val="0"/>
                      <w:szCs w:val="21"/>
                    </w:rPr>
                    <w:t>不属于《产业结构调整指导目录（2019年版）》淘汰类，不属于省级和市级政府部门明确列入已经限期淘汰类项目。</w:t>
                  </w:r>
                </w:p>
              </w:tc>
              <w:tc>
                <w:tcPr>
                  <w:tcW w:w="1951" w:type="pct"/>
                  <w:vAlign w:val="center"/>
                </w:tcPr>
                <w:p>
                  <w:pPr>
                    <w:widowControl/>
                    <w:adjustRightInd w:val="0"/>
                    <w:snapToGrid w:val="0"/>
                    <w:ind w:firstLine="420" w:firstLineChars="200"/>
                    <w:textAlignment w:val="center"/>
                    <w:rPr>
                      <w:kern w:val="0"/>
                      <w:szCs w:val="21"/>
                    </w:rPr>
                  </w:pPr>
                  <w:r>
                    <w:rPr>
                      <w:kern w:val="0"/>
                      <w:szCs w:val="21"/>
                    </w:rPr>
                    <w:t>经查阅《产业结构调整指导目录（2019年本）》</w:t>
                  </w:r>
                  <w:r>
                    <w:rPr>
                      <w:rFonts w:hint="eastAsia"/>
                      <w:kern w:val="0"/>
                      <w:szCs w:val="21"/>
                    </w:rPr>
                    <w:t>及其修改文件</w:t>
                  </w:r>
                  <w:r>
                    <w:rPr>
                      <w:kern w:val="0"/>
                      <w:szCs w:val="21"/>
                    </w:rPr>
                    <w:t>，本项目属于第一类鼓励类三十一、科技服务业第1条（工业设计、气象、生物、新材料、新能源、节能、环保、测绘、海洋等专业科技服务，标准化服务、计量测试、质量认证和检验检测服务、科技普及），属于鼓励类。符合国家产业政策要求。不属于淘汰类项目，也不属于省级和市级政府部门明确列入已经限期淘汰类项目。</w:t>
                  </w:r>
                </w:p>
              </w:tc>
              <w:tc>
                <w:tcPr>
                  <w:tcW w:w="187" w:type="pct"/>
                  <w:vAlign w:val="center"/>
                </w:tcPr>
                <w:p>
                  <w:pPr>
                    <w:pStyle w:val="51"/>
                    <w:rPr>
                      <w:szCs w:val="28"/>
                    </w:rPr>
                  </w:pPr>
                  <w:r>
                    <w:rPr>
                      <w:szCs w:val="28"/>
                    </w:rPr>
                    <w:t>满足要求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0" w:type="pct"/>
                  <w:vMerge w:val="continue"/>
                  <w:vAlign w:val="center"/>
                </w:tcPr>
                <w:p>
                  <w:pPr>
                    <w:pStyle w:val="51"/>
                    <w:rPr>
                      <w:szCs w:val="28"/>
                    </w:rPr>
                  </w:pPr>
                </w:p>
              </w:tc>
              <w:tc>
                <w:tcPr>
                  <w:tcW w:w="263" w:type="pct"/>
                  <w:vAlign w:val="center"/>
                </w:tcPr>
                <w:p>
                  <w:pPr>
                    <w:adjustRightInd w:val="0"/>
                    <w:snapToGrid w:val="0"/>
                    <w:textAlignment w:val="baseline"/>
                    <w:outlineLvl w:val="0"/>
                  </w:pPr>
                  <w:r>
                    <w:t>（2）污染治理副产物</w:t>
                  </w:r>
                </w:p>
              </w:tc>
              <w:tc>
                <w:tcPr>
                  <w:tcW w:w="2269" w:type="pct"/>
                  <w:vAlign w:val="center"/>
                </w:tcPr>
                <w:p>
                  <w:pPr>
                    <w:widowControl/>
                    <w:adjustRightInd w:val="0"/>
                    <w:snapToGrid w:val="0"/>
                    <w:ind w:firstLine="420" w:firstLineChars="200"/>
                    <w:textAlignment w:val="center"/>
                    <w:rPr>
                      <w:kern w:val="0"/>
                      <w:szCs w:val="21"/>
                    </w:rPr>
                  </w:pPr>
                  <w:r>
                    <w:rPr>
                      <w:kern w:val="0"/>
                      <w:szCs w:val="21"/>
                    </w:rPr>
                    <w:t>除尘器应设置密闭灰仓并及时卸灰，除尘灰应通过气力输送、罐车、袋子等封闭方式卸灰，不得直接卸落到地面。除尘灰如果转运应采用气力输送、封闭传送带方式，如果直接外运应采用罐车或袋装后运输，并在装车过程中采取抑尘措施，除尘灰在厂区内应密闭/封闭储存；脱硫石膏和脱硫废渣等固体废物在转运过程中应采取抑尘措施并应封闭储存。</w:t>
                  </w:r>
                </w:p>
              </w:tc>
              <w:tc>
                <w:tcPr>
                  <w:tcW w:w="1951" w:type="pct"/>
                  <w:vAlign w:val="center"/>
                </w:tcPr>
                <w:p>
                  <w:pPr>
                    <w:adjustRightInd w:val="0"/>
                    <w:snapToGrid w:val="0"/>
                    <w:jc w:val="center"/>
                    <w:textAlignment w:val="baseline"/>
                    <w:outlineLvl w:val="0"/>
                  </w:pPr>
                  <w:r>
                    <w:t>本项目不涉及</w:t>
                  </w:r>
                </w:p>
              </w:tc>
              <w:tc>
                <w:tcPr>
                  <w:tcW w:w="187" w:type="pct"/>
                  <w:vAlign w:val="center"/>
                </w:tcPr>
                <w:p>
                  <w:pPr>
                    <w:pStyle w:val="51"/>
                    <w:rPr>
                      <w:szCs w:val="28"/>
                    </w:rPr>
                  </w:pPr>
                  <w:r>
                    <w:rPr>
                      <w:szCs w:val="28"/>
                    </w:rPr>
                    <w:t>满足要求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0" w:type="pct"/>
                  <w:vMerge w:val="continue"/>
                  <w:vAlign w:val="center"/>
                </w:tcPr>
                <w:p>
                  <w:pPr>
                    <w:pStyle w:val="51"/>
                    <w:rPr>
                      <w:szCs w:val="28"/>
                    </w:rPr>
                  </w:pPr>
                </w:p>
              </w:tc>
              <w:tc>
                <w:tcPr>
                  <w:tcW w:w="263" w:type="pct"/>
                  <w:vAlign w:val="center"/>
                </w:tcPr>
                <w:p>
                  <w:pPr>
                    <w:adjustRightInd w:val="0"/>
                    <w:snapToGrid w:val="0"/>
                    <w:textAlignment w:val="baseline"/>
                    <w:outlineLvl w:val="0"/>
                  </w:pPr>
                  <w:r>
                    <w:t>（3）用电量/视频监管</w:t>
                  </w:r>
                </w:p>
              </w:tc>
              <w:tc>
                <w:tcPr>
                  <w:tcW w:w="2269" w:type="pct"/>
                  <w:vAlign w:val="center"/>
                </w:tcPr>
                <w:p>
                  <w:pPr>
                    <w:adjustRightInd w:val="0"/>
                    <w:snapToGrid w:val="0"/>
                    <w:ind w:firstLine="420" w:firstLineChars="200"/>
                    <w:textAlignment w:val="baseline"/>
                    <w:outlineLvl w:val="0"/>
                  </w:pPr>
                  <w:r>
                    <w:t>按照《河南省涉气排污单位污染治理设施用电监管技术指南（试行）》要求安装用电监管设备（有自动在线监控系统的企业除外），用电监管数据直接上传至省、市生态环境部门的污染治理设施用电监管平台服务器；未安装自动在线监控和用电量监管拟申报A、B级企业，应在主要生产设备（投料口、卸料口等位置）安装视频监控设施，相关数据保存三个月以上。</w:t>
                  </w:r>
                </w:p>
              </w:tc>
              <w:tc>
                <w:tcPr>
                  <w:tcW w:w="1951" w:type="pct"/>
                  <w:vAlign w:val="center"/>
                </w:tcPr>
                <w:p>
                  <w:pPr>
                    <w:adjustRightInd w:val="0"/>
                    <w:snapToGrid w:val="0"/>
                    <w:ind w:firstLine="420" w:firstLineChars="200"/>
                    <w:textAlignment w:val="baseline"/>
                    <w:outlineLvl w:val="0"/>
                  </w:pPr>
                  <w:r>
                    <w:t>本项目建成后企业按照环保要求在主要生产设备及总用电处安装用电量监控和视频监控设施，相关数据保存三个月以上。</w:t>
                  </w:r>
                </w:p>
              </w:tc>
              <w:tc>
                <w:tcPr>
                  <w:tcW w:w="187" w:type="pct"/>
                  <w:vAlign w:val="center"/>
                </w:tcPr>
                <w:p>
                  <w:pPr>
                    <w:pStyle w:val="51"/>
                    <w:rPr>
                      <w:szCs w:val="28"/>
                    </w:rPr>
                  </w:pPr>
                  <w:r>
                    <w:rPr>
                      <w:szCs w:val="28"/>
                    </w:rPr>
                    <w:t>满足要求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30" w:type="pct"/>
                  <w:vMerge w:val="continue"/>
                  <w:vAlign w:val="center"/>
                </w:tcPr>
                <w:p>
                  <w:pPr>
                    <w:pStyle w:val="51"/>
                    <w:rPr>
                      <w:color w:val="FF0000"/>
                      <w:szCs w:val="28"/>
                    </w:rPr>
                  </w:pPr>
                </w:p>
              </w:tc>
              <w:tc>
                <w:tcPr>
                  <w:tcW w:w="263" w:type="pct"/>
                  <w:vAlign w:val="center"/>
                </w:tcPr>
                <w:p>
                  <w:pPr>
                    <w:adjustRightInd w:val="0"/>
                    <w:snapToGrid w:val="0"/>
                    <w:textAlignment w:val="baseline"/>
                    <w:outlineLvl w:val="0"/>
                  </w:pPr>
                  <w:r>
                    <w:t>（4）厂容厂貌</w:t>
                  </w:r>
                </w:p>
              </w:tc>
              <w:tc>
                <w:tcPr>
                  <w:tcW w:w="2269" w:type="pct"/>
                  <w:vAlign w:val="center"/>
                </w:tcPr>
                <w:p>
                  <w:pPr>
                    <w:adjustRightInd w:val="0"/>
                    <w:snapToGrid w:val="0"/>
                    <w:ind w:firstLine="420" w:firstLineChars="200"/>
                    <w:textAlignment w:val="baseline"/>
                    <w:outlineLvl w:val="0"/>
                  </w:pPr>
                  <w:r>
                    <w:t>厂区内道路、原辅材料和燃料堆场等路面应硬化。厂区内道路采取定期清扫、洒水等措施，保持清洁，路面无明显可见积尘。其他未利用地优先绿化，或进行硬化，无成片裸露土地。</w:t>
                  </w:r>
                </w:p>
              </w:tc>
              <w:tc>
                <w:tcPr>
                  <w:tcW w:w="1951" w:type="pct"/>
                  <w:vAlign w:val="center"/>
                </w:tcPr>
                <w:p>
                  <w:pPr>
                    <w:adjustRightInd w:val="0"/>
                    <w:snapToGrid w:val="0"/>
                    <w:ind w:firstLine="420" w:firstLineChars="200"/>
                    <w:textAlignment w:val="baseline"/>
                    <w:outlineLvl w:val="0"/>
                  </w:pPr>
                  <w:r>
                    <w:t>本项目选址位于新乡经济开发区107国道与胡韦线交汇处A3地块，利用印海智谷产业园内现有空厂房进行建设，园区内道路物料输送通道已硬化、美化绿化，无裸露土地。</w:t>
                  </w:r>
                </w:p>
              </w:tc>
              <w:tc>
                <w:tcPr>
                  <w:tcW w:w="187" w:type="pct"/>
                  <w:vAlign w:val="center"/>
                </w:tcPr>
                <w:p>
                  <w:pPr>
                    <w:pStyle w:val="51"/>
                    <w:rPr>
                      <w:szCs w:val="28"/>
                    </w:rPr>
                  </w:pPr>
                  <w:r>
                    <w:rPr>
                      <w:szCs w:val="28"/>
                    </w:rPr>
                    <w:t>满足要求</w:t>
                  </w:r>
                </w:p>
              </w:tc>
            </w:tr>
          </w:tbl>
          <w:p>
            <w:pPr>
              <w:pStyle w:val="17"/>
              <w:snapToGrid w:val="0"/>
              <w:spacing w:before="0" w:beforeAutospacing="0" w:after="0" w:afterAutospacing="0" w:line="460" w:lineRule="exact"/>
              <w:ind w:firstLine="480" w:firstLineChars="200"/>
              <w:jc w:val="both"/>
              <w:outlineLvl w:val="0"/>
              <w:rPr>
                <w:rFonts w:ascii="Times New Roman" w:hAnsi="Times New Roman"/>
              </w:rPr>
            </w:pPr>
            <w:r>
              <w:rPr>
                <w:rFonts w:ascii="Times New Roman" w:hAnsi="Times New Roman"/>
              </w:rPr>
              <w:t>评价要求：本项目严格按照上述要求进行建设，并积极接受生态环境管理部门的监督检查。</w:t>
            </w:r>
          </w:p>
          <w:p>
            <w:pPr>
              <w:pStyle w:val="17"/>
              <w:snapToGrid w:val="0"/>
              <w:spacing w:before="0" w:beforeAutospacing="0" w:after="0" w:afterAutospacing="0" w:line="460" w:lineRule="exact"/>
              <w:ind w:firstLine="480" w:firstLineChars="200"/>
              <w:jc w:val="both"/>
              <w:outlineLvl w:val="0"/>
              <w:rPr>
                <w:rFonts w:ascii="Times New Roman" w:hAnsi="Times New Roman"/>
                <w:szCs w:val="24"/>
              </w:rPr>
            </w:pPr>
            <w:r>
              <w:rPr>
                <w:rFonts w:ascii="Times New Roman" w:hAnsi="Times New Roman"/>
              </w:rPr>
              <w:t>此外，本项目建设能够满足《新乡市生态环境局关于印发新乡市2019年工业企业无组织排放治理方案的通知》、《挥发性有机物无组织排放控制标准》（GB37822-2019）、《2020年挥发性有机物治理攻坚方案的通知》（环大气〔2020〕33号）等政策文件的相关要求。</w:t>
            </w:r>
          </w:p>
          <w:p>
            <w:pPr>
              <w:autoSpaceDE w:val="0"/>
              <w:autoSpaceDN w:val="0"/>
              <w:adjustRightInd w:val="0"/>
              <w:snapToGrid w:val="0"/>
              <w:spacing w:line="460" w:lineRule="exact"/>
              <w:ind w:firstLine="480" w:firstLineChars="200"/>
              <w:rPr>
                <w:color w:val="000000"/>
                <w:sz w:val="24"/>
              </w:rPr>
            </w:pPr>
          </w:p>
          <w:p>
            <w:pPr>
              <w:autoSpaceDE w:val="0"/>
              <w:autoSpaceDN w:val="0"/>
              <w:adjustRightInd w:val="0"/>
              <w:snapToGrid w:val="0"/>
              <w:spacing w:line="460" w:lineRule="exact"/>
              <w:ind w:firstLine="480" w:firstLineChars="200"/>
              <w:rPr>
                <w:color w:val="000000"/>
                <w:sz w:val="24"/>
              </w:rPr>
            </w:pPr>
          </w:p>
          <w:p>
            <w:pPr>
              <w:autoSpaceDE w:val="0"/>
              <w:autoSpaceDN w:val="0"/>
              <w:adjustRightInd w:val="0"/>
              <w:snapToGrid w:val="0"/>
              <w:spacing w:line="460" w:lineRule="exact"/>
              <w:ind w:firstLine="480" w:firstLineChars="200"/>
              <w:rPr>
                <w:color w:val="000000"/>
                <w:sz w:val="24"/>
              </w:rPr>
            </w:pPr>
          </w:p>
          <w:p>
            <w:pPr>
              <w:autoSpaceDE w:val="0"/>
              <w:autoSpaceDN w:val="0"/>
              <w:adjustRightInd w:val="0"/>
              <w:snapToGrid w:val="0"/>
              <w:spacing w:line="460" w:lineRule="exact"/>
              <w:ind w:firstLine="480" w:firstLineChars="200"/>
              <w:rPr>
                <w:color w:val="000000"/>
                <w:sz w:val="24"/>
              </w:rPr>
            </w:pPr>
          </w:p>
          <w:p>
            <w:pPr>
              <w:autoSpaceDE w:val="0"/>
              <w:autoSpaceDN w:val="0"/>
              <w:adjustRightInd w:val="0"/>
              <w:snapToGrid w:val="0"/>
              <w:spacing w:line="460" w:lineRule="exact"/>
              <w:ind w:firstLine="480" w:firstLineChars="200"/>
              <w:rPr>
                <w:color w:val="000000"/>
                <w:sz w:val="24"/>
              </w:rPr>
            </w:pPr>
          </w:p>
          <w:p>
            <w:pPr>
              <w:autoSpaceDE w:val="0"/>
              <w:autoSpaceDN w:val="0"/>
              <w:adjustRightInd w:val="0"/>
              <w:snapToGrid w:val="0"/>
              <w:spacing w:line="460" w:lineRule="exact"/>
              <w:ind w:firstLine="480" w:firstLineChars="200"/>
              <w:rPr>
                <w:color w:val="000000"/>
                <w:sz w:val="24"/>
              </w:rPr>
            </w:pPr>
          </w:p>
          <w:p>
            <w:pPr>
              <w:autoSpaceDE w:val="0"/>
              <w:autoSpaceDN w:val="0"/>
              <w:adjustRightInd w:val="0"/>
              <w:snapToGrid w:val="0"/>
              <w:spacing w:line="460" w:lineRule="exact"/>
              <w:ind w:firstLine="480" w:firstLineChars="200"/>
              <w:rPr>
                <w:color w:val="000000"/>
                <w:sz w:val="24"/>
              </w:rPr>
            </w:pPr>
          </w:p>
          <w:p>
            <w:pPr>
              <w:autoSpaceDE w:val="0"/>
              <w:autoSpaceDN w:val="0"/>
              <w:adjustRightInd w:val="0"/>
              <w:snapToGrid w:val="0"/>
              <w:spacing w:line="460" w:lineRule="exact"/>
              <w:ind w:firstLine="480" w:firstLineChars="200"/>
              <w:rPr>
                <w:color w:val="000000"/>
                <w:sz w:val="24"/>
              </w:rPr>
            </w:pPr>
          </w:p>
          <w:p>
            <w:pPr>
              <w:autoSpaceDE w:val="0"/>
              <w:autoSpaceDN w:val="0"/>
              <w:adjustRightInd w:val="0"/>
              <w:snapToGrid w:val="0"/>
              <w:spacing w:line="460" w:lineRule="exact"/>
              <w:ind w:firstLine="480" w:firstLineChars="200"/>
              <w:rPr>
                <w:color w:val="000000"/>
                <w:sz w:val="24"/>
              </w:rPr>
            </w:pPr>
          </w:p>
          <w:p>
            <w:pPr>
              <w:autoSpaceDE w:val="0"/>
              <w:autoSpaceDN w:val="0"/>
              <w:adjustRightInd w:val="0"/>
              <w:snapToGrid w:val="0"/>
              <w:spacing w:line="460" w:lineRule="exact"/>
              <w:ind w:firstLine="600" w:firstLineChars="200"/>
              <w:rPr>
                <w:rFonts w:eastAsia="黑体"/>
                <w:snapToGrid w:val="0"/>
                <w:sz w:val="30"/>
                <w:szCs w:val="30"/>
              </w:rPr>
            </w:pPr>
          </w:p>
        </w:tc>
      </w:tr>
    </w:tbl>
    <w:p>
      <w:pPr>
        <w:pStyle w:val="17"/>
        <w:jc w:val="center"/>
        <w:outlineLvl w:val="0"/>
        <w:rPr>
          <w:rFonts w:ascii="Times New Roman" w:hAnsi="Times New Roman" w:eastAsia="黑体"/>
          <w:snapToGrid w:val="0"/>
          <w:sz w:val="30"/>
          <w:szCs w:val="30"/>
        </w:rPr>
        <w:sectPr>
          <w:pgSz w:w="16838" w:h="11906" w:orient="landscape"/>
          <w:pgMar w:top="1701" w:right="1418" w:bottom="1701" w:left="1418" w:header="851" w:footer="851" w:gutter="0"/>
          <w:cols w:space="720" w:num="1"/>
          <w:docGrid w:linePitch="312" w:charSpace="0"/>
        </w:sectPr>
      </w:pPr>
    </w:p>
    <w:p>
      <w:pPr>
        <w:pStyle w:val="17"/>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二、建设项目工程分析</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823" w:type="dxa"/>
            <w:vAlign w:val="center"/>
          </w:tcPr>
          <w:p>
            <w:pPr>
              <w:pStyle w:val="17"/>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建设内容</w:t>
            </w:r>
          </w:p>
        </w:tc>
        <w:tc>
          <w:tcPr>
            <w:tcW w:w="8161" w:type="dxa"/>
          </w:tcPr>
          <w:p>
            <w:pPr>
              <w:spacing w:line="460" w:lineRule="exact"/>
              <w:ind w:firstLine="482" w:firstLineChars="200"/>
              <w:rPr>
                <w:b/>
                <w:color w:val="000000"/>
                <w:sz w:val="24"/>
              </w:rPr>
            </w:pPr>
            <w:r>
              <w:rPr>
                <w:b/>
                <w:bCs/>
                <w:color w:val="000000"/>
                <w:sz w:val="24"/>
              </w:rPr>
              <w:t>1、</w:t>
            </w:r>
            <w:r>
              <w:rPr>
                <w:b/>
                <w:color w:val="000000"/>
                <w:sz w:val="24"/>
              </w:rPr>
              <w:t>项目概况</w:t>
            </w:r>
          </w:p>
          <w:p>
            <w:pPr>
              <w:spacing w:line="460" w:lineRule="exact"/>
              <w:ind w:firstLine="480" w:firstLineChars="200"/>
              <w:jc w:val="left"/>
              <w:rPr>
                <w:color w:val="000000"/>
                <w:sz w:val="24"/>
              </w:rPr>
            </w:pPr>
            <w:r>
              <w:rPr>
                <w:color w:val="000000"/>
                <w:sz w:val="24"/>
              </w:rPr>
              <w:t>本项目选址位于新乡经济开发区107国道与胡韦线交汇处A3地块，利用印海智谷产业园现有空厂房进行建设，项目的基本情况见表14。</w:t>
            </w:r>
          </w:p>
          <w:p>
            <w:pPr>
              <w:spacing w:line="460" w:lineRule="exact"/>
              <w:ind w:firstLine="480" w:firstLineChars="200"/>
              <w:rPr>
                <w:rFonts w:eastAsia="黑体"/>
                <w:color w:val="000000"/>
                <w:sz w:val="24"/>
                <w:lang w:val="pt-BR"/>
              </w:rPr>
            </w:pPr>
            <w:r>
              <w:rPr>
                <w:rFonts w:eastAsia="黑体"/>
                <w:color w:val="000000"/>
                <w:sz w:val="24"/>
                <w:lang w:val="pt-BR"/>
              </w:rPr>
              <w:t>表</w:t>
            </w:r>
            <w:r>
              <w:rPr>
                <w:rFonts w:eastAsia="黑体"/>
                <w:color w:val="000000"/>
                <w:sz w:val="24"/>
              </w:rPr>
              <w:t xml:space="preserve">14                     </w:t>
            </w:r>
            <w:r>
              <w:rPr>
                <w:rFonts w:eastAsia="黑体"/>
                <w:color w:val="000000"/>
                <w:sz w:val="24"/>
                <w:lang w:val="pt-BR"/>
              </w:rPr>
              <w:t>项目概况一览表</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843"/>
              <w:gridCol w:w="537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dxa"/>
                  <w:tcBorders>
                    <w:top w:val="single" w:color="auto" w:sz="8" w:space="0"/>
                  </w:tcBorders>
                  <w:vAlign w:val="center"/>
                </w:tcPr>
                <w:p>
                  <w:pPr>
                    <w:jc w:val="center"/>
                    <w:rPr>
                      <w:b/>
                      <w:color w:val="000000"/>
                      <w:szCs w:val="21"/>
                      <w:lang w:val="pt-BR"/>
                    </w:rPr>
                  </w:pPr>
                  <w:r>
                    <w:rPr>
                      <w:b/>
                      <w:color w:val="000000"/>
                      <w:szCs w:val="21"/>
                      <w:lang w:val="pt-BR"/>
                    </w:rPr>
                    <w:t>序号</w:t>
                  </w:r>
                </w:p>
              </w:tc>
              <w:tc>
                <w:tcPr>
                  <w:tcW w:w="1843" w:type="dxa"/>
                  <w:tcBorders>
                    <w:top w:val="single" w:color="auto" w:sz="8" w:space="0"/>
                  </w:tcBorders>
                  <w:vAlign w:val="center"/>
                </w:tcPr>
                <w:p>
                  <w:pPr>
                    <w:jc w:val="center"/>
                    <w:rPr>
                      <w:b/>
                      <w:color w:val="000000"/>
                      <w:szCs w:val="21"/>
                      <w:lang w:val="pt-BR"/>
                    </w:rPr>
                  </w:pPr>
                  <w:r>
                    <w:rPr>
                      <w:b/>
                      <w:color w:val="000000"/>
                      <w:szCs w:val="21"/>
                      <w:lang w:val="pt-BR"/>
                    </w:rPr>
                    <w:t>项目</w:t>
                  </w:r>
                </w:p>
              </w:tc>
              <w:tc>
                <w:tcPr>
                  <w:tcW w:w="5376" w:type="dxa"/>
                  <w:tcBorders>
                    <w:top w:val="single" w:color="auto" w:sz="8" w:space="0"/>
                  </w:tcBorders>
                  <w:vAlign w:val="center"/>
                </w:tcPr>
                <w:p>
                  <w:pPr>
                    <w:jc w:val="center"/>
                    <w:rPr>
                      <w:b/>
                      <w:color w:val="000000"/>
                      <w:szCs w:val="21"/>
                      <w:highlight w:val="yellow"/>
                      <w:lang w:val="pt-BR"/>
                    </w:rPr>
                  </w:pPr>
                  <w:r>
                    <w:rPr>
                      <w:b/>
                      <w:color w:val="000000"/>
                      <w:szCs w:val="21"/>
                      <w:lang w:val="pt-BR"/>
                    </w:rPr>
                    <w:t>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dxa"/>
                  <w:vAlign w:val="center"/>
                </w:tcPr>
                <w:p>
                  <w:pPr>
                    <w:jc w:val="center"/>
                    <w:rPr>
                      <w:color w:val="000000"/>
                      <w:szCs w:val="21"/>
                    </w:rPr>
                  </w:pPr>
                  <w:r>
                    <w:rPr>
                      <w:color w:val="000000"/>
                      <w:szCs w:val="21"/>
                    </w:rPr>
                    <w:t>1</w:t>
                  </w:r>
                </w:p>
              </w:tc>
              <w:tc>
                <w:tcPr>
                  <w:tcW w:w="1843" w:type="dxa"/>
                  <w:vAlign w:val="center"/>
                </w:tcPr>
                <w:p>
                  <w:pPr>
                    <w:jc w:val="center"/>
                    <w:rPr>
                      <w:color w:val="000000"/>
                      <w:szCs w:val="21"/>
                    </w:rPr>
                  </w:pPr>
                  <w:r>
                    <w:rPr>
                      <w:color w:val="000000"/>
                      <w:szCs w:val="21"/>
                    </w:rPr>
                    <w:t>项目名称</w:t>
                  </w:r>
                </w:p>
              </w:tc>
              <w:tc>
                <w:tcPr>
                  <w:tcW w:w="5376" w:type="dxa"/>
                  <w:vAlign w:val="center"/>
                </w:tcPr>
                <w:p>
                  <w:pPr>
                    <w:jc w:val="center"/>
                    <w:rPr>
                      <w:color w:val="000000"/>
                      <w:szCs w:val="21"/>
                    </w:rPr>
                  </w:pPr>
                  <w:r>
                    <w:rPr>
                      <w:color w:val="000000"/>
                      <w:szCs w:val="21"/>
                    </w:rPr>
                    <w:t>新乡县检验检测中心建设项目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dxa"/>
                  <w:vAlign w:val="center"/>
                </w:tcPr>
                <w:p>
                  <w:pPr>
                    <w:jc w:val="center"/>
                    <w:rPr>
                      <w:color w:val="000000"/>
                      <w:szCs w:val="21"/>
                    </w:rPr>
                  </w:pPr>
                  <w:r>
                    <w:rPr>
                      <w:color w:val="000000"/>
                      <w:szCs w:val="21"/>
                    </w:rPr>
                    <w:t>2</w:t>
                  </w:r>
                </w:p>
              </w:tc>
              <w:tc>
                <w:tcPr>
                  <w:tcW w:w="1843" w:type="dxa"/>
                  <w:vAlign w:val="center"/>
                </w:tcPr>
                <w:p>
                  <w:pPr>
                    <w:jc w:val="center"/>
                    <w:rPr>
                      <w:color w:val="000000"/>
                      <w:szCs w:val="21"/>
                    </w:rPr>
                  </w:pPr>
                  <w:r>
                    <w:rPr>
                      <w:color w:val="000000"/>
                      <w:szCs w:val="21"/>
                    </w:rPr>
                    <w:t>建设单位</w:t>
                  </w:r>
                </w:p>
              </w:tc>
              <w:tc>
                <w:tcPr>
                  <w:tcW w:w="5376" w:type="dxa"/>
                  <w:vAlign w:val="center"/>
                </w:tcPr>
                <w:p>
                  <w:pPr>
                    <w:jc w:val="center"/>
                    <w:rPr>
                      <w:color w:val="000000"/>
                      <w:szCs w:val="21"/>
                    </w:rPr>
                  </w:pPr>
                  <w:bookmarkStart w:id="2" w:name="_Hlk113556795"/>
                  <w:r>
                    <w:rPr>
                      <w:color w:val="000000"/>
                      <w:szCs w:val="21"/>
                    </w:rPr>
                    <w:t>河南印海智谷实业有限公司</w:t>
                  </w:r>
                  <w:bookmarkEnd w:id="2"/>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dxa"/>
                  <w:vAlign w:val="center"/>
                </w:tcPr>
                <w:p>
                  <w:pPr>
                    <w:jc w:val="center"/>
                    <w:rPr>
                      <w:color w:val="000000"/>
                      <w:szCs w:val="21"/>
                    </w:rPr>
                  </w:pPr>
                  <w:r>
                    <w:rPr>
                      <w:color w:val="000000"/>
                      <w:szCs w:val="21"/>
                    </w:rPr>
                    <w:t>3</w:t>
                  </w:r>
                </w:p>
              </w:tc>
              <w:tc>
                <w:tcPr>
                  <w:tcW w:w="1843" w:type="dxa"/>
                  <w:vAlign w:val="center"/>
                </w:tcPr>
                <w:p>
                  <w:pPr>
                    <w:jc w:val="center"/>
                    <w:rPr>
                      <w:color w:val="000000"/>
                      <w:szCs w:val="21"/>
                    </w:rPr>
                  </w:pPr>
                  <w:r>
                    <w:rPr>
                      <w:color w:val="000000"/>
                      <w:szCs w:val="21"/>
                    </w:rPr>
                    <w:t>检测范围</w:t>
                  </w:r>
                </w:p>
              </w:tc>
              <w:tc>
                <w:tcPr>
                  <w:tcW w:w="5376" w:type="dxa"/>
                  <w:vAlign w:val="center"/>
                </w:tcPr>
                <w:p>
                  <w:pPr>
                    <w:jc w:val="center"/>
                    <w:rPr>
                      <w:szCs w:val="21"/>
                    </w:rPr>
                  </w:pPr>
                  <w:r>
                    <w:rPr>
                      <w:szCs w:val="21"/>
                    </w:rPr>
                    <w:t>食品及饮用水类、化工成品油类、计量检定(校准)类检验检测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dxa"/>
                  <w:vAlign w:val="center"/>
                </w:tcPr>
                <w:p>
                  <w:pPr>
                    <w:jc w:val="center"/>
                    <w:rPr>
                      <w:color w:val="000000"/>
                      <w:szCs w:val="21"/>
                    </w:rPr>
                  </w:pPr>
                  <w:r>
                    <w:rPr>
                      <w:color w:val="000000"/>
                      <w:szCs w:val="21"/>
                    </w:rPr>
                    <w:t>4</w:t>
                  </w:r>
                </w:p>
              </w:tc>
              <w:tc>
                <w:tcPr>
                  <w:tcW w:w="1843" w:type="dxa"/>
                  <w:vAlign w:val="center"/>
                </w:tcPr>
                <w:p>
                  <w:pPr>
                    <w:jc w:val="center"/>
                    <w:rPr>
                      <w:color w:val="000000"/>
                      <w:szCs w:val="21"/>
                    </w:rPr>
                  </w:pPr>
                  <w:r>
                    <w:rPr>
                      <w:color w:val="000000"/>
                      <w:szCs w:val="21"/>
                    </w:rPr>
                    <w:t>项目地址</w:t>
                  </w:r>
                </w:p>
              </w:tc>
              <w:tc>
                <w:tcPr>
                  <w:tcW w:w="5376" w:type="dxa"/>
                  <w:vAlign w:val="center"/>
                </w:tcPr>
                <w:p>
                  <w:pPr>
                    <w:jc w:val="center"/>
                    <w:rPr>
                      <w:color w:val="000000"/>
                      <w:szCs w:val="21"/>
                    </w:rPr>
                  </w:pPr>
                  <w:r>
                    <w:rPr>
                      <w:color w:val="000000"/>
                      <w:szCs w:val="21"/>
                    </w:rPr>
                    <w:t>新乡经济开发区107国道与胡韦线交汇处A3地块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dxa"/>
                  <w:vAlign w:val="center"/>
                </w:tcPr>
                <w:p>
                  <w:pPr>
                    <w:jc w:val="center"/>
                    <w:rPr>
                      <w:color w:val="000000"/>
                      <w:szCs w:val="21"/>
                    </w:rPr>
                  </w:pPr>
                  <w:r>
                    <w:rPr>
                      <w:color w:val="000000"/>
                      <w:szCs w:val="21"/>
                    </w:rPr>
                    <w:t>5</w:t>
                  </w:r>
                </w:p>
              </w:tc>
              <w:tc>
                <w:tcPr>
                  <w:tcW w:w="1843" w:type="dxa"/>
                  <w:vAlign w:val="center"/>
                </w:tcPr>
                <w:p>
                  <w:pPr>
                    <w:jc w:val="center"/>
                    <w:rPr>
                      <w:color w:val="000000"/>
                      <w:szCs w:val="21"/>
                    </w:rPr>
                  </w:pPr>
                  <w:r>
                    <w:rPr>
                      <w:color w:val="000000"/>
                      <w:szCs w:val="21"/>
                    </w:rPr>
                    <w:t>占地面积</w:t>
                  </w:r>
                </w:p>
              </w:tc>
              <w:tc>
                <w:tcPr>
                  <w:tcW w:w="5376" w:type="dxa"/>
                  <w:vAlign w:val="center"/>
                </w:tcPr>
                <w:p>
                  <w:pPr>
                    <w:jc w:val="center"/>
                    <w:rPr>
                      <w:color w:val="000000"/>
                      <w:szCs w:val="21"/>
                      <w:highlight w:val="yellow"/>
                    </w:rPr>
                  </w:pPr>
                  <w:r>
                    <w:rPr>
                      <w:color w:val="000000"/>
                      <w:szCs w:val="21"/>
                    </w:rPr>
                    <w:t>3165m</w:t>
                  </w:r>
                  <w:r>
                    <w:rPr>
                      <w:color w:val="000000"/>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dxa"/>
                  <w:vAlign w:val="center"/>
                </w:tcPr>
                <w:p>
                  <w:pPr>
                    <w:jc w:val="center"/>
                    <w:rPr>
                      <w:color w:val="000000"/>
                      <w:szCs w:val="21"/>
                    </w:rPr>
                  </w:pPr>
                  <w:r>
                    <w:rPr>
                      <w:color w:val="000000"/>
                      <w:szCs w:val="21"/>
                    </w:rPr>
                    <w:t>6</w:t>
                  </w:r>
                </w:p>
              </w:tc>
              <w:tc>
                <w:tcPr>
                  <w:tcW w:w="1843" w:type="dxa"/>
                  <w:vAlign w:val="center"/>
                </w:tcPr>
                <w:p>
                  <w:pPr>
                    <w:jc w:val="center"/>
                    <w:rPr>
                      <w:color w:val="000000"/>
                      <w:szCs w:val="21"/>
                    </w:rPr>
                  </w:pPr>
                  <w:r>
                    <w:rPr>
                      <w:color w:val="000000"/>
                      <w:szCs w:val="21"/>
                    </w:rPr>
                    <w:t>总投资（万元）</w:t>
                  </w:r>
                </w:p>
              </w:tc>
              <w:tc>
                <w:tcPr>
                  <w:tcW w:w="5376" w:type="dxa"/>
                  <w:vAlign w:val="center"/>
                </w:tcPr>
                <w:p>
                  <w:pPr>
                    <w:jc w:val="center"/>
                    <w:rPr>
                      <w:color w:val="000000"/>
                      <w:szCs w:val="21"/>
                      <w:highlight w:val="yellow"/>
                    </w:rPr>
                  </w:pPr>
                  <w:r>
                    <w:rPr>
                      <w:color w:val="000000"/>
                      <w:szCs w:val="21"/>
                    </w:rPr>
                    <w:t>4550.80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dxa"/>
                  <w:vAlign w:val="center"/>
                </w:tcPr>
                <w:p>
                  <w:pPr>
                    <w:jc w:val="center"/>
                    <w:rPr>
                      <w:color w:val="000000"/>
                      <w:szCs w:val="21"/>
                    </w:rPr>
                  </w:pPr>
                  <w:r>
                    <w:rPr>
                      <w:color w:val="000000"/>
                      <w:szCs w:val="21"/>
                    </w:rPr>
                    <w:t>7</w:t>
                  </w:r>
                </w:p>
              </w:tc>
              <w:tc>
                <w:tcPr>
                  <w:tcW w:w="1843" w:type="dxa"/>
                  <w:vAlign w:val="center"/>
                </w:tcPr>
                <w:p>
                  <w:pPr>
                    <w:jc w:val="center"/>
                    <w:rPr>
                      <w:color w:val="000000"/>
                      <w:szCs w:val="21"/>
                    </w:rPr>
                  </w:pPr>
                  <w:r>
                    <w:rPr>
                      <w:color w:val="000000"/>
                      <w:szCs w:val="21"/>
                    </w:rPr>
                    <w:t>主要工艺</w:t>
                  </w:r>
                </w:p>
              </w:tc>
              <w:tc>
                <w:tcPr>
                  <w:tcW w:w="5376" w:type="dxa"/>
                  <w:vAlign w:val="center"/>
                </w:tcPr>
                <w:p>
                  <w:pPr>
                    <w:jc w:val="center"/>
                    <w:rPr>
                      <w:color w:val="000000"/>
                      <w:szCs w:val="21"/>
                      <w:highlight w:val="yellow"/>
                    </w:rPr>
                  </w:pPr>
                  <w:r>
                    <w:rPr>
                      <w:color w:val="000000"/>
                      <w:szCs w:val="21"/>
                    </w:rPr>
                    <w:t>客户委托-现场采样-样品交接与保存-纯水制备-样品预处理-实验分析-清洗保洁-结果分析-编制报告-审核发送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dxa"/>
                  <w:tcBorders>
                    <w:bottom w:val="single" w:color="auto" w:sz="8" w:space="0"/>
                  </w:tcBorders>
                  <w:vAlign w:val="center"/>
                </w:tcPr>
                <w:p>
                  <w:pPr>
                    <w:jc w:val="center"/>
                    <w:rPr>
                      <w:color w:val="000000"/>
                      <w:szCs w:val="21"/>
                    </w:rPr>
                  </w:pPr>
                  <w:r>
                    <w:rPr>
                      <w:color w:val="000000"/>
                      <w:szCs w:val="21"/>
                    </w:rPr>
                    <w:t>8</w:t>
                  </w:r>
                </w:p>
              </w:tc>
              <w:tc>
                <w:tcPr>
                  <w:tcW w:w="1843" w:type="dxa"/>
                  <w:tcBorders>
                    <w:bottom w:val="single" w:color="auto" w:sz="8" w:space="0"/>
                  </w:tcBorders>
                  <w:vAlign w:val="center"/>
                </w:tcPr>
                <w:p>
                  <w:pPr>
                    <w:jc w:val="center"/>
                    <w:rPr>
                      <w:color w:val="000000"/>
                      <w:szCs w:val="21"/>
                    </w:rPr>
                  </w:pPr>
                  <w:r>
                    <w:rPr>
                      <w:color w:val="000000"/>
                      <w:szCs w:val="21"/>
                    </w:rPr>
                    <w:t>定员与工作制度</w:t>
                  </w:r>
                </w:p>
              </w:tc>
              <w:tc>
                <w:tcPr>
                  <w:tcW w:w="5376" w:type="dxa"/>
                  <w:tcBorders>
                    <w:bottom w:val="single" w:color="auto" w:sz="8" w:space="0"/>
                  </w:tcBorders>
                  <w:vAlign w:val="center"/>
                </w:tcPr>
                <w:p>
                  <w:pPr>
                    <w:jc w:val="center"/>
                    <w:rPr>
                      <w:color w:val="000000"/>
                      <w:szCs w:val="21"/>
                      <w:highlight w:val="yellow"/>
                    </w:rPr>
                  </w:pPr>
                  <w:r>
                    <w:rPr>
                      <w:color w:val="000000"/>
                      <w:szCs w:val="21"/>
                    </w:rPr>
                    <w:t>员工50人，1班制（每班8小时），年工作270天</w:t>
                  </w:r>
                </w:p>
              </w:tc>
            </w:tr>
          </w:tbl>
          <w:p>
            <w:pPr>
              <w:adjustRightInd w:val="0"/>
              <w:snapToGrid w:val="0"/>
              <w:spacing w:line="460" w:lineRule="exact"/>
              <w:ind w:firstLine="480" w:firstLineChars="200"/>
              <w:rPr>
                <w:color w:val="000000"/>
                <w:sz w:val="24"/>
              </w:rPr>
            </w:pPr>
            <w:r>
              <w:rPr>
                <w:color w:val="000000"/>
                <w:sz w:val="24"/>
              </w:rPr>
              <w:t>本项目利用印海智谷产业园现有空厂房进行建设，目前厂房为空厂房，设备未就位，不涉及未批先建。本项目</w:t>
            </w:r>
            <w:r>
              <w:rPr>
                <w:rFonts w:hint="eastAsia"/>
                <w:color w:val="000000"/>
                <w:sz w:val="24"/>
              </w:rPr>
              <w:t>实验室</w:t>
            </w:r>
            <w:r>
              <w:rPr>
                <w:color w:val="000000"/>
                <w:sz w:val="24"/>
              </w:rPr>
              <w:t>现状见下图。</w:t>
            </w:r>
          </w:p>
          <w:p>
            <w:pPr>
              <w:adjustRightInd w:val="0"/>
              <w:snapToGrid w:val="0"/>
              <w:jc w:val="center"/>
              <w:rPr>
                <w:color w:val="000000"/>
                <w:sz w:val="24"/>
              </w:rPr>
            </w:pPr>
            <w:r>
              <w:rPr>
                <w:color w:val="000000"/>
                <w:sz w:val="24"/>
              </w:rPr>
              <w:drawing>
                <wp:inline distT="0" distB="0" distL="0" distR="0">
                  <wp:extent cx="5019675" cy="349377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l="4207" r="8174"/>
                          <a:stretch>
                            <a:fillRect/>
                          </a:stretch>
                        </pic:blipFill>
                        <pic:spPr>
                          <a:xfrm>
                            <a:off x="0" y="0"/>
                            <a:ext cx="5021574" cy="3495148"/>
                          </a:xfrm>
                          <a:prstGeom prst="rect">
                            <a:avLst/>
                          </a:prstGeom>
                          <a:noFill/>
                          <a:ln>
                            <a:noFill/>
                          </a:ln>
                        </pic:spPr>
                      </pic:pic>
                    </a:graphicData>
                  </a:graphic>
                </wp:inline>
              </w:drawing>
            </w:r>
          </w:p>
          <w:p>
            <w:pPr>
              <w:adjustRightInd w:val="0"/>
              <w:snapToGrid w:val="0"/>
              <w:spacing w:line="460" w:lineRule="exact"/>
              <w:jc w:val="center"/>
              <w:rPr>
                <w:color w:val="000000"/>
                <w:sz w:val="24"/>
              </w:rPr>
            </w:pPr>
            <w:r>
              <w:rPr>
                <w:rFonts w:eastAsia="黑体"/>
                <w:color w:val="000000"/>
                <w:sz w:val="24"/>
              </w:rPr>
              <w:t xml:space="preserve">图2           </w:t>
            </w:r>
            <w:r>
              <w:rPr>
                <w:rFonts w:hint="eastAsia" w:eastAsia="黑体"/>
                <w:color w:val="000000"/>
                <w:sz w:val="24"/>
              </w:rPr>
              <w:t>实验室</w:t>
            </w:r>
            <w:r>
              <w:rPr>
                <w:rFonts w:eastAsia="黑体"/>
                <w:color w:val="000000"/>
                <w:sz w:val="24"/>
              </w:rPr>
              <w:t>现状图</w:t>
            </w:r>
          </w:p>
          <w:p>
            <w:pPr>
              <w:spacing w:line="480" w:lineRule="exact"/>
              <w:ind w:firstLine="472" w:firstLineChars="196"/>
              <w:rPr>
                <w:b/>
                <w:color w:val="000000"/>
                <w:sz w:val="24"/>
              </w:rPr>
            </w:pPr>
            <w:r>
              <w:rPr>
                <w:b/>
                <w:color w:val="000000"/>
                <w:sz w:val="24"/>
              </w:rPr>
              <w:t>2、项目组成情况</w:t>
            </w:r>
          </w:p>
          <w:p>
            <w:pPr>
              <w:adjustRightInd w:val="0"/>
              <w:snapToGrid w:val="0"/>
              <w:spacing w:line="460" w:lineRule="exact"/>
              <w:ind w:firstLine="480" w:firstLineChars="200"/>
              <w:rPr>
                <w:color w:val="000000"/>
                <w:sz w:val="24"/>
              </w:rPr>
            </w:pPr>
            <w:r>
              <w:rPr>
                <w:color w:val="000000"/>
                <w:sz w:val="24"/>
              </w:rPr>
              <w:t>该项目主要组成及建设情况见表15。</w:t>
            </w:r>
          </w:p>
          <w:p>
            <w:pPr>
              <w:spacing w:line="460" w:lineRule="exact"/>
              <w:ind w:firstLine="480" w:firstLineChars="200"/>
              <w:rPr>
                <w:rFonts w:eastAsia="黑体"/>
                <w:color w:val="000000"/>
                <w:sz w:val="24"/>
                <w:lang w:val="pt-BR"/>
              </w:rPr>
            </w:pPr>
            <w:r>
              <w:rPr>
                <w:rFonts w:eastAsia="黑体"/>
                <w:bCs/>
                <w:color w:val="000000"/>
                <w:sz w:val="24"/>
              </w:rPr>
              <w:t>表15                  项目组成一览表</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83"/>
              <w:gridCol w:w="641"/>
              <w:gridCol w:w="709"/>
              <w:gridCol w:w="774"/>
              <w:gridCol w:w="134"/>
              <w:gridCol w:w="2134"/>
              <w:gridCol w:w="1268"/>
              <w:gridCol w:w="1275"/>
              <w:gridCol w:w="5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dxa"/>
                  <w:tcBorders>
                    <w:top w:val="single" w:color="auto" w:sz="8" w:space="0"/>
                  </w:tcBorders>
                  <w:vAlign w:val="center"/>
                </w:tcPr>
                <w:p>
                  <w:pPr>
                    <w:jc w:val="center"/>
                    <w:rPr>
                      <w:b/>
                      <w:color w:val="000000"/>
                      <w:szCs w:val="21"/>
                      <w:lang w:val="pt-BR"/>
                    </w:rPr>
                  </w:pPr>
                  <w:r>
                    <w:rPr>
                      <w:b/>
                      <w:color w:val="000000"/>
                      <w:szCs w:val="21"/>
                      <w:lang w:val="pt-BR"/>
                    </w:rPr>
                    <w:t>序号</w:t>
                  </w:r>
                </w:p>
              </w:tc>
              <w:tc>
                <w:tcPr>
                  <w:tcW w:w="641" w:type="dxa"/>
                  <w:tcBorders>
                    <w:top w:val="single" w:color="auto" w:sz="8" w:space="0"/>
                  </w:tcBorders>
                  <w:vAlign w:val="center"/>
                </w:tcPr>
                <w:p>
                  <w:pPr>
                    <w:jc w:val="center"/>
                    <w:rPr>
                      <w:b/>
                      <w:color w:val="000000"/>
                      <w:szCs w:val="21"/>
                      <w:lang w:val="pt-BR"/>
                    </w:rPr>
                  </w:pPr>
                  <w:r>
                    <w:rPr>
                      <w:b/>
                      <w:color w:val="000000"/>
                      <w:szCs w:val="21"/>
                      <w:lang w:val="pt-BR"/>
                    </w:rPr>
                    <w:t>项目</w:t>
                  </w:r>
                </w:p>
              </w:tc>
              <w:tc>
                <w:tcPr>
                  <w:tcW w:w="709" w:type="dxa"/>
                  <w:tcBorders>
                    <w:top w:val="single" w:color="auto" w:sz="8" w:space="0"/>
                  </w:tcBorders>
                  <w:vAlign w:val="center"/>
                </w:tcPr>
                <w:p>
                  <w:pPr>
                    <w:jc w:val="center"/>
                    <w:rPr>
                      <w:b/>
                      <w:color w:val="000000"/>
                      <w:szCs w:val="21"/>
                      <w:lang w:val="pt-BR"/>
                    </w:rPr>
                  </w:pPr>
                  <w:r>
                    <w:rPr>
                      <w:b/>
                      <w:color w:val="000000"/>
                      <w:szCs w:val="21"/>
                      <w:lang w:val="pt-BR"/>
                    </w:rPr>
                    <w:t>内容</w:t>
                  </w:r>
                </w:p>
              </w:tc>
              <w:tc>
                <w:tcPr>
                  <w:tcW w:w="5585" w:type="dxa"/>
                  <w:gridSpan w:val="5"/>
                  <w:tcBorders>
                    <w:top w:val="single" w:color="auto" w:sz="8" w:space="0"/>
                  </w:tcBorders>
                  <w:vAlign w:val="center"/>
                </w:tcPr>
                <w:p>
                  <w:pPr>
                    <w:jc w:val="center"/>
                    <w:rPr>
                      <w:b/>
                      <w:color w:val="000000"/>
                      <w:szCs w:val="21"/>
                      <w:lang w:val="pt-BR"/>
                    </w:rPr>
                  </w:pPr>
                  <w:r>
                    <w:rPr>
                      <w:b/>
                      <w:color w:val="000000"/>
                      <w:szCs w:val="21"/>
                      <w:lang w:val="pt-BR"/>
                    </w:rPr>
                    <w:t>数量、规模或要求</w:t>
                  </w:r>
                </w:p>
              </w:tc>
              <w:tc>
                <w:tcPr>
                  <w:tcW w:w="527" w:type="dxa"/>
                  <w:tcBorders>
                    <w:top w:val="single" w:color="auto" w:sz="8" w:space="0"/>
                  </w:tcBorders>
                  <w:vAlign w:val="center"/>
                </w:tcPr>
                <w:p>
                  <w:pPr>
                    <w:jc w:val="center"/>
                    <w:rPr>
                      <w:b/>
                      <w:color w:val="000000"/>
                      <w:szCs w:val="21"/>
                      <w:lang w:val="pt-BR"/>
                    </w:rPr>
                  </w:pPr>
                  <w:r>
                    <w:rPr>
                      <w:b/>
                      <w:color w:val="000000"/>
                      <w:szCs w:val="21"/>
                      <w:lang w:val="pt-BR"/>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dxa"/>
                  <w:vMerge w:val="restart"/>
                  <w:vAlign w:val="center"/>
                </w:tcPr>
                <w:p>
                  <w:pPr>
                    <w:jc w:val="center"/>
                    <w:rPr>
                      <w:color w:val="000000"/>
                      <w:szCs w:val="21"/>
                      <w:lang w:val="pt-BR"/>
                    </w:rPr>
                  </w:pPr>
                  <w:r>
                    <w:rPr>
                      <w:rFonts w:hint="eastAsia"/>
                      <w:color w:val="000000"/>
                      <w:szCs w:val="21"/>
                      <w:lang w:val="pt-BR"/>
                    </w:rPr>
                    <w:t>1</w:t>
                  </w:r>
                </w:p>
              </w:tc>
              <w:tc>
                <w:tcPr>
                  <w:tcW w:w="641" w:type="dxa"/>
                  <w:vMerge w:val="restart"/>
                  <w:vAlign w:val="center"/>
                </w:tcPr>
                <w:p>
                  <w:pPr>
                    <w:jc w:val="center"/>
                    <w:rPr>
                      <w:color w:val="000000"/>
                      <w:szCs w:val="21"/>
                      <w:lang w:val="pt-BR"/>
                    </w:rPr>
                  </w:pPr>
                  <w:r>
                    <w:rPr>
                      <w:color w:val="000000"/>
                      <w:szCs w:val="21"/>
                      <w:lang w:val="pt-BR"/>
                    </w:rPr>
                    <w:t>主体工程</w:t>
                  </w:r>
                </w:p>
              </w:tc>
              <w:tc>
                <w:tcPr>
                  <w:tcW w:w="709" w:type="dxa"/>
                  <w:vMerge w:val="restart"/>
                  <w:vAlign w:val="center"/>
                </w:tcPr>
                <w:p>
                  <w:pPr>
                    <w:contextualSpacing/>
                    <w:jc w:val="center"/>
                    <w:textAlignment w:val="baseline"/>
                    <w:rPr>
                      <w:color w:val="000000"/>
                      <w:kern w:val="0"/>
                      <w:szCs w:val="21"/>
                    </w:rPr>
                  </w:pPr>
                  <w:r>
                    <w:rPr>
                      <w:color w:val="000000"/>
                      <w:kern w:val="0"/>
                      <w:szCs w:val="21"/>
                    </w:rPr>
                    <w:t>实验室</w:t>
                  </w:r>
                </w:p>
              </w:tc>
              <w:tc>
                <w:tcPr>
                  <w:tcW w:w="774" w:type="dxa"/>
                  <w:vMerge w:val="restart"/>
                  <w:vAlign w:val="center"/>
                </w:tcPr>
                <w:p>
                  <w:pPr>
                    <w:contextualSpacing/>
                    <w:textAlignment w:val="baseline"/>
                    <w:rPr>
                      <w:kern w:val="0"/>
                      <w:szCs w:val="21"/>
                    </w:rPr>
                  </w:pPr>
                  <w:r>
                    <w:rPr>
                      <w:kern w:val="0"/>
                      <w:szCs w:val="21"/>
                    </w:rPr>
                    <w:t>实验楼、办公楼共用1座，4层，</w:t>
                  </w:r>
                  <w:r>
                    <w:rPr>
                      <w:rFonts w:hint="eastAsia"/>
                      <w:kern w:val="0"/>
                      <w:szCs w:val="21"/>
                    </w:rPr>
                    <w:t>占地</w:t>
                  </w:r>
                  <w:r>
                    <w:rPr>
                      <w:kern w:val="0"/>
                      <w:szCs w:val="21"/>
                    </w:rPr>
                    <w:t>面积3165m</w:t>
                  </w:r>
                  <w:r>
                    <w:rPr>
                      <w:kern w:val="0"/>
                      <w:szCs w:val="21"/>
                      <w:vertAlign w:val="superscript"/>
                    </w:rPr>
                    <w:t>2</w:t>
                  </w:r>
                  <w:r>
                    <w:rPr>
                      <w:kern w:val="0"/>
                      <w:szCs w:val="21"/>
                    </w:rPr>
                    <w:t>；</w:t>
                  </w:r>
                </w:p>
              </w:tc>
              <w:tc>
                <w:tcPr>
                  <w:tcW w:w="2268" w:type="dxa"/>
                  <w:gridSpan w:val="2"/>
                  <w:vAlign w:val="center"/>
                </w:tcPr>
                <w:p>
                  <w:pPr>
                    <w:contextualSpacing/>
                    <w:jc w:val="center"/>
                    <w:textAlignment w:val="baseline"/>
                    <w:rPr>
                      <w:kern w:val="0"/>
                      <w:szCs w:val="21"/>
                    </w:rPr>
                  </w:pPr>
                  <w:r>
                    <w:rPr>
                      <w:rFonts w:hint="eastAsia"/>
                      <w:kern w:val="0"/>
                      <w:szCs w:val="21"/>
                    </w:rPr>
                    <w:t>功能类别</w:t>
                  </w:r>
                </w:p>
              </w:tc>
              <w:tc>
                <w:tcPr>
                  <w:tcW w:w="2543" w:type="dxa"/>
                  <w:gridSpan w:val="2"/>
                  <w:vAlign w:val="center"/>
                </w:tcPr>
                <w:p>
                  <w:pPr>
                    <w:contextualSpacing/>
                    <w:jc w:val="center"/>
                    <w:textAlignment w:val="baseline"/>
                    <w:rPr>
                      <w:kern w:val="0"/>
                      <w:szCs w:val="21"/>
                    </w:rPr>
                  </w:pPr>
                  <w:r>
                    <w:rPr>
                      <w:rFonts w:hint="eastAsia"/>
                      <w:kern w:val="0"/>
                      <w:szCs w:val="21"/>
                    </w:rPr>
                    <w:t>建筑面积（</w:t>
                  </w:r>
                  <w:r>
                    <w:rPr>
                      <w:kern w:val="0"/>
                      <w:szCs w:val="21"/>
                    </w:rPr>
                    <w:t>m</w:t>
                  </w:r>
                  <w:r>
                    <w:rPr>
                      <w:kern w:val="0"/>
                      <w:szCs w:val="21"/>
                      <w:vertAlign w:val="superscript"/>
                    </w:rPr>
                    <w:t>2</w:t>
                  </w:r>
                  <w:r>
                    <w:rPr>
                      <w:rFonts w:hint="eastAsia"/>
                      <w:kern w:val="0"/>
                      <w:szCs w:val="21"/>
                    </w:rPr>
                    <w:t>）</w:t>
                  </w:r>
                </w:p>
              </w:tc>
              <w:tc>
                <w:tcPr>
                  <w:tcW w:w="527" w:type="dxa"/>
                  <w:vMerge w:val="restart"/>
                  <w:vAlign w:val="center"/>
                </w:tcPr>
                <w:p>
                  <w:pPr>
                    <w:jc w:val="center"/>
                    <w:rPr>
                      <w:bCs/>
                      <w:color w:val="000000"/>
                      <w:szCs w:val="21"/>
                      <w:lang w:val="pt-BR"/>
                    </w:rPr>
                  </w:pPr>
                  <w:r>
                    <w:rPr>
                      <w:bCs/>
                      <w:color w:val="000000"/>
                      <w:szCs w:val="21"/>
                      <w:lang w:val="pt-BR"/>
                    </w:rPr>
                    <w:t>利用现有</w:t>
                  </w:r>
                  <w:r>
                    <w:rPr>
                      <w:rFonts w:hint="eastAsia"/>
                      <w:bCs/>
                      <w:color w:val="000000"/>
                      <w:szCs w:val="21"/>
                      <w:lang w:val="pt-BR"/>
                    </w:rPr>
                    <w:t>空间室内改造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dxa"/>
                  <w:vMerge w:val="continue"/>
                  <w:vAlign w:val="center"/>
                </w:tcPr>
                <w:p>
                  <w:pPr>
                    <w:jc w:val="center"/>
                    <w:rPr>
                      <w:color w:val="000000"/>
                      <w:szCs w:val="21"/>
                      <w:lang w:val="pt-BR"/>
                    </w:rPr>
                  </w:pPr>
                </w:p>
              </w:tc>
              <w:tc>
                <w:tcPr>
                  <w:tcW w:w="641" w:type="dxa"/>
                  <w:vMerge w:val="continue"/>
                  <w:vAlign w:val="center"/>
                </w:tcPr>
                <w:p>
                  <w:pPr>
                    <w:jc w:val="center"/>
                    <w:rPr>
                      <w:color w:val="000000"/>
                      <w:szCs w:val="21"/>
                      <w:lang w:val="pt-BR"/>
                    </w:rPr>
                  </w:pPr>
                </w:p>
              </w:tc>
              <w:tc>
                <w:tcPr>
                  <w:tcW w:w="709" w:type="dxa"/>
                  <w:vMerge w:val="continue"/>
                  <w:vAlign w:val="center"/>
                </w:tcPr>
                <w:p>
                  <w:pPr>
                    <w:contextualSpacing/>
                    <w:jc w:val="center"/>
                    <w:textAlignment w:val="baseline"/>
                    <w:rPr>
                      <w:color w:val="000000"/>
                      <w:kern w:val="0"/>
                      <w:szCs w:val="21"/>
                    </w:rPr>
                  </w:pPr>
                </w:p>
              </w:tc>
              <w:tc>
                <w:tcPr>
                  <w:tcW w:w="774" w:type="dxa"/>
                  <w:vMerge w:val="continue"/>
                  <w:vAlign w:val="center"/>
                </w:tcPr>
                <w:p>
                  <w:pPr>
                    <w:contextualSpacing/>
                    <w:textAlignment w:val="baseline"/>
                    <w:rPr>
                      <w:kern w:val="0"/>
                      <w:szCs w:val="21"/>
                    </w:rPr>
                  </w:pPr>
                </w:p>
              </w:tc>
              <w:tc>
                <w:tcPr>
                  <w:tcW w:w="2268" w:type="dxa"/>
                  <w:gridSpan w:val="2"/>
                  <w:vAlign w:val="center"/>
                </w:tcPr>
                <w:p>
                  <w:pPr>
                    <w:contextualSpacing/>
                    <w:jc w:val="center"/>
                    <w:textAlignment w:val="baseline"/>
                    <w:rPr>
                      <w:kern w:val="0"/>
                      <w:szCs w:val="21"/>
                    </w:rPr>
                  </w:pPr>
                  <w:r>
                    <w:rPr>
                      <w:rFonts w:hint="eastAsia"/>
                      <w:kern w:val="0"/>
                      <w:szCs w:val="21"/>
                    </w:rPr>
                    <w:t>业务大厅</w:t>
                  </w:r>
                </w:p>
              </w:tc>
              <w:tc>
                <w:tcPr>
                  <w:tcW w:w="2543" w:type="dxa"/>
                  <w:gridSpan w:val="2"/>
                  <w:vAlign w:val="center"/>
                </w:tcPr>
                <w:p>
                  <w:pPr>
                    <w:contextualSpacing/>
                    <w:jc w:val="center"/>
                    <w:textAlignment w:val="baseline"/>
                    <w:rPr>
                      <w:kern w:val="0"/>
                      <w:szCs w:val="21"/>
                    </w:rPr>
                  </w:pPr>
                  <w:r>
                    <w:rPr>
                      <w:kern w:val="0"/>
                      <w:szCs w:val="21"/>
                    </w:rPr>
                    <w:t>200m</w:t>
                  </w:r>
                  <w:r>
                    <w:rPr>
                      <w:kern w:val="0"/>
                      <w:szCs w:val="21"/>
                      <w:vertAlign w:val="superscript"/>
                    </w:rPr>
                    <w:t>2</w:t>
                  </w:r>
                </w:p>
              </w:tc>
              <w:tc>
                <w:tcPr>
                  <w:tcW w:w="527" w:type="dxa"/>
                  <w:vMerge w:val="continue"/>
                  <w:vAlign w:val="center"/>
                </w:tcPr>
                <w:p>
                  <w:pPr>
                    <w:jc w:val="center"/>
                    <w:rPr>
                      <w:bCs/>
                      <w:color w:val="000000"/>
                      <w:szCs w:val="21"/>
                      <w:lang w:val="pt-B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dxa"/>
                  <w:vMerge w:val="continue"/>
                  <w:vAlign w:val="center"/>
                </w:tcPr>
                <w:p>
                  <w:pPr>
                    <w:jc w:val="center"/>
                    <w:rPr>
                      <w:color w:val="000000"/>
                      <w:szCs w:val="21"/>
                      <w:lang w:val="pt-BR"/>
                    </w:rPr>
                  </w:pPr>
                </w:p>
              </w:tc>
              <w:tc>
                <w:tcPr>
                  <w:tcW w:w="641" w:type="dxa"/>
                  <w:vMerge w:val="continue"/>
                  <w:vAlign w:val="center"/>
                </w:tcPr>
                <w:p>
                  <w:pPr>
                    <w:jc w:val="center"/>
                    <w:rPr>
                      <w:color w:val="000000"/>
                      <w:szCs w:val="21"/>
                      <w:lang w:val="pt-BR"/>
                    </w:rPr>
                  </w:pPr>
                </w:p>
              </w:tc>
              <w:tc>
                <w:tcPr>
                  <w:tcW w:w="709" w:type="dxa"/>
                  <w:vMerge w:val="continue"/>
                  <w:vAlign w:val="center"/>
                </w:tcPr>
                <w:p>
                  <w:pPr>
                    <w:contextualSpacing/>
                    <w:jc w:val="center"/>
                    <w:textAlignment w:val="baseline"/>
                    <w:rPr>
                      <w:color w:val="000000"/>
                      <w:kern w:val="0"/>
                      <w:szCs w:val="21"/>
                    </w:rPr>
                  </w:pPr>
                </w:p>
              </w:tc>
              <w:tc>
                <w:tcPr>
                  <w:tcW w:w="774" w:type="dxa"/>
                  <w:vMerge w:val="continue"/>
                  <w:vAlign w:val="center"/>
                </w:tcPr>
                <w:p>
                  <w:pPr>
                    <w:contextualSpacing/>
                    <w:textAlignment w:val="baseline"/>
                    <w:rPr>
                      <w:kern w:val="0"/>
                      <w:szCs w:val="21"/>
                    </w:rPr>
                  </w:pPr>
                </w:p>
              </w:tc>
              <w:tc>
                <w:tcPr>
                  <w:tcW w:w="2268" w:type="dxa"/>
                  <w:gridSpan w:val="2"/>
                  <w:vAlign w:val="center"/>
                </w:tcPr>
                <w:p>
                  <w:pPr>
                    <w:contextualSpacing/>
                    <w:jc w:val="center"/>
                    <w:textAlignment w:val="baseline"/>
                    <w:rPr>
                      <w:kern w:val="0"/>
                      <w:szCs w:val="21"/>
                    </w:rPr>
                  </w:pPr>
                  <w:r>
                    <w:rPr>
                      <w:rFonts w:hint="eastAsia"/>
                      <w:kern w:val="0"/>
                      <w:szCs w:val="21"/>
                    </w:rPr>
                    <w:t>液相色谱室1间</w:t>
                  </w:r>
                </w:p>
              </w:tc>
              <w:tc>
                <w:tcPr>
                  <w:tcW w:w="2543" w:type="dxa"/>
                  <w:gridSpan w:val="2"/>
                  <w:vAlign w:val="center"/>
                </w:tcPr>
                <w:p>
                  <w:pPr>
                    <w:contextualSpacing/>
                    <w:jc w:val="center"/>
                    <w:textAlignment w:val="baseline"/>
                    <w:rPr>
                      <w:kern w:val="0"/>
                      <w:szCs w:val="21"/>
                    </w:rPr>
                  </w:pPr>
                  <w:r>
                    <w:rPr>
                      <w:kern w:val="0"/>
                      <w:szCs w:val="21"/>
                    </w:rPr>
                    <w:t>83.2m</w:t>
                  </w:r>
                  <w:r>
                    <w:rPr>
                      <w:kern w:val="0"/>
                      <w:szCs w:val="21"/>
                      <w:vertAlign w:val="superscript"/>
                    </w:rPr>
                    <w:t>2</w:t>
                  </w:r>
                </w:p>
              </w:tc>
              <w:tc>
                <w:tcPr>
                  <w:tcW w:w="527" w:type="dxa"/>
                  <w:vMerge w:val="continue"/>
                  <w:vAlign w:val="center"/>
                </w:tcPr>
                <w:p>
                  <w:pPr>
                    <w:jc w:val="center"/>
                    <w:rPr>
                      <w:bCs/>
                      <w:color w:val="000000"/>
                      <w:szCs w:val="21"/>
                      <w:lang w:val="pt-B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dxa"/>
                  <w:vMerge w:val="continue"/>
                  <w:vAlign w:val="center"/>
                </w:tcPr>
                <w:p>
                  <w:pPr>
                    <w:jc w:val="center"/>
                    <w:rPr>
                      <w:color w:val="000000"/>
                      <w:szCs w:val="21"/>
                      <w:lang w:val="pt-BR"/>
                    </w:rPr>
                  </w:pPr>
                </w:p>
              </w:tc>
              <w:tc>
                <w:tcPr>
                  <w:tcW w:w="641" w:type="dxa"/>
                  <w:vMerge w:val="continue"/>
                  <w:vAlign w:val="center"/>
                </w:tcPr>
                <w:p>
                  <w:pPr>
                    <w:jc w:val="center"/>
                    <w:rPr>
                      <w:color w:val="000000"/>
                      <w:szCs w:val="21"/>
                      <w:lang w:val="pt-BR"/>
                    </w:rPr>
                  </w:pPr>
                </w:p>
              </w:tc>
              <w:tc>
                <w:tcPr>
                  <w:tcW w:w="709" w:type="dxa"/>
                  <w:vMerge w:val="continue"/>
                  <w:vAlign w:val="center"/>
                </w:tcPr>
                <w:p>
                  <w:pPr>
                    <w:contextualSpacing/>
                    <w:jc w:val="center"/>
                    <w:textAlignment w:val="baseline"/>
                    <w:rPr>
                      <w:color w:val="000000"/>
                      <w:kern w:val="0"/>
                      <w:szCs w:val="21"/>
                    </w:rPr>
                  </w:pPr>
                </w:p>
              </w:tc>
              <w:tc>
                <w:tcPr>
                  <w:tcW w:w="774" w:type="dxa"/>
                  <w:vMerge w:val="continue"/>
                  <w:vAlign w:val="center"/>
                </w:tcPr>
                <w:p>
                  <w:pPr>
                    <w:contextualSpacing/>
                    <w:textAlignment w:val="baseline"/>
                    <w:rPr>
                      <w:kern w:val="0"/>
                      <w:szCs w:val="21"/>
                    </w:rPr>
                  </w:pPr>
                </w:p>
              </w:tc>
              <w:tc>
                <w:tcPr>
                  <w:tcW w:w="2268" w:type="dxa"/>
                  <w:gridSpan w:val="2"/>
                  <w:vAlign w:val="center"/>
                </w:tcPr>
                <w:p>
                  <w:pPr>
                    <w:contextualSpacing/>
                    <w:jc w:val="center"/>
                    <w:textAlignment w:val="baseline"/>
                    <w:rPr>
                      <w:kern w:val="0"/>
                      <w:szCs w:val="21"/>
                    </w:rPr>
                  </w:pPr>
                  <w:r>
                    <w:rPr>
                      <w:rFonts w:hint="eastAsia"/>
                      <w:kern w:val="0"/>
                      <w:szCs w:val="21"/>
                    </w:rPr>
                    <w:t>气相色谱室1间</w:t>
                  </w:r>
                </w:p>
              </w:tc>
              <w:tc>
                <w:tcPr>
                  <w:tcW w:w="2543" w:type="dxa"/>
                  <w:gridSpan w:val="2"/>
                  <w:vAlign w:val="center"/>
                </w:tcPr>
                <w:p>
                  <w:pPr>
                    <w:contextualSpacing/>
                    <w:jc w:val="center"/>
                    <w:textAlignment w:val="baseline"/>
                    <w:rPr>
                      <w:kern w:val="0"/>
                      <w:szCs w:val="21"/>
                    </w:rPr>
                  </w:pPr>
                  <w:r>
                    <w:rPr>
                      <w:kern w:val="0"/>
                      <w:szCs w:val="21"/>
                    </w:rPr>
                    <w:t>83.2m</w:t>
                  </w:r>
                  <w:r>
                    <w:rPr>
                      <w:kern w:val="0"/>
                      <w:szCs w:val="21"/>
                      <w:vertAlign w:val="superscript"/>
                    </w:rPr>
                    <w:t>2</w:t>
                  </w:r>
                </w:p>
              </w:tc>
              <w:tc>
                <w:tcPr>
                  <w:tcW w:w="527" w:type="dxa"/>
                  <w:vMerge w:val="continue"/>
                  <w:vAlign w:val="center"/>
                </w:tcPr>
                <w:p>
                  <w:pPr>
                    <w:jc w:val="center"/>
                    <w:rPr>
                      <w:bCs/>
                      <w:color w:val="000000"/>
                      <w:szCs w:val="21"/>
                      <w:lang w:val="pt-B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dxa"/>
                  <w:vMerge w:val="continue"/>
                  <w:vAlign w:val="center"/>
                </w:tcPr>
                <w:p>
                  <w:pPr>
                    <w:jc w:val="center"/>
                    <w:rPr>
                      <w:color w:val="000000"/>
                      <w:szCs w:val="21"/>
                      <w:lang w:val="pt-BR"/>
                    </w:rPr>
                  </w:pPr>
                </w:p>
              </w:tc>
              <w:tc>
                <w:tcPr>
                  <w:tcW w:w="641" w:type="dxa"/>
                  <w:vMerge w:val="continue"/>
                  <w:vAlign w:val="center"/>
                </w:tcPr>
                <w:p>
                  <w:pPr>
                    <w:jc w:val="center"/>
                    <w:rPr>
                      <w:color w:val="000000"/>
                      <w:szCs w:val="21"/>
                      <w:lang w:val="pt-BR"/>
                    </w:rPr>
                  </w:pPr>
                </w:p>
              </w:tc>
              <w:tc>
                <w:tcPr>
                  <w:tcW w:w="709" w:type="dxa"/>
                  <w:vMerge w:val="continue"/>
                  <w:vAlign w:val="center"/>
                </w:tcPr>
                <w:p>
                  <w:pPr>
                    <w:contextualSpacing/>
                    <w:jc w:val="center"/>
                    <w:textAlignment w:val="baseline"/>
                    <w:rPr>
                      <w:color w:val="000000"/>
                      <w:kern w:val="0"/>
                      <w:szCs w:val="21"/>
                    </w:rPr>
                  </w:pPr>
                </w:p>
              </w:tc>
              <w:tc>
                <w:tcPr>
                  <w:tcW w:w="774" w:type="dxa"/>
                  <w:vMerge w:val="continue"/>
                  <w:vAlign w:val="center"/>
                </w:tcPr>
                <w:p>
                  <w:pPr>
                    <w:contextualSpacing/>
                    <w:textAlignment w:val="baseline"/>
                    <w:rPr>
                      <w:kern w:val="0"/>
                      <w:szCs w:val="21"/>
                    </w:rPr>
                  </w:pPr>
                </w:p>
              </w:tc>
              <w:tc>
                <w:tcPr>
                  <w:tcW w:w="2268" w:type="dxa"/>
                  <w:gridSpan w:val="2"/>
                  <w:vAlign w:val="center"/>
                </w:tcPr>
                <w:p>
                  <w:pPr>
                    <w:contextualSpacing/>
                    <w:jc w:val="center"/>
                    <w:textAlignment w:val="baseline"/>
                    <w:rPr>
                      <w:kern w:val="0"/>
                      <w:szCs w:val="21"/>
                    </w:rPr>
                  </w:pPr>
                  <w:r>
                    <w:rPr>
                      <w:rFonts w:hint="eastAsia"/>
                      <w:kern w:val="0"/>
                      <w:szCs w:val="21"/>
                    </w:rPr>
                    <w:t>形态分析室1间</w:t>
                  </w:r>
                </w:p>
              </w:tc>
              <w:tc>
                <w:tcPr>
                  <w:tcW w:w="2543" w:type="dxa"/>
                  <w:gridSpan w:val="2"/>
                  <w:vAlign w:val="center"/>
                </w:tcPr>
                <w:p>
                  <w:pPr>
                    <w:contextualSpacing/>
                    <w:jc w:val="center"/>
                    <w:textAlignment w:val="baseline"/>
                    <w:rPr>
                      <w:kern w:val="0"/>
                      <w:szCs w:val="21"/>
                    </w:rPr>
                  </w:pPr>
                  <w:r>
                    <w:rPr>
                      <w:kern w:val="0"/>
                      <w:szCs w:val="21"/>
                    </w:rPr>
                    <w:t>83.2m</w:t>
                  </w:r>
                  <w:r>
                    <w:rPr>
                      <w:kern w:val="0"/>
                      <w:szCs w:val="21"/>
                      <w:vertAlign w:val="superscript"/>
                    </w:rPr>
                    <w:t>2</w:t>
                  </w:r>
                </w:p>
              </w:tc>
              <w:tc>
                <w:tcPr>
                  <w:tcW w:w="527" w:type="dxa"/>
                  <w:vMerge w:val="continue"/>
                  <w:vAlign w:val="center"/>
                </w:tcPr>
                <w:p>
                  <w:pPr>
                    <w:jc w:val="center"/>
                    <w:rPr>
                      <w:bCs/>
                      <w:color w:val="000000"/>
                      <w:szCs w:val="21"/>
                      <w:lang w:val="pt-B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dxa"/>
                  <w:vMerge w:val="continue"/>
                  <w:vAlign w:val="center"/>
                </w:tcPr>
                <w:p>
                  <w:pPr>
                    <w:jc w:val="center"/>
                    <w:rPr>
                      <w:color w:val="000000"/>
                      <w:szCs w:val="21"/>
                      <w:lang w:val="pt-BR"/>
                    </w:rPr>
                  </w:pPr>
                </w:p>
              </w:tc>
              <w:tc>
                <w:tcPr>
                  <w:tcW w:w="641" w:type="dxa"/>
                  <w:vMerge w:val="continue"/>
                  <w:vAlign w:val="center"/>
                </w:tcPr>
                <w:p>
                  <w:pPr>
                    <w:jc w:val="center"/>
                    <w:rPr>
                      <w:color w:val="000000"/>
                      <w:szCs w:val="21"/>
                      <w:lang w:val="pt-BR"/>
                    </w:rPr>
                  </w:pPr>
                </w:p>
              </w:tc>
              <w:tc>
                <w:tcPr>
                  <w:tcW w:w="709" w:type="dxa"/>
                  <w:vMerge w:val="continue"/>
                  <w:vAlign w:val="center"/>
                </w:tcPr>
                <w:p>
                  <w:pPr>
                    <w:contextualSpacing/>
                    <w:jc w:val="center"/>
                    <w:textAlignment w:val="baseline"/>
                    <w:rPr>
                      <w:color w:val="000000"/>
                      <w:kern w:val="0"/>
                      <w:szCs w:val="21"/>
                    </w:rPr>
                  </w:pPr>
                </w:p>
              </w:tc>
              <w:tc>
                <w:tcPr>
                  <w:tcW w:w="774" w:type="dxa"/>
                  <w:vMerge w:val="continue"/>
                  <w:vAlign w:val="center"/>
                </w:tcPr>
                <w:p>
                  <w:pPr>
                    <w:contextualSpacing/>
                    <w:textAlignment w:val="baseline"/>
                    <w:rPr>
                      <w:kern w:val="0"/>
                      <w:szCs w:val="21"/>
                    </w:rPr>
                  </w:pPr>
                </w:p>
              </w:tc>
              <w:tc>
                <w:tcPr>
                  <w:tcW w:w="2268" w:type="dxa"/>
                  <w:gridSpan w:val="2"/>
                  <w:vAlign w:val="center"/>
                </w:tcPr>
                <w:p>
                  <w:pPr>
                    <w:contextualSpacing/>
                    <w:jc w:val="center"/>
                    <w:textAlignment w:val="baseline"/>
                    <w:rPr>
                      <w:kern w:val="0"/>
                      <w:szCs w:val="21"/>
                    </w:rPr>
                  </w:pPr>
                  <w:r>
                    <w:rPr>
                      <w:rFonts w:hint="eastAsia"/>
                      <w:kern w:val="0"/>
                      <w:szCs w:val="21"/>
                    </w:rPr>
                    <w:t>样品处理室</w:t>
                  </w:r>
                  <w:r>
                    <w:rPr>
                      <w:kern w:val="0"/>
                      <w:szCs w:val="21"/>
                    </w:rPr>
                    <w:t>2</w:t>
                  </w:r>
                  <w:r>
                    <w:rPr>
                      <w:rFonts w:hint="eastAsia"/>
                      <w:kern w:val="0"/>
                      <w:szCs w:val="21"/>
                    </w:rPr>
                    <w:t>间</w:t>
                  </w:r>
                </w:p>
              </w:tc>
              <w:tc>
                <w:tcPr>
                  <w:tcW w:w="2543" w:type="dxa"/>
                  <w:gridSpan w:val="2"/>
                  <w:vAlign w:val="center"/>
                </w:tcPr>
                <w:p>
                  <w:pPr>
                    <w:contextualSpacing/>
                    <w:jc w:val="center"/>
                    <w:textAlignment w:val="baseline"/>
                    <w:rPr>
                      <w:kern w:val="0"/>
                      <w:szCs w:val="21"/>
                    </w:rPr>
                  </w:pPr>
                  <w:r>
                    <w:rPr>
                      <w:rFonts w:hint="eastAsia"/>
                      <w:kern w:val="0"/>
                      <w:szCs w:val="21"/>
                    </w:rPr>
                    <w:t>1</w:t>
                  </w:r>
                  <w:r>
                    <w:rPr>
                      <w:kern w:val="0"/>
                      <w:szCs w:val="21"/>
                    </w:rPr>
                    <w:t>66.4m</w:t>
                  </w:r>
                  <w:r>
                    <w:rPr>
                      <w:kern w:val="0"/>
                      <w:szCs w:val="21"/>
                      <w:vertAlign w:val="superscript"/>
                    </w:rPr>
                    <w:t>2</w:t>
                  </w:r>
                </w:p>
              </w:tc>
              <w:tc>
                <w:tcPr>
                  <w:tcW w:w="527" w:type="dxa"/>
                  <w:vMerge w:val="continue"/>
                  <w:vAlign w:val="center"/>
                </w:tcPr>
                <w:p>
                  <w:pPr>
                    <w:jc w:val="center"/>
                    <w:rPr>
                      <w:bCs/>
                      <w:color w:val="000000"/>
                      <w:szCs w:val="21"/>
                      <w:lang w:val="pt-B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dxa"/>
                  <w:vMerge w:val="continue"/>
                  <w:vAlign w:val="center"/>
                </w:tcPr>
                <w:p>
                  <w:pPr>
                    <w:jc w:val="center"/>
                    <w:rPr>
                      <w:color w:val="000000"/>
                      <w:szCs w:val="21"/>
                      <w:lang w:val="pt-BR"/>
                    </w:rPr>
                  </w:pPr>
                </w:p>
              </w:tc>
              <w:tc>
                <w:tcPr>
                  <w:tcW w:w="641" w:type="dxa"/>
                  <w:vMerge w:val="continue"/>
                  <w:vAlign w:val="center"/>
                </w:tcPr>
                <w:p>
                  <w:pPr>
                    <w:jc w:val="center"/>
                    <w:rPr>
                      <w:color w:val="000000"/>
                      <w:szCs w:val="21"/>
                      <w:lang w:val="pt-BR"/>
                    </w:rPr>
                  </w:pPr>
                </w:p>
              </w:tc>
              <w:tc>
                <w:tcPr>
                  <w:tcW w:w="709" w:type="dxa"/>
                  <w:vMerge w:val="continue"/>
                  <w:vAlign w:val="center"/>
                </w:tcPr>
                <w:p>
                  <w:pPr>
                    <w:contextualSpacing/>
                    <w:jc w:val="center"/>
                    <w:textAlignment w:val="baseline"/>
                    <w:rPr>
                      <w:color w:val="000000"/>
                      <w:kern w:val="0"/>
                      <w:szCs w:val="21"/>
                    </w:rPr>
                  </w:pPr>
                </w:p>
              </w:tc>
              <w:tc>
                <w:tcPr>
                  <w:tcW w:w="774" w:type="dxa"/>
                  <w:vMerge w:val="continue"/>
                  <w:vAlign w:val="center"/>
                </w:tcPr>
                <w:p>
                  <w:pPr>
                    <w:contextualSpacing/>
                    <w:textAlignment w:val="baseline"/>
                    <w:rPr>
                      <w:kern w:val="0"/>
                      <w:szCs w:val="21"/>
                    </w:rPr>
                  </w:pPr>
                </w:p>
              </w:tc>
              <w:tc>
                <w:tcPr>
                  <w:tcW w:w="2268" w:type="dxa"/>
                  <w:gridSpan w:val="2"/>
                  <w:vAlign w:val="center"/>
                </w:tcPr>
                <w:p>
                  <w:pPr>
                    <w:contextualSpacing/>
                    <w:jc w:val="center"/>
                    <w:textAlignment w:val="baseline"/>
                    <w:rPr>
                      <w:kern w:val="0"/>
                      <w:szCs w:val="21"/>
                    </w:rPr>
                  </w:pPr>
                  <w:r>
                    <w:rPr>
                      <w:rFonts w:hint="eastAsia"/>
                      <w:kern w:val="0"/>
                      <w:szCs w:val="21"/>
                    </w:rPr>
                    <w:t>数据处理室1间</w:t>
                  </w:r>
                </w:p>
              </w:tc>
              <w:tc>
                <w:tcPr>
                  <w:tcW w:w="2543" w:type="dxa"/>
                  <w:gridSpan w:val="2"/>
                  <w:vAlign w:val="center"/>
                </w:tcPr>
                <w:p>
                  <w:pPr>
                    <w:contextualSpacing/>
                    <w:jc w:val="center"/>
                    <w:textAlignment w:val="baseline"/>
                    <w:rPr>
                      <w:kern w:val="0"/>
                      <w:szCs w:val="21"/>
                    </w:rPr>
                  </w:pPr>
                  <w:r>
                    <w:rPr>
                      <w:kern w:val="0"/>
                      <w:szCs w:val="21"/>
                    </w:rPr>
                    <w:t>83.2m</w:t>
                  </w:r>
                  <w:r>
                    <w:rPr>
                      <w:kern w:val="0"/>
                      <w:szCs w:val="21"/>
                      <w:vertAlign w:val="superscript"/>
                    </w:rPr>
                    <w:t>2</w:t>
                  </w:r>
                </w:p>
              </w:tc>
              <w:tc>
                <w:tcPr>
                  <w:tcW w:w="527" w:type="dxa"/>
                  <w:vMerge w:val="continue"/>
                  <w:vAlign w:val="center"/>
                </w:tcPr>
                <w:p>
                  <w:pPr>
                    <w:jc w:val="center"/>
                    <w:rPr>
                      <w:bCs/>
                      <w:color w:val="000000"/>
                      <w:szCs w:val="21"/>
                      <w:lang w:val="pt-B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dxa"/>
                  <w:vMerge w:val="continue"/>
                  <w:vAlign w:val="center"/>
                </w:tcPr>
                <w:p>
                  <w:pPr>
                    <w:jc w:val="center"/>
                    <w:rPr>
                      <w:color w:val="000000"/>
                      <w:szCs w:val="21"/>
                      <w:lang w:val="pt-BR"/>
                    </w:rPr>
                  </w:pPr>
                </w:p>
              </w:tc>
              <w:tc>
                <w:tcPr>
                  <w:tcW w:w="641" w:type="dxa"/>
                  <w:vMerge w:val="continue"/>
                  <w:vAlign w:val="center"/>
                </w:tcPr>
                <w:p>
                  <w:pPr>
                    <w:jc w:val="center"/>
                    <w:rPr>
                      <w:color w:val="000000"/>
                      <w:szCs w:val="21"/>
                      <w:lang w:val="pt-BR"/>
                    </w:rPr>
                  </w:pPr>
                </w:p>
              </w:tc>
              <w:tc>
                <w:tcPr>
                  <w:tcW w:w="709" w:type="dxa"/>
                  <w:vMerge w:val="continue"/>
                  <w:vAlign w:val="center"/>
                </w:tcPr>
                <w:p>
                  <w:pPr>
                    <w:contextualSpacing/>
                    <w:jc w:val="center"/>
                    <w:textAlignment w:val="baseline"/>
                    <w:rPr>
                      <w:color w:val="000000"/>
                      <w:kern w:val="0"/>
                      <w:szCs w:val="21"/>
                    </w:rPr>
                  </w:pPr>
                </w:p>
              </w:tc>
              <w:tc>
                <w:tcPr>
                  <w:tcW w:w="774" w:type="dxa"/>
                  <w:vMerge w:val="continue"/>
                  <w:vAlign w:val="center"/>
                </w:tcPr>
                <w:p>
                  <w:pPr>
                    <w:contextualSpacing/>
                    <w:textAlignment w:val="baseline"/>
                    <w:rPr>
                      <w:kern w:val="0"/>
                      <w:szCs w:val="21"/>
                    </w:rPr>
                  </w:pPr>
                </w:p>
              </w:tc>
              <w:tc>
                <w:tcPr>
                  <w:tcW w:w="2268" w:type="dxa"/>
                  <w:gridSpan w:val="2"/>
                  <w:vAlign w:val="center"/>
                </w:tcPr>
                <w:p>
                  <w:pPr>
                    <w:contextualSpacing/>
                    <w:jc w:val="center"/>
                    <w:textAlignment w:val="baseline"/>
                    <w:rPr>
                      <w:kern w:val="0"/>
                      <w:szCs w:val="21"/>
                    </w:rPr>
                  </w:pPr>
                  <w:r>
                    <w:rPr>
                      <w:rFonts w:hint="eastAsia"/>
                      <w:kern w:val="0"/>
                      <w:szCs w:val="21"/>
                    </w:rPr>
                    <w:t>药品室1间</w:t>
                  </w:r>
                </w:p>
              </w:tc>
              <w:tc>
                <w:tcPr>
                  <w:tcW w:w="2543" w:type="dxa"/>
                  <w:gridSpan w:val="2"/>
                  <w:vAlign w:val="center"/>
                </w:tcPr>
                <w:p>
                  <w:pPr>
                    <w:contextualSpacing/>
                    <w:jc w:val="center"/>
                    <w:textAlignment w:val="baseline"/>
                    <w:rPr>
                      <w:kern w:val="0"/>
                      <w:szCs w:val="21"/>
                    </w:rPr>
                  </w:pPr>
                  <w:r>
                    <w:rPr>
                      <w:kern w:val="0"/>
                      <w:szCs w:val="21"/>
                    </w:rPr>
                    <w:t>83.2m</w:t>
                  </w:r>
                  <w:r>
                    <w:rPr>
                      <w:kern w:val="0"/>
                      <w:szCs w:val="21"/>
                      <w:vertAlign w:val="superscript"/>
                    </w:rPr>
                    <w:t>2</w:t>
                  </w:r>
                </w:p>
              </w:tc>
              <w:tc>
                <w:tcPr>
                  <w:tcW w:w="527" w:type="dxa"/>
                  <w:vMerge w:val="continue"/>
                  <w:vAlign w:val="center"/>
                </w:tcPr>
                <w:p>
                  <w:pPr>
                    <w:jc w:val="center"/>
                    <w:rPr>
                      <w:bCs/>
                      <w:color w:val="000000"/>
                      <w:szCs w:val="21"/>
                      <w:lang w:val="pt-B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dxa"/>
                  <w:vMerge w:val="continue"/>
                  <w:vAlign w:val="center"/>
                </w:tcPr>
                <w:p>
                  <w:pPr>
                    <w:jc w:val="center"/>
                    <w:rPr>
                      <w:color w:val="000000"/>
                      <w:szCs w:val="21"/>
                      <w:lang w:val="pt-BR"/>
                    </w:rPr>
                  </w:pPr>
                </w:p>
              </w:tc>
              <w:tc>
                <w:tcPr>
                  <w:tcW w:w="641" w:type="dxa"/>
                  <w:vMerge w:val="continue"/>
                  <w:vAlign w:val="center"/>
                </w:tcPr>
                <w:p>
                  <w:pPr>
                    <w:jc w:val="center"/>
                    <w:rPr>
                      <w:color w:val="000000"/>
                      <w:szCs w:val="21"/>
                      <w:lang w:val="pt-BR"/>
                    </w:rPr>
                  </w:pPr>
                </w:p>
              </w:tc>
              <w:tc>
                <w:tcPr>
                  <w:tcW w:w="709" w:type="dxa"/>
                  <w:vMerge w:val="continue"/>
                  <w:vAlign w:val="center"/>
                </w:tcPr>
                <w:p>
                  <w:pPr>
                    <w:contextualSpacing/>
                    <w:jc w:val="center"/>
                    <w:textAlignment w:val="baseline"/>
                    <w:rPr>
                      <w:color w:val="000000"/>
                      <w:kern w:val="0"/>
                      <w:szCs w:val="21"/>
                    </w:rPr>
                  </w:pPr>
                </w:p>
              </w:tc>
              <w:tc>
                <w:tcPr>
                  <w:tcW w:w="774" w:type="dxa"/>
                  <w:vMerge w:val="continue"/>
                  <w:vAlign w:val="center"/>
                </w:tcPr>
                <w:p>
                  <w:pPr>
                    <w:contextualSpacing/>
                    <w:textAlignment w:val="baseline"/>
                    <w:rPr>
                      <w:kern w:val="0"/>
                      <w:szCs w:val="21"/>
                    </w:rPr>
                  </w:pPr>
                </w:p>
              </w:tc>
              <w:tc>
                <w:tcPr>
                  <w:tcW w:w="2268" w:type="dxa"/>
                  <w:gridSpan w:val="2"/>
                  <w:vAlign w:val="center"/>
                </w:tcPr>
                <w:p>
                  <w:pPr>
                    <w:contextualSpacing/>
                    <w:jc w:val="center"/>
                    <w:textAlignment w:val="baseline"/>
                    <w:rPr>
                      <w:kern w:val="0"/>
                      <w:szCs w:val="21"/>
                    </w:rPr>
                  </w:pPr>
                  <w:r>
                    <w:rPr>
                      <w:rFonts w:hint="eastAsia"/>
                      <w:kern w:val="0"/>
                      <w:szCs w:val="21"/>
                    </w:rPr>
                    <w:t>原子荧光室2间</w:t>
                  </w:r>
                </w:p>
              </w:tc>
              <w:tc>
                <w:tcPr>
                  <w:tcW w:w="2543" w:type="dxa"/>
                  <w:gridSpan w:val="2"/>
                  <w:vAlign w:val="center"/>
                </w:tcPr>
                <w:p>
                  <w:pPr>
                    <w:contextualSpacing/>
                    <w:jc w:val="center"/>
                    <w:textAlignment w:val="baseline"/>
                    <w:rPr>
                      <w:kern w:val="0"/>
                      <w:szCs w:val="21"/>
                    </w:rPr>
                  </w:pPr>
                  <w:r>
                    <w:rPr>
                      <w:rFonts w:hint="eastAsia"/>
                      <w:kern w:val="0"/>
                      <w:szCs w:val="21"/>
                    </w:rPr>
                    <w:t>1</w:t>
                  </w:r>
                  <w:r>
                    <w:rPr>
                      <w:kern w:val="0"/>
                      <w:szCs w:val="21"/>
                    </w:rPr>
                    <w:t>66.4m</w:t>
                  </w:r>
                  <w:r>
                    <w:rPr>
                      <w:kern w:val="0"/>
                      <w:szCs w:val="21"/>
                      <w:vertAlign w:val="superscript"/>
                    </w:rPr>
                    <w:t>2</w:t>
                  </w:r>
                </w:p>
              </w:tc>
              <w:tc>
                <w:tcPr>
                  <w:tcW w:w="527" w:type="dxa"/>
                  <w:vMerge w:val="continue"/>
                  <w:vAlign w:val="center"/>
                </w:tcPr>
                <w:p>
                  <w:pPr>
                    <w:jc w:val="center"/>
                    <w:rPr>
                      <w:bCs/>
                      <w:color w:val="000000"/>
                      <w:szCs w:val="21"/>
                      <w:lang w:val="pt-B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dxa"/>
                  <w:vMerge w:val="continue"/>
                  <w:vAlign w:val="center"/>
                </w:tcPr>
                <w:p>
                  <w:pPr>
                    <w:jc w:val="center"/>
                    <w:rPr>
                      <w:color w:val="000000"/>
                      <w:szCs w:val="21"/>
                      <w:lang w:val="pt-BR"/>
                    </w:rPr>
                  </w:pPr>
                </w:p>
              </w:tc>
              <w:tc>
                <w:tcPr>
                  <w:tcW w:w="641" w:type="dxa"/>
                  <w:vMerge w:val="continue"/>
                  <w:vAlign w:val="center"/>
                </w:tcPr>
                <w:p>
                  <w:pPr>
                    <w:jc w:val="center"/>
                    <w:rPr>
                      <w:color w:val="000000"/>
                      <w:szCs w:val="21"/>
                      <w:lang w:val="pt-BR"/>
                    </w:rPr>
                  </w:pPr>
                </w:p>
              </w:tc>
              <w:tc>
                <w:tcPr>
                  <w:tcW w:w="709" w:type="dxa"/>
                  <w:vMerge w:val="continue"/>
                  <w:vAlign w:val="center"/>
                </w:tcPr>
                <w:p>
                  <w:pPr>
                    <w:contextualSpacing/>
                    <w:jc w:val="center"/>
                    <w:textAlignment w:val="baseline"/>
                    <w:rPr>
                      <w:color w:val="000000"/>
                      <w:kern w:val="0"/>
                      <w:szCs w:val="21"/>
                    </w:rPr>
                  </w:pPr>
                </w:p>
              </w:tc>
              <w:tc>
                <w:tcPr>
                  <w:tcW w:w="774" w:type="dxa"/>
                  <w:vMerge w:val="continue"/>
                  <w:vAlign w:val="center"/>
                </w:tcPr>
                <w:p>
                  <w:pPr>
                    <w:contextualSpacing/>
                    <w:textAlignment w:val="baseline"/>
                    <w:rPr>
                      <w:kern w:val="0"/>
                      <w:szCs w:val="21"/>
                    </w:rPr>
                  </w:pPr>
                </w:p>
              </w:tc>
              <w:tc>
                <w:tcPr>
                  <w:tcW w:w="2268" w:type="dxa"/>
                  <w:gridSpan w:val="2"/>
                  <w:vAlign w:val="center"/>
                </w:tcPr>
                <w:p>
                  <w:pPr>
                    <w:contextualSpacing/>
                    <w:jc w:val="center"/>
                    <w:textAlignment w:val="baseline"/>
                    <w:rPr>
                      <w:kern w:val="0"/>
                      <w:szCs w:val="21"/>
                    </w:rPr>
                  </w:pPr>
                  <w:r>
                    <w:rPr>
                      <w:rFonts w:hint="eastAsia"/>
                      <w:kern w:val="0"/>
                      <w:szCs w:val="21"/>
                    </w:rPr>
                    <w:t>样品前处理室1间</w:t>
                  </w:r>
                </w:p>
              </w:tc>
              <w:tc>
                <w:tcPr>
                  <w:tcW w:w="2543" w:type="dxa"/>
                  <w:gridSpan w:val="2"/>
                  <w:vAlign w:val="center"/>
                </w:tcPr>
                <w:p>
                  <w:pPr>
                    <w:contextualSpacing/>
                    <w:jc w:val="center"/>
                    <w:textAlignment w:val="baseline"/>
                    <w:rPr>
                      <w:kern w:val="0"/>
                      <w:szCs w:val="21"/>
                    </w:rPr>
                  </w:pPr>
                  <w:r>
                    <w:rPr>
                      <w:kern w:val="0"/>
                      <w:szCs w:val="21"/>
                    </w:rPr>
                    <w:t>83.2m</w:t>
                  </w:r>
                  <w:r>
                    <w:rPr>
                      <w:kern w:val="0"/>
                      <w:szCs w:val="21"/>
                      <w:vertAlign w:val="superscript"/>
                    </w:rPr>
                    <w:t>2</w:t>
                  </w:r>
                </w:p>
              </w:tc>
              <w:tc>
                <w:tcPr>
                  <w:tcW w:w="527" w:type="dxa"/>
                  <w:vMerge w:val="continue"/>
                  <w:vAlign w:val="center"/>
                </w:tcPr>
                <w:p>
                  <w:pPr>
                    <w:jc w:val="center"/>
                    <w:rPr>
                      <w:bCs/>
                      <w:color w:val="000000"/>
                      <w:szCs w:val="21"/>
                      <w:lang w:val="pt-B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dxa"/>
                  <w:vMerge w:val="continue"/>
                  <w:vAlign w:val="center"/>
                </w:tcPr>
                <w:p>
                  <w:pPr>
                    <w:jc w:val="center"/>
                    <w:rPr>
                      <w:color w:val="000000"/>
                      <w:szCs w:val="21"/>
                      <w:lang w:val="pt-BR"/>
                    </w:rPr>
                  </w:pPr>
                </w:p>
              </w:tc>
              <w:tc>
                <w:tcPr>
                  <w:tcW w:w="641" w:type="dxa"/>
                  <w:vMerge w:val="continue"/>
                  <w:vAlign w:val="center"/>
                </w:tcPr>
                <w:p>
                  <w:pPr>
                    <w:jc w:val="center"/>
                    <w:rPr>
                      <w:color w:val="000000"/>
                      <w:szCs w:val="21"/>
                      <w:lang w:val="pt-BR"/>
                    </w:rPr>
                  </w:pPr>
                </w:p>
              </w:tc>
              <w:tc>
                <w:tcPr>
                  <w:tcW w:w="709" w:type="dxa"/>
                  <w:vMerge w:val="continue"/>
                  <w:vAlign w:val="center"/>
                </w:tcPr>
                <w:p>
                  <w:pPr>
                    <w:contextualSpacing/>
                    <w:jc w:val="center"/>
                    <w:textAlignment w:val="baseline"/>
                    <w:rPr>
                      <w:color w:val="000000"/>
                      <w:kern w:val="0"/>
                      <w:szCs w:val="21"/>
                    </w:rPr>
                  </w:pPr>
                </w:p>
              </w:tc>
              <w:tc>
                <w:tcPr>
                  <w:tcW w:w="774" w:type="dxa"/>
                  <w:vMerge w:val="continue"/>
                  <w:vAlign w:val="center"/>
                </w:tcPr>
                <w:p>
                  <w:pPr>
                    <w:contextualSpacing/>
                    <w:textAlignment w:val="baseline"/>
                    <w:rPr>
                      <w:kern w:val="0"/>
                      <w:szCs w:val="21"/>
                    </w:rPr>
                  </w:pPr>
                </w:p>
              </w:tc>
              <w:tc>
                <w:tcPr>
                  <w:tcW w:w="2268" w:type="dxa"/>
                  <w:gridSpan w:val="2"/>
                  <w:vAlign w:val="center"/>
                </w:tcPr>
                <w:p>
                  <w:pPr>
                    <w:contextualSpacing/>
                    <w:jc w:val="center"/>
                    <w:textAlignment w:val="baseline"/>
                    <w:rPr>
                      <w:kern w:val="0"/>
                      <w:szCs w:val="21"/>
                    </w:rPr>
                  </w:pPr>
                  <w:r>
                    <w:rPr>
                      <w:rFonts w:hint="eastAsia"/>
                      <w:kern w:val="0"/>
                      <w:szCs w:val="21"/>
                    </w:rPr>
                    <w:t>离子色谱室1间</w:t>
                  </w:r>
                </w:p>
              </w:tc>
              <w:tc>
                <w:tcPr>
                  <w:tcW w:w="2543" w:type="dxa"/>
                  <w:gridSpan w:val="2"/>
                  <w:vAlign w:val="center"/>
                </w:tcPr>
                <w:p>
                  <w:pPr>
                    <w:contextualSpacing/>
                    <w:jc w:val="center"/>
                    <w:textAlignment w:val="baseline"/>
                    <w:rPr>
                      <w:kern w:val="0"/>
                      <w:szCs w:val="21"/>
                    </w:rPr>
                  </w:pPr>
                  <w:r>
                    <w:rPr>
                      <w:kern w:val="0"/>
                      <w:szCs w:val="21"/>
                    </w:rPr>
                    <w:t>83.2m</w:t>
                  </w:r>
                  <w:r>
                    <w:rPr>
                      <w:kern w:val="0"/>
                      <w:szCs w:val="21"/>
                      <w:vertAlign w:val="superscript"/>
                    </w:rPr>
                    <w:t>2</w:t>
                  </w:r>
                </w:p>
              </w:tc>
              <w:tc>
                <w:tcPr>
                  <w:tcW w:w="527" w:type="dxa"/>
                  <w:vMerge w:val="continue"/>
                  <w:vAlign w:val="center"/>
                </w:tcPr>
                <w:p>
                  <w:pPr>
                    <w:jc w:val="center"/>
                    <w:rPr>
                      <w:bCs/>
                      <w:color w:val="000000"/>
                      <w:szCs w:val="21"/>
                      <w:lang w:val="pt-B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dxa"/>
                  <w:vAlign w:val="center"/>
                </w:tcPr>
                <w:p>
                  <w:pPr>
                    <w:jc w:val="center"/>
                    <w:rPr>
                      <w:color w:val="000000"/>
                      <w:szCs w:val="21"/>
                      <w:lang w:val="pt-BR"/>
                    </w:rPr>
                  </w:pPr>
                  <w:r>
                    <w:rPr>
                      <w:color w:val="000000"/>
                      <w:szCs w:val="21"/>
                      <w:lang w:val="pt-BR"/>
                    </w:rPr>
                    <w:t>2</w:t>
                  </w:r>
                </w:p>
              </w:tc>
              <w:tc>
                <w:tcPr>
                  <w:tcW w:w="641" w:type="dxa"/>
                  <w:vAlign w:val="center"/>
                </w:tcPr>
                <w:p>
                  <w:pPr>
                    <w:jc w:val="center"/>
                    <w:rPr>
                      <w:color w:val="000000"/>
                      <w:szCs w:val="21"/>
                      <w:lang w:val="pt-BR"/>
                    </w:rPr>
                  </w:pPr>
                  <w:r>
                    <w:rPr>
                      <w:color w:val="000000"/>
                      <w:szCs w:val="21"/>
                      <w:lang w:val="pt-BR"/>
                    </w:rPr>
                    <w:t>辅助工程</w:t>
                  </w:r>
                </w:p>
              </w:tc>
              <w:tc>
                <w:tcPr>
                  <w:tcW w:w="709" w:type="dxa"/>
                  <w:vAlign w:val="center"/>
                </w:tcPr>
                <w:p>
                  <w:pPr>
                    <w:contextualSpacing/>
                    <w:jc w:val="center"/>
                    <w:textAlignment w:val="baseline"/>
                    <w:rPr>
                      <w:color w:val="000000"/>
                      <w:kern w:val="0"/>
                      <w:szCs w:val="21"/>
                    </w:rPr>
                  </w:pPr>
                  <w:r>
                    <w:rPr>
                      <w:color w:val="000000"/>
                      <w:kern w:val="0"/>
                      <w:szCs w:val="21"/>
                    </w:rPr>
                    <w:t>办公室</w:t>
                  </w:r>
                </w:p>
              </w:tc>
              <w:tc>
                <w:tcPr>
                  <w:tcW w:w="5585" w:type="dxa"/>
                  <w:gridSpan w:val="5"/>
                  <w:vAlign w:val="center"/>
                </w:tcPr>
                <w:p>
                  <w:pPr>
                    <w:contextualSpacing/>
                    <w:jc w:val="center"/>
                    <w:textAlignment w:val="baseline"/>
                    <w:rPr>
                      <w:kern w:val="0"/>
                      <w:szCs w:val="21"/>
                    </w:rPr>
                  </w:pPr>
                  <w:r>
                    <w:rPr>
                      <w:rFonts w:hint="eastAsia"/>
                      <w:kern w:val="0"/>
                      <w:szCs w:val="21"/>
                    </w:rPr>
                    <w:t>建筑</w:t>
                  </w:r>
                  <w:r>
                    <w:rPr>
                      <w:kern w:val="0"/>
                      <w:szCs w:val="21"/>
                    </w:rPr>
                    <w:t>面积680m</w:t>
                  </w:r>
                  <w:r>
                    <w:rPr>
                      <w:kern w:val="0"/>
                      <w:szCs w:val="21"/>
                      <w:vertAlign w:val="superscript"/>
                    </w:rPr>
                    <w:t>2</w:t>
                  </w:r>
                </w:p>
              </w:tc>
              <w:tc>
                <w:tcPr>
                  <w:tcW w:w="527" w:type="dxa"/>
                  <w:vAlign w:val="center"/>
                </w:tcPr>
                <w:p>
                  <w:pPr>
                    <w:jc w:val="center"/>
                    <w:rPr>
                      <w:bCs/>
                      <w:color w:val="000000"/>
                      <w:szCs w:val="21"/>
                    </w:rPr>
                  </w:pPr>
                  <w:r>
                    <w:rPr>
                      <w:bCs/>
                      <w:color w:val="000000"/>
                      <w:szCs w:val="21"/>
                      <w:lang w:val="pt-BR"/>
                    </w:rPr>
                    <w:t>利用现有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dxa"/>
                  <w:vMerge w:val="restart"/>
                  <w:vAlign w:val="center"/>
                </w:tcPr>
                <w:p>
                  <w:pPr>
                    <w:jc w:val="center"/>
                    <w:rPr>
                      <w:color w:val="000000"/>
                      <w:szCs w:val="21"/>
                      <w:lang w:val="pt-BR"/>
                    </w:rPr>
                  </w:pPr>
                  <w:r>
                    <w:rPr>
                      <w:color w:val="000000"/>
                      <w:szCs w:val="21"/>
                      <w:lang w:val="pt-BR"/>
                    </w:rPr>
                    <w:t>3</w:t>
                  </w:r>
                </w:p>
              </w:tc>
              <w:tc>
                <w:tcPr>
                  <w:tcW w:w="641" w:type="dxa"/>
                  <w:vMerge w:val="restart"/>
                  <w:vAlign w:val="center"/>
                </w:tcPr>
                <w:p>
                  <w:pPr>
                    <w:jc w:val="center"/>
                    <w:rPr>
                      <w:color w:val="000000"/>
                      <w:szCs w:val="21"/>
                      <w:lang w:val="pt-BR"/>
                    </w:rPr>
                  </w:pPr>
                  <w:r>
                    <w:rPr>
                      <w:color w:val="000000"/>
                      <w:szCs w:val="21"/>
                      <w:lang w:val="pt-BR"/>
                    </w:rPr>
                    <w:t>环保工程</w:t>
                  </w:r>
                </w:p>
              </w:tc>
              <w:tc>
                <w:tcPr>
                  <w:tcW w:w="709" w:type="dxa"/>
                  <w:vMerge w:val="restart"/>
                  <w:vAlign w:val="center"/>
                </w:tcPr>
                <w:p>
                  <w:pPr>
                    <w:jc w:val="center"/>
                    <w:rPr>
                      <w:color w:val="000000"/>
                      <w:szCs w:val="21"/>
                      <w:lang w:val="pt-BR"/>
                    </w:rPr>
                  </w:pPr>
                  <w:r>
                    <w:rPr>
                      <w:color w:val="000000"/>
                      <w:szCs w:val="21"/>
                      <w:lang w:val="pt-BR"/>
                    </w:rPr>
                    <w:t>废水</w:t>
                  </w:r>
                </w:p>
              </w:tc>
              <w:tc>
                <w:tcPr>
                  <w:tcW w:w="908" w:type="dxa"/>
                  <w:gridSpan w:val="2"/>
                  <w:vAlign w:val="center"/>
                </w:tcPr>
                <w:p>
                  <w:pPr>
                    <w:contextualSpacing/>
                    <w:jc w:val="center"/>
                    <w:textAlignment w:val="baseline"/>
                    <w:rPr>
                      <w:bCs/>
                      <w:highlight w:val="yellow"/>
                    </w:rPr>
                  </w:pPr>
                  <w:r>
                    <w:rPr>
                      <w:szCs w:val="21"/>
                    </w:rPr>
                    <w:t>生活污水</w:t>
                  </w:r>
                </w:p>
              </w:tc>
              <w:tc>
                <w:tcPr>
                  <w:tcW w:w="4677" w:type="dxa"/>
                  <w:gridSpan w:val="3"/>
                  <w:vAlign w:val="center"/>
                </w:tcPr>
                <w:p>
                  <w:pPr>
                    <w:contextualSpacing/>
                    <w:jc w:val="center"/>
                    <w:textAlignment w:val="baseline"/>
                    <w:rPr>
                      <w:bCs/>
                      <w:highlight w:val="yellow"/>
                    </w:rPr>
                  </w:pPr>
                  <w:r>
                    <w:rPr>
                      <w:kern w:val="0"/>
                      <w:szCs w:val="21"/>
                    </w:rPr>
                    <w:t>化粪池1座</w:t>
                  </w:r>
                </w:p>
              </w:tc>
              <w:tc>
                <w:tcPr>
                  <w:tcW w:w="527" w:type="dxa"/>
                  <w:vAlign w:val="center"/>
                </w:tcPr>
                <w:p>
                  <w:pPr>
                    <w:jc w:val="center"/>
                    <w:rPr>
                      <w:bCs/>
                      <w:color w:val="000000"/>
                      <w:szCs w:val="21"/>
                      <w:highlight w:val="yellow"/>
                    </w:rPr>
                  </w:pPr>
                  <w:r>
                    <w:rPr>
                      <w:bCs/>
                      <w:color w:val="000000"/>
                      <w:szCs w:val="21"/>
                      <w:lang w:val="pt-BR"/>
                    </w:rPr>
                    <w:t>利用现有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dxa"/>
                  <w:vMerge w:val="continue"/>
                  <w:vAlign w:val="center"/>
                </w:tcPr>
                <w:p>
                  <w:pPr>
                    <w:jc w:val="center"/>
                    <w:rPr>
                      <w:color w:val="000000"/>
                      <w:szCs w:val="21"/>
                      <w:lang w:val="pt-BR"/>
                    </w:rPr>
                  </w:pPr>
                </w:p>
              </w:tc>
              <w:tc>
                <w:tcPr>
                  <w:tcW w:w="641" w:type="dxa"/>
                  <w:vMerge w:val="continue"/>
                  <w:vAlign w:val="center"/>
                </w:tcPr>
                <w:p>
                  <w:pPr>
                    <w:jc w:val="center"/>
                    <w:rPr>
                      <w:color w:val="000000"/>
                      <w:szCs w:val="21"/>
                      <w:lang w:val="pt-BR"/>
                    </w:rPr>
                  </w:pPr>
                </w:p>
              </w:tc>
              <w:tc>
                <w:tcPr>
                  <w:tcW w:w="709" w:type="dxa"/>
                  <w:vMerge w:val="continue"/>
                  <w:vAlign w:val="center"/>
                </w:tcPr>
                <w:p>
                  <w:pPr>
                    <w:jc w:val="center"/>
                    <w:rPr>
                      <w:color w:val="000000"/>
                      <w:szCs w:val="21"/>
                      <w:lang w:val="pt-BR"/>
                    </w:rPr>
                  </w:pPr>
                </w:p>
              </w:tc>
              <w:tc>
                <w:tcPr>
                  <w:tcW w:w="908" w:type="dxa"/>
                  <w:gridSpan w:val="2"/>
                  <w:vAlign w:val="center"/>
                </w:tcPr>
                <w:p>
                  <w:pPr>
                    <w:contextualSpacing/>
                    <w:textAlignment w:val="baseline"/>
                    <w:rPr>
                      <w:szCs w:val="21"/>
                    </w:rPr>
                  </w:pPr>
                  <w:r>
                    <w:rPr>
                      <w:rFonts w:hint="eastAsia"/>
                      <w:szCs w:val="21"/>
                    </w:rPr>
                    <w:t>实验室废水、喷淋塔废水</w:t>
                  </w:r>
                </w:p>
              </w:tc>
              <w:tc>
                <w:tcPr>
                  <w:tcW w:w="4677" w:type="dxa"/>
                  <w:gridSpan w:val="3"/>
                  <w:vAlign w:val="center"/>
                </w:tcPr>
                <w:p>
                  <w:pPr>
                    <w:contextualSpacing/>
                    <w:textAlignment w:val="baseline"/>
                    <w:rPr>
                      <w:szCs w:val="21"/>
                    </w:rPr>
                  </w:pPr>
                  <w:r>
                    <w:rPr>
                      <w:szCs w:val="21"/>
                    </w:rPr>
                    <w:t>一体化污水处理设备1座</w:t>
                  </w:r>
                </w:p>
                <w:p>
                  <w:pPr>
                    <w:contextualSpacing/>
                    <w:textAlignment w:val="baseline"/>
                    <w:rPr>
                      <w:szCs w:val="21"/>
                    </w:rPr>
                  </w:pPr>
                  <w:r>
                    <w:rPr>
                      <w:szCs w:val="21"/>
                    </w:rPr>
                    <w:t>（工艺：酸碱中和+絮凝沉淀+催化反应+微电解反应+微生物反应+活性炭吸附+精密过滤+臭氧杀菌）（规模：10m</w:t>
                  </w:r>
                  <w:r>
                    <w:rPr>
                      <w:szCs w:val="21"/>
                      <w:vertAlign w:val="superscript"/>
                    </w:rPr>
                    <w:t>3</w:t>
                  </w:r>
                  <w:r>
                    <w:rPr>
                      <w:szCs w:val="21"/>
                    </w:rPr>
                    <w:t>/d）</w:t>
                  </w:r>
                </w:p>
              </w:tc>
              <w:tc>
                <w:tcPr>
                  <w:tcW w:w="527" w:type="dxa"/>
                  <w:vAlign w:val="center"/>
                </w:tcPr>
                <w:p>
                  <w:pPr>
                    <w:jc w:val="center"/>
                    <w:rPr>
                      <w:color w:val="000000"/>
                      <w:szCs w:val="21"/>
                      <w:highlight w:val="yellow"/>
                    </w:rPr>
                  </w:pPr>
                  <w:r>
                    <w:rPr>
                      <w:bCs/>
                      <w:color w:val="000000"/>
                      <w:szCs w:val="21"/>
                      <w:lang w:val="pt-BR"/>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dxa"/>
                  <w:vMerge w:val="continue"/>
                  <w:vAlign w:val="center"/>
                </w:tcPr>
                <w:p>
                  <w:pPr>
                    <w:jc w:val="center"/>
                    <w:rPr>
                      <w:color w:val="000000"/>
                      <w:szCs w:val="21"/>
                      <w:lang w:val="pt-BR"/>
                    </w:rPr>
                  </w:pPr>
                </w:p>
              </w:tc>
              <w:tc>
                <w:tcPr>
                  <w:tcW w:w="641" w:type="dxa"/>
                  <w:vMerge w:val="continue"/>
                  <w:vAlign w:val="center"/>
                </w:tcPr>
                <w:p>
                  <w:pPr>
                    <w:jc w:val="center"/>
                    <w:rPr>
                      <w:color w:val="000000"/>
                      <w:szCs w:val="21"/>
                      <w:lang w:val="pt-BR"/>
                    </w:rPr>
                  </w:pPr>
                </w:p>
              </w:tc>
              <w:tc>
                <w:tcPr>
                  <w:tcW w:w="709" w:type="dxa"/>
                  <w:vAlign w:val="center"/>
                </w:tcPr>
                <w:p>
                  <w:pPr>
                    <w:jc w:val="center"/>
                    <w:rPr>
                      <w:color w:val="000000"/>
                      <w:szCs w:val="21"/>
                      <w:lang w:val="pt-BR"/>
                    </w:rPr>
                  </w:pPr>
                  <w:r>
                    <w:rPr>
                      <w:color w:val="000000"/>
                      <w:szCs w:val="21"/>
                      <w:lang w:val="pt-BR"/>
                    </w:rPr>
                    <w:t>废气</w:t>
                  </w:r>
                </w:p>
              </w:tc>
              <w:tc>
                <w:tcPr>
                  <w:tcW w:w="908" w:type="dxa"/>
                  <w:gridSpan w:val="2"/>
                  <w:vAlign w:val="center"/>
                </w:tcPr>
                <w:p>
                  <w:pPr>
                    <w:contextualSpacing/>
                    <w:textAlignment w:val="baseline"/>
                    <w:rPr>
                      <w:bCs/>
                    </w:rPr>
                  </w:pPr>
                  <w:r>
                    <w:rPr>
                      <w:szCs w:val="21"/>
                    </w:rPr>
                    <w:t>非甲烷总烃、</w:t>
                  </w:r>
                  <w:r>
                    <w:rPr>
                      <w:rFonts w:hint="eastAsia"/>
                      <w:szCs w:val="21"/>
                    </w:rPr>
                    <w:t>甲醇</w:t>
                  </w:r>
                </w:p>
              </w:tc>
              <w:tc>
                <w:tcPr>
                  <w:tcW w:w="3402" w:type="dxa"/>
                  <w:gridSpan w:val="2"/>
                  <w:vAlign w:val="center"/>
                </w:tcPr>
                <w:p>
                  <w:pPr>
                    <w:contextualSpacing/>
                    <w:textAlignment w:val="baseline"/>
                    <w:rPr>
                      <w:bCs/>
                      <w:color w:val="FF0000"/>
                    </w:rPr>
                  </w:pPr>
                  <w:r>
                    <w:rPr>
                      <w:bCs/>
                    </w:rPr>
                    <w:t>通风橱/</w:t>
                  </w:r>
                  <w:r>
                    <w:rPr>
                      <w:rFonts w:hint="eastAsia"/>
                      <w:bCs/>
                    </w:rPr>
                    <w:t>万向</w:t>
                  </w:r>
                  <w:r>
                    <w:rPr>
                      <w:bCs/>
                    </w:rPr>
                    <w:t>集气罩+</w:t>
                  </w:r>
                  <w:r>
                    <w:rPr>
                      <w:rFonts w:hint="eastAsia"/>
                      <w:bCs/>
                    </w:rPr>
                    <w:t>水喷淋塔+除雾器</w:t>
                  </w:r>
                  <w:r>
                    <w:rPr>
                      <w:bCs/>
                    </w:rPr>
                    <w:t>+UV光</w:t>
                  </w:r>
                  <w:r>
                    <w:rPr>
                      <w:rFonts w:hint="eastAsia"/>
                      <w:bCs/>
                    </w:rPr>
                    <w:t>催化</w:t>
                  </w:r>
                  <w:r>
                    <w:rPr>
                      <w:bCs/>
                    </w:rPr>
                    <w:t>氧化+活性炭吸附装置</w:t>
                  </w:r>
                </w:p>
              </w:tc>
              <w:tc>
                <w:tcPr>
                  <w:tcW w:w="1275" w:type="dxa"/>
                  <w:vAlign w:val="center"/>
                </w:tcPr>
                <w:p>
                  <w:pPr>
                    <w:contextualSpacing/>
                    <w:jc w:val="center"/>
                    <w:textAlignment w:val="baseline"/>
                    <w:rPr>
                      <w:bCs/>
                      <w:color w:val="FF0000"/>
                    </w:rPr>
                  </w:pPr>
                  <w:r>
                    <w:rPr>
                      <w:bCs/>
                    </w:rPr>
                    <w:t>1根15高排气筒P1</w:t>
                  </w:r>
                </w:p>
              </w:tc>
              <w:tc>
                <w:tcPr>
                  <w:tcW w:w="527" w:type="dxa"/>
                  <w:vAlign w:val="center"/>
                </w:tcPr>
                <w:p>
                  <w:pPr>
                    <w:jc w:val="center"/>
                    <w:rPr>
                      <w:color w:val="000000"/>
                      <w:szCs w:val="21"/>
                    </w:rPr>
                  </w:pPr>
                  <w:r>
                    <w:rPr>
                      <w:bCs/>
                      <w:color w:val="000000"/>
                      <w:szCs w:val="21"/>
                      <w:lang w:val="pt-BR"/>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dxa"/>
                  <w:vMerge w:val="continue"/>
                  <w:vAlign w:val="center"/>
                </w:tcPr>
                <w:p>
                  <w:pPr>
                    <w:jc w:val="center"/>
                    <w:rPr>
                      <w:color w:val="000000"/>
                      <w:szCs w:val="21"/>
                      <w:highlight w:val="yellow"/>
                      <w:lang w:val="pt-BR"/>
                    </w:rPr>
                  </w:pPr>
                </w:p>
              </w:tc>
              <w:tc>
                <w:tcPr>
                  <w:tcW w:w="641" w:type="dxa"/>
                  <w:vMerge w:val="continue"/>
                  <w:vAlign w:val="center"/>
                </w:tcPr>
                <w:p>
                  <w:pPr>
                    <w:jc w:val="center"/>
                    <w:rPr>
                      <w:color w:val="000000"/>
                      <w:szCs w:val="21"/>
                      <w:highlight w:val="yellow"/>
                      <w:lang w:val="pt-BR"/>
                    </w:rPr>
                  </w:pPr>
                </w:p>
              </w:tc>
              <w:tc>
                <w:tcPr>
                  <w:tcW w:w="709" w:type="dxa"/>
                  <w:vAlign w:val="center"/>
                </w:tcPr>
                <w:p>
                  <w:pPr>
                    <w:jc w:val="center"/>
                    <w:rPr>
                      <w:color w:val="000000"/>
                      <w:szCs w:val="21"/>
                      <w:lang w:val="pt-BR"/>
                    </w:rPr>
                  </w:pPr>
                  <w:r>
                    <w:rPr>
                      <w:color w:val="000000"/>
                      <w:szCs w:val="21"/>
                      <w:lang w:val="pt-BR"/>
                    </w:rPr>
                    <w:t>噪声</w:t>
                  </w:r>
                </w:p>
              </w:tc>
              <w:tc>
                <w:tcPr>
                  <w:tcW w:w="5585" w:type="dxa"/>
                  <w:gridSpan w:val="5"/>
                  <w:vAlign w:val="center"/>
                </w:tcPr>
                <w:p>
                  <w:pPr>
                    <w:jc w:val="center"/>
                    <w:rPr>
                      <w:color w:val="000000"/>
                      <w:szCs w:val="21"/>
                    </w:rPr>
                  </w:pPr>
                  <w:r>
                    <w:rPr>
                      <w:color w:val="000000"/>
                      <w:szCs w:val="21"/>
                    </w:rPr>
                    <w:t>基础减振、厂房隔声</w:t>
                  </w:r>
                </w:p>
              </w:tc>
              <w:tc>
                <w:tcPr>
                  <w:tcW w:w="527" w:type="dxa"/>
                  <w:vAlign w:val="center"/>
                </w:tcPr>
                <w:p>
                  <w:pPr>
                    <w:jc w:val="center"/>
                    <w:rPr>
                      <w:color w:val="000000"/>
                      <w:szCs w:val="21"/>
                    </w:rPr>
                  </w:pPr>
                  <w:r>
                    <w:rPr>
                      <w:bCs/>
                      <w:color w:val="000000"/>
                      <w:szCs w:val="21"/>
                      <w:lang w:val="pt-BR"/>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dxa"/>
                  <w:vMerge w:val="continue"/>
                  <w:vAlign w:val="center"/>
                </w:tcPr>
                <w:p>
                  <w:pPr>
                    <w:jc w:val="center"/>
                    <w:rPr>
                      <w:color w:val="000000"/>
                      <w:szCs w:val="21"/>
                      <w:highlight w:val="yellow"/>
                      <w:lang w:val="pt-BR"/>
                    </w:rPr>
                  </w:pPr>
                </w:p>
              </w:tc>
              <w:tc>
                <w:tcPr>
                  <w:tcW w:w="641" w:type="dxa"/>
                  <w:vMerge w:val="continue"/>
                  <w:vAlign w:val="center"/>
                </w:tcPr>
                <w:p>
                  <w:pPr>
                    <w:jc w:val="center"/>
                    <w:rPr>
                      <w:color w:val="000000"/>
                      <w:szCs w:val="21"/>
                      <w:highlight w:val="yellow"/>
                      <w:lang w:val="pt-BR"/>
                    </w:rPr>
                  </w:pPr>
                </w:p>
              </w:tc>
              <w:tc>
                <w:tcPr>
                  <w:tcW w:w="709" w:type="dxa"/>
                  <w:vMerge w:val="restart"/>
                  <w:vAlign w:val="center"/>
                </w:tcPr>
                <w:p>
                  <w:pPr>
                    <w:jc w:val="center"/>
                    <w:rPr>
                      <w:color w:val="000000"/>
                      <w:szCs w:val="21"/>
                      <w:lang w:val="pt-BR"/>
                    </w:rPr>
                  </w:pPr>
                  <w:r>
                    <w:rPr>
                      <w:color w:val="000000"/>
                      <w:szCs w:val="21"/>
                      <w:lang w:val="pt-BR"/>
                    </w:rPr>
                    <w:t>固废</w:t>
                  </w:r>
                </w:p>
              </w:tc>
              <w:tc>
                <w:tcPr>
                  <w:tcW w:w="5585" w:type="dxa"/>
                  <w:gridSpan w:val="5"/>
                  <w:vAlign w:val="center"/>
                </w:tcPr>
                <w:p>
                  <w:pPr>
                    <w:jc w:val="center"/>
                    <w:rPr>
                      <w:color w:val="000000"/>
                      <w:szCs w:val="21"/>
                      <w:lang w:val="pt-BR"/>
                    </w:rPr>
                  </w:pPr>
                  <w:r>
                    <w:rPr>
                      <w:color w:val="000000"/>
                      <w:szCs w:val="21"/>
                    </w:rPr>
                    <w:t>一般固废暂存间1座（10m</w:t>
                  </w:r>
                  <w:r>
                    <w:rPr>
                      <w:color w:val="000000"/>
                      <w:szCs w:val="21"/>
                      <w:vertAlign w:val="superscript"/>
                    </w:rPr>
                    <w:t>2</w:t>
                  </w:r>
                  <w:r>
                    <w:rPr>
                      <w:color w:val="000000"/>
                      <w:szCs w:val="21"/>
                    </w:rPr>
                    <w:t>）</w:t>
                  </w:r>
                </w:p>
              </w:tc>
              <w:tc>
                <w:tcPr>
                  <w:tcW w:w="527" w:type="dxa"/>
                  <w:vAlign w:val="center"/>
                </w:tcPr>
                <w:p>
                  <w:pPr>
                    <w:jc w:val="center"/>
                    <w:rPr>
                      <w:color w:val="000000"/>
                      <w:szCs w:val="21"/>
                      <w:lang w:val="pt-BR"/>
                    </w:rPr>
                  </w:pPr>
                  <w:r>
                    <w:rPr>
                      <w:bCs/>
                      <w:color w:val="000000"/>
                      <w:szCs w:val="21"/>
                      <w:lang w:val="pt-BR"/>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dxa"/>
                  <w:vMerge w:val="continue"/>
                  <w:vAlign w:val="center"/>
                </w:tcPr>
                <w:p>
                  <w:pPr>
                    <w:jc w:val="center"/>
                    <w:rPr>
                      <w:color w:val="000000"/>
                      <w:szCs w:val="21"/>
                      <w:highlight w:val="yellow"/>
                      <w:lang w:val="pt-BR"/>
                    </w:rPr>
                  </w:pPr>
                </w:p>
              </w:tc>
              <w:tc>
                <w:tcPr>
                  <w:tcW w:w="641" w:type="dxa"/>
                  <w:vMerge w:val="continue"/>
                  <w:vAlign w:val="center"/>
                </w:tcPr>
                <w:p>
                  <w:pPr>
                    <w:jc w:val="center"/>
                    <w:rPr>
                      <w:color w:val="000000"/>
                      <w:szCs w:val="21"/>
                      <w:highlight w:val="yellow"/>
                      <w:lang w:val="pt-BR"/>
                    </w:rPr>
                  </w:pPr>
                </w:p>
              </w:tc>
              <w:tc>
                <w:tcPr>
                  <w:tcW w:w="709" w:type="dxa"/>
                  <w:vMerge w:val="continue"/>
                  <w:vAlign w:val="center"/>
                </w:tcPr>
                <w:p>
                  <w:pPr>
                    <w:jc w:val="center"/>
                    <w:rPr>
                      <w:color w:val="000000"/>
                      <w:szCs w:val="21"/>
                      <w:highlight w:val="yellow"/>
                      <w:lang w:val="pt-BR"/>
                    </w:rPr>
                  </w:pPr>
                </w:p>
              </w:tc>
              <w:tc>
                <w:tcPr>
                  <w:tcW w:w="5585" w:type="dxa"/>
                  <w:gridSpan w:val="5"/>
                  <w:vAlign w:val="center"/>
                </w:tcPr>
                <w:p>
                  <w:pPr>
                    <w:jc w:val="center"/>
                    <w:rPr>
                      <w:color w:val="000000"/>
                      <w:szCs w:val="21"/>
                    </w:rPr>
                  </w:pPr>
                  <w:r>
                    <w:rPr>
                      <w:color w:val="000000"/>
                      <w:szCs w:val="21"/>
                    </w:rPr>
                    <w:t>危废暂存间1座（10m</w:t>
                  </w:r>
                  <w:r>
                    <w:rPr>
                      <w:color w:val="000000"/>
                      <w:szCs w:val="21"/>
                      <w:vertAlign w:val="superscript"/>
                    </w:rPr>
                    <w:t>2</w:t>
                  </w:r>
                  <w:r>
                    <w:rPr>
                      <w:color w:val="000000"/>
                      <w:szCs w:val="21"/>
                    </w:rPr>
                    <w:t>）</w:t>
                  </w:r>
                </w:p>
              </w:tc>
              <w:tc>
                <w:tcPr>
                  <w:tcW w:w="527" w:type="dxa"/>
                  <w:vAlign w:val="center"/>
                </w:tcPr>
                <w:p>
                  <w:pPr>
                    <w:jc w:val="center"/>
                    <w:rPr>
                      <w:color w:val="000000"/>
                      <w:szCs w:val="21"/>
                    </w:rPr>
                  </w:pPr>
                  <w:r>
                    <w:rPr>
                      <w:bCs/>
                      <w:color w:val="000000"/>
                      <w:szCs w:val="21"/>
                      <w:lang w:val="pt-BR"/>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dxa"/>
                  <w:vMerge w:val="restart"/>
                  <w:vAlign w:val="center"/>
                </w:tcPr>
                <w:p>
                  <w:pPr>
                    <w:jc w:val="center"/>
                    <w:rPr>
                      <w:color w:val="000000"/>
                      <w:szCs w:val="21"/>
                      <w:lang w:val="pt-BR"/>
                    </w:rPr>
                  </w:pPr>
                  <w:r>
                    <w:rPr>
                      <w:color w:val="000000"/>
                      <w:szCs w:val="21"/>
                      <w:lang w:val="pt-BR"/>
                    </w:rPr>
                    <w:t>4</w:t>
                  </w:r>
                </w:p>
              </w:tc>
              <w:tc>
                <w:tcPr>
                  <w:tcW w:w="641" w:type="dxa"/>
                  <w:vMerge w:val="restart"/>
                  <w:vAlign w:val="center"/>
                </w:tcPr>
                <w:p>
                  <w:pPr>
                    <w:jc w:val="center"/>
                    <w:rPr>
                      <w:color w:val="000000"/>
                      <w:szCs w:val="21"/>
                      <w:lang w:val="pt-BR"/>
                    </w:rPr>
                  </w:pPr>
                  <w:r>
                    <w:rPr>
                      <w:color w:val="000000"/>
                      <w:szCs w:val="21"/>
                      <w:lang w:val="pt-BR"/>
                    </w:rPr>
                    <w:t>公用工程</w:t>
                  </w:r>
                </w:p>
              </w:tc>
              <w:tc>
                <w:tcPr>
                  <w:tcW w:w="709" w:type="dxa"/>
                  <w:vAlign w:val="center"/>
                </w:tcPr>
                <w:p>
                  <w:pPr>
                    <w:jc w:val="center"/>
                    <w:rPr>
                      <w:color w:val="000000"/>
                      <w:szCs w:val="21"/>
                      <w:lang w:val="pt-BR"/>
                    </w:rPr>
                  </w:pPr>
                  <w:r>
                    <w:rPr>
                      <w:color w:val="000000"/>
                      <w:szCs w:val="21"/>
                      <w:lang w:val="pt-BR"/>
                    </w:rPr>
                    <w:t>水</w:t>
                  </w:r>
                </w:p>
              </w:tc>
              <w:tc>
                <w:tcPr>
                  <w:tcW w:w="5585" w:type="dxa"/>
                  <w:gridSpan w:val="5"/>
                  <w:vAlign w:val="center"/>
                </w:tcPr>
                <w:p>
                  <w:pPr>
                    <w:jc w:val="center"/>
                    <w:rPr>
                      <w:color w:val="000000"/>
                      <w:szCs w:val="21"/>
                      <w:lang w:val="pt-BR"/>
                    </w:rPr>
                  </w:pPr>
                  <w:r>
                    <w:rPr>
                      <w:color w:val="000000"/>
                      <w:szCs w:val="21"/>
                      <w:lang w:val="pt-BR"/>
                    </w:rPr>
                    <w:t>产业园区集中统一供水</w:t>
                  </w:r>
                </w:p>
              </w:tc>
              <w:tc>
                <w:tcPr>
                  <w:tcW w:w="527" w:type="dxa"/>
                  <w:vAlign w:val="center"/>
                </w:tcPr>
                <w:p>
                  <w:pPr>
                    <w:jc w:val="center"/>
                    <w:rPr>
                      <w:color w:val="000000"/>
                      <w:szCs w:val="21"/>
                      <w:lang w:val="pt-BR"/>
                    </w:rPr>
                  </w:pPr>
                  <w:r>
                    <w:rPr>
                      <w:color w:val="000000"/>
                      <w:szCs w:val="21"/>
                      <w:lang w:val="pt-B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3" w:type="dxa"/>
                  <w:vMerge w:val="continue"/>
                  <w:vAlign w:val="center"/>
                </w:tcPr>
                <w:p>
                  <w:pPr>
                    <w:jc w:val="center"/>
                    <w:rPr>
                      <w:color w:val="000000"/>
                      <w:szCs w:val="21"/>
                      <w:lang w:val="pt-BR"/>
                    </w:rPr>
                  </w:pPr>
                </w:p>
              </w:tc>
              <w:tc>
                <w:tcPr>
                  <w:tcW w:w="641" w:type="dxa"/>
                  <w:vMerge w:val="continue"/>
                  <w:vAlign w:val="center"/>
                </w:tcPr>
                <w:p>
                  <w:pPr>
                    <w:jc w:val="center"/>
                    <w:rPr>
                      <w:color w:val="000000"/>
                      <w:szCs w:val="21"/>
                      <w:lang w:val="pt-BR"/>
                    </w:rPr>
                  </w:pPr>
                </w:p>
              </w:tc>
              <w:tc>
                <w:tcPr>
                  <w:tcW w:w="709" w:type="dxa"/>
                  <w:vAlign w:val="center"/>
                </w:tcPr>
                <w:p>
                  <w:pPr>
                    <w:jc w:val="center"/>
                    <w:rPr>
                      <w:color w:val="000000"/>
                      <w:szCs w:val="21"/>
                      <w:lang w:val="pt-BR"/>
                    </w:rPr>
                  </w:pPr>
                  <w:r>
                    <w:rPr>
                      <w:color w:val="000000"/>
                      <w:szCs w:val="21"/>
                      <w:lang w:val="pt-BR"/>
                    </w:rPr>
                    <w:t>电</w:t>
                  </w:r>
                </w:p>
              </w:tc>
              <w:tc>
                <w:tcPr>
                  <w:tcW w:w="5585" w:type="dxa"/>
                  <w:gridSpan w:val="5"/>
                  <w:vAlign w:val="center"/>
                </w:tcPr>
                <w:p>
                  <w:pPr>
                    <w:jc w:val="center"/>
                    <w:rPr>
                      <w:color w:val="000000"/>
                      <w:szCs w:val="21"/>
                      <w:lang w:val="pt-BR"/>
                    </w:rPr>
                  </w:pPr>
                  <w:r>
                    <w:rPr>
                      <w:color w:val="000000"/>
                      <w:szCs w:val="21"/>
                      <w:lang w:val="pt-BR"/>
                    </w:rPr>
                    <w:t>产业园区集中统一供电</w:t>
                  </w:r>
                </w:p>
              </w:tc>
              <w:tc>
                <w:tcPr>
                  <w:tcW w:w="527" w:type="dxa"/>
                  <w:vAlign w:val="center"/>
                </w:tcPr>
                <w:p>
                  <w:pPr>
                    <w:jc w:val="center"/>
                    <w:rPr>
                      <w:color w:val="000000"/>
                      <w:szCs w:val="21"/>
                      <w:lang w:val="pt-BR"/>
                    </w:rPr>
                  </w:pPr>
                  <w:r>
                    <w:rPr>
                      <w:color w:val="000000"/>
                      <w:szCs w:val="21"/>
                      <w:lang w:val="pt-BR"/>
                    </w:rPr>
                    <w:t>/</w:t>
                  </w:r>
                </w:p>
              </w:tc>
            </w:tr>
          </w:tbl>
          <w:p>
            <w:pPr>
              <w:tabs>
                <w:tab w:val="right" w:pos="9734"/>
              </w:tabs>
              <w:spacing w:line="460" w:lineRule="exact"/>
              <w:ind w:firstLine="482" w:firstLineChars="200"/>
              <w:rPr>
                <w:b/>
                <w:color w:val="000000"/>
                <w:sz w:val="24"/>
                <w:highlight w:val="yellow"/>
              </w:rPr>
            </w:pPr>
            <w:r>
              <w:rPr>
                <w:b/>
                <w:color w:val="000000"/>
                <w:sz w:val="24"/>
              </w:rPr>
              <w:t>3、</w:t>
            </w:r>
            <w:r>
              <w:rPr>
                <w:rFonts w:hint="eastAsia"/>
                <w:b/>
                <w:color w:val="000000"/>
                <w:sz w:val="24"/>
              </w:rPr>
              <w:t>检测项目</w:t>
            </w:r>
          </w:p>
          <w:p>
            <w:pPr>
              <w:spacing w:line="460" w:lineRule="exact"/>
              <w:ind w:firstLine="480" w:firstLineChars="200"/>
              <w:rPr>
                <w:color w:val="000000"/>
                <w:sz w:val="24"/>
              </w:rPr>
            </w:pPr>
            <w:r>
              <w:rPr>
                <w:rFonts w:hint="eastAsia"/>
                <w:color w:val="000000"/>
                <w:sz w:val="24"/>
              </w:rPr>
              <w:t>本项目主要提供</w:t>
            </w:r>
            <w:r>
              <w:rPr>
                <w:rFonts w:hint="eastAsia"/>
                <w:bCs/>
                <w:color w:val="000000"/>
                <w:sz w:val="24"/>
              </w:rPr>
              <w:t>食品及饮用水类</w:t>
            </w:r>
            <w:r>
              <w:rPr>
                <w:bCs/>
                <w:color w:val="000000"/>
                <w:sz w:val="24"/>
              </w:rPr>
              <w:t>、化工成品油类、计量检定(校准)类</w:t>
            </w:r>
            <w:r>
              <w:rPr>
                <w:rFonts w:hint="eastAsia"/>
                <w:color w:val="000000"/>
                <w:sz w:val="24"/>
              </w:rPr>
              <w:t>等检测服务，本项目具体检测内容见</w:t>
            </w:r>
            <w:r>
              <w:rPr>
                <w:color w:val="000000"/>
                <w:sz w:val="24"/>
              </w:rPr>
              <w:t>表16。</w:t>
            </w:r>
          </w:p>
          <w:p>
            <w:pPr>
              <w:spacing w:line="460" w:lineRule="exact"/>
              <w:ind w:firstLine="480" w:firstLineChars="200"/>
              <w:jc w:val="left"/>
              <w:rPr>
                <w:rFonts w:eastAsia="黑体"/>
                <w:color w:val="000000"/>
                <w:sz w:val="24"/>
              </w:rPr>
            </w:pPr>
          </w:p>
          <w:p>
            <w:pPr>
              <w:spacing w:line="460" w:lineRule="exact"/>
              <w:ind w:firstLine="480" w:firstLineChars="200"/>
              <w:jc w:val="left"/>
              <w:rPr>
                <w:rFonts w:eastAsia="黑体"/>
                <w:color w:val="000000"/>
                <w:sz w:val="24"/>
              </w:rPr>
            </w:pPr>
            <w:r>
              <w:rPr>
                <w:rFonts w:eastAsia="黑体"/>
                <w:color w:val="000000"/>
                <w:sz w:val="24"/>
              </w:rPr>
              <w:t>表</w:t>
            </w:r>
            <w:r>
              <w:rPr>
                <w:rFonts w:eastAsia="黑体"/>
                <w:bCs/>
                <w:color w:val="000000"/>
                <w:sz w:val="24"/>
              </w:rPr>
              <w:t xml:space="preserve">16                </w:t>
            </w:r>
            <w:r>
              <w:rPr>
                <w:rFonts w:hint="eastAsia" w:eastAsia="黑体"/>
                <w:bCs/>
                <w:color w:val="000000"/>
                <w:sz w:val="24"/>
              </w:rPr>
              <w:t>项目</w:t>
            </w:r>
            <w:r>
              <w:rPr>
                <w:rFonts w:hint="eastAsia" w:eastAsia="黑体"/>
                <w:color w:val="000000"/>
                <w:sz w:val="24"/>
              </w:rPr>
              <w:t>检测内容</w:t>
            </w:r>
            <w:r>
              <w:rPr>
                <w:rFonts w:eastAsia="黑体"/>
                <w:color w:val="000000"/>
                <w:sz w:val="24"/>
              </w:rPr>
              <w:t>一览表</w:t>
            </w:r>
          </w:p>
          <w:tbl>
            <w:tblPr>
              <w:tblStyle w:val="21"/>
              <w:tblW w:w="5000" w:type="pct"/>
              <w:jc w:val="center"/>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6"/>
              <w:gridCol w:w="3537"/>
              <w:gridCol w:w="3532"/>
            </w:tblGrid>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Align w:val="center"/>
                </w:tcPr>
                <w:p>
                  <w:pPr>
                    <w:jc w:val="center"/>
                    <w:rPr>
                      <w:b/>
                      <w:color w:val="000000"/>
                      <w:szCs w:val="20"/>
                    </w:rPr>
                  </w:pPr>
                  <w:r>
                    <w:rPr>
                      <w:b/>
                      <w:color w:val="000000"/>
                      <w:szCs w:val="20"/>
                    </w:rPr>
                    <w:t>序号</w:t>
                  </w:r>
                </w:p>
              </w:tc>
              <w:tc>
                <w:tcPr>
                  <w:tcW w:w="2226" w:type="pct"/>
                  <w:vAlign w:val="center"/>
                </w:tcPr>
                <w:p>
                  <w:pPr>
                    <w:jc w:val="center"/>
                    <w:rPr>
                      <w:b/>
                      <w:color w:val="000000"/>
                      <w:szCs w:val="20"/>
                    </w:rPr>
                  </w:pPr>
                  <w:r>
                    <w:rPr>
                      <w:rFonts w:hint="eastAsia"/>
                      <w:b/>
                      <w:color w:val="000000"/>
                      <w:szCs w:val="20"/>
                    </w:rPr>
                    <w:t>检测内容</w:t>
                  </w:r>
                </w:p>
              </w:tc>
              <w:tc>
                <w:tcPr>
                  <w:tcW w:w="2223" w:type="pct"/>
                  <w:vAlign w:val="center"/>
                </w:tcPr>
                <w:p>
                  <w:pPr>
                    <w:jc w:val="center"/>
                    <w:rPr>
                      <w:b/>
                      <w:color w:val="000000"/>
                      <w:szCs w:val="20"/>
                    </w:rPr>
                  </w:pPr>
                  <w:r>
                    <w:rPr>
                      <w:rFonts w:hint="eastAsia"/>
                      <w:b/>
                      <w:color w:val="000000"/>
                      <w:szCs w:val="20"/>
                    </w:rPr>
                    <w:t>年出具检测报告量</w:t>
                  </w:r>
                </w:p>
              </w:tc>
            </w:tr>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Align w:val="center"/>
                </w:tcPr>
                <w:p>
                  <w:pPr>
                    <w:contextualSpacing/>
                    <w:jc w:val="center"/>
                    <w:textAlignment w:val="baseline"/>
                    <w:rPr>
                      <w:kern w:val="0"/>
                      <w:szCs w:val="21"/>
                      <w:highlight w:val="yellow"/>
                    </w:rPr>
                  </w:pPr>
                  <w:r>
                    <w:rPr>
                      <w:kern w:val="0"/>
                      <w:szCs w:val="21"/>
                    </w:rPr>
                    <w:t>1</w:t>
                  </w:r>
                </w:p>
              </w:tc>
              <w:tc>
                <w:tcPr>
                  <w:tcW w:w="2226" w:type="pct"/>
                  <w:vAlign w:val="center"/>
                </w:tcPr>
                <w:p>
                  <w:pPr>
                    <w:contextualSpacing/>
                    <w:jc w:val="center"/>
                    <w:textAlignment w:val="baseline"/>
                    <w:rPr>
                      <w:kern w:val="0"/>
                      <w:szCs w:val="21"/>
                    </w:rPr>
                  </w:pPr>
                  <w:r>
                    <w:rPr>
                      <w:rFonts w:hint="eastAsia"/>
                      <w:bCs/>
                      <w:color w:val="000000"/>
                      <w:szCs w:val="21"/>
                    </w:rPr>
                    <w:t>食品及饮用水类</w:t>
                  </w:r>
                  <w:r>
                    <w:rPr>
                      <w:bCs/>
                      <w:color w:val="000000"/>
                      <w:szCs w:val="21"/>
                    </w:rPr>
                    <w:t>检验检测</w:t>
                  </w:r>
                </w:p>
              </w:tc>
              <w:tc>
                <w:tcPr>
                  <w:tcW w:w="2223" w:type="pct"/>
                  <w:vAlign w:val="center"/>
                </w:tcPr>
                <w:p>
                  <w:pPr>
                    <w:contextualSpacing/>
                    <w:jc w:val="center"/>
                    <w:textAlignment w:val="baseline"/>
                    <w:rPr>
                      <w:bCs/>
                      <w:color w:val="000000"/>
                      <w:szCs w:val="21"/>
                    </w:rPr>
                  </w:pPr>
                  <w:r>
                    <w:rPr>
                      <w:rFonts w:hint="eastAsia"/>
                      <w:bCs/>
                      <w:color w:val="000000"/>
                      <w:szCs w:val="21"/>
                    </w:rPr>
                    <w:t>3</w:t>
                  </w:r>
                  <w:r>
                    <w:rPr>
                      <w:bCs/>
                      <w:color w:val="000000"/>
                      <w:szCs w:val="21"/>
                    </w:rPr>
                    <w:t>000</w:t>
                  </w:r>
                  <w:r>
                    <w:rPr>
                      <w:rFonts w:hint="eastAsia"/>
                      <w:bCs/>
                      <w:color w:val="000000"/>
                      <w:szCs w:val="21"/>
                    </w:rPr>
                    <w:t>份/年</w:t>
                  </w:r>
                </w:p>
              </w:tc>
            </w:tr>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Align w:val="center"/>
                </w:tcPr>
                <w:p>
                  <w:pPr>
                    <w:contextualSpacing/>
                    <w:jc w:val="center"/>
                    <w:textAlignment w:val="baseline"/>
                    <w:rPr>
                      <w:kern w:val="0"/>
                      <w:szCs w:val="21"/>
                    </w:rPr>
                  </w:pPr>
                  <w:r>
                    <w:rPr>
                      <w:kern w:val="0"/>
                      <w:szCs w:val="21"/>
                    </w:rPr>
                    <w:t>2</w:t>
                  </w:r>
                </w:p>
              </w:tc>
              <w:tc>
                <w:tcPr>
                  <w:tcW w:w="2226" w:type="pct"/>
                  <w:vAlign w:val="center"/>
                </w:tcPr>
                <w:p>
                  <w:pPr>
                    <w:contextualSpacing/>
                    <w:jc w:val="center"/>
                    <w:textAlignment w:val="baseline"/>
                    <w:rPr>
                      <w:kern w:val="0"/>
                      <w:szCs w:val="21"/>
                    </w:rPr>
                  </w:pPr>
                  <w:r>
                    <w:rPr>
                      <w:bCs/>
                      <w:color w:val="000000"/>
                      <w:szCs w:val="21"/>
                    </w:rPr>
                    <w:t>化工成品油类检验检测</w:t>
                  </w:r>
                </w:p>
              </w:tc>
              <w:tc>
                <w:tcPr>
                  <w:tcW w:w="2223" w:type="pct"/>
                  <w:vAlign w:val="center"/>
                </w:tcPr>
                <w:p>
                  <w:pPr>
                    <w:contextualSpacing/>
                    <w:jc w:val="center"/>
                    <w:textAlignment w:val="baseline"/>
                    <w:rPr>
                      <w:bCs/>
                      <w:color w:val="000000"/>
                      <w:szCs w:val="21"/>
                    </w:rPr>
                  </w:pPr>
                  <w:r>
                    <w:rPr>
                      <w:bCs/>
                      <w:color w:val="000000"/>
                      <w:szCs w:val="21"/>
                    </w:rPr>
                    <w:t>1000</w:t>
                  </w:r>
                  <w:r>
                    <w:rPr>
                      <w:rFonts w:hint="eastAsia"/>
                      <w:bCs/>
                      <w:color w:val="000000"/>
                      <w:szCs w:val="21"/>
                    </w:rPr>
                    <w:t>份/年</w:t>
                  </w:r>
                </w:p>
              </w:tc>
            </w:tr>
            <w:tr>
              <w:tblPrEx>
                <w:tblBorders>
                  <w:top w:val="single" w:color="000000" w:sz="8" w:space="0"/>
                  <w:left w:val="none" w:color="auto" w:sz="0" w:space="0"/>
                  <w:bottom w:val="single" w:color="000000"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pct"/>
                  <w:vAlign w:val="center"/>
                </w:tcPr>
                <w:p>
                  <w:pPr>
                    <w:contextualSpacing/>
                    <w:jc w:val="center"/>
                    <w:textAlignment w:val="baseline"/>
                    <w:rPr>
                      <w:kern w:val="0"/>
                      <w:szCs w:val="21"/>
                    </w:rPr>
                  </w:pPr>
                  <w:r>
                    <w:rPr>
                      <w:kern w:val="0"/>
                      <w:szCs w:val="21"/>
                    </w:rPr>
                    <w:t>3</w:t>
                  </w:r>
                </w:p>
              </w:tc>
              <w:tc>
                <w:tcPr>
                  <w:tcW w:w="2226" w:type="pct"/>
                  <w:vAlign w:val="center"/>
                </w:tcPr>
                <w:p>
                  <w:pPr>
                    <w:contextualSpacing/>
                    <w:jc w:val="center"/>
                    <w:textAlignment w:val="baseline"/>
                    <w:rPr>
                      <w:kern w:val="0"/>
                      <w:szCs w:val="21"/>
                    </w:rPr>
                  </w:pPr>
                  <w:r>
                    <w:rPr>
                      <w:bCs/>
                      <w:color w:val="000000"/>
                      <w:szCs w:val="21"/>
                    </w:rPr>
                    <w:t>计量检定(校准)检验检测</w:t>
                  </w:r>
                </w:p>
              </w:tc>
              <w:tc>
                <w:tcPr>
                  <w:tcW w:w="2223" w:type="pct"/>
                  <w:vAlign w:val="center"/>
                </w:tcPr>
                <w:p>
                  <w:pPr>
                    <w:contextualSpacing/>
                    <w:jc w:val="center"/>
                    <w:textAlignment w:val="baseline"/>
                    <w:rPr>
                      <w:bCs/>
                      <w:color w:val="000000"/>
                      <w:szCs w:val="21"/>
                    </w:rPr>
                  </w:pPr>
                  <w:r>
                    <w:rPr>
                      <w:bCs/>
                      <w:color w:val="000000"/>
                      <w:szCs w:val="21"/>
                    </w:rPr>
                    <w:t>6000</w:t>
                  </w:r>
                  <w:r>
                    <w:rPr>
                      <w:rFonts w:hint="eastAsia"/>
                      <w:bCs/>
                      <w:color w:val="000000"/>
                      <w:szCs w:val="21"/>
                    </w:rPr>
                    <w:t>份/年</w:t>
                  </w:r>
                </w:p>
              </w:tc>
            </w:tr>
          </w:tbl>
          <w:p>
            <w:pPr>
              <w:spacing w:line="460" w:lineRule="exact"/>
              <w:ind w:firstLine="482" w:firstLineChars="200"/>
              <w:rPr>
                <w:b/>
                <w:color w:val="000000"/>
                <w:sz w:val="24"/>
              </w:rPr>
            </w:pPr>
            <w:r>
              <w:rPr>
                <w:b/>
                <w:color w:val="000000"/>
                <w:sz w:val="24"/>
              </w:rPr>
              <w:t>4、主要生产设备</w:t>
            </w:r>
          </w:p>
          <w:p>
            <w:pPr>
              <w:spacing w:line="460" w:lineRule="exact"/>
              <w:ind w:firstLine="480" w:firstLineChars="200"/>
              <w:rPr>
                <w:rFonts w:eastAsia="黑体"/>
                <w:color w:val="000000"/>
                <w:sz w:val="24"/>
                <w:lang w:val="pt-BR"/>
              </w:rPr>
            </w:pPr>
            <w:r>
              <w:rPr>
                <w:color w:val="000000"/>
                <w:sz w:val="24"/>
              </w:rPr>
              <w:t>本项目主要设备见下表。</w:t>
            </w:r>
          </w:p>
          <w:p>
            <w:pPr>
              <w:spacing w:line="460" w:lineRule="exact"/>
              <w:ind w:firstLine="480" w:firstLineChars="200"/>
              <w:jc w:val="left"/>
              <w:rPr>
                <w:rFonts w:eastAsia="黑体"/>
                <w:color w:val="000000"/>
                <w:sz w:val="24"/>
                <w:highlight w:val="yellow"/>
              </w:rPr>
            </w:pPr>
            <w:r>
              <w:rPr>
                <w:rFonts w:eastAsia="黑体"/>
                <w:color w:val="000000"/>
                <w:sz w:val="24"/>
                <w:lang w:val="pt-BR"/>
              </w:rPr>
              <w:t>表</w:t>
            </w:r>
            <w:r>
              <w:rPr>
                <w:rFonts w:eastAsia="黑体"/>
                <w:color w:val="000000"/>
                <w:sz w:val="24"/>
              </w:rPr>
              <w:t>17               本项目</w:t>
            </w:r>
            <w:r>
              <w:rPr>
                <w:rFonts w:eastAsia="黑体"/>
                <w:color w:val="000000"/>
                <w:sz w:val="24"/>
                <w:lang w:val="pt-BR"/>
              </w:rPr>
              <w:t>主要生产设备一览表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83"/>
              <w:gridCol w:w="1984"/>
              <w:gridCol w:w="1134"/>
              <w:gridCol w:w="1236"/>
              <w:gridCol w:w="567"/>
              <w:gridCol w:w="2025"/>
              <w:gridCol w:w="51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8" w:space="0"/>
                  </w:tcBorders>
                  <w:vAlign w:val="center"/>
                </w:tcPr>
                <w:p>
                  <w:pPr>
                    <w:jc w:val="center"/>
                    <w:rPr>
                      <w:b/>
                      <w:color w:val="000000"/>
                      <w:szCs w:val="21"/>
                      <w:lang w:val="pt-BR"/>
                    </w:rPr>
                  </w:pPr>
                  <w:r>
                    <w:rPr>
                      <w:b/>
                      <w:color w:val="000000"/>
                      <w:szCs w:val="21"/>
                      <w:lang w:val="pt-BR"/>
                    </w:rPr>
                    <w:t>序号</w:t>
                  </w:r>
                </w:p>
              </w:tc>
              <w:tc>
                <w:tcPr>
                  <w:tcW w:w="1984" w:type="dxa"/>
                  <w:tcBorders>
                    <w:top w:val="single" w:color="auto" w:sz="8" w:space="0"/>
                  </w:tcBorders>
                  <w:vAlign w:val="center"/>
                </w:tcPr>
                <w:p>
                  <w:pPr>
                    <w:jc w:val="center"/>
                    <w:rPr>
                      <w:b/>
                      <w:color w:val="000000"/>
                      <w:szCs w:val="21"/>
                      <w:lang w:val="pt-BR"/>
                    </w:rPr>
                  </w:pPr>
                  <w:r>
                    <w:rPr>
                      <w:b/>
                      <w:color w:val="000000"/>
                      <w:szCs w:val="21"/>
                      <w:lang w:val="pt-BR"/>
                    </w:rPr>
                    <w:t>设备名称</w:t>
                  </w:r>
                </w:p>
              </w:tc>
              <w:tc>
                <w:tcPr>
                  <w:tcW w:w="1134" w:type="dxa"/>
                  <w:tcBorders>
                    <w:top w:val="single" w:color="auto" w:sz="8" w:space="0"/>
                  </w:tcBorders>
                  <w:vAlign w:val="center"/>
                </w:tcPr>
                <w:p>
                  <w:pPr>
                    <w:jc w:val="center"/>
                    <w:rPr>
                      <w:b/>
                      <w:color w:val="000000"/>
                      <w:szCs w:val="21"/>
                      <w:lang w:val="pt-BR"/>
                    </w:rPr>
                  </w:pPr>
                  <w:r>
                    <w:rPr>
                      <w:b/>
                      <w:color w:val="000000"/>
                      <w:szCs w:val="21"/>
                      <w:lang w:val="pt-BR"/>
                    </w:rPr>
                    <w:t>品牌</w:t>
                  </w:r>
                </w:p>
              </w:tc>
              <w:tc>
                <w:tcPr>
                  <w:tcW w:w="1236" w:type="dxa"/>
                  <w:tcBorders>
                    <w:top w:val="single" w:color="auto" w:sz="8" w:space="0"/>
                  </w:tcBorders>
                  <w:vAlign w:val="center"/>
                </w:tcPr>
                <w:p>
                  <w:pPr>
                    <w:jc w:val="center"/>
                    <w:rPr>
                      <w:b/>
                      <w:color w:val="000000"/>
                      <w:szCs w:val="21"/>
                      <w:lang w:val="pt-BR"/>
                    </w:rPr>
                  </w:pPr>
                  <w:r>
                    <w:rPr>
                      <w:b/>
                      <w:color w:val="000000"/>
                      <w:szCs w:val="21"/>
                      <w:lang w:val="pt-BR"/>
                    </w:rPr>
                    <w:t>型号</w:t>
                  </w:r>
                </w:p>
              </w:tc>
              <w:tc>
                <w:tcPr>
                  <w:tcW w:w="567" w:type="dxa"/>
                  <w:tcBorders>
                    <w:top w:val="single" w:color="auto" w:sz="8" w:space="0"/>
                  </w:tcBorders>
                  <w:vAlign w:val="center"/>
                </w:tcPr>
                <w:p>
                  <w:pPr>
                    <w:jc w:val="center"/>
                    <w:rPr>
                      <w:b/>
                      <w:color w:val="000000"/>
                      <w:szCs w:val="21"/>
                      <w:lang w:val="pt-BR"/>
                    </w:rPr>
                  </w:pPr>
                  <w:r>
                    <w:rPr>
                      <w:b/>
                      <w:color w:val="000000"/>
                      <w:szCs w:val="21"/>
                      <w:lang w:val="pt-BR"/>
                    </w:rPr>
                    <w:t>数量</w:t>
                  </w:r>
                </w:p>
              </w:tc>
              <w:tc>
                <w:tcPr>
                  <w:tcW w:w="2025" w:type="dxa"/>
                  <w:tcBorders>
                    <w:top w:val="single" w:color="auto" w:sz="8" w:space="0"/>
                  </w:tcBorders>
                  <w:vAlign w:val="center"/>
                </w:tcPr>
                <w:p>
                  <w:pPr>
                    <w:jc w:val="center"/>
                    <w:rPr>
                      <w:b/>
                      <w:color w:val="000000"/>
                      <w:szCs w:val="21"/>
                      <w:lang w:val="pt-BR"/>
                    </w:rPr>
                  </w:pPr>
                  <w:r>
                    <w:rPr>
                      <w:b/>
                      <w:color w:val="000000"/>
                      <w:szCs w:val="21"/>
                      <w:lang w:val="pt-BR"/>
                    </w:rPr>
                    <w:t>仪器用途及功能</w:t>
                  </w:r>
                </w:p>
              </w:tc>
              <w:tc>
                <w:tcPr>
                  <w:tcW w:w="516" w:type="dxa"/>
                  <w:tcBorders>
                    <w:top w:val="single" w:color="auto" w:sz="8" w:space="0"/>
                  </w:tcBorders>
                  <w:vAlign w:val="center"/>
                </w:tcPr>
                <w:p>
                  <w:pPr>
                    <w:jc w:val="center"/>
                    <w:rPr>
                      <w:b/>
                      <w:color w:val="000000"/>
                      <w:szCs w:val="21"/>
                      <w:lang w:val="pt-BR"/>
                    </w:rPr>
                  </w:pPr>
                  <w:r>
                    <w:rPr>
                      <w:b/>
                      <w:color w:val="000000"/>
                      <w:szCs w:val="21"/>
                      <w:lang w:val="pt-BR"/>
                    </w:rPr>
                    <w:t>备注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45" w:type="dxa"/>
                  <w:gridSpan w:val="7"/>
                  <w:tcBorders>
                    <w:top w:val="single" w:color="auto" w:sz="4" w:space="0"/>
                  </w:tcBorders>
                  <w:vAlign w:val="center"/>
                </w:tcPr>
                <w:p>
                  <w:pPr>
                    <w:jc w:val="center"/>
                    <w:rPr>
                      <w:szCs w:val="21"/>
                    </w:rPr>
                  </w:pPr>
                  <w:r>
                    <w:rPr>
                      <w:szCs w:val="21"/>
                    </w:rPr>
                    <w:t>食品饮用水检测实验室</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tcBorders>
                  <w:vAlign w:val="center"/>
                </w:tcPr>
                <w:p>
                  <w:pPr>
                    <w:jc w:val="center"/>
                    <w:rPr>
                      <w:bCs/>
                      <w:color w:val="000000"/>
                      <w:szCs w:val="21"/>
                      <w:lang w:val="pt-BR"/>
                    </w:rPr>
                  </w:pPr>
                  <w:r>
                    <w:rPr>
                      <w:bCs/>
                      <w:color w:val="000000"/>
                      <w:szCs w:val="21"/>
                      <w:lang w:val="pt-BR"/>
                    </w:rPr>
                    <w:t>1</w:t>
                  </w:r>
                </w:p>
              </w:tc>
              <w:tc>
                <w:tcPr>
                  <w:tcW w:w="1984" w:type="dxa"/>
                  <w:tcBorders>
                    <w:top w:val="single" w:color="auto" w:sz="4" w:space="0"/>
                  </w:tcBorders>
                  <w:vAlign w:val="center"/>
                </w:tcPr>
                <w:p>
                  <w:pPr>
                    <w:jc w:val="center"/>
                    <w:rPr>
                      <w:bCs/>
                      <w:color w:val="000000"/>
                      <w:szCs w:val="21"/>
                      <w:lang w:val="pt-BR"/>
                    </w:rPr>
                  </w:pPr>
                  <w:r>
                    <w:rPr>
                      <w:bCs/>
                      <w:color w:val="000000"/>
                      <w:szCs w:val="21"/>
                      <w:lang w:val="pt-BR"/>
                    </w:rPr>
                    <w:t>气相色谱仪</w:t>
                  </w:r>
                </w:p>
              </w:tc>
              <w:tc>
                <w:tcPr>
                  <w:tcW w:w="1134" w:type="dxa"/>
                  <w:tcBorders>
                    <w:top w:val="single" w:color="auto" w:sz="4" w:space="0"/>
                  </w:tcBorders>
                  <w:vAlign w:val="center"/>
                </w:tcPr>
                <w:p>
                  <w:pPr>
                    <w:jc w:val="center"/>
                    <w:rPr>
                      <w:bCs/>
                      <w:color w:val="000000"/>
                      <w:szCs w:val="21"/>
                      <w:lang w:val="pt-BR"/>
                    </w:rPr>
                  </w:pPr>
                  <w:r>
                    <w:rPr>
                      <w:bCs/>
                      <w:color w:val="000000"/>
                      <w:szCs w:val="21"/>
                      <w:lang w:val="pt-BR"/>
                    </w:rPr>
                    <w:t>安捷伦</w:t>
                  </w:r>
                </w:p>
              </w:tc>
              <w:tc>
                <w:tcPr>
                  <w:tcW w:w="1236" w:type="dxa"/>
                  <w:tcBorders>
                    <w:top w:val="single" w:color="auto" w:sz="4" w:space="0"/>
                  </w:tcBorders>
                  <w:vAlign w:val="center"/>
                </w:tcPr>
                <w:p>
                  <w:pPr>
                    <w:jc w:val="center"/>
                    <w:rPr>
                      <w:bCs/>
                      <w:color w:val="000000"/>
                      <w:szCs w:val="21"/>
                      <w:lang w:val="pt-BR"/>
                    </w:rPr>
                  </w:pPr>
                  <w:r>
                    <w:rPr>
                      <w:bCs/>
                      <w:color w:val="000000"/>
                      <w:szCs w:val="21"/>
                      <w:lang w:val="pt-BR"/>
                    </w:rPr>
                    <w:t>8890</w:t>
                  </w:r>
                </w:p>
              </w:tc>
              <w:tc>
                <w:tcPr>
                  <w:tcW w:w="567" w:type="dxa"/>
                  <w:tcBorders>
                    <w:top w:val="single" w:color="auto" w:sz="4" w:space="0"/>
                  </w:tcBorders>
                  <w:vAlign w:val="center"/>
                </w:tcPr>
                <w:p>
                  <w:pPr>
                    <w:jc w:val="center"/>
                    <w:rPr>
                      <w:bCs/>
                      <w:color w:val="000000"/>
                      <w:szCs w:val="21"/>
                      <w:lang w:val="pt-BR"/>
                    </w:rPr>
                  </w:pPr>
                  <w:r>
                    <w:rPr>
                      <w:bCs/>
                      <w:color w:val="000000"/>
                      <w:szCs w:val="21"/>
                      <w:lang w:val="pt-BR"/>
                    </w:rPr>
                    <w:t>1</w:t>
                  </w:r>
                </w:p>
              </w:tc>
              <w:tc>
                <w:tcPr>
                  <w:tcW w:w="2025" w:type="dxa"/>
                  <w:tcBorders>
                    <w:top w:val="single" w:color="auto" w:sz="4" w:space="0"/>
                  </w:tcBorders>
                  <w:vAlign w:val="center"/>
                </w:tcPr>
                <w:p>
                  <w:pPr>
                    <w:jc w:val="center"/>
                    <w:rPr>
                      <w:bCs/>
                      <w:color w:val="000000"/>
                      <w:szCs w:val="21"/>
                      <w:lang w:val="pt-BR"/>
                    </w:rPr>
                  </w:pPr>
                  <w:r>
                    <w:rPr>
                      <w:bCs/>
                      <w:color w:val="000000"/>
                      <w:szCs w:val="21"/>
                      <w:lang w:val="pt-BR"/>
                    </w:rPr>
                    <w:t>浓度、质量型检测</w:t>
                  </w:r>
                </w:p>
              </w:tc>
              <w:tc>
                <w:tcPr>
                  <w:tcW w:w="516" w:type="dxa"/>
                  <w:tcBorders>
                    <w:top w:val="single" w:color="auto" w:sz="4" w:space="0"/>
                  </w:tcBorders>
                  <w:vAlign w:val="center"/>
                </w:tcPr>
                <w:p>
                  <w:pPr>
                    <w:jc w:val="center"/>
                    <w:rPr>
                      <w:bCs/>
                      <w:color w:val="000000"/>
                      <w:szCs w:val="21"/>
                      <w:lang w:val="pt-BR"/>
                    </w:rPr>
                  </w:pPr>
                  <w:r>
                    <w:rPr>
                      <w:bCs/>
                      <w:color w:val="000000"/>
                      <w:szCs w:val="21"/>
                      <w:lang w:val="pt-BR"/>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tcBorders>
                  <w:vAlign w:val="center"/>
                </w:tcPr>
                <w:p>
                  <w:pPr>
                    <w:jc w:val="center"/>
                    <w:rPr>
                      <w:bCs/>
                      <w:color w:val="000000"/>
                      <w:szCs w:val="21"/>
                      <w:lang w:val="pt-BR"/>
                    </w:rPr>
                  </w:pPr>
                  <w:r>
                    <w:rPr>
                      <w:bCs/>
                      <w:color w:val="000000"/>
                      <w:szCs w:val="21"/>
                      <w:lang w:val="pt-BR"/>
                    </w:rPr>
                    <w:t>2</w:t>
                  </w:r>
                </w:p>
              </w:tc>
              <w:tc>
                <w:tcPr>
                  <w:tcW w:w="1984" w:type="dxa"/>
                  <w:tcBorders>
                    <w:top w:val="single" w:color="auto" w:sz="4" w:space="0"/>
                  </w:tcBorders>
                  <w:vAlign w:val="center"/>
                </w:tcPr>
                <w:p>
                  <w:pPr>
                    <w:jc w:val="center"/>
                    <w:rPr>
                      <w:bCs/>
                      <w:color w:val="000000"/>
                      <w:szCs w:val="21"/>
                      <w:lang w:val="pt-BR"/>
                    </w:rPr>
                  </w:pPr>
                  <w:r>
                    <w:rPr>
                      <w:bCs/>
                      <w:color w:val="000000"/>
                      <w:szCs w:val="21"/>
                      <w:lang w:val="pt-BR"/>
                    </w:rPr>
                    <w:t>气相色谱仪-质谱联用仪</w:t>
                  </w:r>
                </w:p>
              </w:tc>
              <w:tc>
                <w:tcPr>
                  <w:tcW w:w="1134" w:type="dxa"/>
                  <w:tcBorders>
                    <w:top w:val="single" w:color="auto" w:sz="4" w:space="0"/>
                  </w:tcBorders>
                  <w:vAlign w:val="center"/>
                </w:tcPr>
                <w:p>
                  <w:pPr>
                    <w:jc w:val="center"/>
                    <w:rPr>
                      <w:bCs/>
                      <w:color w:val="000000"/>
                      <w:szCs w:val="21"/>
                      <w:lang w:val="pt-BR"/>
                    </w:rPr>
                  </w:pPr>
                  <w:r>
                    <w:rPr>
                      <w:bCs/>
                      <w:color w:val="000000"/>
                      <w:szCs w:val="21"/>
                      <w:lang w:val="pt-BR"/>
                    </w:rPr>
                    <w:t>安捷伦</w:t>
                  </w:r>
                </w:p>
              </w:tc>
              <w:tc>
                <w:tcPr>
                  <w:tcW w:w="1236" w:type="dxa"/>
                  <w:tcBorders>
                    <w:top w:val="single" w:color="auto" w:sz="4" w:space="0"/>
                  </w:tcBorders>
                  <w:vAlign w:val="center"/>
                </w:tcPr>
                <w:p>
                  <w:pPr>
                    <w:jc w:val="center"/>
                    <w:rPr>
                      <w:bCs/>
                      <w:color w:val="000000"/>
                      <w:szCs w:val="21"/>
                      <w:lang w:val="pt-BR"/>
                    </w:rPr>
                  </w:pPr>
                  <w:r>
                    <w:rPr>
                      <w:bCs/>
                      <w:color w:val="000000"/>
                      <w:szCs w:val="21"/>
                      <w:lang w:val="pt-BR"/>
                    </w:rPr>
                    <w:t>8890/7000D</w:t>
                  </w:r>
                </w:p>
              </w:tc>
              <w:tc>
                <w:tcPr>
                  <w:tcW w:w="567" w:type="dxa"/>
                  <w:tcBorders>
                    <w:top w:val="single" w:color="auto" w:sz="4" w:space="0"/>
                  </w:tcBorders>
                  <w:vAlign w:val="center"/>
                </w:tcPr>
                <w:p>
                  <w:pPr>
                    <w:jc w:val="center"/>
                    <w:rPr>
                      <w:bCs/>
                      <w:color w:val="000000"/>
                      <w:szCs w:val="21"/>
                      <w:lang w:val="pt-BR"/>
                    </w:rPr>
                  </w:pPr>
                  <w:r>
                    <w:rPr>
                      <w:bCs/>
                      <w:color w:val="000000"/>
                      <w:szCs w:val="21"/>
                      <w:lang w:val="pt-BR"/>
                    </w:rPr>
                    <w:t>1</w:t>
                  </w:r>
                </w:p>
              </w:tc>
              <w:tc>
                <w:tcPr>
                  <w:tcW w:w="2025" w:type="dxa"/>
                  <w:tcBorders>
                    <w:top w:val="single" w:color="auto" w:sz="4" w:space="0"/>
                  </w:tcBorders>
                  <w:vAlign w:val="center"/>
                </w:tcPr>
                <w:p>
                  <w:pPr>
                    <w:jc w:val="center"/>
                    <w:rPr>
                      <w:bCs/>
                      <w:color w:val="000000"/>
                      <w:szCs w:val="21"/>
                      <w:lang w:val="pt-BR"/>
                    </w:rPr>
                  </w:pPr>
                  <w:r>
                    <w:rPr>
                      <w:bCs/>
                      <w:color w:val="000000"/>
                      <w:szCs w:val="21"/>
                      <w:lang w:val="pt-BR"/>
                    </w:rPr>
                    <w:t>浓度、质量型检测</w:t>
                  </w:r>
                </w:p>
              </w:tc>
              <w:tc>
                <w:tcPr>
                  <w:tcW w:w="516" w:type="dxa"/>
                  <w:tcBorders>
                    <w:top w:val="single" w:color="auto" w:sz="4" w:space="0"/>
                  </w:tcBorders>
                  <w:vAlign w:val="center"/>
                </w:tcPr>
                <w:p>
                  <w:pPr>
                    <w:jc w:val="center"/>
                    <w:rPr>
                      <w:bCs/>
                      <w:color w:val="000000"/>
                      <w:szCs w:val="21"/>
                      <w:lang w:val="pt-BR"/>
                    </w:rPr>
                  </w:pPr>
                  <w:r>
                    <w:rPr>
                      <w:bCs/>
                      <w:color w:val="000000"/>
                      <w:szCs w:val="21"/>
                      <w:lang w:val="pt-BR"/>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tcBorders>
                  <w:vAlign w:val="center"/>
                </w:tcPr>
                <w:p>
                  <w:pPr>
                    <w:jc w:val="center"/>
                    <w:rPr>
                      <w:bCs/>
                      <w:color w:val="000000"/>
                      <w:szCs w:val="21"/>
                      <w:lang w:val="pt-BR"/>
                    </w:rPr>
                  </w:pPr>
                  <w:r>
                    <w:rPr>
                      <w:bCs/>
                      <w:color w:val="000000"/>
                      <w:szCs w:val="21"/>
                      <w:lang w:val="pt-BR"/>
                    </w:rPr>
                    <w:t>3</w:t>
                  </w:r>
                </w:p>
              </w:tc>
              <w:tc>
                <w:tcPr>
                  <w:tcW w:w="1984" w:type="dxa"/>
                  <w:tcBorders>
                    <w:top w:val="single" w:color="auto" w:sz="4" w:space="0"/>
                  </w:tcBorders>
                  <w:vAlign w:val="center"/>
                </w:tcPr>
                <w:p>
                  <w:pPr>
                    <w:jc w:val="center"/>
                    <w:rPr>
                      <w:bCs/>
                      <w:color w:val="000000"/>
                      <w:szCs w:val="21"/>
                      <w:lang w:val="pt-BR"/>
                    </w:rPr>
                  </w:pPr>
                  <w:r>
                    <w:rPr>
                      <w:bCs/>
                      <w:color w:val="000000"/>
                      <w:szCs w:val="21"/>
                      <w:lang w:val="pt-BR"/>
                    </w:rPr>
                    <w:t>液相-ICPMS联用</w:t>
                  </w:r>
                </w:p>
              </w:tc>
              <w:tc>
                <w:tcPr>
                  <w:tcW w:w="1134" w:type="dxa"/>
                  <w:tcBorders>
                    <w:top w:val="single" w:color="auto" w:sz="4" w:space="0"/>
                  </w:tcBorders>
                  <w:vAlign w:val="center"/>
                </w:tcPr>
                <w:p>
                  <w:pPr>
                    <w:jc w:val="center"/>
                    <w:rPr>
                      <w:bCs/>
                      <w:color w:val="000000"/>
                      <w:szCs w:val="21"/>
                      <w:lang w:val="pt-BR"/>
                    </w:rPr>
                  </w:pPr>
                  <w:r>
                    <w:rPr>
                      <w:bCs/>
                      <w:color w:val="000000"/>
                      <w:szCs w:val="21"/>
                      <w:lang w:val="pt-BR"/>
                    </w:rPr>
                    <w:t>安捷伦</w:t>
                  </w:r>
                </w:p>
              </w:tc>
              <w:tc>
                <w:tcPr>
                  <w:tcW w:w="1236" w:type="dxa"/>
                  <w:tcBorders>
                    <w:top w:val="single" w:color="auto" w:sz="4" w:space="0"/>
                  </w:tcBorders>
                  <w:vAlign w:val="center"/>
                </w:tcPr>
                <w:p>
                  <w:pPr>
                    <w:jc w:val="center"/>
                    <w:rPr>
                      <w:bCs/>
                      <w:color w:val="000000"/>
                      <w:szCs w:val="21"/>
                      <w:lang w:val="pt-BR"/>
                    </w:rPr>
                  </w:pPr>
                  <w:r>
                    <w:rPr>
                      <w:bCs/>
                      <w:color w:val="000000"/>
                      <w:szCs w:val="21"/>
                      <w:lang w:val="pt-BR"/>
                    </w:rPr>
                    <w:t>1260-7900</w:t>
                  </w:r>
                </w:p>
              </w:tc>
              <w:tc>
                <w:tcPr>
                  <w:tcW w:w="567" w:type="dxa"/>
                  <w:tcBorders>
                    <w:top w:val="single" w:color="auto" w:sz="4" w:space="0"/>
                  </w:tcBorders>
                  <w:vAlign w:val="center"/>
                </w:tcPr>
                <w:p>
                  <w:pPr>
                    <w:jc w:val="center"/>
                    <w:rPr>
                      <w:bCs/>
                      <w:color w:val="000000"/>
                      <w:szCs w:val="21"/>
                      <w:lang w:val="pt-BR"/>
                    </w:rPr>
                  </w:pPr>
                  <w:r>
                    <w:rPr>
                      <w:bCs/>
                      <w:color w:val="000000"/>
                      <w:szCs w:val="21"/>
                      <w:lang w:val="pt-BR"/>
                    </w:rPr>
                    <w:t>1</w:t>
                  </w:r>
                </w:p>
              </w:tc>
              <w:tc>
                <w:tcPr>
                  <w:tcW w:w="2025" w:type="dxa"/>
                  <w:tcBorders>
                    <w:top w:val="single" w:color="auto" w:sz="4" w:space="0"/>
                  </w:tcBorders>
                  <w:vAlign w:val="center"/>
                </w:tcPr>
                <w:p>
                  <w:pPr>
                    <w:jc w:val="center"/>
                    <w:rPr>
                      <w:bCs/>
                      <w:color w:val="000000"/>
                      <w:szCs w:val="21"/>
                      <w:lang w:val="pt-BR"/>
                    </w:rPr>
                  </w:pPr>
                  <w:r>
                    <w:rPr>
                      <w:bCs/>
                      <w:color w:val="000000"/>
                      <w:szCs w:val="21"/>
                      <w:lang w:val="pt-BR"/>
                    </w:rPr>
                    <w:t>浓度、质量型检测</w:t>
                  </w:r>
                </w:p>
              </w:tc>
              <w:tc>
                <w:tcPr>
                  <w:tcW w:w="516" w:type="dxa"/>
                  <w:tcBorders>
                    <w:top w:val="single" w:color="auto" w:sz="4" w:space="0"/>
                  </w:tcBorders>
                  <w:vAlign w:val="center"/>
                </w:tcPr>
                <w:p>
                  <w:pPr>
                    <w:jc w:val="center"/>
                    <w:rPr>
                      <w:bCs/>
                      <w:color w:val="000000"/>
                      <w:szCs w:val="21"/>
                      <w:lang w:val="pt-BR"/>
                    </w:rPr>
                  </w:pPr>
                  <w:r>
                    <w:rPr>
                      <w:bCs/>
                      <w:color w:val="000000"/>
                      <w:szCs w:val="21"/>
                      <w:lang w:val="pt-BR"/>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tcBorders>
                  <w:vAlign w:val="center"/>
                </w:tcPr>
                <w:p>
                  <w:pPr>
                    <w:jc w:val="center"/>
                    <w:rPr>
                      <w:bCs/>
                      <w:color w:val="000000"/>
                      <w:szCs w:val="21"/>
                      <w:lang w:val="pt-BR"/>
                    </w:rPr>
                  </w:pPr>
                  <w:r>
                    <w:rPr>
                      <w:bCs/>
                      <w:color w:val="000000"/>
                      <w:szCs w:val="21"/>
                      <w:lang w:val="pt-BR"/>
                    </w:rPr>
                    <w:t>4</w:t>
                  </w:r>
                </w:p>
              </w:tc>
              <w:tc>
                <w:tcPr>
                  <w:tcW w:w="1984" w:type="dxa"/>
                  <w:tcBorders>
                    <w:top w:val="single" w:color="auto" w:sz="4" w:space="0"/>
                  </w:tcBorders>
                  <w:vAlign w:val="center"/>
                </w:tcPr>
                <w:p>
                  <w:pPr>
                    <w:jc w:val="center"/>
                    <w:rPr>
                      <w:bCs/>
                      <w:color w:val="000000"/>
                      <w:szCs w:val="21"/>
                      <w:lang w:val="pt-BR"/>
                    </w:rPr>
                  </w:pPr>
                  <w:r>
                    <w:rPr>
                      <w:bCs/>
                      <w:color w:val="000000"/>
                      <w:szCs w:val="21"/>
                      <w:lang w:val="pt-BR"/>
                    </w:rPr>
                    <w:t>高效液相色谱-质谱仪联用仪</w:t>
                  </w:r>
                </w:p>
              </w:tc>
              <w:tc>
                <w:tcPr>
                  <w:tcW w:w="1134" w:type="dxa"/>
                  <w:tcBorders>
                    <w:top w:val="single" w:color="auto" w:sz="4" w:space="0"/>
                  </w:tcBorders>
                  <w:vAlign w:val="center"/>
                </w:tcPr>
                <w:p>
                  <w:pPr>
                    <w:jc w:val="center"/>
                    <w:rPr>
                      <w:bCs/>
                      <w:color w:val="000000"/>
                      <w:szCs w:val="21"/>
                      <w:lang w:val="pt-BR"/>
                    </w:rPr>
                  </w:pPr>
                  <w:r>
                    <w:rPr>
                      <w:bCs/>
                      <w:color w:val="000000"/>
                      <w:szCs w:val="21"/>
                      <w:lang w:val="pt-BR"/>
                    </w:rPr>
                    <w:t>安捷伦</w:t>
                  </w:r>
                </w:p>
              </w:tc>
              <w:tc>
                <w:tcPr>
                  <w:tcW w:w="1236" w:type="dxa"/>
                  <w:tcBorders>
                    <w:top w:val="single" w:color="auto" w:sz="4" w:space="0"/>
                  </w:tcBorders>
                  <w:vAlign w:val="center"/>
                </w:tcPr>
                <w:p>
                  <w:pPr>
                    <w:jc w:val="center"/>
                    <w:rPr>
                      <w:bCs/>
                      <w:color w:val="000000"/>
                      <w:szCs w:val="21"/>
                      <w:lang w:val="pt-BR"/>
                    </w:rPr>
                  </w:pPr>
                  <w:r>
                    <w:rPr>
                      <w:bCs/>
                      <w:color w:val="000000"/>
                      <w:szCs w:val="21"/>
                      <w:lang w:val="pt-BR"/>
                    </w:rPr>
                    <w:t>1290/6470B</w:t>
                  </w:r>
                </w:p>
              </w:tc>
              <w:tc>
                <w:tcPr>
                  <w:tcW w:w="567" w:type="dxa"/>
                  <w:tcBorders>
                    <w:top w:val="single" w:color="auto" w:sz="4" w:space="0"/>
                  </w:tcBorders>
                  <w:vAlign w:val="center"/>
                </w:tcPr>
                <w:p>
                  <w:pPr>
                    <w:jc w:val="center"/>
                    <w:rPr>
                      <w:bCs/>
                      <w:color w:val="000000"/>
                      <w:szCs w:val="21"/>
                      <w:lang w:val="pt-BR"/>
                    </w:rPr>
                  </w:pPr>
                  <w:r>
                    <w:rPr>
                      <w:bCs/>
                      <w:color w:val="000000"/>
                      <w:szCs w:val="21"/>
                      <w:lang w:val="pt-BR"/>
                    </w:rPr>
                    <w:t>1</w:t>
                  </w:r>
                </w:p>
              </w:tc>
              <w:tc>
                <w:tcPr>
                  <w:tcW w:w="2025" w:type="dxa"/>
                  <w:tcBorders>
                    <w:top w:val="single" w:color="auto" w:sz="4" w:space="0"/>
                  </w:tcBorders>
                  <w:vAlign w:val="center"/>
                </w:tcPr>
                <w:p>
                  <w:pPr>
                    <w:jc w:val="center"/>
                    <w:rPr>
                      <w:bCs/>
                      <w:color w:val="000000"/>
                      <w:szCs w:val="21"/>
                      <w:lang w:val="pt-BR"/>
                    </w:rPr>
                  </w:pPr>
                  <w:r>
                    <w:rPr>
                      <w:bCs/>
                      <w:color w:val="000000"/>
                      <w:szCs w:val="21"/>
                      <w:lang w:val="pt-BR"/>
                    </w:rPr>
                    <w:t>浓度、质量型检测</w:t>
                  </w:r>
                </w:p>
              </w:tc>
              <w:tc>
                <w:tcPr>
                  <w:tcW w:w="516" w:type="dxa"/>
                  <w:tcBorders>
                    <w:top w:val="single" w:color="auto" w:sz="4" w:space="0"/>
                  </w:tcBorders>
                  <w:vAlign w:val="center"/>
                </w:tcPr>
                <w:p>
                  <w:pPr>
                    <w:jc w:val="center"/>
                    <w:rPr>
                      <w:bCs/>
                      <w:color w:val="000000"/>
                      <w:szCs w:val="21"/>
                      <w:lang w:val="pt-BR"/>
                    </w:rPr>
                  </w:pPr>
                  <w:r>
                    <w:rPr>
                      <w:bCs/>
                      <w:color w:val="000000"/>
                      <w:szCs w:val="21"/>
                      <w:lang w:val="pt-BR"/>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tcBorders>
                  <w:vAlign w:val="center"/>
                </w:tcPr>
                <w:p>
                  <w:pPr>
                    <w:jc w:val="center"/>
                    <w:rPr>
                      <w:bCs/>
                      <w:color w:val="000000"/>
                      <w:szCs w:val="21"/>
                      <w:lang w:val="pt-BR"/>
                    </w:rPr>
                  </w:pPr>
                  <w:r>
                    <w:rPr>
                      <w:bCs/>
                      <w:color w:val="000000"/>
                      <w:szCs w:val="21"/>
                      <w:lang w:val="pt-BR"/>
                    </w:rPr>
                    <w:t>5</w:t>
                  </w:r>
                </w:p>
              </w:tc>
              <w:tc>
                <w:tcPr>
                  <w:tcW w:w="1984" w:type="dxa"/>
                  <w:tcBorders>
                    <w:top w:val="single" w:color="auto" w:sz="4" w:space="0"/>
                  </w:tcBorders>
                  <w:vAlign w:val="center"/>
                </w:tcPr>
                <w:p>
                  <w:pPr>
                    <w:jc w:val="center"/>
                    <w:rPr>
                      <w:bCs/>
                      <w:color w:val="000000"/>
                      <w:szCs w:val="21"/>
                      <w:lang w:val="pt-BR"/>
                    </w:rPr>
                  </w:pPr>
                  <w:r>
                    <w:rPr>
                      <w:bCs/>
                      <w:color w:val="000000"/>
                      <w:szCs w:val="21"/>
                      <w:lang w:val="pt-BR"/>
                    </w:rPr>
                    <w:t>液相色谱（荧光检测器，二极管阵列检测器）</w:t>
                  </w:r>
                </w:p>
              </w:tc>
              <w:tc>
                <w:tcPr>
                  <w:tcW w:w="1134" w:type="dxa"/>
                  <w:tcBorders>
                    <w:top w:val="single" w:color="auto" w:sz="4" w:space="0"/>
                  </w:tcBorders>
                  <w:vAlign w:val="center"/>
                </w:tcPr>
                <w:p>
                  <w:pPr>
                    <w:jc w:val="center"/>
                    <w:rPr>
                      <w:bCs/>
                      <w:color w:val="000000"/>
                      <w:szCs w:val="21"/>
                      <w:lang w:val="pt-BR"/>
                    </w:rPr>
                  </w:pPr>
                  <w:r>
                    <w:rPr>
                      <w:bCs/>
                      <w:color w:val="000000"/>
                      <w:szCs w:val="21"/>
                      <w:lang w:val="pt-BR"/>
                    </w:rPr>
                    <w:t>安捷伦</w:t>
                  </w:r>
                </w:p>
              </w:tc>
              <w:tc>
                <w:tcPr>
                  <w:tcW w:w="1236" w:type="dxa"/>
                  <w:tcBorders>
                    <w:top w:val="single" w:color="auto" w:sz="4" w:space="0"/>
                  </w:tcBorders>
                  <w:vAlign w:val="center"/>
                </w:tcPr>
                <w:p>
                  <w:pPr>
                    <w:jc w:val="center"/>
                    <w:rPr>
                      <w:bCs/>
                      <w:color w:val="000000"/>
                      <w:szCs w:val="21"/>
                      <w:lang w:val="pt-BR"/>
                    </w:rPr>
                  </w:pPr>
                  <w:r>
                    <w:rPr>
                      <w:bCs/>
                      <w:color w:val="000000"/>
                      <w:szCs w:val="21"/>
                      <w:lang w:val="pt-BR"/>
                    </w:rPr>
                    <w:t>1260</w:t>
                  </w:r>
                </w:p>
              </w:tc>
              <w:tc>
                <w:tcPr>
                  <w:tcW w:w="567" w:type="dxa"/>
                  <w:tcBorders>
                    <w:top w:val="single" w:color="auto" w:sz="4" w:space="0"/>
                  </w:tcBorders>
                  <w:vAlign w:val="center"/>
                </w:tcPr>
                <w:p>
                  <w:pPr>
                    <w:jc w:val="center"/>
                    <w:rPr>
                      <w:bCs/>
                      <w:color w:val="000000"/>
                      <w:szCs w:val="21"/>
                      <w:lang w:val="pt-BR"/>
                    </w:rPr>
                  </w:pPr>
                  <w:r>
                    <w:rPr>
                      <w:bCs/>
                      <w:color w:val="000000"/>
                      <w:szCs w:val="21"/>
                      <w:lang w:val="pt-BR"/>
                    </w:rPr>
                    <w:t>1</w:t>
                  </w:r>
                </w:p>
              </w:tc>
              <w:tc>
                <w:tcPr>
                  <w:tcW w:w="2025" w:type="dxa"/>
                  <w:tcBorders>
                    <w:top w:val="single" w:color="auto" w:sz="4" w:space="0"/>
                  </w:tcBorders>
                  <w:vAlign w:val="center"/>
                </w:tcPr>
                <w:p>
                  <w:pPr>
                    <w:jc w:val="center"/>
                    <w:rPr>
                      <w:bCs/>
                      <w:color w:val="000000"/>
                      <w:szCs w:val="21"/>
                      <w:lang w:val="pt-BR"/>
                    </w:rPr>
                  </w:pPr>
                  <w:r>
                    <w:rPr>
                      <w:bCs/>
                      <w:color w:val="000000"/>
                      <w:szCs w:val="21"/>
                      <w:lang w:val="pt-BR"/>
                    </w:rPr>
                    <w:t>浓度、质量型检测</w:t>
                  </w:r>
                </w:p>
              </w:tc>
              <w:tc>
                <w:tcPr>
                  <w:tcW w:w="516" w:type="dxa"/>
                  <w:tcBorders>
                    <w:top w:val="single" w:color="auto" w:sz="4" w:space="0"/>
                  </w:tcBorders>
                  <w:vAlign w:val="center"/>
                </w:tcPr>
                <w:p>
                  <w:pPr>
                    <w:jc w:val="center"/>
                    <w:rPr>
                      <w:bCs/>
                      <w:color w:val="000000"/>
                      <w:szCs w:val="21"/>
                      <w:lang w:val="pt-BR"/>
                    </w:rPr>
                  </w:pPr>
                  <w:r>
                    <w:rPr>
                      <w:bCs/>
                      <w:color w:val="000000"/>
                      <w:szCs w:val="21"/>
                      <w:lang w:val="pt-BR"/>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tcBorders>
                  <w:vAlign w:val="center"/>
                </w:tcPr>
                <w:p>
                  <w:pPr>
                    <w:jc w:val="center"/>
                    <w:rPr>
                      <w:bCs/>
                      <w:color w:val="000000"/>
                      <w:szCs w:val="21"/>
                      <w:lang w:val="pt-BR"/>
                    </w:rPr>
                  </w:pPr>
                  <w:r>
                    <w:rPr>
                      <w:bCs/>
                      <w:color w:val="000000"/>
                      <w:szCs w:val="21"/>
                      <w:lang w:val="pt-BR"/>
                    </w:rPr>
                    <w:t>6</w:t>
                  </w:r>
                </w:p>
              </w:tc>
              <w:tc>
                <w:tcPr>
                  <w:tcW w:w="1984" w:type="dxa"/>
                  <w:tcBorders>
                    <w:top w:val="single" w:color="auto" w:sz="4" w:space="0"/>
                  </w:tcBorders>
                  <w:vAlign w:val="center"/>
                </w:tcPr>
                <w:p>
                  <w:pPr>
                    <w:jc w:val="center"/>
                    <w:rPr>
                      <w:bCs/>
                      <w:color w:val="000000"/>
                      <w:szCs w:val="21"/>
                      <w:lang w:val="pt-BR"/>
                    </w:rPr>
                  </w:pPr>
                  <w:r>
                    <w:rPr>
                      <w:bCs/>
                      <w:color w:val="000000"/>
                      <w:szCs w:val="21"/>
                      <w:lang w:val="pt-BR"/>
                    </w:rPr>
                    <w:t>液相色谱</w:t>
                  </w:r>
                </w:p>
                <w:p>
                  <w:pPr>
                    <w:jc w:val="center"/>
                    <w:rPr>
                      <w:bCs/>
                      <w:color w:val="000000"/>
                      <w:szCs w:val="21"/>
                      <w:lang w:val="pt-BR"/>
                    </w:rPr>
                  </w:pPr>
                  <w:r>
                    <w:rPr>
                      <w:bCs/>
                      <w:color w:val="000000"/>
                      <w:szCs w:val="21"/>
                      <w:lang w:val="pt-BR"/>
                    </w:rPr>
                    <w:t>原子荧光联用仪</w:t>
                  </w:r>
                </w:p>
              </w:tc>
              <w:tc>
                <w:tcPr>
                  <w:tcW w:w="1134" w:type="dxa"/>
                  <w:tcBorders>
                    <w:top w:val="single" w:color="auto" w:sz="4" w:space="0"/>
                  </w:tcBorders>
                  <w:vAlign w:val="center"/>
                </w:tcPr>
                <w:p>
                  <w:pPr>
                    <w:jc w:val="center"/>
                    <w:rPr>
                      <w:bCs/>
                      <w:color w:val="000000"/>
                      <w:szCs w:val="21"/>
                      <w:lang w:val="pt-BR"/>
                    </w:rPr>
                  </w:pPr>
                  <w:r>
                    <w:rPr>
                      <w:bCs/>
                      <w:color w:val="000000"/>
                      <w:szCs w:val="21"/>
                      <w:lang w:val="pt-BR"/>
                    </w:rPr>
                    <w:t>金索坤</w:t>
                  </w:r>
                </w:p>
              </w:tc>
              <w:tc>
                <w:tcPr>
                  <w:tcW w:w="1236" w:type="dxa"/>
                  <w:tcBorders>
                    <w:top w:val="single" w:color="auto" w:sz="4" w:space="0"/>
                  </w:tcBorders>
                  <w:vAlign w:val="center"/>
                </w:tcPr>
                <w:p>
                  <w:pPr>
                    <w:jc w:val="center"/>
                    <w:rPr>
                      <w:bCs/>
                      <w:color w:val="000000"/>
                      <w:szCs w:val="21"/>
                      <w:lang w:val="pt-BR"/>
                    </w:rPr>
                  </w:pPr>
                  <w:r>
                    <w:rPr>
                      <w:bCs/>
                      <w:color w:val="000000"/>
                      <w:szCs w:val="21"/>
                      <w:lang w:val="pt-BR"/>
                    </w:rPr>
                    <w:t>SK-盛析-LC</w:t>
                  </w:r>
                </w:p>
              </w:tc>
              <w:tc>
                <w:tcPr>
                  <w:tcW w:w="567" w:type="dxa"/>
                  <w:tcBorders>
                    <w:top w:val="single" w:color="auto" w:sz="4" w:space="0"/>
                  </w:tcBorders>
                  <w:vAlign w:val="center"/>
                </w:tcPr>
                <w:p>
                  <w:pPr>
                    <w:jc w:val="center"/>
                    <w:rPr>
                      <w:bCs/>
                      <w:color w:val="000000"/>
                      <w:szCs w:val="21"/>
                      <w:lang w:val="pt-BR"/>
                    </w:rPr>
                  </w:pPr>
                  <w:r>
                    <w:rPr>
                      <w:bCs/>
                      <w:color w:val="000000"/>
                      <w:szCs w:val="21"/>
                      <w:lang w:val="pt-BR"/>
                    </w:rPr>
                    <w:t>1</w:t>
                  </w:r>
                </w:p>
              </w:tc>
              <w:tc>
                <w:tcPr>
                  <w:tcW w:w="2025" w:type="dxa"/>
                  <w:tcBorders>
                    <w:top w:val="single" w:color="auto" w:sz="4" w:space="0"/>
                  </w:tcBorders>
                  <w:vAlign w:val="center"/>
                </w:tcPr>
                <w:p>
                  <w:pPr>
                    <w:jc w:val="center"/>
                    <w:rPr>
                      <w:bCs/>
                      <w:color w:val="000000"/>
                      <w:szCs w:val="21"/>
                      <w:lang w:val="pt-BR"/>
                    </w:rPr>
                  </w:pPr>
                  <w:r>
                    <w:rPr>
                      <w:bCs/>
                      <w:color w:val="000000"/>
                      <w:szCs w:val="21"/>
                      <w:lang w:val="pt-BR"/>
                    </w:rPr>
                    <w:t>浓度、质量型检测</w:t>
                  </w:r>
                </w:p>
              </w:tc>
              <w:tc>
                <w:tcPr>
                  <w:tcW w:w="516" w:type="dxa"/>
                  <w:tcBorders>
                    <w:top w:val="single" w:color="auto" w:sz="4" w:space="0"/>
                  </w:tcBorders>
                  <w:vAlign w:val="center"/>
                </w:tcPr>
                <w:p>
                  <w:pPr>
                    <w:jc w:val="center"/>
                    <w:rPr>
                      <w:bCs/>
                      <w:color w:val="000000"/>
                      <w:szCs w:val="21"/>
                      <w:lang w:val="pt-BR"/>
                    </w:rPr>
                  </w:pPr>
                  <w:r>
                    <w:rPr>
                      <w:bCs/>
                      <w:color w:val="000000"/>
                      <w:szCs w:val="21"/>
                      <w:lang w:val="pt-BR"/>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tcBorders>
                  <w:vAlign w:val="center"/>
                </w:tcPr>
                <w:p>
                  <w:pPr>
                    <w:jc w:val="center"/>
                    <w:rPr>
                      <w:bCs/>
                      <w:color w:val="000000"/>
                      <w:szCs w:val="21"/>
                      <w:lang w:val="pt-BR"/>
                    </w:rPr>
                  </w:pPr>
                  <w:r>
                    <w:rPr>
                      <w:bCs/>
                      <w:color w:val="000000"/>
                      <w:szCs w:val="21"/>
                      <w:lang w:val="pt-BR"/>
                    </w:rPr>
                    <w:t>7</w:t>
                  </w:r>
                </w:p>
              </w:tc>
              <w:tc>
                <w:tcPr>
                  <w:tcW w:w="1984" w:type="dxa"/>
                  <w:tcBorders>
                    <w:top w:val="single" w:color="auto" w:sz="4" w:space="0"/>
                  </w:tcBorders>
                  <w:vAlign w:val="center"/>
                </w:tcPr>
                <w:p>
                  <w:pPr>
                    <w:jc w:val="center"/>
                    <w:rPr>
                      <w:bCs/>
                      <w:color w:val="000000"/>
                      <w:szCs w:val="21"/>
                      <w:lang w:val="pt-BR"/>
                    </w:rPr>
                  </w:pPr>
                  <w:r>
                    <w:rPr>
                      <w:bCs/>
                      <w:color w:val="000000"/>
                      <w:szCs w:val="21"/>
                      <w:lang w:val="pt-BR"/>
                    </w:rPr>
                    <w:t>离子色谱仪</w:t>
                  </w:r>
                </w:p>
              </w:tc>
              <w:tc>
                <w:tcPr>
                  <w:tcW w:w="1134" w:type="dxa"/>
                  <w:tcBorders>
                    <w:top w:val="single" w:color="auto" w:sz="4" w:space="0"/>
                  </w:tcBorders>
                  <w:vAlign w:val="center"/>
                </w:tcPr>
                <w:p>
                  <w:pPr>
                    <w:jc w:val="center"/>
                    <w:rPr>
                      <w:bCs/>
                      <w:color w:val="000000"/>
                      <w:szCs w:val="21"/>
                      <w:lang w:val="pt-BR"/>
                    </w:rPr>
                  </w:pPr>
                  <w:r>
                    <w:rPr>
                      <w:bCs/>
                      <w:color w:val="000000"/>
                      <w:szCs w:val="21"/>
                      <w:lang w:val="pt-BR"/>
                    </w:rPr>
                    <w:t>安徽皖仪</w:t>
                  </w:r>
                </w:p>
              </w:tc>
              <w:tc>
                <w:tcPr>
                  <w:tcW w:w="1236" w:type="dxa"/>
                  <w:tcBorders>
                    <w:top w:val="single" w:color="auto" w:sz="4" w:space="0"/>
                  </w:tcBorders>
                  <w:vAlign w:val="center"/>
                </w:tcPr>
                <w:p>
                  <w:pPr>
                    <w:jc w:val="center"/>
                    <w:rPr>
                      <w:bCs/>
                      <w:color w:val="000000"/>
                      <w:szCs w:val="21"/>
                      <w:lang w:val="pt-BR"/>
                    </w:rPr>
                  </w:pPr>
                  <w:r>
                    <w:rPr>
                      <w:bCs/>
                      <w:color w:val="000000"/>
                      <w:szCs w:val="21"/>
                      <w:lang w:val="pt-BR"/>
                    </w:rPr>
                    <w:t>IC6610</w:t>
                  </w:r>
                </w:p>
              </w:tc>
              <w:tc>
                <w:tcPr>
                  <w:tcW w:w="567" w:type="dxa"/>
                  <w:tcBorders>
                    <w:top w:val="single" w:color="auto" w:sz="4" w:space="0"/>
                  </w:tcBorders>
                  <w:vAlign w:val="center"/>
                </w:tcPr>
                <w:p>
                  <w:pPr>
                    <w:jc w:val="center"/>
                    <w:rPr>
                      <w:bCs/>
                      <w:color w:val="000000"/>
                      <w:szCs w:val="21"/>
                      <w:lang w:val="pt-BR"/>
                    </w:rPr>
                  </w:pPr>
                  <w:r>
                    <w:rPr>
                      <w:bCs/>
                      <w:color w:val="000000"/>
                      <w:szCs w:val="21"/>
                      <w:lang w:val="pt-BR"/>
                    </w:rPr>
                    <w:t>1</w:t>
                  </w:r>
                </w:p>
              </w:tc>
              <w:tc>
                <w:tcPr>
                  <w:tcW w:w="2025" w:type="dxa"/>
                  <w:tcBorders>
                    <w:top w:val="single" w:color="auto" w:sz="4" w:space="0"/>
                  </w:tcBorders>
                  <w:vAlign w:val="center"/>
                </w:tcPr>
                <w:p>
                  <w:pPr>
                    <w:jc w:val="center"/>
                    <w:rPr>
                      <w:bCs/>
                      <w:color w:val="000000"/>
                      <w:szCs w:val="21"/>
                      <w:lang w:val="pt-BR"/>
                    </w:rPr>
                  </w:pPr>
                  <w:r>
                    <w:rPr>
                      <w:bCs/>
                      <w:color w:val="000000"/>
                      <w:szCs w:val="21"/>
                      <w:lang w:val="pt-BR"/>
                    </w:rPr>
                    <w:t>离子分析</w:t>
                  </w:r>
                </w:p>
              </w:tc>
              <w:tc>
                <w:tcPr>
                  <w:tcW w:w="516" w:type="dxa"/>
                  <w:tcBorders>
                    <w:top w:val="single" w:color="auto" w:sz="4" w:space="0"/>
                  </w:tcBorders>
                  <w:vAlign w:val="center"/>
                </w:tcPr>
                <w:p>
                  <w:pPr>
                    <w:jc w:val="center"/>
                    <w:rPr>
                      <w:bCs/>
                      <w:color w:val="000000"/>
                      <w:szCs w:val="21"/>
                      <w:lang w:val="pt-BR"/>
                    </w:rPr>
                  </w:pPr>
                  <w:r>
                    <w:rPr>
                      <w:bCs/>
                      <w:color w:val="000000"/>
                      <w:szCs w:val="21"/>
                      <w:lang w:val="pt-BR"/>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tcBorders>
                  <w:vAlign w:val="center"/>
                </w:tcPr>
                <w:p>
                  <w:pPr>
                    <w:jc w:val="center"/>
                    <w:rPr>
                      <w:bCs/>
                      <w:color w:val="000000"/>
                      <w:szCs w:val="21"/>
                      <w:lang w:val="pt-BR"/>
                    </w:rPr>
                  </w:pPr>
                  <w:r>
                    <w:rPr>
                      <w:bCs/>
                      <w:color w:val="000000"/>
                      <w:szCs w:val="21"/>
                      <w:lang w:val="pt-BR"/>
                    </w:rPr>
                    <w:t>8</w:t>
                  </w:r>
                </w:p>
              </w:tc>
              <w:tc>
                <w:tcPr>
                  <w:tcW w:w="1984" w:type="dxa"/>
                  <w:tcBorders>
                    <w:top w:val="single" w:color="auto" w:sz="4" w:space="0"/>
                  </w:tcBorders>
                  <w:vAlign w:val="center"/>
                </w:tcPr>
                <w:p>
                  <w:pPr>
                    <w:jc w:val="center"/>
                    <w:rPr>
                      <w:bCs/>
                      <w:color w:val="000000"/>
                      <w:szCs w:val="21"/>
                      <w:lang w:val="pt-BR"/>
                    </w:rPr>
                  </w:pPr>
                  <w:r>
                    <w:rPr>
                      <w:bCs/>
                      <w:color w:val="000000"/>
                      <w:szCs w:val="21"/>
                      <w:lang w:val="pt-BR"/>
                    </w:rPr>
                    <w:t>凝胶色谱仪</w:t>
                  </w:r>
                </w:p>
              </w:tc>
              <w:tc>
                <w:tcPr>
                  <w:tcW w:w="1134" w:type="dxa"/>
                  <w:tcBorders>
                    <w:top w:val="single" w:color="auto" w:sz="4" w:space="0"/>
                  </w:tcBorders>
                  <w:vAlign w:val="center"/>
                </w:tcPr>
                <w:p>
                  <w:pPr>
                    <w:jc w:val="center"/>
                    <w:rPr>
                      <w:bCs/>
                      <w:color w:val="000000"/>
                      <w:szCs w:val="21"/>
                      <w:lang w:val="pt-BR"/>
                    </w:rPr>
                  </w:pPr>
                  <w:r>
                    <w:rPr>
                      <w:bCs/>
                      <w:color w:val="000000"/>
                      <w:szCs w:val="21"/>
                      <w:lang w:val="pt-BR"/>
                    </w:rPr>
                    <w:t>美国</w:t>
                  </w:r>
                </w:p>
              </w:tc>
              <w:tc>
                <w:tcPr>
                  <w:tcW w:w="1236" w:type="dxa"/>
                  <w:tcBorders>
                    <w:top w:val="single" w:color="auto" w:sz="4" w:space="0"/>
                  </w:tcBorders>
                  <w:vAlign w:val="center"/>
                </w:tcPr>
                <w:p>
                  <w:pPr>
                    <w:jc w:val="center"/>
                    <w:rPr>
                      <w:bCs/>
                      <w:color w:val="000000"/>
                      <w:szCs w:val="21"/>
                      <w:lang w:val="pt-BR"/>
                    </w:rPr>
                  </w:pPr>
                  <w:r>
                    <w:rPr>
                      <w:bCs/>
                      <w:color w:val="000000"/>
                      <w:szCs w:val="21"/>
                      <w:lang w:val="pt-BR"/>
                    </w:rPr>
                    <w:t>PrepLinc2GPC&amp;AccuVap</w:t>
                  </w:r>
                </w:p>
              </w:tc>
              <w:tc>
                <w:tcPr>
                  <w:tcW w:w="567" w:type="dxa"/>
                  <w:tcBorders>
                    <w:top w:val="single" w:color="auto" w:sz="4" w:space="0"/>
                  </w:tcBorders>
                  <w:vAlign w:val="center"/>
                </w:tcPr>
                <w:p>
                  <w:pPr>
                    <w:jc w:val="center"/>
                    <w:rPr>
                      <w:bCs/>
                      <w:color w:val="000000"/>
                      <w:szCs w:val="21"/>
                      <w:lang w:val="pt-BR"/>
                    </w:rPr>
                  </w:pPr>
                  <w:r>
                    <w:rPr>
                      <w:bCs/>
                      <w:color w:val="000000"/>
                      <w:szCs w:val="21"/>
                      <w:lang w:val="pt-BR"/>
                    </w:rPr>
                    <w:t>1</w:t>
                  </w:r>
                </w:p>
              </w:tc>
              <w:tc>
                <w:tcPr>
                  <w:tcW w:w="2025" w:type="dxa"/>
                  <w:tcBorders>
                    <w:top w:val="single" w:color="auto" w:sz="4" w:space="0"/>
                  </w:tcBorders>
                  <w:vAlign w:val="center"/>
                </w:tcPr>
                <w:p>
                  <w:pPr>
                    <w:rPr>
                      <w:bCs/>
                      <w:color w:val="000000"/>
                      <w:szCs w:val="21"/>
                      <w:lang w:val="pt-BR"/>
                    </w:rPr>
                  </w:pPr>
                  <w:r>
                    <w:rPr>
                      <w:bCs/>
                      <w:color w:val="000000"/>
                      <w:szCs w:val="21"/>
                      <w:lang w:val="pt-BR"/>
                    </w:rPr>
                    <w:t>浓度、质量型检测</w:t>
                  </w:r>
                </w:p>
              </w:tc>
              <w:tc>
                <w:tcPr>
                  <w:tcW w:w="516" w:type="dxa"/>
                  <w:tcBorders>
                    <w:top w:val="single" w:color="auto" w:sz="4" w:space="0"/>
                  </w:tcBorders>
                  <w:vAlign w:val="center"/>
                </w:tcPr>
                <w:p>
                  <w:pPr>
                    <w:jc w:val="center"/>
                    <w:rPr>
                      <w:bCs/>
                      <w:color w:val="000000"/>
                      <w:szCs w:val="21"/>
                      <w:lang w:val="pt-BR"/>
                    </w:rPr>
                  </w:pPr>
                  <w:r>
                    <w:rPr>
                      <w:bCs/>
                      <w:color w:val="000000"/>
                      <w:szCs w:val="21"/>
                      <w:lang w:val="pt-BR"/>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tcBorders>
                  <w:vAlign w:val="center"/>
                </w:tcPr>
                <w:p>
                  <w:pPr>
                    <w:jc w:val="center"/>
                    <w:rPr>
                      <w:bCs/>
                      <w:color w:val="000000"/>
                      <w:szCs w:val="21"/>
                      <w:lang w:val="pt-BR"/>
                    </w:rPr>
                  </w:pPr>
                  <w:r>
                    <w:rPr>
                      <w:bCs/>
                      <w:color w:val="000000"/>
                      <w:szCs w:val="21"/>
                      <w:lang w:val="pt-BR"/>
                    </w:rPr>
                    <w:t>9</w:t>
                  </w:r>
                </w:p>
              </w:tc>
              <w:tc>
                <w:tcPr>
                  <w:tcW w:w="1984" w:type="dxa"/>
                  <w:tcBorders>
                    <w:top w:val="single" w:color="auto" w:sz="4" w:space="0"/>
                  </w:tcBorders>
                  <w:vAlign w:val="center"/>
                </w:tcPr>
                <w:p>
                  <w:pPr>
                    <w:jc w:val="center"/>
                    <w:rPr>
                      <w:bCs/>
                      <w:color w:val="000000"/>
                      <w:szCs w:val="21"/>
                      <w:lang w:val="pt-BR"/>
                    </w:rPr>
                  </w:pPr>
                  <w:r>
                    <w:rPr>
                      <w:bCs/>
                      <w:color w:val="000000"/>
                      <w:szCs w:val="21"/>
                      <w:lang w:val="pt-BR"/>
                    </w:rPr>
                    <w:t>气相色谱-四级杆质谱联用仪（GC-MS）</w:t>
                  </w:r>
                </w:p>
              </w:tc>
              <w:tc>
                <w:tcPr>
                  <w:tcW w:w="1134" w:type="dxa"/>
                  <w:tcBorders>
                    <w:top w:val="single" w:color="auto" w:sz="4" w:space="0"/>
                  </w:tcBorders>
                  <w:vAlign w:val="center"/>
                </w:tcPr>
                <w:p>
                  <w:pPr>
                    <w:jc w:val="center"/>
                    <w:rPr>
                      <w:bCs/>
                      <w:color w:val="000000"/>
                      <w:szCs w:val="21"/>
                      <w:lang w:val="pt-BR"/>
                    </w:rPr>
                  </w:pPr>
                  <w:r>
                    <w:rPr>
                      <w:bCs/>
                      <w:color w:val="000000"/>
                      <w:szCs w:val="21"/>
                      <w:lang w:val="pt-BR"/>
                    </w:rPr>
                    <w:t>安捷伦</w:t>
                  </w:r>
                </w:p>
              </w:tc>
              <w:tc>
                <w:tcPr>
                  <w:tcW w:w="1236" w:type="dxa"/>
                  <w:tcBorders>
                    <w:top w:val="single" w:color="auto" w:sz="4" w:space="0"/>
                  </w:tcBorders>
                  <w:vAlign w:val="center"/>
                </w:tcPr>
                <w:p>
                  <w:pPr>
                    <w:jc w:val="center"/>
                    <w:rPr>
                      <w:bCs/>
                      <w:color w:val="000000"/>
                      <w:szCs w:val="21"/>
                      <w:lang w:val="pt-BR"/>
                    </w:rPr>
                  </w:pPr>
                  <w:r>
                    <w:rPr>
                      <w:bCs/>
                      <w:color w:val="000000"/>
                      <w:szCs w:val="21"/>
                      <w:lang w:val="pt-BR"/>
                    </w:rPr>
                    <w:t>8890/5977B</w:t>
                  </w:r>
                </w:p>
              </w:tc>
              <w:tc>
                <w:tcPr>
                  <w:tcW w:w="567" w:type="dxa"/>
                  <w:tcBorders>
                    <w:top w:val="single" w:color="auto" w:sz="4" w:space="0"/>
                  </w:tcBorders>
                  <w:vAlign w:val="center"/>
                </w:tcPr>
                <w:p>
                  <w:pPr>
                    <w:jc w:val="center"/>
                    <w:rPr>
                      <w:bCs/>
                      <w:color w:val="000000"/>
                      <w:szCs w:val="21"/>
                      <w:lang w:val="pt-BR"/>
                    </w:rPr>
                  </w:pPr>
                  <w:r>
                    <w:rPr>
                      <w:bCs/>
                      <w:color w:val="000000"/>
                      <w:szCs w:val="21"/>
                      <w:lang w:val="pt-BR"/>
                    </w:rPr>
                    <w:t>1</w:t>
                  </w:r>
                </w:p>
              </w:tc>
              <w:tc>
                <w:tcPr>
                  <w:tcW w:w="2025" w:type="dxa"/>
                  <w:tcBorders>
                    <w:top w:val="single" w:color="auto" w:sz="4" w:space="0"/>
                  </w:tcBorders>
                  <w:vAlign w:val="center"/>
                </w:tcPr>
                <w:p>
                  <w:pPr>
                    <w:rPr>
                      <w:bCs/>
                      <w:color w:val="000000"/>
                      <w:szCs w:val="21"/>
                      <w:lang w:val="pt-BR"/>
                    </w:rPr>
                  </w:pPr>
                  <w:r>
                    <w:rPr>
                      <w:bCs/>
                      <w:color w:val="000000"/>
                      <w:szCs w:val="21"/>
                      <w:lang w:val="pt-BR"/>
                    </w:rPr>
                    <w:t>浓度、质量型检测</w:t>
                  </w:r>
                </w:p>
              </w:tc>
              <w:tc>
                <w:tcPr>
                  <w:tcW w:w="516" w:type="dxa"/>
                  <w:tcBorders>
                    <w:top w:val="single" w:color="auto" w:sz="4" w:space="0"/>
                  </w:tcBorders>
                  <w:vAlign w:val="center"/>
                </w:tcPr>
                <w:p>
                  <w:pPr>
                    <w:jc w:val="center"/>
                    <w:rPr>
                      <w:bCs/>
                      <w:color w:val="000000"/>
                      <w:szCs w:val="21"/>
                      <w:lang w:val="pt-BR"/>
                    </w:rPr>
                  </w:pPr>
                  <w:r>
                    <w:rPr>
                      <w:bCs/>
                      <w:color w:val="000000"/>
                      <w:szCs w:val="21"/>
                      <w:lang w:val="pt-BR"/>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tcBorders>
                  <w:vAlign w:val="center"/>
                </w:tcPr>
                <w:p>
                  <w:pPr>
                    <w:jc w:val="center"/>
                    <w:rPr>
                      <w:bCs/>
                      <w:color w:val="000000"/>
                      <w:szCs w:val="21"/>
                      <w:lang w:val="pt-BR"/>
                    </w:rPr>
                  </w:pPr>
                  <w:r>
                    <w:rPr>
                      <w:bCs/>
                      <w:color w:val="000000"/>
                      <w:szCs w:val="21"/>
                      <w:lang w:val="pt-BR"/>
                    </w:rPr>
                    <w:t>10</w:t>
                  </w:r>
                </w:p>
              </w:tc>
              <w:tc>
                <w:tcPr>
                  <w:tcW w:w="1984" w:type="dxa"/>
                  <w:tcBorders>
                    <w:top w:val="single" w:color="auto" w:sz="4" w:space="0"/>
                  </w:tcBorders>
                  <w:vAlign w:val="center"/>
                </w:tcPr>
                <w:p>
                  <w:pPr>
                    <w:jc w:val="center"/>
                    <w:rPr>
                      <w:bCs/>
                      <w:color w:val="000000"/>
                      <w:szCs w:val="21"/>
                      <w:lang w:val="pt-BR"/>
                    </w:rPr>
                  </w:pPr>
                  <w:r>
                    <w:rPr>
                      <w:bCs/>
                      <w:color w:val="000000"/>
                      <w:szCs w:val="21"/>
                      <w:lang w:val="pt-BR"/>
                    </w:rPr>
                    <w:t>全自动型GPC凝胶净化系统</w:t>
                  </w:r>
                </w:p>
              </w:tc>
              <w:tc>
                <w:tcPr>
                  <w:tcW w:w="1134" w:type="dxa"/>
                  <w:tcBorders>
                    <w:top w:val="single" w:color="auto" w:sz="4" w:space="0"/>
                  </w:tcBorders>
                  <w:vAlign w:val="center"/>
                </w:tcPr>
                <w:p>
                  <w:pPr>
                    <w:jc w:val="center"/>
                    <w:rPr>
                      <w:bCs/>
                      <w:color w:val="000000"/>
                      <w:szCs w:val="21"/>
                      <w:lang w:val="pt-BR"/>
                    </w:rPr>
                  </w:pPr>
                  <w:r>
                    <w:rPr>
                      <w:bCs/>
                      <w:color w:val="000000"/>
                      <w:szCs w:val="21"/>
                      <w:lang w:val="pt-BR"/>
                    </w:rPr>
                    <w:t>上海科哲</w:t>
                  </w:r>
                </w:p>
              </w:tc>
              <w:tc>
                <w:tcPr>
                  <w:tcW w:w="1236" w:type="dxa"/>
                  <w:tcBorders>
                    <w:top w:val="single" w:color="auto" w:sz="4" w:space="0"/>
                  </w:tcBorders>
                  <w:vAlign w:val="center"/>
                </w:tcPr>
                <w:p>
                  <w:pPr>
                    <w:jc w:val="center"/>
                    <w:rPr>
                      <w:bCs/>
                      <w:color w:val="000000"/>
                      <w:szCs w:val="21"/>
                      <w:lang w:val="pt-BR"/>
                    </w:rPr>
                  </w:pPr>
                  <w:r>
                    <w:rPr>
                      <w:bCs/>
                      <w:color w:val="000000"/>
                      <w:szCs w:val="21"/>
                      <w:lang w:val="pt-BR"/>
                    </w:rPr>
                    <w:t>GelMaster-3000</w:t>
                  </w:r>
                </w:p>
              </w:tc>
              <w:tc>
                <w:tcPr>
                  <w:tcW w:w="567" w:type="dxa"/>
                  <w:tcBorders>
                    <w:top w:val="single" w:color="auto" w:sz="4" w:space="0"/>
                  </w:tcBorders>
                  <w:vAlign w:val="center"/>
                </w:tcPr>
                <w:p>
                  <w:pPr>
                    <w:jc w:val="center"/>
                    <w:rPr>
                      <w:bCs/>
                      <w:color w:val="000000"/>
                      <w:szCs w:val="21"/>
                      <w:lang w:val="pt-BR"/>
                    </w:rPr>
                  </w:pPr>
                  <w:r>
                    <w:rPr>
                      <w:bCs/>
                      <w:color w:val="000000"/>
                      <w:szCs w:val="21"/>
                      <w:lang w:val="pt-BR"/>
                    </w:rPr>
                    <w:t>1</w:t>
                  </w:r>
                </w:p>
              </w:tc>
              <w:tc>
                <w:tcPr>
                  <w:tcW w:w="2025" w:type="dxa"/>
                  <w:tcBorders>
                    <w:top w:val="single" w:color="auto" w:sz="4" w:space="0"/>
                  </w:tcBorders>
                  <w:vAlign w:val="center"/>
                </w:tcPr>
                <w:p>
                  <w:pPr>
                    <w:rPr>
                      <w:bCs/>
                      <w:color w:val="000000"/>
                      <w:szCs w:val="21"/>
                      <w:lang w:val="pt-BR"/>
                    </w:rPr>
                  </w:pPr>
                  <w:r>
                    <w:rPr>
                      <w:bCs/>
                      <w:color w:val="000000"/>
                      <w:szCs w:val="21"/>
                      <w:lang w:val="pt-BR"/>
                    </w:rPr>
                    <w:t>样品前处理，净化及浓缩，定容及溶剂转换</w:t>
                  </w:r>
                </w:p>
              </w:tc>
              <w:tc>
                <w:tcPr>
                  <w:tcW w:w="516" w:type="dxa"/>
                  <w:tcBorders>
                    <w:top w:val="single" w:color="auto" w:sz="4" w:space="0"/>
                  </w:tcBorders>
                  <w:vAlign w:val="center"/>
                </w:tcPr>
                <w:p>
                  <w:pPr>
                    <w:jc w:val="center"/>
                    <w:rPr>
                      <w:bCs/>
                      <w:color w:val="000000"/>
                      <w:szCs w:val="21"/>
                      <w:lang w:val="pt-BR"/>
                    </w:rPr>
                  </w:pPr>
                  <w:r>
                    <w:rPr>
                      <w:bCs/>
                      <w:color w:val="000000"/>
                      <w:szCs w:val="21"/>
                      <w:lang w:val="pt-BR"/>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tcBorders>
                  <w:vAlign w:val="center"/>
                </w:tcPr>
                <w:p>
                  <w:pPr>
                    <w:jc w:val="center"/>
                    <w:rPr>
                      <w:bCs/>
                      <w:color w:val="000000"/>
                      <w:szCs w:val="21"/>
                      <w:lang w:val="pt-BR"/>
                    </w:rPr>
                  </w:pPr>
                  <w:r>
                    <w:rPr>
                      <w:bCs/>
                      <w:color w:val="000000"/>
                      <w:szCs w:val="21"/>
                      <w:lang w:val="pt-BR"/>
                    </w:rPr>
                    <w:t>11</w:t>
                  </w:r>
                </w:p>
              </w:tc>
              <w:tc>
                <w:tcPr>
                  <w:tcW w:w="1984" w:type="dxa"/>
                  <w:tcBorders>
                    <w:top w:val="single" w:color="auto" w:sz="4" w:space="0"/>
                  </w:tcBorders>
                  <w:vAlign w:val="center"/>
                </w:tcPr>
                <w:p>
                  <w:pPr>
                    <w:jc w:val="center"/>
                    <w:rPr>
                      <w:bCs/>
                      <w:color w:val="000000"/>
                      <w:szCs w:val="21"/>
                      <w:lang w:val="pt-BR"/>
                    </w:rPr>
                  </w:pPr>
                  <w:r>
                    <w:rPr>
                      <w:bCs/>
                      <w:color w:val="000000"/>
                      <w:szCs w:val="21"/>
                      <w:lang w:val="pt-BR"/>
                    </w:rPr>
                    <w:t>双波长薄层扫描仪</w:t>
                  </w:r>
                </w:p>
              </w:tc>
              <w:tc>
                <w:tcPr>
                  <w:tcW w:w="1134" w:type="dxa"/>
                  <w:tcBorders>
                    <w:top w:val="single" w:color="auto" w:sz="4" w:space="0"/>
                  </w:tcBorders>
                  <w:vAlign w:val="center"/>
                </w:tcPr>
                <w:p>
                  <w:pPr>
                    <w:jc w:val="center"/>
                    <w:rPr>
                      <w:bCs/>
                      <w:color w:val="000000"/>
                      <w:szCs w:val="21"/>
                      <w:lang w:val="pt-BR"/>
                    </w:rPr>
                  </w:pPr>
                  <w:r>
                    <w:rPr>
                      <w:bCs/>
                      <w:color w:val="000000"/>
                      <w:szCs w:val="21"/>
                      <w:lang w:val="pt-BR"/>
                    </w:rPr>
                    <w:t>上海科哲</w:t>
                  </w:r>
                </w:p>
              </w:tc>
              <w:tc>
                <w:tcPr>
                  <w:tcW w:w="1236" w:type="dxa"/>
                  <w:tcBorders>
                    <w:top w:val="single" w:color="auto" w:sz="4" w:space="0"/>
                  </w:tcBorders>
                  <w:vAlign w:val="center"/>
                </w:tcPr>
                <w:p>
                  <w:pPr>
                    <w:jc w:val="center"/>
                    <w:rPr>
                      <w:bCs/>
                      <w:color w:val="000000"/>
                      <w:szCs w:val="21"/>
                      <w:lang w:val="pt-BR"/>
                    </w:rPr>
                  </w:pPr>
                  <w:r>
                    <w:rPr>
                      <w:bCs/>
                      <w:color w:val="000000"/>
                      <w:szCs w:val="21"/>
                      <w:lang w:val="pt-BR"/>
                    </w:rPr>
                    <w:t>KH-2100</w:t>
                  </w:r>
                </w:p>
              </w:tc>
              <w:tc>
                <w:tcPr>
                  <w:tcW w:w="567" w:type="dxa"/>
                  <w:tcBorders>
                    <w:top w:val="single" w:color="auto" w:sz="4" w:space="0"/>
                  </w:tcBorders>
                  <w:vAlign w:val="center"/>
                </w:tcPr>
                <w:p>
                  <w:pPr>
                    <w:jc w:val="center"/>
                    <w:rPr>
                      <w:bCs/>
                      <w:color w:val="000000"/>
                      <w:szCs w:val="21"/>
                      <w:lang w:val="pt-BR"/>
                    </w:rPr>
                  </w:pPr>
                  <w:r>
                    <w:rPr>
                      <w:bCs/>
                      <w:color w:val="000000"/>
                      <w:szCs w:val="21"/>
                      <w:lang w:val="pt-BR"/>
                    </w:rPr>
                    <w:t>1</w:t>
                  </w:r>
                </w:p>
              </w:tc>
              <w:tc>
                <w:tcPr>
                  <w:tcW w:w="2025" w:type="dxa"/>
                  <w:tcBorders>
                    <w:top w:val="single" w:color="auto" w:sz="4" w:space="0"/>
                  </w:tcBorders>
                  <w:vAlign w:val="center"/>
                </w:tcPr>
                <w:p>
                  <w:pPr>
                    <w:rPr>
                      <w:bCs/>
                      <w:color w:val="000000"/>
                      <w:szCs w:val="21"/>
                      <w:lang w:val="pt-BR"/>
                    </w:rPr>
                  </w:pPr>
                  <w:r>
                    <w:rPr>
                      <w:bCs/>
                      <w:color w:val="000000"/>
                      <w:szCs w:val="21"/>
                      <w:lang w:val="pt-BR"/>
                    </w:rPr>
                    <w:t>不同组分和固定性/流动相的作用力不同而实现了分离</w:t>
                  </w:r>
                </w:p>
              </w:tc>
              <w:tc>
                <w:tcPr>
                  <w:tcW w:w="516" w:type="dxa"/>
                  <w:tcBorders>
                    <w:top w:val="single" w:color="auto" w:sz="4" w:space="0"/>
                  </w:tcBorders>
                  <w:vAlign w:val="center"/>
                </w:tcPr>
                <w:p>
                  <w:pPr>
                    <w:jc w:val="center"/>
                    <w:rPr>
                      <w:bCs/>
                      <w:color w:val="000000"/>
                      <w:szCs w:val="21"/>
                      <w:lang w:val="pt-BR"/>
                    </w:rPr>
                  </w:pPr>
                  <w:r>
                    <w:rPr>
                      <w:bCs/>
                      <w:color w:val="000000"/>
                      <w:szCs w:val="21"/>
                      <w:lang w:val="pt-BR"/>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tcBorders>
                  <w:vAlign w:val="center"/>
                </w:tcPr>
                <w:p>
                  <w:pPr>
                    <w:jc w:val="center"/>
                    <w:rPr>
                      <w:bCs/>
                      <w:color w:val="000000"/>
                      <w:szCs w:val="21"/>
                      <w:lang w:val="pt-BR"/>
                    </w:rPr>
                  </w:pPr>
                  <w:r>
                    <w:rPr>
                      <w:bCs/>
                      <w:color w:val="000000"/>
                      <w:szCs w:val="21"/>
                      <w:lang w:val="pt-BR"/>
                    </w:rPr>
                    <w:t>12</w:t>
                  </w:r>
                </w:p>
              </w:tc>
              <w:tc>
                <w:tcPr>
                  <w:tcW w:w="1984" w:type="dxa"/>
                  <w:tcBorders>
                    <w:top w:val="single" w:color="auto" w:sz="4" w:space="0"/>
                  </w:tcBorders>
                  <w:vAlign w:val="center"/>
                </w:tcPr>
                <w:p>
                  <w:pPr>
                    <w:jc w:val="center"/>
                    <w:rPr>
                      <w:bCs/>
                      <w:color w:val="000000"/>
                      <w:szCs w:val="21"/>
                      <w:lang w:val="pt-BR"/>
                    </w:rPr>
                  </w:pPr>
                  <w:r>
                    <w:rPr>
                      <w:bCs/>
                      <w:color w:val="000000"/>
                      <w:szCs w:val="21"/>
                      <w:lang w:val="pt-BR"/>
                    </w:rPr>
                    <w:t>酶标仪（有振荡功能）</w:t>
                  </w:r>
                </w:p>
              </w:tc>
              <w:tc>
                <w:tcPr>
                  <w:tcW w:w="1134" w:type="dxa"/>
                  <w:tcBorders>
                    <w:top w:val="single" w:color="auto" w:sz="4" w:space="0"/>
                  </w:tcBorders>
                  <w:vAlign w:val="center"/>
                </w:tcPr>
                <w:p>
                  <w:pPr>
                    <w:jc w:val="center"/>
                    <w:rPr>
                      <w:bCs/>
                      <w:color w:val="000000"/>
                      <w:szCs w:val="21"/>
                      <w:lang w:val="pt-BR"/>
                    </w:rPr>
                  </w:pPr>
                  <w:r>
                    <w:rPr>
                      <w:bCs/>
                      <w:color w:val="000000"/>
                      <w:szCs w:val="21"/>
                      <w:lang w:val="pt-BR"/>
                    </w:rPr>
                    <w:t>北京凯奥</w:t>
                  </w:r>
                </w:p>
              </w:tc>
              <w:tc>
                <w:tcPr>
                  <w:tcW w:w="1236" w:type="dxa"/>
                  <w:tcBorders>
                    <w:top w:val="single" w:color="auto" w:sz="4" w:space="0"/>
                  </w:tcBorders>
                  <w:vAlign w:val="center"/>
                </w:tcPr>
                <w:p>
                  <w:pPr>
                    <w:jc w:val="center"/>
                    <w:rPr>
                      <w:bCs/>
                      <w:color w:val="000000"/>
                      <w:szCs w:val="21"/>
                      <w:lang w:val="pt-BR"/>
                    </w:rPr>
                  </w:pPr>
                  <w:r>
                    <w:rPr>
                      <w:bCs/>
                      <w:color w:val="000000"/>
                      <w:szCs w:val="21"/>
                      <w:lang w:val="pt-BR"/>
                    </w:rPr>
                    <w:t>K6600-A</w:t>
                  </w:r>
                </w:p>
              </w:tc>
              <w:tc>
                <w:tcPr>
                  <w:tcW w:w="567" w:type="dxa"/>
                  <w:tcBorders>
                    <w:top w:val="single" w:color="auto" w:sz="4" w:space="0"/>
                  </w:tcBorders>
                  <w:vAlign w:val="center"/>
                </w:tcPr>
                <w:p>
                  <w:pPr>
                    <w:jc w:val="center"/>
                    <w:rPr>
                      <w:bCs/>
                      <w:color w:val="000000"/>
                      <w:szCs w:val="21"/>
                      <w:lang w:val="pt-BR"/>
                    </w:rPr>
                  </w:pPr>
                  <w:r>
                    <w:rPr>
                      <w:bCs/>
                      <w:color w:val="000000"/>
                      <w:szCs w:val="21"/>
                      <w:lang w:val="pt-BR"/>
                    </w:rPr>
                    <w:t>1</w:t>
                  </w:r>
                </w:p>
              </w:tc>
              <w:tc>
                <w:tcPr>
                  <w:tcW w:w="2025" w:type="dxa"/>
                  <w:tcBorders>
                    <w:top w:val="single" w:color="auto" w:sz="4" w:space="0"/>
                  </w:tcBorders>
                  <w:vAlign w:val="center"/>
                </w:tcPr>
                <w:p>
                  <w:pPr>
                    <w:rPr>
                      <w:bCs/>
                      <w:color w:val="000000"/>
                      <w:szCs w:val="21"/>
                      <w:lang w:val="pt-BR"/>
                    </w:rPr>
                  </w:pPr>
                  <w:r>
                    <w:rPr>
                      <w:bCs/>
                      <w:color w:val="000000"/>
                      <w:szCs w:val="21"/>
                      <w:lang w:val="pt-BR"/>
                    </w:rPr>
                    <w:t>光吸收、荧光、化学发光等</w:t>
                  </w:r>
                </w:p>
              </w:tc>
              <w:tc>
                <w:tcPr>
                  <w:tcW w:w="516" w:type="dxa"/>
                  <w:tcBorders>
                    <w:top w:val="single" w:color="auto" w:sz="4" w:space="0"/>
                  </w:tcBorders>
                  <w:vAlign w:val="center"/>
                </w:tcPr>
                <w:p>
                  <w:pPr>
                    <w:jc w:val="center"/>
                    <w:rPr>
                      <w:bCs/>
                      <w:color w:val="000000"/>
                      <w:szCs w:val="21"/>
                      <w:lang w:val="pt-BR"/>
                    </w:rPr>
                  </w:pPr>
                  <w:r>
                    <w:rPr>
                      <w:bCs/>
                      <w:color w:val="000000"/>
                      <w:szCs w:val="21"/>
                      <w:lang w:val="pt-BR"/>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tcBorders>
                  <w:vAlign w:val="center"/>
                </w:tcPr>
                <w:p>
                  <w:pPr>
                    <w:jc w:val="center"/>
                    <w:rPr>
                      <w:bCs/>
                      <w:color w:val="000000"/>
                      <w:szCs w:val="21"/>
                      <w:lang w:val="pt-BR"/>
                    </w:rPr>
                  </w:pPr>
                  <w:r>
                    <w:rPr>
                      <w:bCs/>
                      <w:color w:val="000000"/>
                      <w:szCs w:val="21"/>
                      <w:lang w:val="pt-BR"/>
                    </w:rPr>
                    <w:t>13</w:t>
                  </w:r>
                </w:p>
              </w:tc>
              <w:tc>
                <w:tcPr>
                  <w:tcW w:w="1984" w:type="dxa"/>
                  <w:tcBorders>
                    <w:top w:val="single" w:color="auto" w:sz="4" w:space="0"/>
                  </w:tcBorders>
                  <w:vAlign w:val="center"/>
                </w:tcPr>
                <w:p>
                  <w:pPr>
                    <w:jc w:val="center"/>
                    <w:rPr>
                      <w:bCs/>
                      <w:color w:val="000000"/>
                      <w:szCs w:val="21"/>
                      <w:lang w:val="pt-BR"/>
                    </w:rPr>
                  </w:pPr>
                  <w:r>
                    <w:rPr>
                      <w:bCs/>
                      <w:color w:val="000000"/>
                      <w:szCs w:val="21"/>
                      <w:lang w:val="pt-BR"/>
                    </w:rPr>
                    <w:t>酶标板振荡器</w:t>
                  </w:r>
                </w:p>
              </w:tc>
              <w:tc>
                <w:tcPr>
                  <w:tcW w:w="1134" w:type="dxa"/>
                  <w:tcBorders>
                    <w:top w:val="single" w:color="auto" w:sz="4" w:space="0"/>
                  </w:tcBorders>
                  <w:vAlign w:val="center"/>
                </w:tcPr>
                <w:p>
                  <w:pPr>
                    <w:jc w:val="center"/>
                    <w:rPr>
                      <w:bCs/>
                      <w:color w:val="000000"/>
                      <w:szCs w:val="21"/>
                      <w:lang w:val="pt-BR"/>
                    </w:rPr>
                  </w:pPr>
                  <w:r>
                    <w:rPr>
                      <w:bCs/>
                      <w:color w:val="000000"/>
                      <w:szCs w:val="21"/>
                      <w:lang w:val="pt-BR"/>
                    </w:rPr>
                    <w:t>杭州米欧</w:t>
                  </w:r>
                </w:p>
              </w:tc>
              <w:tc>
                <w:tcPr>
                  <w:tcW w:w="1236" w:type="dxa"/>
                  <w:tcBorders>
                    <w:top w:val="single" w:color="auto" w:sz="4" w:space="0"/>
                  </w:tcBorders>
                  <w:vAlign w:val="center"/>
                </w:tcPr>
                <w:p>
                  <w:pPr>
                    <w:jc w:val="center"/>
                    <w:rPr>
                      <w:bCs/>
                      <w:color w:val="000000"/>
                      <w:szCs w:val="21"/>
                      <w:lang w:val="pt-BR"/>
                    </w:rPr>
                  </w:pPr>
                  <w:r>
                    <w:rPr>
                      <w:bCs/>
                      <w:color w:val="000000"/>
                      <w:szCs w:val="21"/>
                      <w:lang w:val="pt-BR"/>
                    </w:rPr>
                    <w:t>MIX-1500</w:t>
                  </w:r>
                </w:p>
              </w:tc>
              <w:tc>
                <w:tcPr>
                  <w:tcW w:w="567" w:type="dxa"/>
                  <w:tcBorders>
                    <w:top w:val="single" w:color="auto" w:sz="4" w:space="0"/>
                  </w:tcBorders>
                  <w:vAlign w:val="center"/>
                </w:tcPr>
                <w:p>
                  <w:pPr>
                    <w:jc w:val="center"/>
                    <w:rPr>
                      <w:bCs/>
                      <w:color w:val="000000"/>
                      <w:szCs w:val="21"/>
                      <w:lang w:val="pt-BR"/>
                    </w:rPr>
                  </w:pPr>
                  <w:r>
                    <w:rPr>
                      <w:bCs/>
                      <w:color w:val="000000"/>
                      <w:szCs w:val="21"/>
                      <w:lang w:val="pt-BR"/>
                    </w:rPr>
                    <w:t>1</w:t>
                  </w:r>
                </w:p>
              </w:tc>
              <w:tc>
                <w:tcPr>
                  <w:tcW w:w="2025" w:type="dxa"/>
                  <w:tcBorders>
                    <w:top w:val="single" w:color="auto" w:sz="4" w:space="0"/>
                  </w:tcBorders>
                  <w:vAlign w:val="center"/>
                </w:tcPr>
                <w:p>
                  <w:pPr>
                    <w:rPr>
                      <w:bCs/>
                      <w:color w:val="000000"/>
                      <w:szCs w:val="21"/>
                      <w:lang w:val="pt-BR"/>
                    </w:rPr>
                  </w:pPr>
                  <w:r>
                    <w:rPr>
                      <w:bCs/>
                      <w:color w:val="000000"/>
                      <w:szCs w:val="21"/>
                      <w:lang w:val="pt-BR"/>
                    </w:rPr>
                    <w:t>基因组前期处理，溶解的测试前处理，萃取前处理</w:t>
                  </w:r>
                </w:p>
              </w:tc>
              <w:tc>
                <w:tcPr>
                  <w:tcW w:w="516" w:type="dxa"/>
                  <w:tcBorders>
                    <w:top w:val="single" w:color="auto" w:sz="4" w:space="0"/>
                  </w:tcBorders>
                  <w:vAlign w:val="center"/>
                </w:tcPr>
                <w:p>
                  <w:pPr>
                    <w:jc w:val="center"/>
                    <w:rPr>
                      <w:bCs/>
                      <w:color w:val="000000"/>
                      <w:szCs w:val="21"/>
                      <w:lang w:val="pt-BR"/>
                    </w:rPr>
                  </w:pPr>
                  <w:r>
                    <w:rPr>
                      <w:bCs/>
                      <w:color w:val="000000"/>
                      <w:szCs w:val="21"/>
                      <w:lang w:val="pt-BR"/>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tcBorders>
                  <w:vAlign w:val="center"/>
                </w:tcPr>
                <w:p>
                  <w:pPr>
                    <w:jc w:val="center"/>
                    <w:rPr>
                      <w:color w:val="000000"/>
                      <w:kern w:val="0"/>
                      <w:szCs w:val="21"/>
                    </w:rPr>
                  </w:pPr>
                  <w:r>
                    <w:rPr>
                      <w:color w:val="000000"/>
                      <w:kern w:val="0"/>
                      <w:szCs w:val="21"/>
                    </w:rPr>
                    <w:t>14</w:t>
                  </w:r>
                </w:p>
              </w:tc>
              <w:tc>
                <w:tcPr>
                  <w:tcW w:w="1984" w:type="dxa"/>
                  <w:tcBorders>
                    <w:top w:val="single" w:color="auto" w:sz="4" w:space="0"/>
                  </w:tcBorders>
                  <w:vAlign w:val="center"/>
                </w:tcPr>
                <w:p>
                  <w:pPr>
                    <w:jc w:val="center"/>
                    <w:rPr>
                      <w:bCs/>
                      <w:color w:val="000000"/>
                      <w:szCs w:val="21"/>
                      <w:lang w:val="pt-BR"/>
                    </w:rPr>
                  </w:pPr>
                  <w:r>
                    <w:rPr>
                      <w:bCs/>
                      <w:color w:val="000000"/>
                      <w:szCs w:val="21"/>
                      <w:lang w:val="pt-BR"/>
                    </w:rPr>
                    <w:t>荧光分光光度计</w:t>
                  </w:r>
                </w:p>
              </w:tc>
              <w:tc>
                <w:tcPr>
                  <w:tcW w:w="1134" w:type="dxa"/>
                  <w:tcBorders>
                    <w:top w:val="single" w:color="auto" w:sz="4" w:space="0"/>
                  </w:tcBorders>
                  <w:vAlign w:val="center"/>
                </w:tcPr>
                <w:p>
                  <w:pPr>
                    <w:jc w:val="center"/>
                    <w:rPr>
                      <w:bCs/>
                      <w:color w:val="000000"/>
                      <w:szCs w:val="21"/>
                      <w:lang w:val="pt-BR"/>
                    </w:rPr>
                  </w:pPr>
                  <w:r>
                    <w:rPr>
                      <w:bCs/>
                      <w:color w:val="000000"/>
                      <w:szCs w:val="21"/>
                      <w:lang w:val="pt-BR"/>
                    </w:rPr>
                    <w:t>天津港东</w:t>
                  </w:r>
                </w:p>
              </w:tc>
              <w:tc>
                <w:tcPr>
                  <w:tcW w:w="1236" w:type="dxa"/>
                  <w:tcBorders>
                    <w:top w:val="single" w:color="auto" w:sz="4" w:space="0"/>
                  </w:tcBorders>
                  <w:vAlign w:val="center"/>
                </w:tcPr>
                <w:p>
                  <w:pPr>
                    <w:jc w:val="center"/>
                    <w:rPr>
                      <w:bCs/>
                      <w:color w:val="000000"/>
                      <w:szCs w:val="21"/>
                      <w:lang w:val="pt-BR"/>
                    </w:rPr>
                  </w:pPr>
                  <w:r>
                    <w:rPr>
                      <w:bCs/>
                      <w:color w:val="000000"/>
                      <w:szCs w:val="21"/>
                      <w:lang w:val="pt-BR"/>
                    </w:rPr>
                    <w:t>F-320</w:t>
                  </w:r>
                </w:p>
              </w:tc>
              <w:tc>
                <w:tcPr>
                  <w:tcW w:w="567" w:type="dxa"/>
                  <w:tcBorders>
                    <w:top w:val="single" w:color="auto" w:sz="4" w:space="0"/>
                  </w:tcBorders>
                  <w:vAlign w:val="center"/>
                </w:tcPr>
                <w:p>
                  <w:pPr>
                    <w:jc w:val="center"/>
                    <w:rPr>
                      <w:bCs/>
                      <w:color w:val="000000"/>
                      <w:szCs w:val="21"/>
                      <w:lang w:val="pt-BR"/>
                    </w:rPr>
                  </w:pPr>
                  <w:r>
                    <w:rPr>
                      <w:bCs/>
                      <w:color w:val="000000"/>
                      <w:szCs w:val="21"/>
                      <w:lang w:val="pt-BR"/>
                    </w:rPr>
                    <w:t>1</w:t>
                  </w:r>
                </w:p>
              </w:tc>
              <w:tc>
                <w:tcPr>
                  <w:tcW w:w="2025" w:type="dxa"/>
                  <w:vMerge w:val="restart"/>
                  <w:tcBorders>
                    <w:top w:val="single" w:color="auto" w:sz="4" w:space="0"/>
                  </w:tcBorders>
                  <w:vAlign w:val="center"/>
                </w:tcPr>
                <w:p>
                  <w:pPr>
                    <w:rPr>
                      <w:bCs/>
                      <w:color w:val="000000"/>
                      <w:szCs w:val="21"/>
                      <w:lang w:val="pt-BR"/>
                    </w:rPr>
                  </w:pPr>
                  <w:r>
                    <w:rPr>
                      <w:bCs/>
                      <w:color w:val="000000"/>
                      <w:szCs w:val="21"/>
                      <w:lang w:val="pt-BR"/>
                    </w:rPr>
                    <w:t>用于液体、固体样品（如凝胶条）的光谱扫描</w:t>
                  </w:r>
                </w:p>
              </w:tc>
              <w:tc>
                <w:tcPr>
                  <w:tcW w:w="516" w:type="dxa"/>
                  <w:tcBorders>
                    <w:top w:val="single" w:color="auto" w:sz="4" w:space="0"/>
                  </w:tcBorders>
                  <w:vAlign w:val="center"/>
                </w:tcPr>
                <w:p>
                  <w:pPr>
                    <w:jc w:val="center"/>
                    <w:rPr>
                      <w:bCs/>
                      <w:color w:val="000000"/>
                      <w:szCs w:val="21"/>
                      <w:lang w:val="pt-BR"/>
                    </w:rPr>
                  </w:pPr>
                  <w:r>
                    <w:rPr>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tcBorders>
                  <w:vAlign w:val="center"/>
                </w:tcPr>
                <w:p>
                  <w:pPr>
                    <w:jc w:val="center"/>
                    <w:rPr>
                      <w:color w:val="000000"/>
                      <w:kern w:val="0"/>
                      <w:szCs w:val="21"/>
                    </w:rPr>
                  </w:pPr>
                  <w:r>
                    <w:rPr>
                      <w:color w:val="000000"/>
                      <w:kern w:val="0"/>
                      <w:szCs w:val="21"/>
                    </w:rPr>
                    <w:t>15</w:t>
                  </w:r>
                </w:p>
              </w:tc>
              <w:tc>
                <w:tcPr>
                  <w:tcW w:w="1984" w:type="dxa"/>
                  <w:tcBorders>
                    <w:top w:val="single" w:color="auto" w:sz="4" w:space="0"/>
                  </w:tcBorders>
                  <w:vAlign w:val="center"/>
                </w:tcPr>
                <w:p>
                  <w:pPr>
                    <w:jc w:val="center"/>
                    <w:rPr>
                      <w:bCs/>
                      <w:color w:val="000000"/>
                      <w:szCs w:val="21"/>
                      <w:lang w:val="pt-BR"/>
                    </w:rPr>
                  </w:pPr>
                  <w:r>
                    <w:rPr>
                      <w:bCs/>
                      <w:color w:val="000000"/>
                      <w:szCs w:val="21"/>
                      <w:lang w:val="pt-BR"/>
                    </w:rPr>
                    <w:t>紫外分光光度计</w:t>
                  </w:r>
                </w:p>
              </w:tc>
              <w:tc>
                <w:tcPr>
                  <w:tcW w:w="1134" w:type="dxa"/>
                  <w:tcBorders>
                    <w:top w:val="single" w:color="auto" w:sz="4" w:space="0"/>
                  </w:tcBorders>
                  <w:vAlign w:val="center"/>
                </w:tcPr>
                <w:p>
                  <w:pPr>
                    <w:jc w:val="center"/>
                    <w:rPr>
                      <w:bCs/>
                      <w:color w:val="000000"/>
                      <w:szCs w:val="21"/>
                      <w:lang w:val="pt-BR"/>
                    </w:rPr>
                  </w:pPr>
                  <w:r>
                    <w:rPr>
                      <w:bCs/>
                      <w:color w:val="000000"/>
                      <w:szCs w:val="21"/>
                      <w:lang w:val="pt-BR"/>
                    </w:rPr>
                    <w:t>上海美析</w:t>
                  </w:r>
                </w:p>
              </w:tc>
              <w:tc>
                <w:tcPr>
                  <w:tcW w:w="1236" w:type="dxa"/>
                  <w:tcBorders>
                    <w:top w:val="single" w:color="auto" w:sz="4" w:space="0"/>
                  </w:tcBorders>
                  <w:vAlign w:val="center"/>
                </w:tcPr>
                <w:p>
                  <w:pPr>
                    <w:jc w:val="center"/>
                    <w:rPr>
                      <w:bCs/>
                      <w:color w:val="000000"/>
                      <w:szCs w:val="21"/>
                      <w:lang w:val="pt-BR"/>
                    </w:rPr>
                  </w:pPr>
                  <w:r>
                    <w:rPr>
                      <w:bCs/>
                      <w:color w:val="000000"/>
                      <w:szCs w:val="21"/>
                      <w:lang w:val="pt-BR"/>
                    </w:rPr>
                    <w:t>UV-1700PC</w:t>
                  </w:r>
                </w:p>
              </w:tc>
              <w:tc>
                <w:tcPr>
                  <w:tcW w:w="567" w:type="dxa"/>
                  <w:tcBorders>
                    <w:top w:val="single" w:color="auto" w:sz="4" w:space="0"/>
                  </w:tcBorders>
                  <w:vAlign w:val="center"/>
                </w:tcPr>
                <w:p>
                  <w:pPr>
                    <w:jc w:val="center"/>
                    <w:rPr>
                      <w:bCs/>
                      <w:color w:val="000000"/>
                      <w:szCs w:val="21"/>
                      <w:lang w:val="pt-BR"/>
                    </w:rPr>
                  </w:pPr>
                  <w:r>
                    <w:rPr>
                      <w:bCs/>
                      <w:color w:val="000000"/>
                      <w:szCs w:val="21"/>
                      <w:lang w:val="pt-BR"/>
                    </w:rPr>
                    <w:t>1</w:t>
                  </w:r>
                </w:p>
              </w:tc>
              <w:tc>
                <w:tcPr>
                  <w:tcW w:w="2025" w:type="dxa"/>
                  <w:vMerge w:val="continue"/>
                  <w:vAlign w:val="center"/>
                </w:tcPr>
                <w:p>
                  <w:pPr>
                    <w:jc w:val="center"/>
                    <w:rPr>
                      <w:bCs/>
                      <w:color w:val="000000"/>
                      <w:szCs w:val="21"/>
                      <w:lang w:val="pt-BR"/>
                    </w:rPr>
                  </w:pPr>
                </w:p>
              </w:tc>
              <w:tc>
                <w:tcPr>
                  <w:tcW w:w="516" w:type="dxa"/>
                  <w:tcBorders>
                    <w:top w:val="single" w:color="auto" w:sz="4" w:space="0"/>
                  </w:tcBorders>
                  <w:vAlign w:val="center"/>
                </w:tcPr>
                <w:p>
                  <w:pPr>
                    <w:jc w:val="center"/>
                    <w:rPr>
                      <w:bCs/>
                      <w:color w:val="000000"/>
                      <w:szCs w:val="21"/>
                      <w:lang w:val="pt-BR"/>
                    </w:rPr>
                  </w:pPr>
                  <w:r>
                    <w:rPr>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tcBorders>
                  <w:vAlign w:val="center"/>
                </w:tcPr>
                <w:p>
                  <w:pPr>
                    <w:jc w:val="center"/>
                    <w:rPr>
                      <w:color w:val="000000"/>
                      <w:kern w:val="0"/>
                      <w:szCs w:val="21"/>
                    </w:rPr>
                  </w:pPr>
                  <w:r>
                    <w:rPr>
                      <w:color w:val="000000"/>
                      <w:kern w:val="0"/>
                      <w:szCs w:val="21"/>
                    </w:rPr>
                    <w:t>16</w:t>
                  </w:r>
                </w:p>
              </w:tc>
              <w:tc>
                <w:tcPr>
                  <w:tcW w:w="1984" w:type="dxa"/>
                  <w:tcBorders>
                    <w:top w:val="single" w:color="auto" w:sz="4" w:space="0"/>
                  </w:tcBorders>
                  <w:vAlign w:val="center"/>
                </w:tcPr>
                <w:p>
                  <w:pPr>
                    <w:jc w:val="center"/>
                    <w:rPr>
                      <w:bCs/>
                      <w:color w:val="000000"/>
                      <w:szCs w:val="21"/>
                      <w:lang w:val="pt-BR"/>
                    </w:rPr>
                  </w:pPr>
                  <w:r>
                    <w:rPr>
                      <w:bCs/>
                      <w:color w:val="000000"/>
                      <w:szCs w:val="21"/>
                      <w:lang w:val="pt-BR"/>
                    </w:rPr>
                    <w:t>红外分光光度计</w:t>
                  </w:r>
                </w:p>
              </w:tc>
              <w:tc>
                <w:tcPr>
                  <w:tcW w:w="1134" w:type="dxa"/>
                  <w:tcBorders>
                    <w:top w:val="single" w:color="auto" w:sz="4" w:space="0"/>
                  </w:tcBorders>
                  <w:vAlign w:val="center"/>
                </w:tcPr>
                <w:p>
                  <w:pPr>
                    <w:jc w:val="center"/>
                    <w:rPr>
                      <w:bCs/>
                      <w:color w:val="000000"/>
                      <w:szCs w:val="21"/>
                      <w:lang w:val="pt-BR"/>
                    </w:rPr>
                  </w:pPr>
                  <w:r>
                    <w:rPr>
                      <w:bCs/>
                      <w:color w:val="000000"/>
                      <w:szCs w:val="21"/>
                      <w:lang w:val="pt-BR"/>
                    </w:rPr>
                    <w:t>天津能谱</w:t>
                  </w:r>
                </w:p>
              </w:tc>
              <w:tc>
                <w:tcPr>
                  <w:tcW w:w="1236" w:type="dxa"/>
                  <w:tcBorders>
                    <w:top w:val="single" w:color="auto" w:sz="4" w:space="0"/>
                  </w:tcBorders>
                  <w:vAlign w:val="center"/>
                </w:tcPr>
                <w:p>
                  <w:pPr>
                    <w:jc w:val="center"/>
                    <w:rPr>
                      <w:bCs/>
                      <w:color w:val="000000"/>
                      <w:szCs w:val="21"/>
                      <w:lang w:val="pt-BR"/>
                    </w:rPr>
                  </w:pPr>
                  <w:r>
                    <w:rPr>
                      <w:bCs/>
                      <w:color w:val="000000"/>
                      <w:szCs w:val="21"/>
                      <w:lang w:val="pt-BR"/>
                    </w:rPr>
                    <w:t>TJ270-30A</w:t>
                  </w:r>
                </w:p>
              </w:tc>
              <w:tc>
                <w:tcPr>
                  <w:tcW w:w="567" w:type="dxa"/>
                  <w:tcBorders>
                    <w:top w:val="single" w:color="auto" w:sz="4" w:space="0"/>
                  </w:tcBorders>
                  <w:vAlign w:val="center"/>
                </w:tcPr>
                <w:p>
                  <w:pPr>
                    <w:jc w:val="center"/>
                    <w:rPr>
                      <w:bCs/>
                      <w:color w:val="000000"/>
                      <w:szCs w:val="21"/>
                      <w:lang w:val="pt-BR"/>
                    </w:rPr>
                  </w:pPr>
                  <w:r>
                    <w:rPr>
                      <w:bCs/>
                      <w:color w:val="000000"/>
                      <w:szCs w:val="21"/>
                      <w:lang w:val="pt-BR"/>
                    </w:rPr>
                    <w:t>1</w:t>
                  </w:r>
                </w:p>
              </w:tc>
              <w:tc>
                <w:tcPr>
                  <w:tcW w:w="2025" w:type="dxa"/>
                  <w:vMerge w:val="continue"/>
                  <w:vAlign w:val="center"/>
                </w:tcPr>
                <w:p>
                  <w:pPr>
                    <w:jc w:val="center"/>
                    <w:rPr>
                      <w:bCs/>
                      <w:color w:val="000000"/>
                      <w:szCs w:val="21"/>
                      <w:lang w:val="pt-BR"/>
                    </w:rPr>
                  </w:pPr>
                </w:p>
              </w:tc>
              <w:tc>
                <w:tcPr>
                  <w:tcW w:w="516" w:type="dxa"/>
                  <w:tcBorders>
                    <w:top w:val="single" w:color="auto" w:sz="4" w:space="0"/>
                  </w:tcBorders>
                  <w:vAlign w:val="center"/>
                </w:tcPr>
                <w:p>
                  <w:pPr>
                    <w:jc w:val="center"/>
                    <w:rPr>
                      <w:bCs/>
                      <w:color w:val="000000"/>
                      <w:szCs w:val="21"/>
                      <w:lang w:val="pt-BR"/>
                    </w:rPr>
                  </w:pPr>
                  <w:r>
                    <w:rPr>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tcBorders>
                  <w:vAlign w:val="center"/>
                </w:tcPr>
                <w:p>
                  <w:pPr>
                    <w:jc w:val="center"/>
                    <w:rPr>
                      <w:color w:val="000000"/>
                      <w:kern w:val="0"/>
                      <w:szCs w:val="21"/>
                    </w:rPr>
                  </w:pPr>
                  <w:r>
                    <w:rPr>
                      <w:color w:val="000000"/>
                      <w:kern w:val="0"/>
                      <w:szCs w:val="21"/>
                    </w:rPr>
                    <w:t>17</w:t>
                  </w:r>
                </w:p>
              </w:tc>
              <w:tc>
                <w:tcPr>
                  <w:tcW w:w="1984" w:type="dxa"/>
                  <w:tcBorders>
                    <w:top w:val="single" w:color="auto" w:sz="4" w:space="0"/>
                  </w:tcBorders>
                  <w:vAlign w:val="center"/>
                </w:tcPr>
                <w:p>
                  <w:pPr>
                    <w:jc w:val="center"/>
                    <w:rPr>
                      <w:bCs/>
                      <w:color w:val="000000"/>
                      <w:szCs w:val="21"/>
                      <w:lang w:val="pt-BR"/>
                    </w:rPr>
                  </w:pPr>
                  <w:r>
                    <w:rPr>
                      <w:bCs/>
                      <w:color w:val="000000"/>
                      <w:szCs w:val="21"/>
                      <w:lang w:val="pt-BR"/>
                    </w:rPr>
                    <w:t>氮吹仪</w:t>
                  </w:r>
                </w:p>
              </w:tc>
              <w:tc>
                <w:tcPr>
                  <w:tcW w:w="1134" w:type="dxa"/>
                  <w:tcBorders>
                    <w:top w:val="single" w:color="auto" w:sz="4" w:space="0"/>
                  </w:tcBorders>
                  <w:vAlign w:val="center"/>
                </w:tcPr>
                <w:p>
                  <w:pPr>
                    <w:jc w:val="center"/>
                    <w:rPr>
                      <w:bCs/>
                      <w:color w:val="000000"/>
                      <w:szCs w:val="21"/>
                      <w:lang w:val="pt-BR"/>
                    </w:rPr>
                  </w:pPr>
                  <w:r>
                    <w:rPr>
                      <w:bCs/>
                      <w:color w:val="000000"/>
                      <w:szCs w:val="21"/>
                      <w:lang w:val="pt-BR"/>
                    </w:rPr>
                    <w:t>普立泰科</w:t>
                  </w:r>
                </w:p>
              </w:tc>
              <w:tc>
                <w:tcPr>
                  <w:tcW w:w="1236" w:type="dxa"/>
                  <w:tcBorders>
                    <w:top w:val="single" w:color="auto" w:sz="4" w:space="0"/>
                  </w:tcBorders>
                  <w:vAlign w:val="center"/>
                </w:tcPr>
                <w:p>
                  <w:pPr>
                    <w:jc w:val="center"/>
                    <w:rPr>
                      <w:bCs/>
                      <w:color w:val="000000"/>
                      <w:szCs w:val="21"/>
                      <w:lang w:val="pt-BR"/>
                    </w:rPr>
                  </w:pPr>
                  <w:r>
                    <w:rPr>
                      <w:bCs/>
                      <w:color w:val="000000"/>
                      <w:szCs w:val="21"/>
                      <w:lang w:val="pt-BR"/>
                    </w:rPr>
                    <w:t>EVA32</w:t>
                  </w:r>
                </w:p>
              </w:tc>
              <w:tc>
                <w:tcPr>
                  <w:tcW w:w="567" w:type="dxa"/>
                  <w:tcBorders>
                    <w:top w:val="single" w:color="auto" w:sz="4" w:space="0"/>
                  </w:tcBorders>
                  <w:vAlign w:val="center"/>
                </w:tcPr>
                <w:p>
                  <w:pPr>
                    <w:jc w:val="center"/>
                    <w:rPr>
                      <w:bCs/>
                      <w:color w:val="000000"/>
                      <w:szCs w:val="21"/>
                      <w:lang w:val="pt-BR"/>
                    </w:rPr>
                  </w:pPr>
                  <w:r>
                    <w:rPr>
                      <w:bCs/>
                      <w:color w:val="000000"/>
                      <w:szCs w:val="21"/>
                      <w:lang w:val="pt-BR"/>
                    </w:rPr>
                    <w:t>1</w:t>
                  </w:r>
                </w:p>
              </w:tc>
              <w:tc>
                <w:tcPr>
                  <w:tcW w:w="2025" w:type="dxa"/>
                  <w:tcBorders>
                    <w:top w:val="single" w:color="auto" w:sz="4" w:space="0"/>
                  </w:tcBorders>
                  <w:vAlign w:val="center"/>
                </w:tcPr>
                <w:p>
                  <w:pPr>
                    <w:rPr>
                      <w:bCs/>
                      <w:color w:val="000000"/>
                      <w:szCs w:val="21"/>
                      <w:lang w:val="pt-BR"/>
                    </w:rPr>
                  </w:pPr>
                  <w:r>
                    <w:rPr>
                      <w:bCs/>
                      <w:color w:val="000000"/>
                      <w:szCs w:val="21"/>
                      <w:lang w:val="pt-BR"/>
                    </w:rPr>
                    <w:t>将氮气吹入加热样品的表面进行样品浓缩</w:t>
                  </w:r>
                </w:p>
              </w:tc>
              <w:tc>
                <w:tcPr>
                  <w:tcW w:w="516" w:type="dxa"/>
                  <w:tcBorders>
                    <w:top w:val="single" w:color="auto" w:sz="4" w:space="0"/>
                  </w:tcBorders>
                  <w:vAlign w:val="center"/>
                </w:tcPr>
                <w:p>
                  <w:pPr>
                    <w:jc w:val="center"/>
                    <w:rPr>
                      <w:bCs/>
                      <w:color w:val="000000"/>
                      <w:szCs w:val="21"/>
                      <w:lang w:val="pt-BR"/>
                    </w:rPr>
                  </w:pPr>
                  <w:r>
                    <w:rPr>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tcBorders>
                  <w:vAlign w:val="center"/>
                </w:tcPr>
                <w:p>
                  <w:pPr>
                    <w:jc w:val="center"/>
                    <w:rPr>
                      <w:color w:val="000000"/>
                      <w:kern w:val="0"/>
                      <w:szCs w:val="21"/>
                    </w:rPr>
                  </w:pPr>
                  <w:r>
                    <w:rPr>
                      <w:color w:val="000000"/>
                      <w:kern w:val="0"/>
                      <w:szCs w:val="21"/>
                    </w:rPr>
                    <w:t>18</w:t>
                  </w:r>
                </w:p>
              </w:tc>
              <w:tc>
                <w:tcPr>
                  <w:tcW w:w="1984" w:type="dxa"/>
                  <w:tcBorders>
                    <w:top w:val="single" w:color="auto" w:sz="4" w:space="0"/>
                  </w:tcBorders>
                  <w:vAlign w:val="center"/>
                </w:tcPr>
                <w:p>
                  <w:pPr>
                    <w:jc w:val="center"/>
                    <w:rPr>
                      <w:bCs/>
                      <w:color w:val="000000"/>
                      <w:szCs w:val="21"/>
                      <w:lang w:val="pt-BR"/>
                    </w:rPr>
                  </w:pPr>
                  <w:r>
                    <w:rPr>
                      <w:bCs/>
                      <w:color w:val="000000"/>
                      <w:szCs w:val="21"/>
                      <w:lang w:val="pt-BR"/>
                    </w:rPr>
                    <w:t>测汞仪</w:t>
                  </w:r>
                </w:p>
              </w:tc>
              <w:tc>
                <w:tcPr>
                  <w:tcW w:w="1134" w:type="dxa"/>
                  <w:tcBorders>
                    <w:top w:val="single" w:color="auto" w:sz="4" w:space="0"/>
                  </w:tcBorders>
                  <w:vAlign w:val="center"/>
                </w:tcPr>
                <w:p>
                  <w:pPr>
                    <w:jc w:val="center"/>
                    <w:rPr>
                      <w:bCs/>
                      <w:color w:val="000000"/>
                      <w:szCs w:val="21"/>
                      <w:lang w:val="pt-BR"/>
                    </w:rPr>
                  </w:pPr>
                  <w:r>
                    <w:rPr>
                      <w:bCs/>
                      <w:color w:val="000000"/>
                      <w:szCs w:val="21"/>
                      <w:lang w:val="pt-BR"/>
                    </w:rPr>
                    <w:t>北京吉天</w:t>
                  </w:r>
                </w:p>
              </w:tc>
              <w:tc>
                <w:tcPr>
                  <w:tcW w:w="1236" w:type="dxa"/>
                  <w:tcBorders>
                    <w:top w:val="single" w:color="auto" w:sz="4" w:space="0"/>
                  </w:tcBorders>
                  <w:vAlign w:val="center"/>
                </w:tcPr>
                <w:p>
                  <w:pPr>
                    <w:jc w:val="center"/>
                    <w:rPr>
                      <w:bCs/>
                      <w:color w:val="000000"/>
                      <w:szCs w:val="21"/>
                      <w:lang w:val="pt-BR"/>
                    </w:rPr>
                  </w:pPr>
                  <w:r>
                    <w:rPr>
                      <w:bCs/>
                      <w:color w:val="000000"/>
                      <w:szCs w:val="21"/>
                      <w:lang w:val="pt-BR"/>
                    </w:rPr>
                    <w:t>DMA-500</w:t>
                  </w:r>
                </w:p>
              </w:tc>
              <w:tc>
                <w:tcPr>
                  <w:tcW w:w="567" w:type="dxa"/>
                  <w:tcBorders>
                    <w:top w:val="single" w:color="auto" w:sz="4" w:space="0"/>
                  </w:tcBorders>
                  <w:vAlign w:val="center"/>
                </w:tcPr>
                <w:p>
                  <w:pPr>
                    <w:jc w:val="center"/>
                    <w:rPr>
                      <w:bCs/>
                      <w:color w:val="000000"/>
                      <w:szCs w:val="21"/>
                      <w:lang w:val="pt-BR"/>
                    </w:rPr>
                  </w:pPr>
                  <w:r>
                    <w:rPr>
                      <w:bCs/>
                      <w:color w:val="000000"/>
                      <w:szCs w:val="21"/>
                      <w:lang w:val="pt-BR"/>
                    </w:rPr>
                    <w:t>1</w:t>
                  </w:r>
                </w:p>
              </w:tc>
              <w:tc>
                <w:tcPr>
                  <w:tcW w:w="2025" w:type="dxa"/>
                  <w:tcBorders>
                    <w:top w:val="single" w:color="auto" w:sz="4" w:space="0"/>
                  </w:tcBorders>
                  <w:vAlign w:val="center"/>
                </w:tcPr>
                <w:p>
                  <w:pPr>
                    <w:jc w:val="center"/>
                    <w:rPr>
                      <w:bCs/>
                      <w:color w:val="000000"/>
                      <w:szCs w:val="21"/>
                      <w:lang w:val="pt-BR"/>
                    </w:rPr>
                  </w:pPr>
                  <w:r>
                    <w:rPr>
                      <w:bCs/>
                      <w:color w:val="000000"/>
                      <w:szCs w:val="21"/>
                      <w:lang w:val="pt-BR"/>
                    </w:rPr>
                    <w:t>测汞含量</w:t>
                  </w:r>
                </w:p>
              </w:tc>
              <w:tc>
                <w:tcPr>
                  <w:tcW w:w="516" w:type="dxa"/>
                  <w:tcBorders>
                    <w:top w:val="single" w:color="auto" w:sz="4" w:space="0"/>
                  </w:tcBorders>
                  <w:vAlign w:val="center"/>
                </w:tcPr>
                <w:p>
                  <w:pPr>
                    <w:jc w:val="center"/>
                    <w:rPr>
                      <w:bCs/>
                      <w:color w:val="000000"/>
                      <w:szCs w:val="21"/>
                      <w:lang w:val="pt-BR"/>
                    </w:rPr>
                  </w:pPr>
                  <w:r>
                    <w:rPr>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tcBorders>
                  <w:vAlign w:val="center"/>
                </w:tcPr>
                <w:p>
                  <w:pPr>
                    <w:jc w:val="center"/>
                    <w:rPr>
                      <w:color w:val="000000"/>
                      <w:kern w:val="0"/>
                      <w:szCs w:val="21"/>
                    </w:rPr>
                  </w:pPr>
                  <w:r>
                    <w:rPr>
                      <w:color w:val="000000"/>
                      <w:kern w:val="0"/>
                      <w:szCs w:val="21"/>
                    </w:rPr>
                    <w:t>19</w:t>
                  </w:r>
                </w:p>
              </w:tc>
              <w:tc>
                <w:tcPr>
                  <w:tcW w:w="1984" w:type="dxa"/>
                  <w:tcBorders>
                    <w:top w:val="single" w:color="auto" w:sz="4" w:space="0"/>
                  </w:tcBorders>
                  <w:vAlign w:val="center"/>
                </w:tcPr>
                <w:p>
                  <w:pPr>
                    <w:jc w:val="center"/>
                    <w:rPr>
                      <w:color w:val="000000"/>
                      <w:kern w:val="0"/>
                      <w:szCs w:val="21"/>
                    </w:rPr>
                  </w:pPr>
                  <w:r>
                    <w:rPr>
                      <w:color w:val="000000"/>
                      <w:kern w:val="0"/>
                      <w:szCs w:val="21"/>
                    </w:rPr>
                    <w:t>氨基酸分析仪</w:t>
                  </w:r>
                </w:p>
              </w:tc>
              <w:tc>
                <w:tcPr>
                  <w:tcW w:w="1134" w:type="dxa"/>
                  <w:tcBorders>
                    <w:top w:val="single" w:color="auto" w:sz="4" w:space="0"/>
                  </w:tcBorders>
                  <w:vAlign w:val="center"/>
                </w:tcPr>
                <w:p>
                  <w:pPr>
                    <w:jc w:val="center"/>
                    <w:rPr>
                      <w:color w:val="000000"/>
                      <w:kern w:val="0"/>
                      <w:szCs w:val="21"/>
                    </w:rPr>
                  </w:pPr>
                  <w:r>
                    <w:rPr>
                      <w:color w:val="000000"/>
                      <w:kern w:val="0"/>
                      <w:szCs w:val="21"/>
                    </w:rPr>
                    <w:t>英国百康+</w:t>
                  </w:r>
                </w:p>
              </w:tc>
              <w:tc>
                <w:tcPr>
                  <w:tcW w:w="1236" w:type="dxa"/>
                  <w:tcBorders>
                    <w:top w:val="single" w:color="auto" w:sz="4" w:space="0"/>
                  </w:tcBorders>
                  <w:vAlign w:val="center"/>
                </w:tcPr>
                <w:p>
                  <w:pPr>
                    <w:jc w:val="center"/>
                    <w:rPr>
                      <w:color w:val="000000"/>
                      <w:kern w:val="0"/>
                      <w:szCs w:val="21"/>
                    </w:rPr>
                  </w:pPr>
                  <w:r>
                    <w:rPr>
                      <w:color w:val="000000"/>
                      <w:kern w:val="0"/>
                      <w:szCs w:val="21"/>
                    </w:rPr>
                    <w:t>Biochrom30</w:t>
                  </w:r>
                </w:p>
              </w:tc>
              <w:tc>
                <w:tcPr>
                  <w:tcW w:w="567" w:type="dxa"/>
                  <w:tcBorders>
                    <w:top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tcBorders>
                  <w:vAlign w:val="center"/>
                </w:tcPr>
                <w:p>
                  <w:pPr>
                    <w:jc w:val="center"/>
                    <w:rPr>
                      <w:color w:val="000000"/>
                      <w:kern w:val="0"/>
                      <w:szCs w:val="21"/>
                    </w:rPr>
                  </w:pPr>
                  <w:r>
                    <w:rPr>
                      <w:color w:val="000000"/>
                      <w:kern w:val="0"/>
                      <w:szCs w:val="21"/>
                    </w:rPr>
                    <w:t>氨基酸分析</w:t>
                  </w:r>
                </w:p>
              </w:tc>
              <w:tc>
                <w:tcPr>
                  <w:tcW w:w="516" w:type="dxa"/>
                  <w:tcBorders>
                    <w:top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tcBorders>
                  <w:vAlign w:val="center"/>
                </w:tcPr>
                <w:p>
                  <w:pPr>
                    <w:jc w:val="center"/>
                    <w:rPr>
                      <w:color w:val="000000"/>
                      <w:kern w:val="0"/>
                      <w:szCs w:val="21"/>
                    </w:rPr>
                  </w:pPr>
                  <w:r>
                    <w:rPr>
                      <w:color w:val="000000"/>
                      <w:kern w:val="0"/>
                      <w:szCs w:val="21"/>
                    </w:rPr>
                    <w:t>20</w:t>
                  </w:r>
                </w:p>
              </w:tc>
              <w:tc>
                <w:tcPr>
                  <w:tcW w:w="1984" w:type="dxa"/>
                  <w:tcBorders>
                    <w:top w:val="single" w:color="auto" w:sz="4" w:space="0"/>
                  </w:tcBorders>
                  <w:vAlign w:val="center"/>
                </w:tcPr>
                <w:p>
                  <w:pPr>
                    <w:jc w:val="center"/>
                    <w:rPr>
                      <w:color w:val="000000"/>
                      <w:kern w:val="0"/>
                      <w:szCs w:val="21"/>
                    </w:rPr>
                  </w:pPr>
                  <w:r>
                    <w:rPr>
                      <w:color w:val="000000"/>
                      <w:kern w:val="0"/>
                      <w:szCs w:val="21"/>
                    </w:rPr>
                    <w:t>超水制备仪</w:t>
                  </w:r>
                </w:p>
              </w:tc>
              <w:tc>
                <w:tcPr>
                  <w:tcW w:w="1134" w:type="dxa"/>
                  <w:tcBorders>
                    <w:top w:val="single" w:color="auto" w:sz="4" w:space="0"/>
                  </w:tcBorders>
                  <w:vAlign w:val="center"/>
                </w:tcPr>
                <w:p>
                  <w:pPr>
                    <w:jc w:val="center"/>
                    <w:rPr>
                      <w:color w:val="000000"/>
                      <w:kern w:val="0"/>
                      <w:szCs w:val="21"/>
                    </w:rPr>
                  </w:pPr>
                  <w:r>
                    <w:rPr>
                      <w:color w:val="000000"/>
                      <w:kern w:val="0"/>
                      <w:szCs w:val="21"/>
                    </w:rPr>
                    <w:t>德国Think-lab</w:t>
                  </w:r>
                </w:p>
              </w:tc>
              <w:tc>
                <w:tcPr>
                  <w:tcW w:w="1236" w:type="dxa"/>
                  <w:tcBorders>
                    <w:top w:val="single" w:color="auto" w:sz="4" w:space="0"/>
                  </w:tcBorders>
                  <w:vAlign w:val="center"/>
                </w:tcPr>
                <w:p>
                  <w:pPr>
                    <w:jc w:val="center"/>
                    <w:rPr>
                      <w:color w:val="000000"/>
                      <w:kern w:val="0"/>
                      <w:szCs w:val="21"/>
                    </w:rPr>
                  </w:pPr>
                  <w:r>
                    <w:rPr>
                      <w:color w:val="000000"/>
                      <w:kern w:val="0"/>
                      <w:szCs w:val="21"/>
                    </w:rPr>
                    <w:t>/</w:t>
                  </w:r>
                </w:p>
              </w:tc>
              <w:tc>
                <w:tcPr>
                  <w:tcW w:w="567" w:type="dxa"/>
                  <w:tcBorders>
                    <w:top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tcBorders>
                  <w:vAlign w:val="center"/>
                </w:tcPr>
                <w:p>
                  <w:pPr>
                    <w:jc w:val="center"/>
                    <w:rPr>
                      <w:color w:val="000000"/>
                      <w:kern w:val="0"/>
                      <w:szCs w:val="21"/>
                    </w:rPr>
                  </w:pPr>
                  <w:r>
                    <w:rPr>
                      <w:color w:val="000000"/>
                      <w:kern w:val="0"/>
                      <w:szCs w:val="21"/>
                    </w:rPr>
                    <w:t>制备纯水</w:t>
                  </w:r>
                </w:p>
              </w:tc>
              <w:tc>
                <w:tcPr>
                  <w:tcW w:w="516" w:type="dxa"/>
                  <w:tcBorders>
                    <w:top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tcBorders>
                  <w:vAlign w:val="center"/>
                </w:tcPr>
                <w:p>
                  <w:pPr>
                    <w:jc w:val="center"/>
                    <w:rPr>
                      <w:color w:val="000000"/>
                      <w:kern w:val="0"/>
                      <w:szCs w:val="21"/>
                    </w:rPr>
                  </w:pPr>
                  <w:r>
                    <w:rPr>
                      <w:color w:val="000000"/>
                      <w:kern w:val="0"/>
                      <w:szCs w:val="21"/>
                    </w:rPr>
                    <w:t>21</w:t>
                  </w:r>
                </w:p>
              </w:tc>
              <w:tc>
                <w:tcPr>
                  <w:tcW w:w="1984" w:type="dxa"/>
                  <w:tcBorders>
                    <w:top w:val="single" w:color="auto" w:sz="4" w:space="0"/>
                  </w:tcBorders>
                  <w:vAlign w:val="center"/>
                </w:tcPr>
                <w:p>
                  <w:pPr>
                    <w:jc w:val="center"/>
                    <w:rPr>
                      <w:color w:val="000000"/>
                      <w:kern w:val="0"/>
                      <w:szCs w:val="21"/>
                    </w:rPr>
                  </w:pPr>
                  <w:r>
                    <w:rPr>
                      <w:color w:val="000000"/>
                      <w:kern w:val="0"/>
                      <w:szCs w:val="21"/>
                    </w:rPr>
                    <w:t>展开槽</w:t>
                  </w:r>
                </w:p>
              </w:tc>
              <w:tc>
                <w:tcPr>
                  <w:tcW w:w="1134" w:type="dxa"/>
                  <w:tcBorders>
                    <w:top w:val="single" w:color="auto" w:sz="4" w:space="0"/>
                  </w:tcBorders>
                  <w:vAlign w:val="center"/>
                </w:tcPr>
                <w:p>
                  <w:pPr>
                    <w:jc w:val="center"/>
                    <w:rPr>
                      <w:color w:val="000000"/>
                      <w:kern w:val="0"/>
                      <w:szCs w:val="21"/>
                    </w:rPr>
                  </w:pPr>
                  <w:r>
                    <w:rPr>
                      <w:color w:val="000000"/>
                      <w:kern w:val="0"/>
                      <w:szCs w:val="21"/>
                    </w:rPr>
                    <w:t>上海科哲TK-10</w:t>
                  </w:r>
                </w:p>
              </w:tc>
              <w:tc>
                <w:tcPr>
                  <w:tcW w:w="1236" w:type="dxa"/>
                  <w:tcBorders>
                    <w:top w:val="single" w:color="auto" w:sz="4" w:space="0"/>
                  </w:tcBorders>
                  <w:vAlign w:val="center"/>
                </w:tcPr>
                <w:p>
                  <w:pPr>
                    <w:jc w:val="center"/>
                    <w:rPr>
                      <w:color w:val="000000"/>
                      <w:kern w:val="0"/>
                      <w:szCs w:val="21"/>
                    </w:rPr>
                  </w:pPr>
                  <w:r>
                    <w:rPr>
                      <w:color w:val="000000"/>
                      <w:kern w:val="0"/>
                      <w:szCs w:val="21"/>
                    </w:rPr>
                    <w:t>TK-10</w:t>
                  </w:r>
                </w:p>
              </w:tc>
              <w:tc>
                <w:tcPr>
                  <w:tcW w:w="567" w:type="dxa"/>
                  <w:tcBorders>
                    <w:top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tcBorders>
                  <w:vAlign w:val="center"/>
                </w:tcPr>
                <w:p>
                  <w:pPr>
                    <w:rPr>
                      <w:color w:val="000000"/>
                      <w:kern w:val="0"/>
                      <w:szCs w:val="21"/>
                    </w:rPr>
                  </w:pPr>
                  <w:r>
                    <w:rPr>
                      <w:color w:val="000000"/>
                      <w:kern w:val="0"/>
                      <w:szCs w:val="21"/>
                    </w:rPr>
                    <w:t>平面色谱法中展开时使用的容器</w:t>
                  </w:r>
                </w:p>
              </w:tc>
              <w:tc>
                <w:tcPr>
                  <w:tcW w:w="516" w:type="dxa"/>
                  <w:tcBorders>
                    <w:top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tcBorders>
                  <w:vAlign w:val="center"/>
                </w:tcPr>
                <w:p>
                  <w:pPr>
                    <w:jc w:val="center"/>
                    <w:rPr>
                      <w:color w:val="000000"/>
                      <w:kern w:val="0"/>
                      <w:szCs w:val="21"/>
                    </w:rPr>
                  </w:pPr>
                  <w:r>
                    <w:rPr>
                      <w:color w:val="000000"/>
                      <w:kern w:val="0"/>
                      <w:szCs w:val="21"/>
                    </w:rPr>
                    <w:t>22</w:t>
                  </w:r>
                </w:p>
              </w:tc>
              <w:tc>
                <w:tcPr>
                  <w:tcW w:w="1984" w:type="dxa"/>
                  <w:tcBorders>
                    <w:top w:val="single" w:color="auto" w:sz="4" w:space="0"/>
                  </w:tcBorders>
                  <w:vAlign w:val="center"/>
                </w:tcPr>
                <w:p>
                  <w:pPr>
                    <w:jc w:val="center"/>
                    <w:rPr>
                      <w:bCs/>
                      <w:color w:val="000000"/>
                      <w:szCs w:val="21"/>
                      <w:lang w:val="pt-BR"/>
                    </w:rPr>
                  </w:pPr>
                  <w:r>
                    <w:rPr>
                      <w:bCs/>
                      <w:color w:val="000000"/>
                      <w:szCs w:val="21"/>
                      <w:lang w:val="pt-BR"/>
                    </w:rPr>
                    <w:t>薄层涂布器</w:t>
                  </w:r>
                </w:p>
              </w:tc>
              <w:tc>
                <w:tcPr>
                  <w:tcW w:w="1134" w:type="dxa"/>
                  <w:tcBorders>
                    <w:top w:val="single" w:color="auto" w:sz="4" w:space="0"/>
                  </w:tcBorders>
                  <w:vAlign w:val="center"/>
                </w:tcPr>
                <w:p>
                  <w:pPr>
                    <w:jc w:val="center"/>
                    <w:rPr>
                      <w:bCs/>
                      <w:color w:val="000000"/>
                      <w:szCs w:val="21"/>
                      <w:lang w:val="pt-BR"/>
                    </w:rPr>
                  </w:pPr>
                  <w:r>
                    <w:rPr>
                      <w:bCs/>
                      <w:color w:val="000000"/>
                      <w:szCs w:val="21"/>
                      <w:lang w:val="pt-BR"/>
                    </w:rPr>
                    <w:t>上海科哲</w:t>
                  </w:r>
                </w:p>
              </w:tc>
              <w:tc>
                <w:tcPr>
                  <w:tcW w:w="1236" w:type="dxa"/>
                  <w:tcBorders>
                    <w:top w:val="single" w:color="auto" w:sz="4" w:space="0"/>
                  </w:tcBorders>
                  <w:vAlign w:val="center"/>
                </w:tcPr>
                <w:p>
                  <w:pPr>
                    <w:jc w:val="center"/>
                    <w:rPr>
                      <w:bCs/>
                      <w:color w:val="000000"/>
                      <w:szCs w:val="21"/>
                      <w:lang w:val="pt-BR"/>
                    </w:rPr>
                  </w:pPr>
                  <w:r>
                    <w:rPr>
                      <w:bCs/>
                      <w:color w:val="000000"/>
                      <w:szCs w:val="21"/>
                      <w:lang w:val="pt-BR"/>
                    </w:rPr>
                    <w:t>FW135TD-II</w:t>
                  </w:r>
                </w:p>
              </w:tc>
              <w:tc>
                <w:tcPr>
                  <w:tcW w:w="567" w:type="dxa"/>
                  <w:tcBorders>
                    <w:top w:val="single" w:color="auto" w:sz="4" w:space="0"/>
                  </w:tcBorders>
                  <w:vAlign w:val="center"/>
                </w:tcPr>
                <w:p>
                  <w:pPr>
                    <w:jc w:val="center"/>
                    <w:rPr>
                      <w:bCs/>
                      <w:color w:val="000000"/>
                      <w:szCs w:val="21"/>
                      <w:lang w:val="pt-BR"/>
                    </w:rPr>
                  </w:pPr>
                  <w:r>
                    <w:rPr>
                      <w:bCs/>
                      <w:color w:val="000000"/>
                      <w:szCs w:val="21"/>
                      <w:lang w:val="pt-BR"/>
                    </w:rPr>
                    <w:t>1</w:t>
                  </w:r>
                </w:p>
              </w:tc>
              <w:tc>
                <w:tcPr>
                  <w:tcW w:w="2025" w:type="dxa"/>
                  <w:tcBorders>
                    <w:top w:val="single" w:color="auto" w:sz="4" w:space="0"/>
                  </w:tcBorders>
                  <w:vAlign w:val="center"/>
                </w:tcPr>
                <w:p>
                  <w:pPr>
                    <w:jc w:val="center"/>
                    <w:rPr>
                      <w:bCs/>
                      <w:color w:val="000000"/>
                      <w:szCs w:val="21"/>
                      <w:lang w:val="pt-BR"/>
                    </w:rPr>
                  </w:pPr>
                  <w:r>
                    <w:rPr>
                      <w:bCs/>
                      <w:color w:val="000000"/>
                      <w:szCs w:val="21"/>
                      <w:lang w:val="pt-BR"/>
                    </w:rPr>
                    <w:t>样品分离</w:t>
                  </w:r>
                </w:p>
              </w:tc>
              <w:tc>
                <w:tcPr>
                  <w:tcW w:w="516" w:type="dxa"/>
                  <w:tcBorders>
                    <w:top w:val="single" w:color="auto" w:sz="4" w:space="0"/>
                  </w:tcBorders>
                  <w:vAlign w:val="center"/>
                </w:tcPr>
                <w:p>
                  <w:pPr>
                    <w:jc w:val="center"/>
                    <w:rPr>
                      <w:bCs/>
                      <w:color w:val="000000"/>
                      <w:szCs w:val="21"/>
                      <w:lang w:val="pt-BR"/>
                    </w:rPr>
                  </w:pPr>
                  <w:r>
                    <w:rPr>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tcBorders>
                  <w:vAlign w:val="center"/>
                </w:tcPr>
                <w:p>
                  <w:pPr>
                    <w:jc w:val="center"/>
                    <w:rPr>
                      <w:color w:val="000000"/>
                      <w:kern w:val="0"/>
                      <w:szCs w:val="21"/>
                    </w:rPr>
                  </w:pPr>
                  <w:r>
                    <w:rPr>
                      <w:color w:val="000000"/>
                      <w:kern w:val="0"/>
                      <w:szCs w:val="21"/>
                    </w:rPr>
                    <w:t>23</w:t>
                  </w:r>
                </w:p>
              </w:tc>
              <w:tc>
                <w:tcPr>
                  <w:tcW w:w="1984" w:type="dxa"/>
                  <w:tcBorders>
                    <w:top w:val="single" w:color="auto" w:sz="4" w:space="0"/>
                  </w:tcBorders>
                  <w:vAlign w:val="center"/>
                </w:tcPr>
                <w:p>
                  <w:pPr>
                    <w:jc w:val="center"/>
                    <w:rPr>
                      <w:bCs/>
                      <w:color w:val="000000"/>
                      <w:szCs w:val="21"/>
                      <w:lang w:val="pt-BR"/>
                    </w:rPr>
                  </w:pPr>
                  <w:r>
                    <w:rPr>
                      <w:bCs/>
                      <w:color w:val="000000"/>
                      <w:szCs w:val="21"/>
                      <w:lang w:val="pt-BR"/>
                    </w:rPr>
                    <w:t>普通离心机</w:t>
                  </w:r>
                </w:p>
              </w:tc>
              <w:tc>
                <w:tcPr>
                  <w:tcW w:w="1134" w:type="dxa"/>
                  <w:tcBorders>
                    <w:top w:val="single" w:color="auto" w:sz="4" w:space="0"/>
                  </w:tcBorders>
                  <w:vAlign w:val="center"/>
                </w:tcPr>
                <w:p>
                  <w:pPr>
                    <w:jc w:val="center"/>
                    <w:rPr>
                      <w:bCs/>
                      <w:color w:val="000000"/>
                      <w:szCs w:val="21"/>
                      <w:lang w:val="pt-BR"/>
                    </w:rPr>
                  </w:pPr>
                  <w:r>
                    <w:rPr>
                      <w:bCs/>
                      <w:color w:val="000000"/>
                      <w:szCs w:val="21"/>
                      <w:lang w:val="pt-BR"/>
                    </w:rPr>
                    <w:t>四川蜀科</w:t>
                  </w:r>
                </w:p>
              </w:tc>
              <w:tc>
                <w:tcPr>
                  <w:tcW w:w="1236" w:type="dxa"/>
                  <w:tcBorders>
                    <w:top w:val="single" w:color="auto" w:sz="4" w:space="0"/>
                  </w:tcBorders>
                  <w:vAlign w:val="center"/>
                </w:tcPr>
                <w:p>
                  <w:pPr>
                    <w:jc w:val="center"/>
                    <w:rPr>
                      <w:bCs/>
                      <w:color w:val="000000"/>
                      <w:szCs w:val="21"/>
                      <w:lang w:val="pt-BR"/>
                    </w:rPr>
                  </w:pPr>
                  <w:r>
                    <w:rPr>
                      <w:bCs/>
                      <w:color w:val="000000"/>
                      <w:szCs w:val="21"/>
                      <w:lang w:val="pt-BR"/>
                    </w:rPr>
                    <w:t>TG-16</w:t>
                  </w:r>
                </w:p>
              </w:tc>
              <w:tc>
                <w:tcPr>
                  <w:tcW w:w="567" w:type="dxa"/>
                  <w:tcBorders>
                    <w:top w:val="single" w:color="auto" w:sz="4" w:space="0"/>
                  </w:tcBorders>
                  <w:vAlign w:val="center"/>
                </w:tcPr>
                <w:p>
                  <w:pPr>
                    <w:jc w:val="center"/>
                    <w:rPr>
                      <w:bCs/>
                      <w:color w:val="000000"/>
                      <w:szCs w:val="21"/>
                      <w:lang w:val="pt-BR"/>
                    </w:rPr>
                  </w:pPr>
                  <w:r>
                    <w:rPr>
                      <w:bCs/>
                      <w:color w:val="000000"/>
                      <w:szCs w:val="21"/>
                      <w:lang w:val="pt-BR"/>
                    </w:rPr>
                    <w:t>1</w:t>
                  </w:r>
                </w:p>
              </w:tc>
              <w:tc>
                <w:tcPr>
                  <w:tcW w:w="2025" w:type="dxa"/>
                  <w:tcBorders>
                    <w:top w:val="single" w:color="auto" w:sz="4" w:space="0"/>
                  </w:tcBorders>
                  <w:vAlign w:val="center"/>
                </w:tcPr>
                <w:p>
                  <w:pPr>
                    <w:jc w:val="center"/>
                    <w:rPr>
                      <w:bCs/>
                      <w:color w:val="000000"/>
                      <w:szCs w:val="21"/>
                      <w:lang w:val="pt-BR"/>
                    </w:rPr>
                  </w:pPr>
                  <w:r>
                    <w:rPr>
                      <w:bCs/>
                      <w:color w:val="000000"/>
                      <w:szCs w:val="21"/>
                      <w:lang w:val="pt-BR"/>
                    </w:rPr>
                    <w:t>固液分离</w:t>
                  </w:r>
                </w:p>
              </w:tc>
              <w:tc>
                <w:tcPr>
                  <w:tcW w:w="516" w:type="dxa"/>
                  <w:tcBorders>
                    <w:top w:val="single" w:color="auto" w:sz="4" w:space="0"/>
                  </w:tcBorders>
                  <w:vAlign w:val="center"/>
                </w:tcPr>
                <w:p>
                  <w:pPr>
                    <w:jc w:val="center"/>
                    <w:rPr>
                      <w:bCs/>
                      <w:color w:val="000000"/>
                      <w:szCs w:val="21"/>
                      <w:lang w:val="pt-BR"/>
                    </w:rPr>
                  </w:pPr>
                  <w:r>
                    <w:rPr>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tcBorders>
                  <w:vAlign w:val="center"/>
                </w:tcPr>
                <w:p>
                  <w:pPr>
                    <w:jc w:val="center"/>
                    <w:rPr>
                      <w:color w:val="000000"/>
                      <w:kern w:val="0"/>
                      <w:szCs w:val="21"/>
                    </w:rPr>
                  </w:pPr>
                  <w:r>
                    <w:rPr>
                      <w:color w:val="000000"/>
                      <w:kern w:val="0"/>
                      <w:szCs w:val="21"/>
                    </w:rPr>
                    <w:t>24</w:t>
                  </w:r>
                </w:p>
              </w:tc>
              <w:tc>
                <w:tcPr>
                  <w:tcW w:w="1984" w:type="dxa"/>
                  <w:tcBorders>
                    <w:top w:val="single" w:color="auto" w:sz="4" w:space="0"/>
                  </w:tcBorders>
                  <w:vAlign w:val="center"/>
                </w:tcPr>
                <w:p>
                  <w:pPr>
                    <w:jc w:val="center"/>
                    <w:rPr>
                      <w:bCs/>
                      <w:color w:val="000000"/>
                      <w:szCs w:val="21"/>
                      <w:lang w:val="pt-BR"/>
                    </w:rPr>
                  </w:pPr>
                  <w:r>
                    <w:rPr>
                      <w:bCs/>
                      <w:color w:val="000000"/>
                      <w:szCs w:val="21"/>
                      <w:lang w:val="pt-BR"/>
                    </w:rPr>
                    <w:t>组织匀浆机</w:t>
                  </w:r>
                </w:p>
              </w:tc>
              <w:tc>
                <w:tcPr>
                  <w:tcW w:w="1134" w:type="dxa"/>
                  <w:tcBorders>
                    <w:top w:val="single" w:color="auto" w:sz="4" w:space="0"/>
                  </w:tcBorders>
                  <w:vAlign w:val="center"/>
                </w:tcPr>
                <w:p>
                  <w:pPr>
                    <w:jc w:val="center"/>
                    <w:rPr>
                      <w:bCs/>
                      <w:color w:val="000000"/>
                      <w:szCs w:val="21"/>
                      <w:lang w:val="pt-BR"/>
                    </w:rPr>
                  </w:pPr>
                  <w:r>
                    <w:rPr>
                      <w:bCs/>
                      <w:color w:val="000000"/>
                      <w:szCs w:val="21"/>
                      <w:lang w:val="pt-BR"/>
                    </w:rPr>
                    <w:t>上海净信</w:t>
                  </w:r>
                </w:p>
              </w:tc>
              <w:tc>
                <w:tcPr>
                  <w:tcW w:w="1236" w:type="dxa"/>
                  <w:tcBorders>
                    <w:top w:val="single" w:color="auto" w:sz="4" w:space="0"/>
                  </w:tcBorders>
                  <w:vAlign w:val="center"/>
                </w:tcPr>
                <w:p>
                  <w:pPr>
                    <w:jc w:val="center"/>
                    <w:rPr>
                      <w:bCs/>
                      <w:color w:val="000000"/>
                      <w:szCs w:val="21"/>
                      <w:lang w:val="pt-BR"/>
                    </w:rPr>
                  </w:pPr>
                  <w:r>
                    <w:rPr>
                      <w:bCs/>
                      <w:color w:val="000000"/>
                      <w:szCs w:val="21"/>
                      <w:lang w:val="pt-BR"/>
                    </w:rPr>
                    <w:t>F6/10</w:t>
                  </w:r>
                </w:p>
              </w:tc>
              <w:tc>
                <w:tcPr>
                  <w:tcW w:w="567" w:type="dxa"/>
                  <w:tcBorders>
                    <w:top w:val="single" w:color="auto" w:sz="4" w:space="0"/>
                  </w:tcBorders>
                  <w:vAlign w:val="center"/>
                </w:tcPr>
                <w:p>
                  <w:pPr>
                    <w:jc w:val="center"/>
                    <w:rPr>
                      <w:bCs/>
                      <w:color w:val="000000"/>
                      <w:szCs w:val="21"/>
                      <w:lang w:val="pt-BR"/>
                    </w:rPr>
                  </w:pPr>
                  <w:r>
                    <w:rPr>
                      <w:bCs/>
                      <w:color w:val="000000"/>
                      <w:szCs w:val="21"/>
                      <w:lang w:val="pt-BR"/>
                    </w:rPr>
                    <w:t>1</w:t>
                  </w:r>
                </w:p>
              </w:tc>
              <w:tc>
                <w:tcPr>
                  <w:tcW w:w="2025" w:type="dxa"/>
                  <w:tcBorders>
                    <w:top w:val="single" w:color="auto" w:sz="4" w:space="0"/>
                  </w:tcBorders>
                  <w:vAlign w:val="center"/>
                </w:tcPr>
                <w:p>
                  <w:pPr>
                    <w:rPr>
                      <w:bCs/>
                      <w:color w:val="000000"/>
                      <w:szCs w:val="21"/>
                      <w:lang w:val="pt-BR"/>
                    </w:rPr>
                  </w:pPr>
                  <w:r>
                    <w:rPr>
                      <w:bCs/>
                      <w:color w:val="000000"/>
                      <w:szCs w:val="21"/>
                      <w:lang w:val="pt-BR"/>
                    </w:rPr>
                    <w:t>密闭设备，搅拌捣碎</w:t>
                  </w:r>
                </w:p>
              </w:tc>
              <w:tc>
                <w:tcPr>
                  <w:tcW w:w="516" w:type="dxa"/>
                  <w:tcBorders>
                    <w:top w:val="single" w:color="auto" w:sz="4" w:space="0"/>
                  </w:tcBorders>
                  <w:vAlign w:val="center"/>
                </w:tcPr>
                <w:p>
                  <w:pPr>
                    <w:jc w:val="center"/>
                    <w:rPr>
                      <w:bCs/>
                      <w:color w:val="000000"/>
                      <w:szCs w:val="21"/>
                      <w:lang w:val="pt-BR"/>
                    </w:rPr>
                  </w:pPr>
                  <w:r>
                    <w:rPr>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widowControl/>
                    <w:jc w:val="center"/>
                    <w:rPr>
                      <w:color w:val="000000"/>
                      <w:kern w:val="0"/>
                      <w:szCs w:val="21"/>
                    </w:rPr>
                  </w:pPr>
                  <w:r>
                    <w:rPr>
                      <w:color w:val="000000"/>
                      <w:kern w:val="0"/>
                      <w:szCs w:val="21"/>
                    </w:rPr>
                    <w:t>25</w:t>
                  </w:r>
                </w:p>
              </w:tc>
              <w:tc>
                <w:tcPr>
                  <w:tcW w:w="1984" w:type="dxa"/>
                  <w:tcBorders>
                    <w:top w:val="single" w:color="auto" w:sz="4" w:space="0"/>
                    <w:bottom w:val="single" w:color="auto" w:sz="4" w:space="0"/>
                  </w:tcBorders>
                  <w:vAlign w:val="center"/>
                </w:tcPr>
                <w:p>
                  <w:pPr>
                    <w:jc w:val="center"/>
                    <w:rPr>
                      <w:bCs/>
                      <w:color w:val="000000"/>
                      <w:szCs w:val="21"/>
                      <w:lang w:val="pt-BR"/>
                    </w:rPr>
                  </w:pPr>
                  <w:r>
                    <w:rPr>
                      <w:bCs/>
                      <w:color w:val="000000"/>
                      <w:szCs w:val="21"/>
                      <w:lang w:val="pt-BR"/>
                    </w:rPr>
                    <w:t>全自动均质器</w:t>
                  </w:r>
                </w:p>
              </w:tc>
              <w:tc>
                <w:tcPr>
                  <w:tcW w:w="1134" w:type="dxa"/>
                  <w:tcBorders>
                    <w:top w:val="single" w:color="auto" w:sz="4" w:space="0"/>
                    <w:bottom w:val="single" w:color="auto" w:sz="4" w:space="0"/>
                  </w:tcBorders>
                  <w:vAlign w:val="center"/>
                </w:tcPr>
                <w:p>
                  <w:pPr>
                    <w:jc w:val="center"/>
                    <w:rPr>
                      <w:bCs/>
                      <w:color w:val="000000"/>
                      <w:szCs w:val="21"/>
                      <w:lang w:val="pt-BR"/>
                    </w:rPr>
                  </w:pPr>
                  <w:r>
                    <w:rPr>
                      <w:bCs/>
                      <w:color w:val="000000"/>
                      <w:szCs w:val="21"/>
                      <w:lang w:val="pt-BR"/>
                    </w:rPr>
                    <w:t>睿科</w:t>
                  </w:r>
                </w:p>
              </w:tc>
              <w:tc>
                <w:tcPr>
                  <w:tcW w:w="1236" w:type="dxa"/>
                  <w:tcBorders>
                    <w:top w:val="single" w:color="auto" w:sz="4" w:space="0"/>
                    <w:bottom w:val="single" w:color="auto" w:sz="4" w:space="0"/>
                  </w:tcBorders>
                  <w:vAlign w:val="center"/>
                </w:tcPr>
                <w:p>
                  <w:pPr>
                    <w:jc w:val="center"/>
                    <w:rPr>
                      <w:bCs/>
                      <w:color w:val="000000"/>
                      <w:szCs w:val="21"/>
                      <w:lang w:val="pt-BR"/>
                    </w:rPr>
                  </w:pPr>
                  <w:r>
                    <w:rPr>
                      <w:bCs/>
                      <w:color w:val="000000"/>
                      <w:szCs w:val="21"/>
                      <w:lang w:val="pt-BR"/>
                    </w:rPr>
                    <w:t>AH50</w:t>
                  </w:r>
                </w:p>
              </w:tc>
              <w:tc>
                <w:tcPr>
                  <w:tcW w:w="567" w:type="dxa"/>
                  <w:tcBorders>
                    <w:top w:val="single" w:color="auto" w:sz="4" w:space="0"/>
                    <w:bottom w:val="single" w:color="auto" w:sz="4" w:space="0"/>
                  </w:tcBorders>
                  <w:vAlign w:val="center"/>
                </w:tcPr>
                <w:p>
                  <w:pPr>
                    <w:jc w:val="center"/>
                    <w:rPr>
                      <w:bCs/>
                      <w:color w:val="000000"/>
                      <w:szCs w:val="21"/>
                      <w:lang w:val="pt-BR"/>
                    </w:rPr>
                  </w:pPr>
                  <w:r>
                    <w:rPr>
                      <w:bCs/>
                      <w:color w:val="000000"/>
                      <w:szCs w:val="21"/>
                      <w:lang w:val="pt-BR"/>
                    </w:rPr>
                    <w:t>1</w:t>
                  </w:r>
                </w:p>
              </w:tc>
              <w:tc>
                <w:tcPr>
                  <w:tcW w:w="2025" w:type="dxa"/>
                  <w:tcBorders>
                    <w:top w:val="single" w:color="auto" w:sz="4" w:space="0"/>
                    <w:bottom w:val="single" w:color="auto" w:sz="4" w:space="0"/>
                  </w:tcBorders>
                  <w:vAlign w:val="center"/>
                </w:tcPr>
                <w:p>
                  <w:pPr>
                    <w:rPr>
                      <w:bCs/>
                      <w:color w:val="000000"/>
                      <w:szCs w:val="21"/>
                      <w:lang w:val="pt-BR"/>
                    </w:rPr>
                  </w:pPr>
                  <w:r>
                    <w:rPr>
                      <w:bCs/>
                      <w:color w:val="000000"/>
                      <w:szCs w:val="21"/>
                      <w:lang w:val="pt-BR"/>
                    </w:rPr>
                    <w:t>农兽药残留检测实验的样品前处理，均质、提取</w:t>
                  </w:r>
                </w:p>
              </w:tc>
              <w:tc>
                <w:tcPr>
                  <w:tcW w:w="516" w:type="dxa"/>
                  <w:tcBorders>
                    <w:top w:val="single" w:color="auto" w:sz="4" w:space="0"/>
                    <w:bottom w:val="single" w:color="auto" w:sz="4" w:space="0"/>
                  </w:tcBorders>
                  <w:vAlign w:val="center"/>
                </w:tcPr>
                <w:p>
                  <w:pPr>
                    <w:jc w:val="center"/>
                    <w:rPr>
                      <w:bCs/>
                      <w:color w:val="000000"/>
                      <w:szCs w:val="21"/>
                      <w:lang w:val="pt-BR"/>
                    </w:rPr>
                  </w:pPr>
                  <w:r>
                    <w:rPr>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26</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单道移液器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艾本德</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Transferpette</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6</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转移试剂</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27</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台式振荡器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天津泰斯特</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TNTY-2520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液态、固态化合物的振荡培养</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28</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高速冷冻离心机</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四川蜀科</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TGL-1650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固液分离</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29</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低速冷冻离心机</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四川蜀科</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TDL-5M</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固液分离</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30</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超离心研磨仪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上海净信</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JXCH-800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研磨</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31</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精密酸度计</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雷磁</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PHSJ-4F</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酸度检测</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32</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自动电位滴定仪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海能</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960basic</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物质含量测定</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33</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荧光显微镜</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宁波舜宇</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RX50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显微观测</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34</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微波消解仪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睿科</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XT-9916</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消解</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35</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全自动定氮仪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海能</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K9860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样品中氮的测定</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36</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纤维测定仪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海能</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F2000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测纤维含量</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37</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索氏脂肪抽提仪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海能</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SOX606</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脂肪和粗纤维分析</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38</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分液漏斗萃取净化振荡器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川一</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CYLDZ-6</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萃取净化</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39</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电子天平</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舜宇恒平</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AG65D</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称重</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40</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卡尔费休水分测定仪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上海禾工</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AKF-1PLUS</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水分测定</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41</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圆形验粉筛</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过滤</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42</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大米碎米测定仪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杭州大吉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JPZ-D</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大米外观品质检测</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43</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实验砻谷机，实验碾米机</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杭州大吉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JLG-II</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稻谷脱壳，谷壳分离筛</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44</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大米外观品质检测仪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杭州大吉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JPZ-A</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大米外观品质检测</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45</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小麦硬度指数测定仪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杭州大吉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JYDX100×40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小麦硬度测试</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46</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磁性金属物测定仪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杭州大吉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JJCC</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检验粉类粮食中磁性金属物含量的专用检测</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47</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色度仪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杭州彩谱</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DS-700d</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测量物体反射的颜色和色差</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48</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小麦粉麸星测定仪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杭州大吉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DSF-IV</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密闭设备，麦粉麸星测定</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49</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排毒柜</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样品处理</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50</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流动注射分析仪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北京吉天</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DMA-50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按照标准曲线法测定待测样品的浓度</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51</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全自动微生物生化鉴定系统</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珠海美华</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MA120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微生物分析</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52</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微量加样器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北京大龙</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dPette+</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加样器</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53</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乳脂离心机</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山东白欧</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TDL-350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乳制品检验的常规设备</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54</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散射式浑浊度仪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仪电</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WGZ-2000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水质检测</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55</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面包体积测定仪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杭州佩克昂</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PV-X</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不规则固定食品体积的专用计量仪器</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56</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二氧化硫测定装置</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济南盛泰</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ST1061RW</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样品前处理、蒸馏、滴定、二氧化硫测定</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57</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全自动固相萃取仪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睿科</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Fotector-08HT</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自动化运行固相萃取方法的固相萃取仪</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58</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全自动平行浓缩仪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睿科</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EVA90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浓缩</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59</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拍打式无菌均质器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天津泰斯特典创</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TP-04</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应用于动物组织、生物样品的均质处理的仪器</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60</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厌氧培养箱</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天津泰斯特</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YYPY-135D</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样品培养</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61</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净化工作台</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北京东联</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DL-CJ-2ND1</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前处理净化平台</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62</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生物安全柜</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防止实验操作处理过程中某些含有危险性或未知性生物微粒发生气溶胶散逸的箱型空气净化负压安全装置</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63</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吹扫捕集</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北京中仪宇盛</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PT-7900D</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动态顶空技术，是用流动气体将样品中的挥发性成分“吹扫”出来，再用一个捕集器将吹扫出来的有机物吸附，随后经热解吸将样品送入气相色谱仪进行分析</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64</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PCR仪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博日</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LineGene9600Plus</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检测DNA/RNA为目的的各种病原体检测及基因分析</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65</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水平电泳仪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森西赛智</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SINSAGE-EP300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适用于核酸分析、纯化及制备等实验</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66</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低本底αβ测量仪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武汉谱晰</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PAB-6000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样品中的总α、总β活度浓度测量</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67</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全自动自动镭氡分析仪（配500mL闪烁室）</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北核</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HD2012</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测样品中放射性元素“镭”的活度</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68</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超低本底液闪计数器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HIDEX</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300SLL</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样品α、β放射性检测</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69</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液氮罐</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中科都菱</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YDS-50B</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液氮储罐</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70</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冻力测试仪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天津精拓</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JS-2</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检测（凝冻强度）</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71</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全自动食用油极性组分自动分离系统</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博纳艾杰尔</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EOPC-002</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分离食用油中的极性组分</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72</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酶底物法分析系统</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奎泰斯特</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DenfenderAUtomax</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检测水中总大肠菌群粪大肠菌群</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73</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架盘药物天平</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舜宇恒平</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AF611</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称量用</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74</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样品混合器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北京大龙</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MVM25</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混合作用相结合</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75</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碘量仪，WYD型</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河北恒仪</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WYD</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测碘</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76</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振荡培养箱</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天津泰斯特</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TQLY-2320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样品的培养设备</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77</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电子式粉质仪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东孚</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JFZD</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小麦粉品质检测的专用仪器</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78</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降落数值测定仪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佩克昂</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PFN-1500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测定谷物中淀粉酶活性的专用仪器</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79</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方糖硬度测试仪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山东盛泰</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ST120F</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硬度检测</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80</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罗维朋比色计</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佩克昂</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PLV-300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目视颜色测量仪器</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81</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烟点测定仪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托普云农</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YD-1</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测定植物油脂烟点的专用仪器</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82</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白度仪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托普云农</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WSB-V</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测物体表面的白度</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83</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密度天平</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舜宇恒平</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AF224J</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测密度</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84</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干热灭菌箱</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博讯</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BXH-130G</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灭菌</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85</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电导率仪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雷磁</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PHS-3E</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水质检测</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86</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电热板</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天津泰斯特</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DRB-3/3D</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烘干、干燥和作其他温度试验</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87</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实验电炉</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天津泰斯特</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DK-98-II单联2KW</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4</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作定量分析烧结、灰化试验用</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88</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陶瓷纤维马弗炉</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天津泰斯特</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MF-7-12D</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样品处理，烘干、干燥</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89</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啤酒饮料二氧化碳测定仪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杭州大吉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SCY-3B</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二氧化碳测定</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90</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旋涡混合器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天津泰斯特</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XH-2000-1</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混合</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kern w:val="0"/>
                      <w:szCs w:val="21"/>
                    </w:rPr>
                  </w:pPr>
                  <w:r>
                    <w:rPr>
                      <w:kern w:val="0"/>
                      <w:szCs w:val="21"/>
                    </w:rPr>
                    <w:t>91</w:t>
                  </w:r>
                </w:p>
              </w:tc>
              <w:tc>
                <w:tcPr>
                  <w:tcW w:w="1984" w:type="dxa"/>
                  <w:tcBorders>
                    <w:top w:val="single" w:color="auto" w:sz="4" w:space="0"/>
                    <w:bottom w:val="single" w:color="auto" w:sz="4" w:space="0"/>
                  </w:tcBorders>
                  <w:vAlign w:val="center"/>
                </w:tcPr>
                <w:p>
                  <w:pPr>
                    <w:jc w:val="center"/>
                    <w:rPr>
                      <w:kern w:val="0"/>
                      <w:szCs w:val="21"/>
                    </w:rPr>
                  </w:pPr>
                  <w:r>
                    <w:rPr>
                      <w:kern w:val="0"/>
                      <w:szCs w:val="21"/>
                    </w:rPr>
                    <w:t>中草药粉碎机</w:t>
                  </w:r>
                </w:p>
              </w:tc>
              <w:tc>
                <w:tcPr>
                  <w:tcW w:w="1134" w:type="dxa"/>
                  <w:tcBorders>
                    <w:top w:val="single" w:color="auto" w:sz="4" w:space="0"/>
                    <w:bottom w:val="single" w:color="auto" w:sz="4" w:space="0"/>
                  </w:tcBorders>
                  <w:vAlign w:val="center"/>
                </w:tcPr>
                <w:p>
                  <w:pPr>
                    <w:jc w:val="center"/>
                    <w:rPr>
                      <w:kern w:val="0"/>
                      <w:szCs w:val="21"/>
                    </w:rPr>
                  </w:pPr>
                  <w:r>
                    <w:rPr>
                      <w:kern w:val="0"/>
                      <w:szCs w:val="21"/>
                    </w:rPr>
                    <w:t>天津泰斯特</w:t>
                  </w:r>
                </w:p>
              </w:tc>
              <w:tc>
                <w:tcPr>
                  <w:tcW w:w="1236" w:type="dxa"/>
                  <w:tcBorders>
                    <w:top w:val="single" w:color="auto" w:sz="4" w:space="0"/>
                    <w:bottom w:val="single" w:color="auto" w:sz="4" w:space="0"/>
                  </w:tcBorders>
                  <w:vAlign w:val="center"/>
                </w:tcPr>
                <w:p>
                  <w:pPr>
                    <w:jc w:val="center"/>
                    <w:rPr>
                      <w:kern w:val="0"/>
                      <w:szCs w:val="21"/>
                    </w:rPr>
                  </w:pPr>
                  <w:r>
                    <w:rPr>
                      <w:kern w:val="0"/>
                      <w:szCs w:val="21"/>
                    </w:rPr>
                    <w:t>FW135</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粉碎</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92</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全玻璃浓缩器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浓缩</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93</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高压蒸汽灭菌器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博讯</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BXM-85VE</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灭菌</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94</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菌落计数器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杭州泽析</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ZX-400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菌落统计</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45" w:type="dxa"/>
                  <w:gridSpan w:val="7"/>
                  <w:tcBorders>
                    <w:top w:val="single" w:color="auto" w:sz="4" w:space="0"/>
                    <w:bottom w:val="single" w:color="auto" w:sz="4" w:space="0"/>
                  </w:tcBorders>
                  <w:vAlign w:val="center"/>
                </w:tcPr>
                <w:p>
                  <w:pPr>
                    <w:jc w:val="center"/>
                    <w:rPr>
                      <w:color w:val="000000"/>
                      <w:kern w:val="0"/>
                      <w:szCs w:val="21"/>
                    </w:rPr>
                  </w:pPr>
                  <w:r>
                    <w:rPr>
                      <w:color w:val="000000"/>
                      <w:kern w:val="0"/>
                      <w:szCs w:val="21"/>
                    </w:rPr>
                    <w:t>化工成品油检测实验室</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气相色谱仪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安捷伦</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8890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浓度、质量型检测</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气相色谱仪-质谱联用仪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安捷伦</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8890/7000D</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浓度、质量型检测</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高效液相色谱仪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安捷伦</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1260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浓度、质量型检测</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4</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原子吸收分光光度计</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上海耶拿</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ZEEnit700Q</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浓度、质量型检测</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5</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液相-ICPMS联用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安捷伦</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1260-7900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浓度、质量型检测</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6</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卡尔费休水分测定仪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上海禾工</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AKF-1PLUS</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水分检测</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7</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精密酸度计</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雷磁</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PHSJ-4F</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酸度检测</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8</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电导率仪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雷磁</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PHS-3E</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水质检测</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9</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电子天平</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舜宇恒平</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AG65D</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称重</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10</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电热板</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天津泰斯特</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DRB-3/3D</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烘干、干燥</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11</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实验电炉</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天津泰斯特</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DK-98-II单联2KW</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4</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定量分析烧结、灰化试验用</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12</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陶瓷纤维马弗炉</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天津泰斯特</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MF-7-12D</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样品处理，烘干、干燥</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13</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全自动电位滴定仪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海能</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960basic</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物质含量测定</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14</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馏分燃料油氧化安定性测定器（加速法）</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上海昌吉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SYD-0175</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油分检测</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15</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紫外荧光油品硫试验器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上海昌吉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SYD-0689</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硫分检测</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16</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石油产品酸值酸度试验器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上海昌吉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SYD-264</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油的酸度和石油产品的酸值的仪器</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17</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石油产品残炭测定器（微量法）</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上海昌吉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SYD-17144</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检测残留碳量的仪器</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18</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石油产品灰分试验器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上海昌吉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SYD-508</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测定石油产品的灰的仪器</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19</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铜片腐蚀试验器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上海昌吉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SYD-5096A</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石油产品对铜片腐蚀的程度</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20</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石油产品水分试验器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上海昌吉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SYD-260A</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测定石油产品中的水分含量</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21</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高频往复试验机</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上海石博</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BL-2022</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用于抗磨及极压性能测试</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22</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柴油污染物含量测定仪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上海昌吉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SYD-33400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油及纯脂肪酸甲酯（BD100）中总污染物含量的测定方法</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23</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石油产品运动粘度测定器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上海昌吉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SYD-265C</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测定液体石油产品（指牛顿液体）在某一恒定温度条件下的运动粘度</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24</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石油产品低温试验器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上海昌吉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SYD-510G</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石油产品低温性能的测定</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25</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冷滤点抽滤器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上海昌吉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LC-2</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石油产品抽滤检测</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26</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全自动闭口闪点试验器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上海昌吉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SYD-261D</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混合气接触火焰发生闪火时的最低温度</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27</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柴油十六烷值测定机</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上海石博</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CNT-M</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油份分析</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28</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石油产品蒸馏试验器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上海昌吉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SYD-6536B</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石油产品的蒸馏测定</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29</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标准密度/运动粘度试验器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上海昌吉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SYD-1884A</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石油产品密度、粘度测试</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30</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便携式沥青红外光谱仪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上海昌吉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SYD-0673M</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用于有机化合物、无机化合物、聚合物等的定性、定量分析</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31</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自动饱和蒸气压测定器（雷德法）</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上海昌吉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SYD-8017A</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各种流体的饱和蒸气压的高精度测量</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32</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实际胶质试验器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上海昌吉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SYD-8019A</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测定燃料（汽油、煤油、柴油）在发动机中使用实际胶质试验器时生成胶质的倾向</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33</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汽油氧化安定性测定器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上海昌吉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SYD-8018D</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一款测定汽油在加速氧化条件下汽油的氧化安定性的仪器</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34</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石油产品水溶性酸及碱试验器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上海昌吉</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SYD-259</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测定液体石油产品、添加剂、润滑脂、石蜡及含蜡组分的水溶性酸或水溶性碱</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35</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汽油辛烷值测定机</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上海石博</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ONT-M</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检测辛烷值，十六烷值等石油产品参数</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36</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全自动石墨消解仪</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睿科</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AUTO-GDA</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无机样品前处理</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37</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恒温干燥箱</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烘干、干燥</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38</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排毒柜</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样品处理</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45" w:type="dxa"/>
                  <w:gridSpan w:val="7"/>
                  <w:tcBorders>
                    <w:top w:val="single" w:color="auto" w:sz="4" w:space="0"/>
                    <w:bottom w:val="single" w:color="auto" w:sz="4" w:space="0"/>
                  </w:tcBorders>
                  <w:vAlign w:val="center"/>
                </w:tcPr>
                <w:p>
                  <w:pPr>
                    <w:jc w:val="center"/>
                    <w:rPr>
                      <w:szCs w:val="21"/>
                    </w:rPr>
                  </w:pPr>
                  <w:r>
                    <w:rPr>
                      <w:szCs w:val="21"/>
                    </w:rPr>
                    <w:t>计量检定(校准)实验室仪器设备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砝码</w:t>
                  </w:r>
                </w:p>
              </w:tc>
              <w:tc>
                <w:tcPr>
                  <w:tcW w:w="1134" w:type="dxa"/>
                  <w:tcBorders>
                    <w:top w:val="single" w:color="auto" w:sz="4" w:space="0"/>
                  </w:tcBorders>
                  <w:vAlign w:val="center"/>
                </w:tcPr>
                <w:p>
                  <w:pPr>
                    <w:jc w:val="center"/>
                    <w:rPr>
                      <w:color w:val="000000"/>
                      <w:kern w:val="0"/>
                      <w:szCs w:val="21"/>
                    </w:rPr>
                  </w:pPr>
                  <w:r>
                    <w:rPr>
                      <w:color w:val="000000"/>
                      <w:kern w:val="0"/>
                      <w:szCs w:val="21"/>
                    </w:rPr>
                    <w:t>山东蓬莱</w:t>
                  </w:r>
                </w:p>
              </w:tc>
              <w:tc>
                <w:tcPr>
                  <w:tcW w:w="1236" w:type="dxa"/>
                  <w:tcBorders>
                    <w:top w:val="single" w:color="auto" w:sz="4" w:space="0"/>
                  </w:tcBorders>
                  <w:vAlign w:val="center"/>
                </w:tcPr>
                <w:p>
                  <w:pPr>
                    <w:jc w:val="center"/>
                    <w:rPr>
                      <w:color w:val="000000"/>
                      <w:kern w:val="0"/>
                      <w:szCs w:val="21"/>
                    </w:rPr>
                  </w:pPr>
                  <w:r>
                    <w:rPr>
                      <w:color w:val="000000"/>
                      <w:kern w:val="0"/>
                      <w:szCs w:val="21"/>
                    </w:rPr>
                    <w:t>1mg~500g</w:t>
                  </w:r>
                </w:p>
              </w:tc>
              <w:tc>
                <w:tcPr>
                  <w:tcW w:w="567" w:type="dxa"/>
                  <w:tcBorders>
                    <w:top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计量</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砝码</w:t>
                  </w:r>
                </w:p>
              </w:tc>
              <w:tc>
                <w:tcPr>
                  <w:tcW w:w="1134" w:type="dxa"/>
                  <w:tcBorders>
                    <w:bottom w:val="single" w:color="auto" w:sz="4" w:space="0"/>
                  </w:tcBorders>
                  <w:vAlign w:val="center"/>
                </w:tcPr>
                <w:p>
                  <w:pPr>
                    <w:jc w:val="center"/>
                    <w:rPr>
                      <w:color w:val="000000"/>
                      <w:kern w:val="0"/>
                      <w:szCs w:val="21"/>
                    </w:rPr>
                  </w:pPr>
                  <w:r>
                    <w:rPr>
                      <w:color w:val="000000"/>
                      <w:kern w:val="0"/>
                      <w:szCs w:val="21"/>
                    </w:rPr>
                    <w:t>山东蓬莱</w:t>
                  </w:r>
                </w:p>
              </w:tc>
              <w:tc>
                <w:tcPr>
                  <w:tcW w:w="1236" w:type="dxa"/>
                  <w:tcBorders>
                    <w:bottom w:val="single" w:color="auto" w:sz="4" w:space="0"/>
                  </w:tcBorders>
                  <w:vAlign w:val="center"/>
                </w:tcPr>
                <w:p>
                  <w:pPr>
                    <w:jc w:val="center"/>
                    <w:rPr>
                      <w:color w:val="000000"/>
                      <w:kern w:val="0"/>
                      <w:szCs w:val="21"/>
                    </w:rPr>
                  </w:pPr>
                  <w:r>
                    <w:rPr>
                      <w:color w:val="000000"/>
                      <w:kern w:val="0"/>
                      <w:szCs w:val="21"/>
                    </w:rPr>
                    <w:t>500g~3000g</w:t>
                  </w:r>
                </w:p>
              </w:tc>
              <w:tc>
                <w:tcPr>
                  <w:tcW w:w="567" w:type="dxa"/>
                  <w:tcBorders>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计量</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机械天平</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湘仪</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TG332A</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计量</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4</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电子天平</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EC520A</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计量</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5</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紫外、可见光度计检定装置</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国防科技</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GBW（E）</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仪器效验</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6</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砝码（铸铁）</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1000kgX60块</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计量</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7</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砝码（不锈钢）</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25kgX4块</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计量</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8</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砝码（铸铁）</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20kgX50块</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计量</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9</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砝码（不锈钢）</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(1-20)kg(一套）</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计量</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10</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砝码（不锈钢）</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100mg-1000g(100mg10片）</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计量</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11</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检衡车</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柴油国2车</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仪器效验</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12</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电子天平</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托利多</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1000g</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计量</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13</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全自动压力表校验台（三合一）</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北京康斯特</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（-0.095-60）Mpa</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仪器效验</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14</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便携式手动压力表校验台</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北京康斯特</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（-0.095-60）Mpa</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仪器效验</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15</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便携式手动真空压力表校验台</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北京康斯特</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（-0.095-6）Mpa</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仪器效验</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16</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全自动血压计校验台</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北京康斯特</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0-40KPa</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仪器效验</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17</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便携式手动真空压力表校验台</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北京康斯特</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（-0.095-6）Mpa</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仪器效验</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18</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全自动血压计校验台</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北京康斯特</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0-40KPa</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仪器效验</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19</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可燃气体报警器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大连</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(10%/40%/60%)*2</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气体报警器</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20</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氢气气体报警器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大连</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气体报警器</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21</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一氧化碳气体报警器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大连</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（30/70/300/700）mol/mol</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气体报警器</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22</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二氧化硫气体报警器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大连</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（20/50/80/500）mol/mol</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气体报警器</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23</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氨气气体报警器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大连</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（20/50/80/500）mol/mol</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气体报警器</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24</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硫化氢气体报警器</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大连</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（20/50/80/500）mol/mol</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气体报警器</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25</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量块(12块组)</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哈量</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10-291.8(mm)</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计量</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26</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量块(20块组)</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哈量</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5.12-96.50(mm)</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计量</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27</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安全阀校验台检定装置</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山东</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HST400-BN40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仪器效验</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28</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呼吸机分析仪检定装置</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tsi</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CertifierFAplus</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rPr>
                      <w:color w:val="000000"/>
                      <w:kern w:val="0"/>
                      <w:szCs w:val="21"/>
                    </w:rPr>
                  </w:pPr>
                  <w:r>
                    <w:rPr>
                      <w:color w:val="000000"/>
                      <w:kern w:val="0"/>
                      <w:szCs w:val="21"/>
                    </w:rPr>
                    <w:t>临床医学、电子与通信技术领域的计量仪器</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29</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医用注射泵和输液泵分析仪检定装置</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SPL</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IN-600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仪器校准</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30</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心脏除颤仪检定装置</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SPL</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DP-600</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仪器校准</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31</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多普勒体模与仿血流体模检定装置</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为尔康</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KS205D-1</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仪器校准</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32</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环境温、湿度检定装置</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山东智拓</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ZT-S600A</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仪器校准</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color w:val="000000"/>
                      <w:kern w:val="0"/>
                      <w:szCs w:val="21"/>
                    </w:rPr>
                    <w:t>33</w:t>
                  </w:r>
                </w:p>
              </w:tc>
              <w:tc>
                <w:tcPr>
                  <w:tcW w:w="198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精密露点仪检定装置</w:t>
                  </w:r>
                </w:p>
              </w:tc>
              <w:tc>
                <w:tcPr>
                  <w:tcW w:w="1134" w:type="dxa"/>
                  <w:tcBorders>
                    <w:top w:val="single" w:color="auto" w:sz="4" w:space="0"/>
                    <w:bottom w:val="single" w:color="auto" w:sz="4" w:space="0"/>
                  </w:tcBorders>
                  <w:vAlign w:val="center"/>
                </w:tcPr>
                <w:p>
                  <w:pPr>
                    <w:jc w:val="center"/>
                    <w:rPr>
                      <w:color w:val="000000"/>
                      <w:kern w:val="0"/>
                      <w:szCs w:val="21"/>
                    </w:rPr>
                  </w:pPr>
                  <w:r>
                    <w:rPr>
                      <w:color w:val="000000"/>
                      <w:kern w:val="0"/>
                      <w:szCs w:val="21"/>
                    </w:rPr>
                    <w:t>南京奥聪</w:t>
                  </w:r>
                </w:p>
              </w:tc>
              <w:tc>
                <w:tcPr>
                  <w:tcW w:w="123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PDM483</w:t>
                  </w:r>
                </w:p>
              </w:tc>
              <w:tc>
                <w:tcPr>
                  <w:tcW w:w="567" w:type="dxa"/>
                  <w:tcBorders>
                    <w:top w:val="single" w:color="auto" w:sz="4" w:space="0"/>
                    <w:bottom w:val="single" w:color="auto" w:sz="4" w:space="0"/>
                  </w:tcBorders>
                  <w:vAlign w:val="center"/>
                </w:tcPr>
                <w:p>
                  <w:pPr>
                    <w:jc w:val="center"/>
                    <w:rPr>
                      <w:color w:val="000000"/>
                      <w:kern w:val="0"/>
                      <w:szCs w:val="21"/>
                    </w:rPr>
                  </w:pPr>
                  <w:r>
                    <w:rPr>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color w:val="000000"/>
                      <w:kern w:val="0"/>
                      <w:szCs w:val="21"/>
                    </w:rPr>
                    <w:t>计量/仪器校准</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45" w:type="dxa"/>
                  <w:gridSpan w:val="7"/>
                  <w:tcBorders>
                    <w:top w:val="single" w:color="auto" w:sz="4" w:space="0"/>
                    <w:bottom w:val="single" w:color="auto" w:sz="4" w:space="0"/>
                  </w:tcBorders>
                  <w:vAlign w:val="center"/>
                </w:tcPr>
                <w:p>
                  <w:pPr>
                    <w:jc w:val="center"/>
                    <w:rPr>
                      <w:color w:val="000000"/>
                      <w:kern w:val="0"/>
                      <w:szCs w:val="21"/>
                    </w:rPr>
                  </w:pPr>
                  <w:r>
                    <w:rPr>
                      <w:rFonts w:hint="eastAsia"/>
                      <w:color w:val="000000"/>
                      <w:kern w:val="0"/>
                      <w:szCs w:val="21"/>
                    </w:rPr>
                    <w:t>公共设备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rFonts w:hint="eastAsia"/>
                      <w:color w:val="000000"/>
                      <w:kern w:val="0"/>
                      <w:szCs w:val="21"/>
                    </w:rPr>
                    <w:t>3</w:t>
                  </w:r>
                  <w:r>
                    <w:rPr>
                      <w:color w:val="000000"/>
                      <w:kern w:val="0"/>
                      <w:szCs w:val="21"/>
                    </w:rPr>
                    <w:t>4</w:t>
                  </w:r>
                </w:p>
              </w:tc>
              <w:tc>
                <w:tcPr>
                  <w:tcW w:w="1984" w:type="dxa"/>
                  <w:tcBorders>
                    <w:top w:val="single" w:color="auto" w:sz="4" w:space="0"/>
                    <w:bottom w:val="single" w:color="auto" w:sz="4" w:space="0"/>
                  </w:tcBorders>
                  <w:vAlign w:val="center"/>
                </w:tcPr>
                <w:p>
                  <w:pPr>
                    <w:jc w:val="center"/>
                    <w:rPr>
                      <w:color w:val="000000"/>
                      <w:kern w:val="0"/>
                      <w:szCs w:val="21"/>
                    </w:rPr>
                  </w:pPr>
                  <w:r>
                    <w:rPr>
                      <w:rFonts w:hint="eastAsia"/>
                      <w:color w:val="000000"/>
                      <w:kern w:val="0"/>
                      <w:szCs w:val="21"/>
                    </w:rPr>
                    <w:t>纯水制备设备</w:t>
                  </w:r>
                </w:p>
              </w:tc>
              <w:tc>
                <w:tcPr>
                  <w:tcW w:w="1134" w:type="dxa"/>
                  <w:tcBorders>
                    <w:top w:val="single" w:color="auto" w:sz="4" w:space="0"/>
                    <w:bottom w:val="single" w:color="auto" w:sz="4" w:space="0"/>
                  </w:tcBorders>
                  <w:vAlign w:val="center"/>
                </w:tcPr>
                <w:p>
                  <w:pPr>
                    <w:jc w:val="center"/>
                    <w:rPr>
                      <w:color w:val="000000"/>
                      <w:kern w:val="0"/>
                      <w:szCs w:val="21"/>
                    </w:rPr>
                  </w:pPr>
                  <w:r>
                    <w:rPr>
                      <w:rFonts w:hint="eastAsia"/>
                      <w:color w:val="000000"/>
                      <w:kern w:val="0"/>
                      <w:szCs w:val="21"/>
                    </w:rPr>
                    <w:t>/</w:t>
                  </w:r>
                </w:p>
              </w:tc>
              <w:tc>
                <w:tcPr>
                  <w:tcW w:w="1236" w:type="dxa"/>
                  <w:tcBorders>
                    <w:top w:val="single" w:color="auto" w:sz="4" w:space="0"/>
                    <w:bottom w:val="single" w:color="auto" w:sz="4" w:space="0"/>
                  </w:tcBorders>
                  <w:vAlign w:val="center"/>
                </w:tcPr>
                <w:p>
                  <w:pPr>
                    <w:jc w:val="center"/>
                    <w:rPr>
                      <w:color w:val="000000"/>
                      <w:kern w:val="0"/>
                      <w:szCs w:val="21"/>
                    </w:rPr>
                  </w:pPr>
                  <w:r>
                    <w:rPr>
                      <w:rFonts w:hint="eastAsia"/>
                      <w:color w:val="000000"/>
                      <w:kern w:val="0"/>
                      <w:szCs w:val="21"/>
                    </w:rPr>
                    <w:t>/</w:t>
                  </w:r>
                </w:p>
              </w:tc>
              <w:tc>
                <w:tcPr>
                  <w:tcW w:w="567" w:type="dxa"/>
                  <w:tcBorders>
                    <w:top w:val="single" w:color="auto" w:sz="4" w:space="0"/>
                    <w:bottom w:val="single" w:color="auto" w:sz="4" w:space="0"/>
                  </w:tcBorders>
                  <w:vAlign w:val="center"/>
                </w:tcPr>
                <w:p>
                  <w:pPr>
                    <w:jc w:val="center"/>
                    <w:rPr>
                      <w:color w:val="000000"/>
                      <w:kern w:val="0"/>
                      <w:szCs w:val="21"/>
                    </w:rPr>
                  </w:pPr>
                  <w:r>
                    <w:rPr>
                      <w:rFonts w:hint="eastAsia"/>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rFonts w:hint="eastAsia"/>
                      <w:color w:val="000000"/>
                      <w:kern w:val="0"/>
                      <w:szCs w:val="21"/>
                    </w:rPr>
                    <w:t>纯水制备</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3" w:type="dxa"/>
                  <w:tcBorders>
                    <w:top w:val="single" w:color="auto" w:sz="4" w:space="0"/>
                    <w:bottom w:val="single" w:color="auto" w:sz="4" w:space="0"/>
                  </w:tcBorders>
                  <w:vAlign w:val="center"/>
                </w:tcPr>
                <w:p>
                  <w:pPr>
                    <w:jc w:val="center"/>
                    <w:rPr>
                      <w:color w:val="000000"/>
                      <w:kern w:val="0"/>
                      <w:szCs w:val="21"/>
                    </w:rPr>
                  </w:pPr>
                  <w:r>
                    <w:rPr>
                      <w:rFonts w:hint="eastAsia"/>
                      <w:color w:val="000000"/>
                      <w:kern w:val="0"/>
                      <w:szCs w:val="21"/>
                    </w:rPr>
                    <w:t>3</w:t>
                  </w:r>
                  <w:r>
                    <w:rPr>
                      <w:color w:val="000000"/>
                      <w:kern w:val="0"/>
                      <w:szCs w:val="21"/>
                    </w:rPr>
                    <w:t>5</w:t>
                  </w:r>
                </w:p>
              </w:tc>
              <w:tc>
                <w:tcPr>
                  <w:tcW w:w="1984" w:type="dxa"/>
                  <w:tcBorders>
                    <w:top w:val="single" w:color="auto" w:sz="4" w:space="0"/>
                    <w:bottom w:val="single" w:color="auto" w:sz="4" w:space="0"/>
                  </w:tcBorders>
                  <w:vAlign w:val="center"/>
                </w:tcPr>
                <w:p>
                  <w:pPr>
                    <w:jc w:val="center"/>
                    <w:rPr>
                      <w:color w:val="000000"/>
                      <w:kern w:val="0"/>
                      <w:szCs w:val="21"/>
                    </w:rPr>
                  </w:pPr>
                  <w:r>
                    <w:rPr>
                      <w:rFonts w:hint="eastAsia"/>
                      <w:color w:val="000000"/>
                      <w:kern w:val="0"/>
                      <w:szCs w:val="21"/>
                    </w:rPr>
                    <w:t>冰柜</w:t>
                  </w:r>
                </w:p>
              </w:tc>
              <w:tc>
                <w:tcPr>
                  <w:tcW w:w="1134" w:type="dxa"/>
                  <w:tcBorders>
                    <w:top w:val="single" w:color="auto" w:sz="4" w:space="0"/>
                    <w:bottom w:val="single" w:color="auto" w:sz="4" w:space="0"/>
                  </w:tcBorders>
                  <w:vAlign w:val="center"/>
                </w:tcPr>
                <w:p>
                  <w:pPr>
                    <w:jc w:val="center"/>
                    <w:rPr>
                      <w:color w:val="000000"/>
                      <w:kern w:val="0"/>
                      <w:szCs w:val="21"/>
                    </w:rPr>
                  </w:pPr>
                  <w:r>
                    <w:rPr>
                      <w:rFonts w:hint="eastAsia"/>
                      <w:color w:val="000000"/>
                      <w:kern w:val="0"/>
                      <w:szCs w:val="21"/>
                    </w:rPr>
                    <w:t>/</w:t>
                  </w:r>
                </w:p>
              </w:tc>
              <w:tc>
                <w:tcPr>
                  <w:tcW w:w="1236" w:type="dxa"/>
                  <w:tcBorders>
                    <w:top w:val="single" w:color="auto" w:sz="4" w:space="0"/>
                    <w:bottom w:val="single" w:color="auto" w:sz="4" w:space="0"/>
                  </w:tcBorders>
                  <w:vAlign w:val="center"/>
                </w:tcPr>
                <w:p>
                  <w:pPr>
                    <w:jc w:val="center"/>
                    <w:rPr>
                      <w:color w:val="000000"/>
                      <w:kern w:val="0"/>
                      <w:szCs w:val="21"/>
                    </w:rPr>
                  </w:pPr>
                  <w:r>
                    <w:rPr>
                      <w:rFonts w:hint="eastAsia"/>
                      <w:color w:val="000000"/>
                      <w:kern w:val="0"/>
                      <w:szCs w:val="21"/>
                    </w:rPr>
                    <w:t>/</w:t>
                  </w:r>
                </w:p>
              </w:tc>
              <w:tc>
                <w:tcPr>
                  <w:tcW w:w="567" w:type="dxa"/>
                  <w:tcBorders>
                    <w:top w:val="single" w:color="auto" w:sz="4" w:space="0"/>
                    <w:bottom w:val="single" w:color="auto" w:sz="4" w:space="0"/>
                  </w:tcBorders>
                  <w:vAlign w:val="center"/>
                </w:tcPr>
                <w:p>
                  <w:pPr>
                    <w:jc w:val="center"/>
                    <w:rPr>
                      <w:color w:val="000000"/>
                      <w:kern w:val="0"/>
                      <w:szCs w:val="21"/>
                    </w:rPr>
                  </w:pPr>
                  <w:r>
                    <w:rPr>
                      <w:rFonts w:hint="eastAsia"/>
                      <w:color w:val="000000"/>
                      <w:kern w:val="0"/>
                      <w:szCs w:val="21"/>
                    </w:rPr>
                    <w:t>1</w:t>
                  </w:r>
                </w:p>
              </w:tc>
              <w:tc>
                <w:tcPr>
                  <w:tcW w:w="2025" w:type="dxa"/>
                  <w:tcBorders>
                    <w:top w:val="single" w:color="auto" w:sz="4" w:space="0"/>
                    <w:bottom w:val="single" w:color="auto" w:sz="4" w:space="0"/>
                  </w:tcBorders>
                  <w:vAlign w:val="center"/>
                </w:tcPr>
                <w:p>
                  <w:pPr>
                    <w:jc w:val="center"/>
                    <w:rPr>
                      <w:color w:val="000000"/>
                      <w:kern w:val="0"/>
                      <w:szCs w:val="21"/>
                    </w:rPr>
                  </w:pPr>
                  <w:r>
                    <w:rPr>
                      <w:rFonts w:hint="eastAsia"/>
                      <w:color w:val="000000"/>
                      <w:kern w:val="0"/>
                      <w:szCs w:val="21"/>
                    </w:rPr>
                    <w:t>物料储存</w:t>
                  </w:r>
                </w:p>
              </w:tc>
              <w:tc>
                <w:tcPr>
                  <w:tcW w:w="516" w:type="dxa"/>
                  <w:tcBorders>
                    <w:top w:val="single" w:color="auto" w:sz="4" w:space="0"/>
                    <w:bottom w:val="single" w:color="auto" w:sz="4" w:space="0"/>
                  </w:tcBorders>
                  <w:vAlign w:val="center"/>
                </w:tcPr>
                <w:p>
                  <w:pPr>
                    <w:jc w:val="center"/>
                    <w:rPr>
                      <w:color w:val="000000"/>
                      <w:kern w:val="0"/>
                      <w:szCs w:val="21"/>
                    </w:rPr>
                  </w:pPr>
                  <w:r>
                    <w:rPr>
                      <w:color w:val="000000"/>
                      <w:kern w:val="0"/>
                      <w:szCs w:val="21"/>
                    </w:rPr>
                    <w:t>新建</w:t>
                  </w:r>
                </w:p>
              </w:tc>
            </w:tr>
          </w:tbl>
          <w:p>
            <w:pPr>
              <w:spacing w:line="440" w:lineRule="exact"/>
              <w:ind w:firstLine="482" w:firstLineChars="200"/>
              <w:rPr>
                <w:b/>
                <w:color w:val="000000"/>
                <w:sz w:val="24"/>
              </w:rPr>
            </w:pPr>
            <w:r>
              <w:rPr>
                <w:b/>
                <w:color w:val="000000"/>
                <w:sz w:val="24"/>
              </w:rPr>
              <w:t>5、</w:t>
            </w:r>
            <w:r>
              <w:rPr>
                <w:rFonts w:hint="eastAsia"/>
                <w:b/>
                <w:color w:val="000000"/>
                <w:sz w:val="24"/>
              </w:rPr>
              <w:t>实验检验试剂</w:t>
            </w:r>
            <w:r>
              <w:rPr>
                <w:b/>
                <w:color w:val="000000"/>
                <w:sz w:val="24"/>
              </w:rPr>
              <w:t>及资源能源消耗量</w:t>
            </w:r>
          </w:p>
          <w:p>
            <w:pPr>
              <w:spacing w:line="440" w:lineRule="exact"/>
              <w:ind w:firstLine="480" w:firstLineChars="200"/>
              <w:jc w:val="left"/>
              <w:rPr>
                <w:color w:val="000000"/>
                <w:sz w:val="24"/>
              </w:rPr>
            </w:pPr>
            <w:r>
              <w:rPr>
                <w:color w:val="000000"/>
                <w:sz w:val="24"/>
              </w:rPr>
              <w:t>本项目</w:t>
            </w:r>
            <w:r>
              <w:rPr>
                <w:rFonts w:hint="eastAsia"/>
                <w:color w:val="000000"/>
                <w:sz w:val="24"/>
              </w:rPr>
              <w:t>实验检测试剂</w:t>
            </w:r>
            <w:r>
              <w:rPr>
                <w:color w:val="000000"/>
                <w:sz w:val="24"/>
              </w:rPr>
              <w:t>消耗量见表18。</w:t>
            </w:r>
          </w:p>
          <w:p>
            <w:pPr>
              <w:spacing w:line="440" w:lineRule="exact"/>
              <w:ind w:firstLine="480" w:firstLineChars="200"/>
              <w:jc w:val="left"/>
              <w:rPr>
                <w:rFonts w:eastAsia="黑体"/>
                <w:color w:val="000000"/>
                <w:sz w:val="24"/>
                <w:lang w:val="pt-BR"/>
              </w:rPr>
            </w:pPr>
            <w:r>
              <w:rPr>
                <w:rFonts w:eastAsia="黑体"/>
                <w:color w:val="000000"/>
                <w:sz w:val="24"/>
                <w:lang w:val="pt-BR"/>
              </w:rPr>
              <w:t>表</w:t>
            </w:r>
            <w:r>
              <w:rPr>
                <w:rFonts w:eastAsia="黑体"/>
                <w:bCs/>
                <w:color w:val="000000"/>
                <w:sz w:val="24"/>
              </w:rPr>
              <w:t xml:space="preserve">18             </w:t>
            </w:r>
            <w:r>
              <w:rPr>
                <w:rFonts w:eastAsia="黑体"/>
                <w:color w:val="000000"/>
                <w:sz w:val="24"/>
                <w:lang w:val="pt-BR"/>
              </w:rPr>
              <w:t>本项目原辅材料</w:t>
            </w:r>
            <w:r>
              <w:rPr>
                <w:rFonts w:eastAsia="黑体"/>
                <w:color w:val="000000"/>
                <w:sz w:val="24"/>
              </w:rPr>
              <w:t>及资源能源</w:t>
            </w:r>
            <w:r>
              <w:rPr>
                <w:rFonts w:eastAsia="黑体"/>
                <w:color w:val="000000"/>
                <w:sz w:val="24"/>
                <w:lang w:val="pt-BR"/>
              </w:rPr>
              <w:t>消耗量</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624"/>
              <w:gridCol w:w="1807"/>
              <w:gridCol w:w="1274"/>
              <w:gridCol w:w="1173"/>
              <w:gridCol w:w="992"/>
              <w:gridCol w:w="2075"/>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393" w:type="pct"/>
                  <w:vAlign w:val="center"/>
                </w:tcPr>
                <w:p>
                  <w:pPr>
                    <w:jc w:val="center"/>
                    <w:rPr>
                      <w:b/>
                      <w:color w:val="000000"/>
                      <w:szCs w:val="20"/>
                    </w:rPr>
                  </w:pPr>
                  <w:r>
                    <w:rPr>
                      <w:b/>
                      <w:color w:val="000000"/>
                      <w:szCs w:val="21"/>
                      <w:lang w:val="pt-BR"/>
                    </w:rPr>
                    <w:t>序号</w:t>
                  </w:r>
                </w:p>
              </w:tc>
              <w:tc>
                <w:tcPr>
                  <w:tcW w:w="1137" w:type="pct"/>
                  <w:vAlign w:val="center"/>
                </w:tcPr>
                <w:p>
                  <w:pPr>
                    <w:jc w:val="center"/>
                    <w:rPr>
                      <w:b/>
                      <w:color w:val="000000"/>
                      <w:szCs w:val="20"/>
                    </w:rPr>
                  </w:pPr>
                  <w:r>
                    <w:rPr>
                      <w:b/>
                      <w:color w:val="000000"/>
                      <w:szCs w:val="20"/>
                    </w:rPr>
                    <w:t>原料名称</w:t>
                  </w:r>
                </w:p>
              </w:tc>
              <w:tc>
                <w:tcPr>
                  <w:tcW w:w="802" w:type="pct"/>
                  <w:tcBorders>
                    <w:right w:val="single" w:color="auto" w:sz="4" w:space="0"/>
                  </w:tcBorders>
                  <w:vAlign w:val="center"/>
                </w:tcPr>
                <w:p>
                  <w:pPr>
                    <w:jc w:val="center"/>
                    <w:rPr>
                      <w:b/>
                      <w:color w:val="000000"/>
                      <w:szCs w:val="20"/>
                    </w:rPr>
                  </w:pPr>
                  <w:r>
                    <w:rPr>
                      <w:rFonts w:hint="eastAsia"/>
                      <w:b/>
                      <w:color w:val="000000"/>
                      <w:szCs w:val="20"/>
                    </w:rPr>
                    <w:t>年消耗</w:t>
                  </w:r>
                  <w:r>
                    <w:rPr>
                      <w:b/>
                      <w:color w:val="000000"/>
                      <w:szCs w:val="20"/>
                    </w:rPr>
                    <w:t>量</w:t>
                  </w:r>
                </w:p>
              </w:tc>
              <w:tc>
                <w:tcPr>
                  <w:tcW w:w="738" w:type="pct"/>
                  <w:tcBorders>
                    <w:right w:val="single" w:color="auto" w:sz="4" w:space="0"/>
                  </w:tcBorders>
                  <w:vAlign w:val="center"/>
                </w:tcPr>
                <w:p>
                  <w:pPr>
                    <w:jc w:val="center"/>
                    <w:rPr>
                      <w:b/>
                      <w:color w:val="000000"/>
                      <w:szCs w:val="20"/>
                    </w:rPr>
                  </w:pPr>
                  <w:r>
                    <w:rPr>
                      <w:b/>
                      <w:color w:val="000000"/>
                      <w:szCs w:val="20"/>
                    </w:rPr>
                    <w:t>等级</w:t>
                  </w:r>
                </w:p>
              </w:tc>
              <w:tc>
                <w:tcPr>
                  <w:tcW w:w="624" w:type="pct"/>
                  <w:tcBorders>
                    <w:left w:val="single" w:color="auto" w:sz="4" w:space="0"/>
                  </w:tcBorders>
                  <w:vAlign w:val="center"/>
                </w:tcPr>
                <w:p>
                  <w:pPr>
                    <w:jc w:val="center"/>
                    <w:rPr>
                      <w:b/>
                      <w:color w:val="000000"/>
                      <w:szCs w:val="20"/>
                    </w:rPr>
                  </w:pPr>
                  <w:r>
                    <w:rPr>
                      <w:b/>
                      <w:color w:val="000000"/>
                      <w:szCs w:val="20"/>
                    </w:rPr>
                    <w:t>包装规格/储存方式</w:t>
                  </w:r>
                </w:p>
              </w:tc>
              <w:tc>
                <w:tcPr>
                  <w:tcW w:w="1306" w:type="pct"/>
                  <w:tcBorders>
                    <w:left w:val="single" w:color="auto" w:sz="4" w:space="0"/>
                  </w:tcBorders>
                  <w:vAlign w:val="center"/>
                </w:tcPr>
                <w:p>
                  <w:pPr>
                    <w:ind w:firstLine="632" w:firstLineChars="300"/>
                    <w:rPr>
                      <w:b/>
                      <w:color w:val="000000"/>
                      <w:szCs w:val="20"/>
                    </w:rPr>
                  </w:pPr>
                  <w:r>
                    <w:rPr>
                      <w:b/>
                      <w:color w:val="000000"/>
                      <w:szCs w:val="20"/>
                    </w:rPr>
                    <w:t>备注</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w:t>
                  </w:r>
                </w:p>
              </w:tc>
              <w:tc>
                <w:tcPr>
                  <w:tcW w:w="1137" w:type="pct"/>
                  <w:vAlign w:val="center"/>
                </w:tcPr>
                <w:p>
                  <w:pPr>
                    <w:jc w:val="center"/>
                    <w:rPr>
                      <w:color w:val="000000"/>
                      <w:kern w:val="0"/>
                      <w:szCs w:val="21"/>
                    </w:rPr>
                  </w:pPr>
                  <w:r>
                    <w:rPr>
                      <w:color w:val="000000"/>
                      <w:kern w:val="0"/>
                      <w:szCs w:val="21"/>
                    </w:rPr>
                    <w:t>高纯氮气</w:t>
                  </w:r>
                </w:p>
              </w:tc>
              <w:tc>
                <w:tcPr>
                  <w:tcW w:w="802" w:type="pct"/>
                  <w:vAlign w:val="center"/>
                </w:tcPr>
                <w:p>
                  <w:pPr>
                    <w:jc w:val="center"/>
                    <w:rPr>
                      <w:color w:val="000000"/>
                      <w:kern w:val="0"/>
                      <w:szCs w:val="21"/>
                    </w:rPr>
                  </w:pPr>
                  <w:r>
                    <w:rPr>
                      <w:color w:val="000000"/>
                      <w:kern w:val="0"/>
                      <w:szCs w:val="21"/>
                    </w:rPr>
                    <w:t>200kg</w:t>
                  </w:r>
                </w:p>
              </w:tc>
              <w:tc>
                <w:tcPr>
                  <w:tcW w:w="738" w:type="pct"/>
                  <w:tcBorders>
                    <w:right w:val="single" w:color="auto" w:sz="4" w:space="0"/>
                  </w:tcBorders>
                  <w:vAlign w:val="center"/>
                </w:tcPr>
                <w:p>
                  <w:pPr>
                    <w:jc w:val="center"/>
                    <w:rPr>
                      <w:color w:val="000000"/>
                      <w:kern w:val="0"/>
                      <w:szCs w:val="21"/>
                    </w:rPr>
                  </w:pPr>
                  <w:r>
                    <w:rPr>
                      <w:color w:val="000000"/>
                      <w:kern w:val="0"/>
                      <w:szCs w:val="21"/>
                    </w:rPr>
                    <w:t>/</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外购，气体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w:t>
                  </w:r>
                </w:p>
              </w:tc>
              <w:tc>
                <w:tcPr>
                  <w:tcW w:w="1137" w:type="pct"/>
                  <w:vAlign w:val="center"/>
                </w:tcPr>
                <w:p>
                  <w:pPr>
                    <w:jc w:val="center"/>
                    <w:rPr>
                      <w:color w:val="000000"/>
                      <w:kern w:val="0"/>
                      <w:szCs w:val="21"/>
                    </w:rPr>
                  </w:pPr>
                  <w:r>
                    <w:rPr>
                      <w:color w:val="000000"/>
                      <w:kern w:val="0"/>
                      <w:szCs w:val="21"/>
                    </w:rPr>
                    <w:t>乙炔气</w:t>
                  </w:r>
                </w:p>
              </w:tc>
              <w:tc>
                <w:tcPr>
                  <w:tcW w:w="802" w:type="pct"/>
                  <w:vAlign w:val="center"/>
                </w:tcPr>
                <w:p>
                  <w:pPr>
                    <w:jc w:val="center"/>
                    <w:rPr>
                      <w:color w:val="000000"/>
                      <w:kern w:val="0"/>
                      <w:szCs w:val="21"/>
                    </w:rPr>
                  </w:pPr>
                  <w:r>
                    <w:rPr>
                      <w:color w:val="000000"/>
                      <w:kern w:val="0"/>
                      <w:szCs w:val="21"/>
                    </w:rPr>
                    <w:t>150kg</w:t>
                  </w:r>
                </w:p>
              </w:tc>
              <w:tc>
                <w:tcPr>
                  <w:tcW w:w="738" w:type="pct"/>
                  <w:tcBorders>
                    <w:right w:val="single" w:color="auto" w:sz="4" w:space="0"/>
                  </w:tcBorders>
                  <w:vAlign w:val="center"/>
                </w:tcPr>
                <w:p>
                  <w:pPr>
                    <w:jc w:val="center"/>
                    <w:rPr>
                      <w:color w:val="000000"/>
                      <w:kern w:val="0"/>
                      <w:szCs w:val="21"/>
                    </w:rPr>
                  </w:pPr>
                  <w:r>
                    <w:rPr>
                      <w:color w:val="000000"/>
                      <w:kern w:val="0"/>
                      <w:szCs w:val="21"/>
                    </w:rPr>
                    <w:t>/</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外购，气体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3</w:t>
                  </w:r>
                </w:p>
              </w:tc>
              <w:tc>
                <w:tcPr>
                  <w:tcW w:w="1137" w:type="pct"/>
                  <w:vAlign w:val="center"/>
                </w:tcPr>
                <w:p>
                  <w:pPr>
                    <w:jc w:val="center"/>
                    <w:rPr>
                      <w:color w:val="000000"/>
                      <w:kern w:val="0"/>
                      <w:szCs w:val="21"/>
                    </w:rPr>
                  </w:pPr>
                  <w:r>
                    <w:rPr>
                      <w:color w:val="000000"/>
                      <w:kern w:val="0"/>
                      <w:szCs w:val="21"/>
                    </w:rPr>
                    <w:t>氩气</w:t>
                  </w:r>
                </w:p>
              </w:tc>
              <w:tc>
                <w:tcPr>
                  <w:tcW w:w="802" w:type="pct"/>
                  <w:vAlign w:val="center"/>
                </w:tcPr>
                <w:p>
                  <w:pPr>
                    <w:jc w:val="center"/>
                    <w:rPr>
                      <w:color w:val="000000"/>
                      <w:kern w:val="0"/>
                      <w:szCs w:val="21"/>
                    </w:rPr>
                  </w:pPr>
                  <w:r>
                    <w:rPr>
                      <w:color w:val="000000"/>
                      <w:kern w:val="0"/>
                      <w:szCs w:val="21"/>
                    </w:rPr>
                    <w:t>150kg</w:t>
                  </w:r>
                </w:p>
              </w:tc>
              <w:tc>
                <w:tcPr>
                  <w:tcW w:w="738" w:type="pct"/>
                  <w:tcBorders>
                    <w:right w:val="single" w:color="auto" w:sz="4" w:space="0"/>
                  </w:tcBorders>
                  <w:vAlign w:val="center"/>
                </w:tcPr>
                <w:p>
                  <w:pPr>
                    <w:jc w:val="center"/>
                    <w:rPr>
                      <w:color w:val="000000"/>
                      <w:kern w:val="0"/>
                      <w:szCs w:val="21"/>
                    </w:rPr>
                  </w:pPr>
                  <w:r>
                    <w:rPr>
                      <w:color w:val="000000"/>
                      <w:kern w:val="0"/>
                      <w:szCs w:val="21"/>
                    </w:rPr>
                    <w:t>/</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外购，气体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4</w:t>
                  </w:r>
                </w:p>
              </w:tc>
              <w:tc>
                <w:tcPr>
                  <w:tcW w:w="1137" w:type="pct"/>
                  <w:vAlign w:val="center"/>
                </w:tcPr>
                <w:p>
                  <w:pPr>
                    <w:jc w:val="center"/>
                    <w:rPr>
                      <w:color w:val="000000"/>
                      <w:kern w:val="0"/>
                      <w:szCs w:val="21"/>
                    </w:rPr>
                  </w:pPr>
                  <w:r>
                    <w:rPr>
                      <w:color w:val="000000"/>
                      <w:kern w:val="0"/>
                      <w:szCs w:val="21"/>
                    </w:rPr>
                    <w:t>甲醇</w:t>
                  </w:r>
                </w:p>
              </w:tc>
              <w:tc>
                <w:tcPr>
                  <w:tcW w:w="802" w:type="pct"/>
                  <w:vAlign w:val="center"/>
                </w:tcPr>
                <w:p>
                  <w:pPr>
                    <w:jc w:val="center"/>
                    <w:rPr>
                      <w:color w:val="000000"/>
                      <w:kern w:val="0"/>
                      <w:szCs w:val="21"/>
                    </w:rPr>
                  </w:pPr>
                  <w:r>
                    <w:rPr>
                      <w:color w:val="000000"/>
                      <w:kern w:val="0"/>
                      <w:szCs w:val="21"/>
                    </w:rPr>
                    <w:t>50L</w:t>
                  </w:r>
                </w:p>
              </w:tc>
              <w:tc>
                <w:tcPr>
                  <w:tcW w:w="738" w:type="pct"/>
                  <w:tcBorders>
                    <w:right w:val="single" w:color="auto" w:sz="4" w:space="0"/>
                  </w:tcBorders>
                  <w:vAlign w:val="center"/>
                </w:tcPr>
                <w:p>
                  <w:pPr>
                    <w:jc w:val="center"/>
                    <w:rPr>
                      <w:color w:val="000000"/>
                      <w:kern w:val="0"/>
                      <w:szCs w:val="21"/>
                    </w:rPr>
                  </w:pPr>
                  <w:r>
                    <w:rPr>
                      <w:color w:val="000000"/>
                      <w:kern w:val="0"/>
                      <w:szCs w:val="21"/>
                    </w:rPr>
                    <w:t>色谱纯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5</w:t>
                  </w:r>
                </w:p>
              </w:tc>
              <w:tc>
                <w:tcPr>
                  <w:tcW w:w="1137" w:type="pct"/>
                  <w:vAlign w:val="center"/>
                </w:tcPr>
                <w:p>
                  <w:pPr>
                    <w:jc w:val="center"/>
                    <w:rPr>
                      <w:color w:val="000000"/>
                      <w:kern w:val="0"/>
                      <w:szCs w:val="21"/>
                    </w:rPr>
                  </w:pPr>
                  <w:r>
                    <w:rPr>
                      <w:color w:val="000000"/>
                      <w:kern w:val="0"/>
                      <w:szCs w:val="21"/>
                    </w:rPr>
                    <w:t>乙腈</w:t>
                  </w:r>
                </w:p>
              </w:tc>
              <w:tc>
                <w:tcPr>
                  <w:tcW w:w="802" w:type="pct"/>
                  <w:vAlign w:val="center"/>
                </w:tcPr>
                <w:p>
                  <w:pPr>
                    <w:jc w:val="center"/>
                    <w:rPr>
                      <w:color w:val="000000"/>
                      <w:kern w:val="0"/>
                      <w:szCs w:val="21"/>
                    </w:rPr>
                  </w:pPr>
                  <w:r>
                    <w:rPr>
                      <w:color w:val="000000"/>
                      <w:kern w:val="0"/>
                      <w:szCs w:val="21"/>
                    </w:rPr>
                    <w:t>10L</w:t>
                  </w:r>
                </w:p>
              </w:tc>
              <w:tc>
                <w:tcPr>
                  <w:tcW w:w="738" w:type="pct"/>
                  <w:tcBorders>
                    <w:right w:val="single" w:color="auto" w:sz="4" w:space="0"/>
                  </w:tcBorders>
                  <w:vAlign w:val="center"/>
                </w:tcPr>
                <w:p>
                  <w:pPr>
                    <w:jc w:val="center"/>
                    <w:rPr>
                      <w:color w:val="000000"/>
                      <w:kern w:val="0"/>
                      <w:szCs w:val="21"/>
                    </w:rPr>
                  </w:pPr>
                  <w:r>
                    <w:rPr>
                      <w:color w:val="000000"/>
                      <w:kern w:val="0"/>
                      <w:szCs w:val="21"/>
                    </w:rPr>
                    <w:t>色谱纯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6</w:t>
                  </w:r>
                </w:p>
              </w:tc>
              <w:tc>
                <w:tcPr>
                  <w:tcW w:w="1137" w:type="pct"/>
                  <w:vAlign w:val="center"/>
                </w:tcPr>
                <w:p>
                  <w:pPr>
                    <w:jc w:val="center"/>
                    <w:rPr>
                      <w:color w:val="000000"/>
                      <w:kern w:val="0"/>
                      <w:szCs w:val="21"/>
                    </w:rPr>
                  </w:pPr>
                  <w:r>
                    <w:rPr>
                      <w:color w:val="000000"/>
                      <w:kern w:val="0"/>
                      <w:szCs w:val="21"/>
                    </w:rPr>
                    <w:t>二氯甲烷</w:t>
                  </w:r>
                </w:p>
              </w:tc>
              <w:tc>
                <w:tcPr>
                  <w:tcW w:w="802" w:type="pct"/>
                  <w:vAlign w:val="center"/>
                </w:tcPr>
                <w:p>
                  <w:pPr>
                    <w:jc w:val="center"/>
                    <w:rPr>
                      <w:color w:val="000000"/>
                      <w:kern w:val="0"/>
                      <w:szCs w:val="21"/>
                    </w:rPr>
                  </w:pPr>
                  <w:r>
                    <w:rPr>
                      <w:color w:val="000000"/>
                      <w:kern w:val="0"/>
                      <w:szCs w:val="21"/>
                    </w:rPr>
                    <w:t>2L</w:t>
                  </w:r>
                </w:p>
              </w:tc>
              <w:tc>
                <w:tcPr>
                  <w:tcW w:w="738" w:type="pct"/>
                  <w:tcBorders>
                    <w:right w:val="single" w:color="auto" w:sz="4" w:space="0"/>
                  </w:tcBorders>
                  <w:vAlign w:val="center"/>
                </w:tcPr>
                <w:p>
                  <w:pPr>
                    <w:jc w:val="center"/>
                    <w:rPr>
                      <w:color w:val="000000"/>
                      <w:kern w:val="0"/>
                      <w:szCs w:val="21"/>
                    </w:rPr>
                  </w:pPr>
                  <w:r>
                    <w:rPr>
                      <w:color w:val="000000"/>
                      <w:kern w:val="0"/>
                      <w:szCs w:val="21"/>
                    </w:rPr>
                    <w:t>色谱纯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7</w:t>
                  </w:r>
                </w:p>
              </w:tc>
              <w:tc>
                <w:tcPr>
                  <w:tcW w:w="1137" w:type="pct"/>
                  <w:vAlign w:val="center"/>
                </w:tcPr>
                <w:p>
                  <w:pPr>
                    <w:jc w:val="center"/>
                    <w:rPr>
                      <w:color w:val="000000"/>
                      <w:kern w:val="0"/>
                      <w:szCs w:val="21"/>
                    </w:rPr>
                  </w:pPr>
                  <w:r>
                    <w:rPr>
                      <w:color w:val="000000"/>
                      <w:kern w:val="0"/>
                      <w:szCs w:val="21"/>
                    </w:rPr>
                    <w:t>乙酸铵</w:t>
                  </w:r>
                </w:p>
              </w:tc>
              <w:tc>
                <w:tcPr>
                  <w:tcW w:w="802" w:type="pct"/>
                  <w:vAlign w:val="center"/>
                </w:tcPr>
                <w:p>
                  <w:pPr>
                    <w:jc w:val="center"/>
                    <w:rPr>
                      <w:color w:val="000000"/>
                      <w:kern w:val="0"/>
                      <w:szCs w:val="21"/>
                    </w:rPr>
                  </w:pPr>
                  <w:r>
                    <w:rPr>
                      <w:color w:val="000000"/>
                      <w:kern w:val="0"/>
                      <w:szCs w:val="21"/>
                    </w:rPr>
                    <w:t>1L</w:t>
                  </w:r>
                </w:p>
              </w:tc>
              <w:tc>
                <w:tcPr>
                  <w:tcW w:w="738" w:type="pct"/>
                  <w:tcBorders>
                    <w:right w:val="single" w:color="auto" w:sz="4" w:space="0"/>
                  </w:tcBorders>
                  <w:vAlign w:val="center"/>
                </w:tcPr>
                <w:p>
                  <w:pPr>
                    <w:jc w:val="center"/>
                    <w:rPr>
                      <w:color w:val="000000"/>
                      <w:kern w:val="0"/>
                      <w:szCs w:val="21"/>
                    </w:rPr>
                  </w:pPr>
                  <w:r>
                    <w:rPr>
                      <w:color w:val="000000"/>
                      <w:kern w:val="0"/>
                      <w:szCs w:val="21"/>
                    </w:rPr>
                    <w:t>色谱纯、分析纯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8</w:t>
                  </w:r>
                </w:p>
              </w:tc>
              <w:tc>
                <w:tcPr>
                  <w:tcW w:w="1137" w:type="pct"/>
                  <w:vAlign w:val="center"/>
                </w:tcPr>
                <w:p>
                  <w:pPr>
                    <w:jc w:val="center"/>
                    <w:rPr>
                      <w:color w:val="000000"/>
                      <w:kern w:val="0"/>
                      <w:szCs w:val="21"/>
                    </w:rPr>
                  </w:pPr>
                  <w:r>
                    <w:rPr>
                      <w:color w:val="000000"/>
                      <w:kern w:val="0"/>
                      <w:szCs w:val="21"/>
                    </w:rPr>
                    <w:t>苯</w:t>
                  </w:r>
                </w:p>
              </w:tc>
              <w:tc>
                <w:tcPr>
                  <w:tcW w:w="802" w:type="pct"/>
                  <w:vAlign w:val="center"/>
                </w:tcPr>
                <w:p>
                  <w:pPr>
                    <w:jc w:val="center"/>
                    <w:rPr>
                      <w:color w:val="000000"/>
                      <w:kern w:val="0"/>
                      <w:szCs w:val="21"/>
                    </w:rPr>
                  </w:pPr>
                  <w:r>
                    <w:rPr>
                      <w:color w:val="000000"/>
                      <w:kern w:val="0"/>
                      <w:szCs w:val="21"/>
                    </w:rPr>
                    <w:t>2L</w:t>
                  </w:r>
                </w:p>
              </w:tc>
              <w:tc>
                <w:tcPr>
                  <w:tcW w:w="738" w:type="pct"/>
                  <w:tcBorders>
                    <w:right w:val="single" w:color="auto" w:sz="4" w:space="0"/>
                  </w:tcBorders>
                  <w:vAlign w:val="center"/>
                </w:tcPr>
                <w:p>
                  <w:pPr>
                    <w:jc w:val="center"/>
                    <w:rPr>
                      <w:color w:val="000000"/>
                      <w:kern w:val="0"/>
                      <w:szCs w:val="21"/>
                    </w:rPr>
                  </w:pPr>
                  <w:r>
                    <w:rPr>
                      <w:color w:val="000000"/>
                      <w:kern w:val="0"/>
                      <w:szCs w:val="21"/>
                    </w:rPr>
                    <w:t>优级纯、分析纯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9</w:t>
                  </w:r>
                </w:p>
              </w:tc>
              <w:tc>
                <w:tcPr>
                  <w:tcW w:w="1137" w:type="pct"/>
                  <w:vAlign w:val="center"/>
                </w:tcPr>
                <w:p>
                  <w:pPr>
                    <w:jc w:val="center"/>
                    <w:rPr>
                      <w:color w:val="000000"/>
                      <w:kern w:val="0"/>
                      <w:szCs w:val="21"/>
                    </w:rPr>
                  </w:pPr>
                  <w:r>
                    <w:rPr>
                      <w:color w:val="000000"/>
                      <w:kern w:val="0"/>
                      <w:szCs w:val="21"/>
                    </w:rPr>
                    <w:t>甲醛</w:t>
                  </w:r>
                </w:p>
              </w:tc>
              <w:tc>
                <w:tcPr>
                  <w:tcW w:w="802" w:type="pct"/>
                  <w:vAlign w:val="center"/>
                </w:tcPr>
                <w:p>
                  <w:pPr>
                    <w:jc w:val="center"/>
                    <w:rPr>
                      <w:color w:val="000000"/>
                      <w:kern w:val="0"/>
                      <w:szCs w:val="21"/>
                    </w:rPr>
                  </w:pPr>
                  <w:r>
                    <w:rPr>
                      <w:color w:val="000000"/>
                      <w:kern w:val="0"/>
                      <w:szCs w:val="21"/>
                    </w:rPr>
                    <w:t>2L</w:t>
                  </w:r>
                </w:p>
              </w:tc>
              <w:tc>
                <w:tcPr>
                  <w:tcW w:w="738" w:type="pct"/>
                  <w:tcBorders>
                    <w:right w:val="single" w:color="auto" w:sz="4" w:space="0"/>
                  </w:tcBorders>
                  <w:vAlign w:val="center"/>
                </w:tcPr>
                <w:p>
                  <w:pPr>
                    <w:jc w:val="center"/>
                    <w:rPr>
                      <w:color w:val="000000"/>
                      <w:kern w:val="0"/>
                      <w:szCs w:val="21"/>
                    </w:rPr>
                  </w:pPr>
                  <w:r>
                    <w:rPr>
                      <w:color w:val="000000"/>
                      <w:kern w:val="0"/>
                      <w:szCs w:val="21"/>
                    </w:rPr>
                    <w:t>优级纯、分析纯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10</w:t>
                  </w:r>
                </w:p>
              </w:tc>
              <w:tc>
                <w:tcPr>
                  <w:tcW w:w="1137" w:type="pct"/>
                  <w:vAlign w:val="center"/>
                </w:tcPr>
                <w:p>
                  <w:pPr>
                    <w:jc w:val="center"/>
                    <w:rPr>
                      <w:color w:val="000000"/>
                      <w:kern w:val="0"/>
                      <w:szCs w:val="21"/>
                    </w:rPr>
                  </w:pPr>
                  <w:r>
                    <w:rPr>
                      <w:color w:val="000000"/>
                      <w:kern w:val="0"/>
                      <w:szCs w:val="21"/>
                    </w:rPr>
                    <w:t>硫酸</w:t>
                  </w:r>
                </w:p>
              </w:tc>
              <w:tc>
                <w:tcPr>
                  <w:tcW w:w="802" w:type="pct"/>
                  <w:vAlign w:val="center"/>
                </w:tcPr>
                <w:p>
                  <w:pPr>
                    <w:jc w:val="center"/>
                    <w:rPr>
                      <w:color w:val="000000"/>
                      <w:kern w:val="0"/>
                      <w:szCs w:val="21"/>
                    </w:rPr>
                  </w:pPr>
                  <w:r>
                    <w:rPr>
                      <w:color w:val="000000"/>
                      <w:kern w:val="0"/>
                      <w:szCs w:val="21"/>
                    </w:rPr>
                    <w:t>2L</w:t>
                  </w:r>
                </w:p>
              </w:tc>
              <w:tc>
                <w:tcPr>
                  <w:tcW w:w="738" w:type="pct"/>
                  <w:tcBorders>
                    <w:right w:val="single" w:color="auto" w:sz="4" w:space="0"/>
                  </w:tcBorders>
                  <w:vAlign w:val="center"/>
                </w:tcPr>
                <w:p>
                  <w:pPr>
                    <w:jc w:val="center"/>
                    <w:rPr>
                      <w:color w:val="000000"/>
                      <w:kern w:val="0"/>
                      <w:szCs w:val="21"/>
                    </w:rPr>
                  </w:pPr>
                  <w:r>
                    <w:rPr>
                      <w:color w:val="000000"/>
                      <w:kern w:val="0"/>
                      <w:szCs w:val="21"/>
                    </w:rPr>
                    <w:t>优级纯、分析纯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11</w:t>
                  </w:r>
                </w:p>
              </w:tc>
              <w:tc>
                <w:tcPr>
                  <w:tcW w:w="1137" w:type="pct"/>
                  <w:vAlign w:val="center"/>
                </w:tcPr>
                <w:p>
                  <w:pPr>
                    <w:jc w:val="center"/>
                    <w:rPr>
                      <w:color w:val="000000"/>
                      <w:kern w:val="0"/>
                      <w:szCs w:val="21"/>
                    </w:rPr>
                  </w:pPr>
                  <w:r>
                    <w:rPr>
                      <w:color w:val="000000"/>
                      <w:kern w:val="0"/>
                      <w:szCs w:val="21"/>
                    </w:rPr>
                    <w:t>盐酸</w:t>
                  </w:r>
                </w:p>
              </w:tc>
              <w:tc>
                <w:tcPr>
                  <w:tcW w:w="802" w:type="pct"/>
                  <w:vAlign w:val="center"/>
                </w:tcPr>
                <w:p>
                  <w:pPr>
                    <w:jc w:val="center"/>
                    <w:rPr>
                      <w:color w:val="000000"/>
                      <w:kern w:val="0"/>
                      <w:szCs w:val="21"/>
                    </w:rPr>
                  </w:pPr>
                  <w:r>
                    <w:rPr>
                      <w:color w:val="000000"/>
                      <w:kern w:val="0"/>
                      <w:szCs w:val="21"/>
                    </w:rPr>
                    <w:t>2L</w:t>
                  </w:r>
                </w:p>
              </w:tc>
              <w:tc>
                <w:tcPr>
                  <w:tcW w:w="738" w:type="pct"/>
                  <w:tcBorders>
                    <w:right w:val="single" w:color="auto" w:sz="4" w:space="0"/>
                  </w:tcBorders>
                  <w:vAlign w:val="center"/>
                </w:tcPr>
                <w:p>
                  <w:pPr>
                    <w:jc w:val="center"/>
                    <w:rPr>
                      <w:color w:val="000000"/>
                      <w:kern w:val="0"/>
                      <w:szCs w:val="21"/>
                    </w:rPr>
                  </w:pPr>
                  <w:r>
                    <w:rPr>
                      <w:color w:val="000000"/>
                      <w:kern w:val="0"/>
                      <w:szCs w:val="21"/>
                    </w:rPr>
                    <w:t>优级纯、分析纯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12</w:t>
                  </w:r>
                </w:p>
              </w:tc>
              <w:tc>
                <w:tcPr>
                  <w:tcW w:w="1137" w:type="pct"/>
                  <w:vAlign w:val="center"/>
                </w:tcPr>
                <w:p>
                  <w:pPr>
                    <w:jc w:val="center"/>
                    <w:rPr>
                      <w:color w:val="000000"/>
                      <w:kern w:val="0"/>
                      <w:szCs w:val="21"/>
                    </w:rPr>
                  </w:pPr>
                  <w:r>
                    <w:rPr>
                      <w:color w:val="000000"/>
                      <w:kern w:val="0"/>
                      <w:szCs w:val="21"/>
                    </w:rPr>
                    <w:t>硝酸</w:t>
                  </w:r>
                </w:p>
              </w:tc>
              <w:tc>
                <w:tcPr>
                  <w:tcW w:w="802" w:type="pct"/>
                  <w:vAlign w:val="center"/>
                </w:tcPr>
                <w:p>
                  <w:pPr>
                    <w:jc w:val="center"/>
                    <w:rPr>
                      <w:color w:val="000000"/>
                      <w:kern w:val="0"/>
                      <w:szCs w:val="21"/>
                    </w:rPr>
                  </w:pPr>
                  <w:r>
                    <w:rPr>
                      <w:color w:val="000000"/>
                      <w:kern w:val="0"/>
                      <w:szCs w:val="21"/>
                    </w:rPr>
                    <w:t>2L</w:t>
                  </w:r>
                </w:p>
              </w:tc>
              <w:tc>
                <w:tcPr>
                  <w:tcW w:w="738" w:type="pct"/>
                  <w:tcBorders>
                    <w:right w:val="single" w:color="auto" w:sz="4" w:space="0"/>
                  </w:tcBorders>
                  <w:vAlign w:val="center"/>
                </w:tcPr>
                <w:p>
                  <w:pPr>
                    <w:jc w:val="center"/>
                    <w:rPr>
                      <w:color w:val="000000"/>
                      <w:kern w:val="0"/>
                      <w:szCs w:val="21"/>
                    </w:rPr>
                  </w:pPr>
                  <w:r>
                    <w:rPr>
                      <w:color w:val="000000"/>
                      <w:kern w:val="0"/>
                      <w:szCs w:val="21"/>
                    </w:rPr>
                    <w:t>优级纯、分析纯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13</w:t>
                  </w:r>
                </w:p>
              </w:tc>
              <w:tc>
                <w:tcPr>
                  <w:tcW w:w="1137" w:type="pct"/>
                  <w:vAlign w:val="center"/>
                </w:tcPr>
                <w:p>
                  <w:pPr>
                    <w:jc w:val="center"/>
                    <w:rPr>
                      <w:color w:val="000000"/>
                      <w:kern w:val="0"/>
                      <w:szCs w:val="21"/>
                    </w:rPr>
                  </w:pPr>
                  <w:r>
                    <w:rPr>
                      <w:color w:val="000000"/>
                      <w:kern w:val="0"/>
                      <w:szCs w:val="21"/>
                    </w:rPr>
                    <w:t>高氯酸</w:t>
                  </w:r>
                </w:p>
              </w:tc>
              <w:tc>
                <w:tcPr>
                  <w:tcW w:w="802" w:type="pct"/>
                  <w:vAlign w:val="center"/>
                </w:tcPr>
                <w:p>
                  <w:pPr>
                    <w:jc w:val="center"/>
                    <w:rPr>
                      <w:color w:val="000000"/>
                      <w:kern w:val="0"/>
                      <w:szCs w:val="21"/>
                    </w:rPr>
                  </w:pPr>
                  <w:r>
                    <w:rPr>
                      <w:color w:val="000000"/>
                      <w:kern w:val="0"/>
                      <w:szCs w:val="21"/>
                    </w:rPr>
                    <w:t>2L</w:t>
                  </w:r>
                </w:p>
              </w:tc>
              <w:tc>
                <w:tcPr>
                  <w:tcW w:w="738" w:type="pct"/>
                  <w:tcBorders>
                    <w:right w:val="single" w:color="auto" w:sz="4" w:space="0"/>
                  </w:tcBorders>
                  <w:vAlign w:val="center"/>
                </w:tcPr>
                <w:p>
                  <w:pPr>
                    <w:jc w:val="center"/>
                    <w:rPr>
                      <w:color w:val="000000"/>
                      <w:kern w:val="0"/>
                      <w:szCs w:val="21"/>
                    </w:rPr>
                  </w:pPr>
                  <w:r>
                    <w:rPr>
                      <w:color w:val="000000"/>
                      <w:kern w:val="0"/>
                      <w:szCs w:val="21"/>
                    </w:rPr>
                    <w:t>优级纯、分析纯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14</w:t>
                  </w:r>
                </w:p>
              </w:tc>
              <w:tc>
                <w:tcPr>
                  <w:tcW w:w="1137" w:type="pct"/>
                  <w:vAlign w:val="center"/>
                </w:tcPr>
                <w:p>
                  <w:pPr>
                    <w:jc w:val="center"/>
                    <w:rPr>
                      <w:color w:val="000000"/>
                      <w:kern w:val="0"/>
                      <w:szCs w:val="21"/>
                    </w:rPr>
                  </w:pPr>
                  <w:r>
                    <w:rPr>
                      <w:color w:val="000000"/>
                      <w:kern w:val="0"/>
                      <w:szCs w:val="21"/>
                    </w:rPr>
                    <w:t>磷酸</w:t>
                  </w:r>
                </w:p>
              </w:tc>
              <w:tc>
                <w:tcPr>
                  <w:tcW w:w="802" w:type="pct"/>
                  <w:vAlign w:val="center"/>
                </w:tcPr>
                <w:p>
                  <w:pPr>
                    <w:jc w:val="center"/>
                    <w:rPr>
                      <w:color w:val="000000"/>
                      <w:kern w:val="0"/>
                      <w:szCs w:val="21"/>
                    </w:rPr>
                  </w:pPr>
                  <w:r>
                    <w:rPr>
                      <w:color w:val="000000"/>
                      <w:kern w:val="0"/>
                      <w:szCs w:val="21"/>
                    </w:rPr>
                    <w:t>2L</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15</w:t>
                  </w:r>
                </w:p>
              </w:tc>
              <w:tc>
                <w:tcPr>
                  <w:tcW w:w="1137" w:type="pct"/>
                  <w:vAlign w:val="center"/>
                </w:tcPr>
                <w:p>
                  <w:pPr>
                    <w:jc w:val="center"/>
                    <w:rPr>
                      <w:color w:val="000000"/>
                      <w:kern w:val="0"/>
                      <w:szCs w:val="21"/>
                    </w:rPr>
                  </w:pPr>
                  <w:r>
                    <w:rPr>
                      <w:color w:val="000000"/>
                      <w:kern w:val="0"/>
                      <w:szCs w:val="21"/>
                    </w:rPr>
                    <w:t>冰乙酸</w:t>
                  </w:r>
                </w:p>
              </w:tc>
              <w:tc>
                <w:tcPr>
                  <w:tcW w:w="802" w:type="pct"/>
                  <w:vAlign w:val="center"/>
                </w:tcPr>
                <w:p>
                  <w:pPr>
                    <w:jc w:val="center"/>
                    <w:rPr>
                      <w:color w:val="000000"/>
                      <w:kern w:val="0"/>
                      <w:szCs w:val="21"/>
                    </w:rPr>
                  </w:pPr>
                  <w:r>
                    <w:rPr>
                      <w:color w:val="000000"/>
                      <w:kern w:val="0"/>
                      <w:szCs w:val="21"/>
                    </w:rPr>
                    <w:t>2L</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16</w:t>
                  </w:r>
                </w:p>
              </w:tc>
              <w:tc>
                <w:tcPr>
                  <w:tcW w:w="1137" w:type="pct"/>
                  <w:vAlign w:val="center"/>
                </w:tcPr>
                <w:p>
                  <w:pPr>
                    <w:jc w:val="center"/>
                    <w:rPr>
                      <w:color w:val="000000"/>
                      <w:kern w:val="0"/>
                      <w:szCs w:val="21"/>
                    </w:rPr>
                  </w:pPr>
                  <w:r>
                    <w:rPr>
                      <w:color w:val="000000"/>
                      <w:kern w:val="0"/>
                      <w:szCs w:val="21"/>
                    </w:rPr>
                    <w:t>氨水</w:t>
                  </w:r>
                </w:p>
              </w:tc>
              <w:tc>
                <w:tcPr>
                  <w:tcW w:w="802" w:type="pct"/>
                  <w:vAlign w:val="center"/>
                </w:tcPr>
                <w:p>
                  <w:pPr>
                    <w:jc w:val="center"/>
                    <w:rPr>
                      <w:color w:val="000000"/>
                      <w:kern w:val="0"/>
                      <w:szCs w:val="21"/>
                    </w:rPr>
                  </w:pPr>
                  <w:r>
                    <w:rPr>
                      <w:color w:val="000000"/>
                      <w:kern w:val="0"/>
                      <w:szCs w:val="21"/>
                    </w:rPr>
                    <w:t>2L</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17</w:t>
                  </w:r>
                </w:p>
              </w:tc>
              <w:tc>
                <w:tcPr>
                  <w:tcW w:w="1137" w:type="pct"/>
                  <w:vAlign w:val="center"/>
                </w:tcPr>
                <w:p>
                  <w:pPr>
                    <w:jc w:val="center"/>
                    <w:rPr>
                      <w:color w:val="000000"/>
                      <w:kern w:val="0"/>
                      <w:szCs w:val="21"/>
                    </w:rPr>
                  </w:pPr>
                  <w:r>
                    <w:rPr>
                      <w:color w:val="000000"/>
                      <w:kern w:val="0"/>
                      <w:szCs w:val="21"/>
                    </w:rPr>
                    <w:t>无水乙醚</w:t>
                  </w:r>
                </w:p>
              </w:tc>
              <w:tc>
                <w:tcPr>
                  <w:tcW w:w="802" w:type="pct"/>
                  <w:vAlign w:val="center"/>
                </w:tcPr>
                <w:p>
                  <w:pPr>
                    <w:jc w:val="center"/>
                    <w:rPr>
                      <w:color w:val="000000"/>
                      <w:kern w:val="0"/>
                      <w:szCs w:val="21"/>
                    </w:rPr>
                  </w:pPr>
                  <w:r>
                    <w:rPr>
                      <w:color w:val="000000"/>
                      <w:kern w:val="0"/>
                      <w:szCs w:val="21"/>
                    </w:rPr>
                    <w:t>3L</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18</w:t>
                  </w:r>
                </w:p>
              </w:tc>
              <w:tc>
                <w:tcPr>
                  <w:tcW w:w="1137" w:type="pct"/>
                  <w:vAlign w:val="center"/>
                </w:tcPr>
                <w:p>
                  <w:pPr>
                    <w:jc w:val="center"/>
                    <w:rPr>
                      <w:color w:val="000000"/>
                      <w:kern w:val="0"/>
                      <w:szCs w:val="21"/>
                    </w:rPr>
                  </w:pPr>
                  <w:r>
                    <w:rPr>
                      <w:color w:val="000000"/>
                      <w:kern w:val="0"/>
                      <w:szCs w:val="21"/>
                    </w:rPr>
                    <w:t>95%乙醇</w:t>
                  </w:r>
                </w:p>
              </w:tc>
              <w:tc>
                <w:tcPr>
                  <w:tcW w:w="802" w:type="pct"/>
                  <w:vAlign w:val="center"/>
                </w:tcPr>
                <w:p>
                  <w:pPr>
                    <w:jc w:val="center"/>
                    <w:rPr>
                      <w:color w:val="000000"/>
                      <w:kern w:val="0"/>
                      <w:szCs w:val="21"/>
                    </w:rPr>
                  </w:pPr>
                  <w:r>
                    <w:rPr>
                      <w:color w:val="000000"/>
                      <w:kern w:val="0"/>
                      <w:szCs w:val="21"/>
                    </w:rPr>
                    <w:t>10L</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19</w:t>
                  </w:r>
                </w:p>
              </w:tc>
              <w:tc>
                <w:tcPr>
                  <w:tcW w:w="1137" w:type="pct"/>
                  <w:vAlign w:val="center"/>
                </w:tcPr>
                <w:p>
                  <w:pPr>
                    <w:jc w:val="center"/>
                    <w:rPr>
                      <w:color w:val="000000"/>
                      <w:kern w:val="0"/>
                      <w:szCs w:val="21"/>
                    </w:rPr>
                  </w:pPr>
                  <w:r>
                    <w:rPr>
                      <w:color w:val="000000"/>
                      <w:kern w:val="0"/>
                      <w:szCs w:val="21"/>
                    </w:rPr>
                    <w:t>无水乙醇</w:t>
                  </w:r>
                </w:p>
              </w:tc>
              <w:tc>
                <w:tcPr>
                  <w:tcW w:w="802" w:type="pct"/>
                  <w:vAlign w:val="center"/>
                </w:tcPr>
                <w:p>
                  <w:pPr>
                    <w:jc w:val="center"/>
                    <w:rPr>
                      <w:color w:val="000000"/>
                      <w:kern w:val="0"/>
                      <w:szCs w:val="21"/>
                    </w:rPr>
                  </w:pPr>
                  <w:r>
                    <w:rPr>
                      <w:color w:val="000000"/>
                      <w:kern w:val="0"/>
                      <w:szCs w:val="21"/>
                    </w:rPr>
                    <w:t>10L</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20</w:t>
                  </w:r>
                </w:p>
              </w:tc>
              <w:tc>
                <w:tcPr>
                  <w:tcW w:w="1137" w:type="pct"/>
                  <w:vAlign w:val="center"/>
                </w:tcPr>
                <w:p>
                  <w:pPr>
                    <w:jc w:val="center"/>
                    <w:rPr>
                      <w:color w:val="000000"/>
                      <w:kern w:val="0"/>
                      <w:szCs w:val="21"/>
                    </w:rPr>
                  </w:pPr>
                  <w:r>
                    <w:rPr>
                      <w:color w:val="000000"/>
                      <w:kern w:val="0"/>
                      <w:szCs w:val="21"/>
                    </w:rPr>
                    <w:t>三氯甲烷</w:t>
                  </w:r>
                </w:p>
              </w:tc>
              <w:tc>
                <w:tcPr>
                  <w:tcW w:w="802" w:type="pct"/>
                  <w:vAlign w:val="center"/>
                </w:tcPr>
                <w:p>
                  <w:pPr>
                    <w:jc w:val="center"/>
                    <w:rPr>
                      <w:color w:val="000000"/>
                      <w:kern w:val="0"/>
                      <w:szCs w:val="21"/>
                    </w:rPr>
                  </w:pPr>
                  <w:r>
                    <w:rPr>
                      <w:color w:val="000000"/>
                      <w:kern w:val="0"/>
                      <w:szCs w:val="21"/>
                    </w:rPr>
                    <w:t>2L</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21</w:t>
                  </w:r>
                </w:p>
              </w:tc>
              <w:tc>
                <w:tcPr>
                  <w:tcW w:w="1137" w:type="pct"/>
                  <w:vAlign w:val="center"/>
                </w:tcPr>
                <w:p>
                  <w:pPr>
                    <w:jc w:val="center"/>
                    <w:rPr>
                      <w:color w:val="000000"/>
                      <w:kern w:val="0"/>
                      <w:szCs w:val="21"/>
                    </w:rPr>
                  </w:pPr>
                  <w:r>
                    <w:rPr>
                      <w:color w:val="000000"/>
                      <w:kern w:val="0"/>
                      <w:szCs w:val="21"/>
                    </w:rPr>
                    <w:t>四氯化碳</w:t>
                  </w:r>
                </w:p>
              </w:tc>
              <w:tc>
                <w:tcPr>
                  <w:tcW w:w="802" w:type="pct"/>
                  <w:vAlign w:val="center"/>
                </w:tcPr>
                <w:p>
                  <w:pPr>
                    <w:jc w:val="center"/>
                    <w:rPr>
                      <w:color w:val="000000"/>
                      <w:kern w:val="0"/>
                      <w:szCs w:val="21"/>
                    </w:rPr>
                  </w:pPr>
                  <w:r>
                    <w:rPr>
                      <w:color w:val="000000"/>
                      <w:kern w:val="0"/>
                      <w:szCs w:val="21"/>
                    </w:rPr>
                    <w:t>10L</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22</w:t>
                  </w:r>
                </w:p>
              </w:tc>
              <w:tc>
                <w:tcPr>
                  <w:tcW w:w="1137" w:type="pct"/>
                  <w:vAlign w:val="center"/>
                </w:tcPr>
                <w:p>
                  <w:pPr>
                    <w:jc w:val="center"/>
                    <w:rPr>
                      <w:color w:val="000000"/>
                      <w:kern w:val="0"/>
                      <w:szCs w:val="21"/>
                    </w:rPr>
                  </w:pPr>
                  <w:r>
                    <w:rPr>
                      <w:color w:val="000000"/>
                      <w:kern w:val="0"/>
                      <w:szCs w:val="21"/>
                    </w:rPr>
                    <w:t>正己烷</w:t>
                  </w:r>
                </w:p>
              </w:tc>
              <w:tc>
                <w:tcPr>
                  <w:tcW w:w="802" w:type="pct"/>
                  <w:vAlign w:val="center"/>
                </w:tcPr>
                <w:p>
                  <w:pPr>
                    <w:jc w:val="center"/>
                    <w:rPr>
                      <w:color w:val="000000"/>
                      <w:kern w:val="0"/>
                      <w:szCs w:val="21"/>
                    </w:rPr>
                  </w:pPr>
                  <w:r>
                    <w:rPr>
                      <w:color w:val="000000"/>
                      <w:kern w:val="0"/>
                      <w:szCs w:val="21"/>
                    </w:rPr>
                    <w:t>2L</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23</w:t>
                  </w:r>
                </w:p>
              </w:tc>
              <w:tc>
                <w:tcPr>
                  <w:tcW w:w="1137" w:type="pct"/>
                  <w:vAlign w:val="center"/>
                </w:tcPr>
                <w:p>
                  <w:pPr>
                    <w:jc w:val="center"/>
                    <w:rPr>
                      <w:color w:val="000000"/>
                      <w:kern w:val="0"/>
                      <w:szCs w:val="21"/>
                    </w:rPr>
                  </w:pPr>
                  <w:r>
                    <w:rPr>
                      <w:color w:val="000000"/>
                      <w:kern w:val="0"/>
                      <w:szCs w:val="21"/>
                    </w:rPr>
                    <w:t>丙酮</w:t>
                  </w:r>
                </w:p>
              </w:tc>
              <w:tc>
                <w:tcPr>
                  <w:tcW w:w="802" w:type="pct"/>
                  <w:vAlign w:val="center"/>
                </w:tcPr>
                <w:p>
                  <w:pPr>
                    <w:jc w:val="center"/>
                    <w:rPr>
                      <w:color w:val="000000"/>
                      <w:kern w:val="0"/>
                      <w:szCs w:val="21"/>
                    </w:rPr>
                  </w:pPr>
                  <w:r>
                    <w:rPr>
                      <w:color w:val="000000"/>
                      <w:kern w:val="0"/>
                      <w:szCs w:val="21"/>
                    </w:rPr>
                    <w:t>2L</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24</w:t>
                  </w:r>
                </w:p>
              </w:tc>
              <w:tc>
                <w:tcPr>
                  <w:tcW w:w="1137" w:type="pct"/>
                  <w:vAlign w:val="center"/>
                </w:tcPr>
                <w:p>
                  <w:pPr>
                    <w:jc w:val="center"/>
                    <w:rPr>
                      <w:color w:val="000000"/>
                      <w:kern w:val="0"/>
                      <w:szCs w:val="21"/>
                    </w:rPr>
                  </w:pPr>
                  <w:r>
                    <w:rPr>
                      <w:color w:val="000000"/>
                      <w:kern w:val="0"/>
                      <w:szCs w:val="21"/>
                    </w:rPr>
                    <w:t>石油醚</w:t>
                  </w:r>
                </w:p>
              </w:tc>
              <w:tc>
                <w:tcPr>
                  <w:tcW w:w="802" w:type="pct"/>
                  <w:vAlign w:val="center"/>
                </w:tcPr>
                <w:p>
                  <w:pPr>
                    <w:jc w:val="center"/>
                    <w:rPr>
                      <w:color w:val="000000"/>
                      <w:kern w:val="0"/>
                      <w:szCs w:val="21"/>
                    </w:rPr>
                  </w:pPr>
                  <w:r>
                    <w:rPr>
                      <w:color w:val="000000"/>
                      <w:kern w:val="0"/>
                      <w:szCs w:val="21"/>
                    </w:rPr>
                    <w:t>2L</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25</w:t>
                  </w:r>
                </w:p>
              </w:tc>
              <w:tc>
                <w:tcPr>
                  <w:tcW w:w="1137" w:type="pct"/>
                  <w:vAlign w:val="center"/>
                </w:tcPr>
                <w:p>
                  <w:pPr>
                    <w:jc w:val="center"/>
                    <w:rPr>
                      <w:color w:val="000000"/>
                      <w:kern w:val="0"/>
                      <w:szCs w:val="21"/>
                    </w:rPr>
                  </w:pPr>
                  <w:r>
                    <w:rPr>
                      <w:color w:val="000000"/>
                      <w:kern w:val="0"/>
                      <w:szCs w:val="21"/>
                    </w:rPr>
                    <w:t>甲酸</w:t>
                  </w:r>
                </w:p>
              </w:tc>
              <w:tc>
                <w:tcPr>
                  <w:tcW w:w="802" w:type="pct"/>
                  <w:vAlign w:val="center"/>
                </w:tcPr>
                <w:p>
                  <w:pPr>
                    <w:jc w:val="center"/>
                    <w:rPr>
                      <w:color w:val="000000"/>
                      <w:kern w:val="0"/>
                      <w:szCs w:val="21"/>
                    </w:rPr>
                  </w:pPr>
                  <w:r>
                    <w:rPr>
                      <w:color w:val="000000"/>
                      <w:kern w:val="0"/>
                      <w:szCs w:val="21"/>
                    </w:rPr>
                    <w:t>2L</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26</w:t>
                  </w:r>
                </w:p>
              </w:tc>
              <w:tc>
                <w:tcPr>
                  <w:tcW w:w="1137" w:type="pct"/>
                  <w:vAlign w:val="center"/>
                </w:tcPr>
                <w:p>
                  <w:pPr>
                    <w:jc w:val="center"/>
                    <w:rPr>
                      <w:color w:val="000000"/>
                      <w:kern w:val="0"/>
                      <w:szCs w:val="21"/>
                    </w:rPr>
                  </w:pPr>
                  <w:r>
                    <w:rPr>
                      <w:color w:val="000000"/>
                      <w:kern w:val="0"/>
                      <w:szCs w:val="21"/>
                    </w:rPr>
                    <w:t>乙酸</w:t>
                  </w:r>
                </w:p>
              </w:tc>
              <w:tc>
                <w:tcPr>
                  <w:tcW w:w="802" w:type="pct"/>
                  <w:vAlign w:val="center"/>
                </w:tcPr>
                <w:p>
                  <w:pPr>
                    <w:jc w:val="center"/>
                    <w:rPr>
                      <w:color w:val="000000"/>
                      <w:kern w:val="0"/>
                      <w:szCs w:val="21"/>
                    </w:rPr>
                  </w:pPr>
                  <w:r>
                    <w:rPr>
                      <w:color w:val="000000"/>
                      <w:kern w:val="0"/>
                      <w:szCs w:val="21"/>
                    </w:rPr>
                    <w:t>2L</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27</w:t>
                  </w:r>
                </w:p>
              </w:tc>
              <w:tc>
                <w:tcPr>
                  <w:tcW w:w="1137" w:type="pct"/>
                  <w:vAlign w:val="center"/>
                </w:tcPr>
                <w:p>
                  <w:pPr>
                    <w:jc w:val="center"/>
                    <w:rPr>
                      <w:color w:val="000000"/>
                      <w:kern w:val="0"/>
                      <w:szCs w:val="21"/>
                    </w:rPr>
                  </w:pPr>
                  <w:r>
                    <w:rPr>
                      <w:color w:val="000000"/>
                      <w:kern w:val="0"/>
                      <w:szCs w:val="21"/>
                    </w:rPr>
                    <w:t>异丙酮</w:t>
                  </w:r>
                </w:p>
              </w:tc>
              <w:tc>
                <w:tcPr>
                  <w:tcW w:w="802" w:type="pct"/>
                  <w:vAlign w:val="center"/>
                </w:tcPr>
                <w:p>
                  <w:pPr>
                    <w:jc w:val="center"/>
                    <w:rPr>
                      <w:color w:val="000000"/>
                      <w:kern w:val="0"/>
                      <w:szCs w:val="21"/>
                    </w:rPr>
                  </w:pPr>
                  <w:r>
                    <w:rPr>
                      <w:color w:val="000000"/>
                      <w:kern w:val="0"/>
                      <w:szCs w:val="21"/>
                    </w:rPr>
                    <w:t>2L</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28</w:t>
                  </w:r>
                </w:p>
              </w:tc>
              <w:tc>
                <w:tcPr>
                  <w:tcW w:w="1137" w:type="pct"/>
                  <w:vAlign w:val="center"/>
                </w:tcPr>
                <w:p>
                  <w:pPr>
                    <w:jc w:val="center"/>
                    <w:rPr>
                      <w:color w:val="000000"/>
                      <w:kern w:val="0"/>
                      <w:szCs w:val="21"/>
                    </w:rPr>
                  </w:pPr>
                  <w:r>
                    <w:rPr>
                      <w:color w:val="000000"/>
                      <w:kern w:val="0"/>
                      <w:szCs w:val="21"/>
                    </w:rPr>
                    <w:t>甲苯</w:t>
                  </w:r>
                </w:p>
              </w:tc>
              <w:tc>
                <w:tcPr>
                  <w:tcW w:w="802" w:type="pct"/>
                  <w:vAlign w:val="center"/>
                </w:tcPr>
                <w:p>
                  <w:pPr>
                    <w:jc w:val="center"/>
                    <w:rPr>
                      <w:color w:val="000000"/>
                      <w:kern w:val="0"/>
                      <w:szCs w:val="21"/>
                    </w:rPr>
                  </w:pPr>
                  <w:r>
                    <w:rPr>
                      <w:color w:val="000000"/>
                      <w:kern w:val="0"/>
                      <w:szCs w:val="21"/>
                    </w:rPr>
                    <w:t>2L</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29</w:t>
                  </w:r>
                </w:p>
              </w:tc>
              <w:tc>
                <w:tcPr>
                  <w:tcW w:w="1137" w:type="pct"/>
                  <w:vAlign w:val="center"/>
                </w:tcPr>
                <w:p>
                  <w:pPr>
                    <w:jc w:val="center"/>
                    <w:rPr>
                      <w:color w:val="000000"/>
                      <w:kern w:val="0"/>
                      <w:szCs w:val="21"/>
                    </w:rPr>
                  </w:pPr>
                  <w:r>
                    <w:rPr>
                      <w:color w:val="000000"/>
                      <w:kern w:val="0"/>
                      <w:szCs w:val="21"/>
                    </w:rPr>
                    <w:t>氯仿</w:t>
                  </w:r>
                </w:p>
              </w:tc>
              <w:tc>
                <w:tcPr>
                  <w:tcW w:w="802" w:type="pct"/>
                  <w:vAlign w:val="center"/>
                </w:tcPr>
                <w:p>
                  <w:pPr>
                    <w:jc w:val="center"/>
                    <w:rPr>
                      <w:color w:val="000000"/>
                      <w:kern w:val="0"/>
                      <w:szCs w:val="21"/>
                    </w:rPr>
                  </w:pPr>
                  <w:r>
                    <w:rPr>
                      <w:color w:val="000000"/>
                      <w:kern w:val="0"/>
                      <w:szCs w:val="21"/>
                    </w:rPr>
                    <w:t>2L</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30</w:t>
                  </w:r>
                </w:p>
              </w:tc>
              <w:tc>
                <w:tcPr>
                  <w:tcW w:w="1137" w:type="pct"/>
                  <w:vAlign w:val="center"/>
                </w:tcPr>
                <w:p>
                  <w:pPr>
                    <w:jc w:val="center"/>
                    <w:rPr>
                      <w:color w:val="000000"/>
                      <w:kern w:val="0"/>
                      <w:szCs w:val="21"/>
                    </w:rPr>
                  </w:pPr>
                  <w:r>
                    <w:rPr>
                      <w:color w:val="000000"/>
                      <w:kern w:val="0"/>
                      <w:szCs w:val="21"/>
                    </w:rPr>
                    <w:t>异辛烷</w:t>
                  </w:r>
                </w:p>
              </w:tc>
              <w:tc>
                <w:tcPr>
                  <w:tcW w:w="802" w:type="pct"/>
                  <w:vAlign w:val="center"/>
                </w:tcPr>
                <w:p>
                  <w:pPr>
                    <w:jc w:val="center"/>
                    <w:rPr>
                      <w:color w:val="000000"/>
                      <w:kern w:val="0"/>
                      <w:szCs w:val="21"/>
                    </w:rPr>
                  </w:pPr>
                  <w:r>
                    <w:rPr>
                      <w:color w:val="000000"/>
                      <w:kern w:val="0"/>
                      <w:szCs w:val="21"/>
                    </w:rPr>
                    <w:t>2L</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31</w:t>
                  </w:r>
                </w:p>
              </w:tc>
              <w:tc>
                <w:tcPr>
                  <w:tcW w:w="1137" w:type="pct"/>
                  <w:vAlign w:val="center"/>
                </w:tcPr>
                <w:p>
                  <w:pPr>
                    <w:jc w:val="center"/>
                    <w:rPr>
                      <w:color w:val="000000"/>
                      <w:kern w:val="0"/>
                      <w:szCs w:val="21"/>
                    </w:rPr>
                  </w:pPr>
                  <w:r>
                    <w:rPr>
                      <w:color w:val="000000"/>
                      <w:kern w:val="0"/>
                      <w:szCs w:val="21"/>
                    </w:rPr>
                    <w:t>环乙烷</w:t>
                  </w:r>
                </w:p>
              </w:tc>
              <w:tc>
                <w:tcPr>
                  <w:tcW w:w="802" w:type="pct"/>
                  <w:vAlign w:val="center"/>
                </w:tcPr>
                <w:p>
                  <w:pPr>
                    <w:jc w:val="center"/>
                    <w:rPr>
                      <w:color w:val="000000"/>
                      <w:kern w:val="0"/>
                      <w:szCs w:val="21"/>
                    </w:rPr>
                  </w:pPr>
                  <w:r>
                    <w:rPr>
                      <w:color w:val="000000"/>
                      <w:kern w:val="0"/>
                      <w:szCs w:val="21"/>
                    </w:rPr>
                    <w:t>2L</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32</w:t>
                  </w:r>
                </w:p>
              </w:tc>
              <w:tc>
                <w:tcPr>
                  <w:tcW w:w="1137" w:type="pct"/>
                  <w:vAlign w:val="center"/>
                </w:tcPr>
                <w:p>
                  <w:pPr>
                    <w:jc w:val="center"/>
                    <w:rPr>
                      <w:color w:val="000000"/>
                      <w:kern w:val="0"/>
                      <w:szCs w:val="21"/>
                    </w:rPr>
                  </w:pPr>
                  <w:r>
                    <w:rPr>
                      <w:color w:val="000000"/>
                      <w:kern w:val="0"/>
                      <w:szCs w:val="21"/>
                    </w:rPr>
                    <w:t>环已烷</w:t>
                  </w:r>
                </w:p>
              </w:tc>
              <w:tc>
                <w:tcPr>
                  <w:tcW w:w="802" w:type="pct"/>
                  <w:vAlign w:val="center"/>
                </w:tcPr>
                <w:p>
                  <w:pPr>
                    <w:jc w:val="center"/>
                    <w:rPr>
                      <w:color w:val="000000"/>
                      <w:kern w:val="0"/>
                      <w:szCs w:val="21"/>
                    </w:rPr>
                  </w:pPr>
                  <w:r>
                    <w:rPr>
                      <w:color w:val="000000"/>
                      <w:kern w:val="0"/>
                      <w:szCs w:val="21"/>
                    </w:rPr>
                    <w:t>2L</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33</w:t>
                  </w:r>
                </w:p>
              </w:tc>
              <w:tc>
                <w:tcPr>
                  <w:tcW w:w="1137" w:type="pct"/>
                  <w:vAlign w:val="center"/>
                </w:tcPr>
                <w:p>
                  <w:pPr>
                    <w:jc w:val="center"/>
                    <w:rPr>
                      <w:color w:val="000000"/>
                      <w:kern w:val="0"/>
                      <w:szCs w:val="21"/>
                    </w:rPr>
                  </w:pPr>
                  <w:r>
                    <w:rPr>
                      <w:color w:val="000000"/>
                      <w:kern w:val="0"/>
                      <w:szCs w:val="21"/>
                    </w:rPr>
                    <w:t>氢氧化钠</w:t>
                  </w:r>
                </w:p>
              </w:tc>
              <w:tc>
                <w:tcPr>
                  <w:tcW w:w="802" w:type="pct"/>
                  <w:vAlign w:val="center"/>
                </w:tcPr>
                <w:p>
                  <w:pPr>
                    <w:jc w:val="center"/>
                    <w:rPr>
                      <w:color w:val="000000"/>
                      <w:kern w:val="0"/>
                      <w:szCs w:val="21"/>
                    </w:rPr>
                  </w:pPr>
                  <w:r>
                    <w:rPr>
                      <w:color w:val="000000"/>
                      <w:kern w:val="0"/>
                      <w:szCs w:val="21"/>
                    </w:rPr>
                    <w:t>5Kg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34</w:t>
                  </w:r>
                </w:p>
              </w:tc>
              <w:tc>
                <w:tcPr>
                  <w:tcW w:w="1137" w:type="pct"/>
                  <w:vAlign w:val="center"/>
                </w:tcPr>
                <w:p>
                  <w:pPr>
                    <w:jc w:val="center"/>
                    <w:rPr>
                      <w:color w:val="000000"/>
                      <w:kern w:val="0"/>
                      <w:szCs w:val="21"/>
                    </w:rPr>
                  </w:pPr>
                  <w:r>
                    <w:rPr>
                      <w:color w:val="000000"/>
                      <w:kern w:val="0"/>
                      <w:szCs w:val="21"/>
                    </w:rPr>
                    <w:t>氢氧化钾</w:t>
                  </w:r>
                </w:p>
              </w:tc>
              <w:tc>
                <w:tcPr>
                  <w:tcW w:w="802" w:type="pct"/>
                  <w:vAlign w:val="center"/>
                </w:tcPr>
                <w:p>
                  <w:pPr>
                    <w:jc w:val="center"/>
                    <w:rPr>
                      <w:color w:val="000000"/>
                      <w:kern w:val="0"/>
                      <w:szCs w:val="21"/>
                    </w:rPr>
                  </w:pPr>
                  <w:r>
                    <w:rPr>
                      <w:color w:val="000000"/>
                      <w:kern w:val="0"/>
                      <w:szCs w:val="21"/>
                    </w:rPr>
                    <w:t>1.5Kg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35</w:t>
                  </w:r>
                </w:p>
              </w:tc>
              <w:tc>
                <w:tcPr>
                  <w:tcW w:w="1137" w:type="pct"/>
                  <w:vAlign w:val="center"/>
                </w:tcPr>
                <w:p>
                  <w:pPr>
                    <w:jc w:val="center"/>
                    <w:rPr>
                      <w:color w:val="000000"/>
                      <w:kern w:val="0"/>
                      <w:szCs w:val="21"/>
                    </w:rPr>
                  </w:pPr>
                  <w:r>
                    <w:rPr>
                      <w:color w:val="000000"/>
                      <w:kern w:val="0"/>
                      <w:szCs w:val="21"/>
                    </w:rPr>
                    <w:t>酒石酸氢钾</w:t>
                  </w:r>
                </w:p>
              </w:tc>
              <w:tc>
                <w:tcPr>
                  <w:tcW w:w="802" w:type="pct"/>
                  <w:vAlign w:val="center"/>
                </w:tcPr>
                <w:p>
                  <w:pPr>
                    <w:jc w:val="center"/>
                    <w:rPr>
                      <w:color w:val="000000"/>
                      <w:kern w:val="0"/>
                      <w:szCs w:val="21"/>
                    </w:rPr>
                  </w:pPr>
                  <w:r>
                    <w:rPr>
                      <w:color w:val="000000"/>
                      <w:kern w:val="0"/>
                      <w:szCs w:val="21"/>
                    </w:rPr>
                    <w:t>500g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36</w:t>
                  </w:r>
                </w:p>
              </w:tc>
              <w:tc>
                <w:tcPr>
                  <w:tcW w:w="1137" w:type="pct"/>
                  <w:vAlign w:val="center"/>
                </w:tcPr>
                <w:p>
                  <w:pPr>
                    <w:jc w:val="center"/>
                    <w:rPr>
                      <w:color w:val="000000"/>
                      <w:kern w:val="0"/>
                      <w:szCs w:val="21"/>
                    </w:rPr>
                  </w:pPr>
                  <w:r>
                    <w:rPr>
                      <w:color w:val="000000"/>
                      <w:kern w:val="0"/>
                      <w:szCs w:val="21"/>
                    </w:rPr>
                    <w:t>柠檬酸氢二钠</w:t>
                  </w:r>
                </w:p>
              </w:tc>
              <w:tc>
                <w:tcPr>
                  <w:tcW w:w="802" w:type="pct"/>
                  <w:vAlign w:val="center"/>
                </w:tcPr>
                <w:p>
                  <w:pPr>
                    <w:jc w:val="center"/>
                    <w:rPr>
                      <w:color w:val="000000"/>
                      <w:kern w:val="0"/>
                      <w:szCs w:val="21"/>
                    </w:rPr>
                  </w:pPr>
                  <w:r>
                    <w:rPr>
                      <w:color w:val="000000"/>
                      <w:kern w:val="0"/>
                      <w:szCs w:val="21"/>
                    </w:rPr>
                    <w:t>500g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37</w:t>
                  </w:r>
                </w:p>
              </w:tc>
              <w:tc>
                <w:tcPr>
                  <w:tcW w:w="1137" w:type="pct"/>
                  <w:vAlign w:val="center"/>
                </w:tcPr>
                <w:p>
                  <w:pPr>
                    <w:jc w:val="center"/>
                    <w:rPr>
                      <w:color w:val="000000"/>
                      <w:kern w:val="0"/>
                      <w:szCs w:val="21"/>
                    </w:rPr>
                  </w:pPr>
                  <w:r>
                    <w:rPr>
                      <w:color w:val="000000"/>
                      <w:kern w:val="0"/>
                      <w:szCs w:val="21"/>
                    </w:rPr>
                    <w:t>一水柠檬酸</w:t>
                  </w:r>
                </w:p>
              </w:tc>
              <w:tc>
                <w:tcPr>
                  <w:tcW w:w="802" w:type="pct"/>
                  <w:vAlign w:val="center"/>
                </w:tcPr>
                <w:p>
                  <w:pPr>
                    <w:jc w:val="center"/>
                    <w:rPr>
                      <w:color w:val="000000"/>
                      <w:kern w:val="0"/>
                      <w:szCs w:val="21"/>
                    </w:rPr>
                  </w:pPr>
                  <w:r>
                    <w:rPr>
                      <w:color w:val="000000"/>
                      <w:kern w:val="0"/>
                      <w:szCs w:val="21"/>
                    </w:rPr>
                    <w:t>500g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38</w:t>
                  </w:r>
                </w:p>
              </w:tc>
              <w:tc>
                <w:tcPr>
                  <w:tcW w:w="1137" w:type="pct"/>
                  <w:vAlign w:val="center"/>
                </w:tcPr>
                <w:p>
                  <w:pPr>
                    <w:jc w:val="center"/>
                    <w:rPr>
                      <w:color w:val="000000"/>
                      <w:kern w:val="0"/>
                      <w:szCs w:val="21"/>
                    </w:rPr>
                  </w:pPr>
                  <w:r>
                    <w:rPr>
                      <w:color w:val="000000"/>
                      <w:kern w:val="0"/>
                      <w:szCs w:val="21"/>
                    </w:rPr>
                    <w:t>硼砂</w:t>
                  </w:r>
                </w:p>
              </w:tc>
              <w:tc>
                <w:tcPr>
                  <w:tcW w:w="802" w:type="pct"/>
                  <w:vAlign w:val="center"/>
                </w:tcPr>
                <w:p>
                  <w:pPr>
                    <w:jc w:val="center"/>
                    <w:rPr>
                      <w:color w:val="000000"/>
                      <w:kern w:val="0"/>
                      <w:szCs w:val="21"/>
                    </w:rPr>
                  </w:pPr>
                  <w:r>
                    <w:rPr>
                      <w:color w:val="000000"/>
                      <w:kern w:val="0"/>
                      <w:szCs w:val="21"/>
                    </w:rPr>
                    <w:t>500g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39</w:t>
                  </w:r>
                </w:p>
              </w:tc>
              <w:tc>
                <w:tcPr>
                  <w:tcW w:w="1137" w:type="pct"/>
                  <w:vAlign w:val="center"/>
                </w:tcPr>
                <w:p>
                  <w:pPr>
                    <w:jc w:val="center"/>
                    <w:rPr>
                      <w:color w:val="000000"/>
                      <w:kern w:val="0"/>
                      <w:szCs w:val="21"/>
                    </w:rPr>
                  </w:pPr>
                  <w:r>
                    <w:rPr>
                      <w:color w:val="000000"/>
                      <w:kern w:val="0"/>
                      <w:szCs w:val="21"/>
                    </w:rPr>
                    <w:t>七水硫酸钴</w:t>
                  </w:r>
                </w:p>
              </w:tc>
              <w:tc>
                <w:tcPr>
                  <w:tcW w:w="802" w:type="pct"/>
                  <w:vAlign w:val="center"/>
                </w:tcPr>
                <w:p>
                  <w:pPr>
                    <w:jc w:val="center"/>
                    <w:rPr>
                      <w:color w:val="000000"/>
                      <w:kern w:val="0"/>
                      <w:szCs w:val="21"/>
                    </w:rPr>
                  </w:pPr>
                  <w:r>
                    <w:rPr>
                      <w:color w:val="000000"/>
                      <w:kern w:val="0"/>
                      <w:szCs w:val="21"/>
                    </w:rPr>
                    <w:t>500g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40</w:t>
                  </w:r>
                </w:p>
              </w:tc>
              <w:tc>
                <w:tcPr>
                  <w:tcW w:w="1137" w:type="pct"/>
                  <w:vAlign w:val="center"/>
                </w:tcPr>
                <w:p>
                  <w:pPr>
                    <w:jc w:val="center"/>
                    <w:rPr>
                      <w:color w:val="000000"/>
                      <w:kern w:val="0"/>
                      <w:szCs w:val="21"/>
                    </w:rPr>
                  </w:pPr>
                  <w:r>
                    <w:rPr>
                      <w:color w:val="000000"/>
                      <w:kern w:val="0"/>
                      <w:szCs w:val="21"/>
                    </w:rPr>
                    <w:t>溴化钾</w:t>
                  </w:r>
                </w:p>
              </w:tc>
              <w:tc>
                <w:tcPr>
                  <w:tcW w:w="802" w:type="pct"/>
                  <w:vAlign w:val="center"/>
                </w:tcPr>
                <w:p>
                  <w:pPr>
                    <w:jc w:val="center"/>
                    <w:rPr>
                      <w:color w:val="000000"/>
                      <w:kern w:val="0"/>
                      <w:szCs w:val="21"/>
                    </w:rPr>
                  </w:pPr>
                  <w:r>
                    <w:rPr>
                      <w:color w:val="000000"/>
                      <w:kern w:val="0"/>
                      <w:szCs w:val="21"/>
                    </w:rPr>
                    <w:t>500g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41</w:t>
                  </w:r>
                </w:p>
              </w:tc>
              <w:tc>
                <w:tcPr>
                  <w:tcW w:w="1137" w:type="pct"/>
                  <w:vAlign w:val="center"/>
                </w:tcPr>
                <w:p>
                  <w:pPr>
                    <w:jc w:val="center"/>
                    <w:rPr>
                      <w:color w:val="000000"/>
                      <w:kern w:val="0"/>
                      <w:szCs w:val="21"/>
                    </w:rPr>
                  </w:pPr>
                  <w:r>
                    <w:rPr>
                      <w:color w:val="000000"/>
                      <w:kern w:val="0"/>
                      <w:szCs w:val="21"/>
                    </w:rPr>
                    <w:t>硫酸镁</w:t>
                  </w:r>
                </w:p>
              </w:tc>
              <w:tc>
                <w:tcPr>
                  <w:tcW w:w="802" w:type="pct"/>
                  <w:vAlign w:val="center"/>
                </w:tcPr>
                <w:p>
                  <w:pPr>
                    <w:jc w:val="center"/>
                    <w:rPr>
                      <w:color w:val="000000"/>
                      <w:kern w:val="0"/>
                      <w:szCs w:val="21"/>
                    </w:rPr>
                  </w:pPr>
                  <w:r>
                    <w:rPr>
                      <w:color w:val="000000"/>
                      <w:kern w:val="0"/>
                      <w:szCs w:val="21"/>
                    </w:rPr>
                    <w:t>500g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42</w:t>
                  </w:r>
                </w:p>
              </w:tc>
              <w:tc>
                <w:tcPr>
                  <w:tcW w:w="1137" w:type="pct"/>
                  <w:vAlign w:val="center"/>
                </w:tcPr>
                <w:p>
                  <w:pPr>
                    <w:jc w:val="center"/>
                    <w:rPr>
                      <w:color w:val="000000"/>
                      <w:kern w:val="0"/>
                      <w:szCs w:val="21"/>
                    </w:rPr>
                  </w:pPr>
                  <w:r>
                    <w:rPr>
                      <w:color w:val="000000"/>
                      <w:kern w:val="0"/>
                      <w:szCs w:val="21"/>
                    </w:rPr>
                    <w:t>氧化钙</w:t>
                  </w:r>
                </w:p>
              </w:tc>
              <w:tc>
                <w:tcPr>
                  <w:tcW w:w="802" w:type="pct"/>
                  <w:vAlign w:val="center"/>
                </w:tcPr>
                <w:p>
                  <w:pPr>
                    <w:jc w:val="center"/>
                    <w:rPr>
                      <w:color w:val="000000"/>
                      <w:kern w:val="0"/>
                      <w:szCs w:val="21"/>
                    </w:rPr>
                  </w:pPr>
                  <w:r>
                    <w:rPr>
                      <w:color w:val="000000"/>
                      <w:kern w:val="0"/>
                      <w:szCs w:val="21"/>
                    </w:rPr>
                    <w:t>500g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外购，固体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43</w:t>
                  </w:r>
                </w:p>
              </w:tc>
              <w:tc>
                <w:tcPr>
                  <w:tcW w:w="1137" w:type="pct"/>
                  <w:vAlign w:val="center"/>
                </w:tcPr>
                <w:p>
                  <w:pPr>
                    <w:jc w:val="center"/>
                    <w:rPr>
                      <w:color w:val="000000"/>
                      <w:kern w:val="0"/>
                      <w:szCs w:val="21"/>
                    </w:rPr>
                  </w:pPr>
                  <w:r>
                    <w:rPr>
                      <w:color w:val="000000"/>
                      <w:kern w:val="0"/>
                      <w:szCs w:val="21"/>
                    </w:rPr>
                    <w:t>碳酸钙</w:t>
                  </w:r>
                </w:p>
              </w:tc>
              <w:tc>
                <w:tcPr>
                  <w:tcW w:w="802" w:type="pct"/>
                  <w:vAlign w:val="center"/>
                </w:tcPr>
                <w:p>
                  <w:pPr>
                    <w:jc w:val="center"/>
                    <w:rPr>
                      <w:color w:val="000000"/>
                      <w:kern w:val="0"/>
                      <w:szCs w:val="21"/>
                    </w:rPr>
                  </w:pPr>
                  <w:r>
                    <w:rPr>
                      <w:color w:val="000000"/>
                      <w:kern w:val="0"/>
                      <w:szCs w:val="21"/>
                    </w:rPr>
                    <w:t>500g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44</w:t>
                  </w:r>
                </w:p>
              </w:tc>
              <w:tc>
                <w:tcPr>
                  <w:tcW w:w="1137" w:type="pct"/>
                  <w:vAlign w:val="center"/>
                </w:tcPr>
                <w:p>
                  <w:pPr>
                    <w:jc w:val="center"/>
                    <w:rPr>
                      <w:color w:val="000000"/>
                      <w:kern w:val="0"/>
                      <w:szCs w:val="21"/>
                    </w:rPr>
                  </w:pPr>
                  <w:r>
                    <w:rPr>
                      <w:color w:val="000000"/>
                      <w:kern w:val="0"/>
                      <w:szCs w:val="21"/>
                    </w:rPr>
                    <w:t>氯化铝</w:t>
                  </w:r>
                </w:p>
              </w:tc>
              <w:tc>
                <w:tcPr>
                  <w:tcW w:w="802" w:type="pct"/>
                  <w:vAlign w:val="center"/>
                </w:tcPr>
                <w:p>
                  <w:pPr>
                    <w:jc w:val="center"/>
                    <w:rPr>
                      <w:color w:val="000000"/>
                      <w:kern w:val="0"/>
                      <w:szCs w:val="21"/>
                    </w:rPr>
                  </w:pPr>
                  <w:r>
                    <w:rPr>
                      <w:color w:val="000000"/>
                      <w:kern w:val="0"/>
                      <w:szCs w:val="21"/>
                    </w:rPr>
                    <w:t>500g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45</w:t>
                  </w:r>
                </w:p>
              </w:tc>
              <w:tc>
                <w:tcPr>
                  <w:tcW w:w="1137" w:type="pct"/>
                  <w:vAlign w:val="center"/>
                </w:tcPr>
                <w:p>
                  <w:pPr>
                    <w:jc w:val="center"/>
                    <w:rPr>
                      <w:color w:val="000000"/>
                      <w:kern w:val="0"/>
                      <w:szCs w:val="21"/>
                    </w:rPr>
                  </w:pPr>
                  <w:r>
                    <w:rPr>
                      <w:color w:val="000000"/>
                      <w:kern w:val="0"/>
                      <w:szCs w:val="21"/>
                    </w:rPr>
                    <w:t>氧化铝</w:t>
                  </w:r>
                </w:p>
              </w:tc>
              <w:tc>
                <w:tcPr>
                  <w:tcW w:w="802" w:type="pct"/>
                  <w:vAlign w:val="center"/>
                </w:tcPr>
                <w:p>
                  <w:pPr>
                    <w:jc w:val="center"/>
                    <w:rPr>
                      <w:color w:val="000000"/>
                      <w:kern w:val="0"/>
                      <w:szCs w:val="21"/>
                    </w:rPr>
                  </w:pPr>
                  <w:r>
                    <w:rPr>
                      <w:color w:val="000000"/>
                      <w:kern w:val="0"/>
                      <w:szCs w:val="21"/>
                    </w:rPr>
                    <w:t>500g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46</w:t>
                  </w:r>
                </w:p>
              </w:tc>
              <w:tc>
                <w:tcPr>
                  <w:tcW w:w="1137" w:type="pct"/>
                  <w:vAlign w:val="center"/>
                </w:tcPr>
                <w:p>
                  <w:pPr>
                    <w:jc w:val="center"/>
                    <w:rPr>
                      <w:color w:val="000000"/>
                      <w:kern w:val="0"/>
                      <w:szCs w:val="21"/>
                    </w:rPr>
                  </w:pPr>
                  <w:r>
                    <w:rPr>
                      <w:color w:val="000000"/>
                      <w:kern w:val="0"/>
                      <w:szCs w:val="21"/>
                    </w:rPr>
                    <w:t>硼氢化钠</w:t>
                  </w:r>
                </w:p>
              </w:tc>
              <w:tc>
                <w:tcPr>
                  <w:tcW w:w="802" w:type="pct"/>
                  <w:vAlign w:val="center"/>
                </w:tcPr>
                <w:p>
                  <w:pPr>
                    <w:jc w:val="center"/>
                    <w:rPr>
                      <w:color w:val="000000"/>
                      <w:kern w:val="0"/>
                      <w:szCs w:val="21"/>
                    </w:rPr>
                  </w:pPr>
                  <w:r>
                    <w:rPr>
                      <w:color w:val="000000"/>
                      <w:kern w:val="0"/>
                      <w:szCs w:val="21"/>
                    </w:rPr>
                    <w:t>2.5Kg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47</w:t>
                  </w:r>
                </w:p>
              </w:tc>
              <w:tc>
                <w:tcPr>
                  <w:tcW w:w="1137" w:type="pct"/>
                  <w:vAlign w:val="center"/>
                </w:tcPr>
                <w:p>
                  <w:pPr>
                    <w:jc w:val="center"/>
                    <w:rPr>
                      <w:color w:val="000000"/>
                      <w:kern w:val="0"/>
                      <w:szCs w:val="21"/>
                    </w:rPr>
                  </w:pPr>
                  <w:r>
                    <w:rPr>
                      <w:color w:val="000000"/>
                      <w:kern w:val="0"/>
                      <w:szCs w:val="21"/>
                    </w:rPr>
                    <w:t>硼氢化钾</w:t>
                  </w:r>
                </w:p>
              </w:tc>
              <w:tc>
                <w:tcPr>
                  <w:tcW w:w="802" w:type="pct"/>
                  <w:vAlign w:val="center"/>
                </w:tcPr>
                <w:p>
                  <w:pPr>
                    <w:jc w:val="center"/>
                    <w:rPr>
                      <w:color w:val="000000"/>
                      <w:kern w:val="0"/>
                      <w:szCs w:val="21"/>
                    </w:rPr>
                  </w:pPr>
                  <w:r>
                    <w:rPr>
                      <w:color w:val="000000"/>
                      <w:kern w:val="0"/>
                      <w:szCs w:val="21"/>
                    </w:rPr>
                    <w:t>2.5Kg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48</w:t>
                  </w:r>
                </w:p>
              </w:tc>
              <w:tc>
                <w:tcPr>
                  <w:tcW w:w="1137" w:type="pct"/>
                  <w:vAlign w:val="center"/>
                </w:tcPr>
                <w:p>
                  <w:pPr>
                    <w:jc w:val="center"/>
                    <w:rPr>
                      <w:color w:val="000000"/>
                      <w:kern w:val="0"/>
                      <w:szCs w:val="21"/>
                    </w:rPr>
                  </w:pPr>
                  <w:r>
                    <w:rPr>
                      <w:color w:val="000000"/>
                      <w:kern w:val="0"/>
                      <w:szCs w:val="21"/>
                    </w:rPr>
                    <w:t>硝酸银</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外购，晶体粉末（有毒）</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49</w:t>
                  </w:r>
                </w:p>
              </w:tc>
              <w:tc>
                <w:tcPr>
                  <w:tcW w:w="1137" w:type="pct"/>
                  <w:vAlign w:val="center"/>
                </w:tcPr>
                <w:p>
                  <w:pPr>
                    <w:jc w:val="center"/>
                    <w:rPr>
                      <w:color w:val="000000"/>
                      <w:kern w:val="0"/>
                      <w:szCs w:val="21"/>
                    </w:rPr>
                  </w:pPr>
                  <w:r>
                    <w:rPr>
                      <w:color w:val="000000"/>
                      <w:kern w:val="0"/>
                      <w:szCs w:val="21"/>
                    </w:rPr>
                    <w:t>硝酸汞</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外购，晶体粉末（有毒）</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50</w:t>
                  </w:r>
                </w:p>
              </w:tc>
              <w:tc>
                <w:tcPr>
                  <w:tcW w:w="1137" w:type="pct"/>
                  <w:vAlign w:val="center"/>
                </w:tcPr>
                <w:p>
                  <w:pPr>
                    <w:jc w:val="center"/>
                    <w:rPr>
                      <w:color w:val="000000"/>
                      <w:kern w:val="0"/>
                      <w:szCs w:val="21"/>
                    </w:rPr>
                  </w:pPr>
                  <w:r>
                    <w:rPr>
                      <w:color w:val="000000"/>
                      <w:kern w:val="0"/>
                      <w:szCs w:val="21"/>
                    </w:rPr>
                    <w:t>氯化汞</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外购，晶体粉末（有毒）</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51</w:t>
                  </w:r>
                </w:p>
              </w:tc>
              <w:tc>
                <w:tcPr>
                  <w:tcW w:w="1137" w:type="pct"/>
                  <w:vAlign w:val="center"/>
                </w:tcPr>
                <w:p>
                  <w:pPr>
                    <w:jc w:val="center"/>
                    <w:rPr>
                      <w:color w:val="000000"/>
                      <w:kern w:val="0"/>
                      <w:szCs w:val="21"/>
                    </w:rPr>
                  </w:pPr>
                  <w:r>
                    <w:rPr>
                      <w:color w:val="000000"/>
                      <w:kern w:val="0"/>
                      <w:szCs w:val="21"/>
                    </w:rPr>
                    <w:t>碳酸氢钠</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52</w:t>
                  </w:r>
                </w:p>
              </w:tc>
              <w:tc>
                <w:tcPr>
                  <w:tcW w:w="1137" w:type="pct"/>
                  <w:vAlign w:val="center"/>
                </w:tcPr>
                <w:p>
                  <w:pPr>
                    <w:jc w:val="center"/>
                    <w:rPr>
                      <w:color w:val="000000"/>
                      <w:kern w:val="0"/>
                      <w:szCs w:val="21"/>
                    </w:rPr>
                  </w:pPr>
                  <w:r>
                    <w:rPr>
                      <w:color w:val="000000"/>
                      <w:kern w:val="0"/>
                      <w:szCs w:val="21"/>
                    </w:rPr>
                    <w:t>高锰酸钾</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外购，晶体粉末（有毒）</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53</w:t>
                  </w:r>
                </w:p>
              </w:tc>
              <w:tc>
                <w:tcPr>
                  <w:tcW w:w="1137" w:type="pct"/>
                  <w:vAlign w:val="center"/>
                </w:tcPr>
                <w:p>
                  <w:pPr>
                    <w:jc w:val="center"/>
                    <w:rPr>
                      <w:color w:val="000000"/>
                      <w:kern w:val="0"/>
                      <w:szCs w:val="21"/>
                    </w:rPr>
                  </w:pPr>
                  <w:r>
                    <w:rPr>
                      <w:color w:val="000000"/>
                      <w:kern w:val="0"/>
                      <w:szCs w:val="21"/>
                    </w:rPr>
                    <w:t>三乙醇胺</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外购，油状液体（毒性）</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54</w:t>
                  </w:r>
                </w:p>
              </w:tc>
              <w:tc>
                <w:tcPr>
                  <w:tcW w:w="1137" w:type="pct"/>
                  <w:vAlign w:val="center"/>
                </w:tcPr>
                <w:p>
                  <w:pPr>
                    <w:jc w:val="center"/>
                    <w:rPr>
                      <w:color w:val="000000"/>
                      <w:kern w:val="0"/>
                      <w:szCs w:val="21"/>
                    </w:rPr>
                  </w:pPr>
                  <w:r>
                    <w:rPr>
                      <w:color w:val="000000"/>
                      <w:kern w:val="0"/>
                      <w:szCs w:val="21"/>
                    </w:rPr>
                    <w:t>乙二胺四乙酸二钠</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外购，晶体粉末（有毒）</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55</w:t>
                  </w:r>
                </w:p>
              </w:tc>
              <w:tc>
                <w:tcPr>
                  <w:tcW w:w="1137" w:type="pct"/>
                  <w:vAlign w:val="center"/>
                </w:tcPr>
                <w:p>
                  <w:pPr>
                    <w:jc w:val="center"/>
                    <w:rPr>
                      <w:color w:val="000000"/>
                      <w:kern w:val="0"/>
                      <w:szCs w:val="21"/>
                    </w:rPr>
                  </w:pPr>
                  <w:r>
                    <w:rPr>
                      <w:color w:val="000000"/>
                      <w:kern w:val="0"/>
                      <w:szCs w:val="21"/>
                    </w:rPr>
                    <w:t>氨基磺酸氨</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外购，晶体粉末（有毒）</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56</w:t>
                  </w:r>
                </w:p>
              </w:tc>
              <w:tc>
                <w:tcPr>
                  <w:tcW w:w="1137" w:type="pct"/>
                  <w:vAlign w:val="center"/>
                </w:tcPr>
                <w:p>
                  <w:pPr>
                    <w:jc w:val="center"/>
                    <w:rPr>
                      <w:color w:val="000000"/>
                      <w:kern w:val="0"/>
                      <w:szCs w:val="21"/>
                    </w:rPr>
                  </w:pPr>
                  <w:r>
                    <w:rPr>
                      <w:color w:val="000000"/>
                      <w:kern w:val="0"/>
                      <w:szCs w:val="21"/>
                    </w:rPr>
                    <w:t>硫酸银</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外购，晶体粉末（有毒）</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57</w:t>
                  </w:r>
                </w:p>
              </w:tc>
              <w:tc>
                <w:tcPr>
                  <w:tcW w:w="1137" w:type="pct"/>
                  <w:vAlign w:val="center"/>
                </w:tcPr>
                <w:p>
                  <w:pPr>
                    <w:jc w:val="center"/>
                    <w:rPr>
                      <w:color w:val="000000"/>
                      <w:kern w:val="0"/>
                      <w:szCs w:val="21"/>
                    </w:rPr>
                  </w:pPr>
                  <w:r>
                    <w:rPr>
                      <w:color w:val="000000"/>
                      <w:kern w:val="0"/>
                      <w:szCs w:val="21"/>
                    </w:rPr>
                    <w:t>硝酸钾</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外购，晶体粉末（有毒）</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58</w:t>
                  </w:r>
                </w:p>
              </w:tc>
              <w:tc>
                <w:tcPr>
                  <w:tcW w:w="1137" w:type="pct"/>
                  <w:vAlign w:val="center"/>
                </w:tcPr>
                <w:p>
                  <w:pPr>
                    <w:jc w:val="center"/>
                    <w:rPr>
                      <w:color w:val="000000"/>
                      <w:kern w:val="0"/>
                      <w:szCs w:val="21"/>
                    </w:rPr>
                  </w:pPr>
                  <w:r>
                    <w:rPr>
                      <w:color w:val="000000"/>
                      <w:kern w:val="0"/>
                      <w:szCs w:val="21"/>
                    </w:rPr>
                    <w:t>铬酸钾</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外购，晶体粉末（有毒）</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59</w:t>
                  </w:r>
                </w:p>
              </w:tc>
              <w:tc>
                <w:tcPr>
                  <w:tcW w:w="1137" w:type="pct"/>
                  <w:vAlign w:val="center"/>
                </w:tcPr>
                <w:p>
                  <w:pPr>
                    <w:jc w:val="center"/>
                    <w:rPr>
                      <w:color w:val="000000"/>
                      <w:kern w:val="0"/>
                      <w:szCs w:val="21"/>
                    </w:rPr>
                  </w:pPr>
                  <w:r>
                    <w:rPr>
                      <w:color w:val="000000"/>
                      <w:kern w:val="0"/>
                      <w:szCs w:val="21"/>
                    </w:rPr>
                    <w:t>氯化钡</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外购，晶体粉末（有毒）</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60</w:t>
                  </w:r>
                </w:p>
              </w:tc>
              <w:tc>
                <w:tcPr>
                  <w:tcW w:w="1137" w:type="pct"/>
                  <w:vAlign w:val="center"/>
                </w:tcPr>
                <w:p>
                  <w:pPr>
                    <w:jc w:val="center"/>
                    <w:rPr>
                      <w:color w:val="000000"/>
                      <w:kern w:val="0"/>
                      <w:szCs w:val="21"/>
                    </w:rPr>
                  </w:pPr>
                  <w:r>
                    <w:rPr>
                      <w:color w:val="000000"/>
                      <w:kern w:val="0"/>
                      <w:szCs w:val="21"/>
                    </w:rPr>
                    <w:t>过氧化氢</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外购，液体（有毒）</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61</w:t>
                  </w:r>
                </w:p>
              </w:tc>
              <w:tc>
                <w:tcPr>
                  <w:tcW w:w="1137" w:type="pct"/>
                  <w:vAlign w:val="center"/>
                </w:tcPr>
                <w:p>
                  <w:pPr>
                    <w:jc w:val="center"/>
                    <w:rPr>
                      <w:color w:val="000000"/>
                      <w:kern w:val="0"/>
                      <w:szCs w:val="21"/>
                    </w:rPr>
                  </w:pPr>
                  <w:r>
                    <w:rPr>
                      <w:color w:val="000000"/>
                      <w:kern w:val="0"/>
                      <w:szCs w:val="21"/>
                    </w:rPr>
                    <w:t>氢氧化铝</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62</w:t>
                  </w:r>
                </w:p>
              </w:tc>
              <w:tc>
                <w:tcPr>
                  <w:tcW w:w="1137" w:type="pct"/>
                  <w:vAlign w:val="center"/>
                </w:tcPr>
                <w:p>
                  <w:pPr>
                    <w:jc w:val="center"/>
                    <w:rPr>
                      <w:color w:val="000000"/>
                      <w:kern w:val="0"/>
                      <w:szCs w:val="21"/>
                    </w:rPr>
                  </w:pPr>
                  <w:r>
                    <w:rPr>
                      <w:color w:val="000000"/>
                      <w:kern w:val="0"/>
                      <w:szCs w:val="21"/>
                    </w:rPr>
                    <w:t>草酸铵</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外购，晶体粉末（有毒）</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63</w:t>
                  </w:r>
                </w:p>
              </w:tc>
              <w:tc>
                <w:tcPr>
                  <w:tcW w:w="1137" w:type="pct"/>
                  <w:vAlign w:val="center"/>
                </w:tcPr>
                <w:p>
                  <w:pPr>
                    <w:jc w:val="center"/>
                    <w:rPr>
                      <w:color w:val="000000"/>
                      <w:kern w:val="0"/>
                      <w:szCs w:val="21"/>
                    </w:rPr>
                  </w:pPr>
                  <w:r>
                    <w:rPr>
                      <w:color w:val="000000"/>
                      <w:kern w:val="0"/>
                      <w:szCs w:val="21"/>
                    </w:rPr>
                    <w:t>乙酸镁</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64</w:t>
                  </w:r>
                </w:p>
              </w:tc>
              <w:tc>
                <w:tcPr>
                  <w:tcW w:w="1137" w:type="pct"/>
                  <w:vAlign w:val="center"/>
                </w:tcPr>
                <w:p>
                  <w:pPr>
                    <w:jc w:val="center"/>
                    <w:rPr>
                      <w:color w:val="000000"/>
                      <w:kern w:val="0"/>
                      <w:szCs w:val="21"/>
                    </w:rPr>
                  </w:pPr>
                  <w:r>
                    <w:rPr>
                      <w:color w:val="000000"/>
                      <w:kern w:val="0"/>
                      <w:szCs w:val="21"/>
                    </w:rPr>
                    <w:t>碘</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65</w:t>
                  </w:r>
                </w:p>
              </w:tc>
              <w:tc>
                <w:tcPr>
                  <w:tcW w:w="1137" w:type="pct"/>
                  <w:vAlign w:val="center"/>
                </w:tcPr>
                <w:p>
                  <w:pPr>
                    <w:jc w:val="center"/>
                    <w:rPr>
                      <w:color w:val="000000"/>
                      <w:kern w:val="0"/>
                      <w:szCs w:val="21"/>
                    </w:rPr>
                  </w:pPr>
                  <w:r>
                    <w:rPr>
                      <w:color w:val="000000"/>
                      <w:kern w:val="0"/>
                      <w:szCs w:val="21"/>
                    </w:rPr>
                    <w:t>硫酸铜</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66</w:t>
                  </w:r>
                </w:p>
              </w:tc>
              <w:tc>
                <w:tcPr>
                  <w:tcW w:w="1137" w:type="pct"/>
                  <w:vAlign w:val="center"/>
                </w:tcPr>
                <w:p>
                  <w:pPr>
                    <w:jc w:val="center"/>
                    <w:rPr>
                      <w:color w:val="000000"/>
                      <w:kern w:val="0"/>
                      <w:szCs w:val="21"/>
                    </w:rPr>
                  </w:pPr>
                  <w:r>
                    <w:rPr>
                      <w:color w:val="000000"/>
                      <w:kern w:val="0"/>
                      <w:szCs w:val="21"/>
                    </w:rPr>
                    <w:t>硫酸钾</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67</w:t>
                  </w:r>
                </w:p>
              </w:tc>
              <w:tc>
                <w:tcPr>
                  <w:tcW w:w="1137" w:type="pct"/>
                  <w:vAlign w:val="center"/>
                </w:tcPr>
                <w:p>
                  <w:pPr>
                    <w:jc w:val="center"/>
                    <w:rPr>
                      <w:color w:val="000000"/>
                      <w:kern w:val="0"/>
                      <w:szCs w:val="21"/>
                    </w:rPr>
                  </w:pPr>
                  <w:r>
                    <w:rPr>
                      <w:color w:val="000000"/>
                      <w:kern w:val="0"/>
                      <w:szCs w:val="21"/>
                    </w:rPr>
                    <w:t>亚铁氰化钾</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68</w:t>
                  </w:r>
                </w:p>
              </w:tc>
              <w:tc>
                <w:tcPr>
                  <w:tcW w:w="1137" w:type="pct"/>
                  <w:vAlign w:val="center"/>
                </w:tcPr>
                <w:p>
                  <w:pPr>
                    <w:jc w:val="center"/>
                    <w:rPr>
                      <w:color w:val="000000"/>
                      <w:kern w:val="0"/>
                      <w:szCs w:val="21"/>
                    </w:rPr>
                  </w:pPr>
                  <w:r>
                    <w:rPr>
                      <w:color w:val="000000"/>
                      <w:kern w:val="0"/>
                      <w:szCs w:val="21"/>
                    </w:rPr>
                    <w:t>三氧化二砷</w:t>
                  </w:r>
                </w:p>
              </w:tc>
              <w:tc>
                <w:tcPr>
                  <w:tcW w:w="802" w:type="pct"/>
                  <w:vAlign w:val="center"/>
                </w:tcPr>
                <w:p>
                  <w:pPr>
                    <w:jc w:val="center"/>
                    <w:rPr>
                      <w:color w:val="000000"/>
                      <w:kern w:val="0"/>
                      <w:szCs w:val="21"/>
                    </w:rPr>
                  </w:pPr>
                  <w:r>
                    <w:rPr>
                      <w:color w:val="000000"/>
                      <w:kern w:val="0"/>
                      <w:szCs w:val="21"/>
                    </w:rPr>
                    <w:t>300g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外购，晶体粉末（剧毒）</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69</w:t>
                  </w:r>
                </w:p>
              </w:tc>
              <w:tc>
                <w:tcPr>
                  <w:tcW w:w="1137" w:type="pct"/>
                  <w:vAlign w:val="center"/>
                </w:tcPr>
                <w:p>
                  <w:pPr>
                    <w:jc w:val="center"/>
                    <w:rPr>
                      <w:color w:val="000000"/>
                      <w:kern w:val="0"/>
                      <w:szCs w:val="21"/>
                    </w:rPr>
                  </w:pPr>
                  <w:r>
                    <w:rPr>
                      <w:color w:val="000000"/>
                      <w:kern w:val="0"/>
                      <w:szCs w:val="21"/>
                    </w:rPr>
                    <w:t>酒石酸钾钠</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70</w:t>
                  </w:r>
                </w:p>
              </w:tc>
              <w:tc>
                <w:tcPr>
                  <w:tcW w:w="1137" w:type="pct"/>
                  <w:vAlign w:val="center"/>
                </w:tcPr>
                <w:p>
                  <w:pPr>
                    <w:jc w:val="center"/>
                    <w:rPr>
                      <w:color w:val="000000"/>
                      <w:kern w:val="0"/>
                      <w:szCs w:val="21"/>
                    </w:rPr>
                  </w:pPr>
                  <w:r>
                    <w:rPr>
                      <w:color w:val="000000"/>
                      <w:kern w:val="0"/>
                      <w:szCs w:val="21"/>
                    </w:rPr>
                    <w:t>硫代硫酸钠</w:t>
                  </w:r>
                </w:p>
              </w:tc>
              <w:tc>
                <w:tcPr>
                  <w:tcW w:w="802" w:type="pct"/>
                  <w:vAlign w:val="center"/>
                </w:tcPr>
                <w:p>
                  <w:pPr>
                    <w:jc w:val="center"/>
                    <w:rPr>
                      <w:color w:val="000000"/>
                      <w:kern w:val="0"/>
                      <w:szCs w:val="21"/>
                    </w:rPr>
                  </w:pPr>
                  <w:r>
                    <w:rPr>
                      <w:color w:val="000000"/>
                      <w:kern w:val="0"/>
                      <w:szCs w:val="21"/>
                    </w:rPr>
                    <w:t>500g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71</w:t>
                  </w:r>
                </w:p>
              </w:tc>
              <w:tc>
                <w:tcPr>
                  <w:tcW w:w="1137" w:type="pct"/>
                  <w:vAlign w:val="center"/>
                </w:tcPr>
                <w:p>
                  <w:pPr>
                    <w:jc w:val="center"/>
                    <w:rPr>
                      <w:color w:val="000000"/>
                      <w:kern w:val="0"/>
                      <w:szCs w:val="21"/>
                    </w:rPr>
                  </w:pPr>
                  <w:r>
                    <w:rPr>
                      <w:color w:val="000000"/>
                      <w:kern w:val="0"/>
                      <w:szCs w:val="21"/>
                    </w:rPr>
                    <w:t>硝酸亚汞</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72</w:t>
                  </w:r>
                </w:p>
              </w:tc>
              <w:tc>
                <w:tcPr>
                  <w:tcW w:w="1137" w:type="pct"/>
                  <w:vAlign w:val="center"/>
                </w:tcPr>
                <w:p>
                  <w:pPr>
                    <w:jc w:val="center"/>
                    <w:rPr>
                      <w:color w:val="000000"/>
                      <w:kern w:val="0"/>
                      <w:szCs w:val="21"/>
                    </w:rPr>
                  </w:pPr>
                  <w:r>
                    <w:rPr>
                      <w:color w:val="000000"/>
                      <w:kern w:val="0"/>
                      <w:szCs w:val="21"/>
                    </w:rPr>
                    <w:t>硫脲</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73</w:t>
                  </w:r>
                </w:p>
              </w:tc>
              <w:tc>
                <w:tcPr>
                  <w:tcW w:w="1137" w:type="pct"/>
                  <w:vAlign w:val="center"/>
                </w:tcPr>
                <w:p>
                  <w:pPr>
                    <w:jc w:val="center"/>
                    <w:rPr>
                      <w:color w:val="000000"/>
                      <w:kern w:val="0"/>
                      <w:szCs w:val="21"/>
                    </w:rPr>
                  </w:pPr>
                  <w:r>
                    <w:rPr>
                      <w:color w:val="000000"/>
                      <w:kern w:val="0"/>
                      <w:szCs w:val="21"/>
                    </w:rPr>
                    <w:t>氧化镁</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74</w:t>
                  </w:r>
                </w:p>
              </w:tc>
              <w:tc>
                <w:tcPr>
                  <w:tcW w:w="1137" w:type="pct"/>
                  <w:vAlign w:val="center"/>
                </w:tcPr>
                <w:p>
                  <w:pPr>
                    <w:jc w:val="center"/>
                    <w:rPr>
                      <w:color w:val="000000"/>
                      <w:kern w:val="0"/>
                      <w:szCs w:val="21"/>
                    </w:rPr>
                  </w:pPr>
                  <w:r>
                    <w:rPr>
                      <w:color w:val="000000"/>
                      <w:kern w:val="0"/>
                      <w:szCs w:val="21"/>
                    </w:rPr>
                    <w:t>硝酸镁</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外购，白色晶体粉末（危险化学品）</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75</w:t>
                  </w:r>
                </w:p>
              </w:tc>
              <w:tc>
                <w:tcPr>
                  <w:tcW w:w="1137" w:type="pct"/>
                  <w:vAlign w:val="center"/>
                </w:tcPr>
                <w:p>
                  <w:pPr>
                    <w:jc w:val="center"/>
                    <w:rPr>
                      <w:color w:val="000000"/>
                      <w:kern w:val="0"/>
                      <w:szCs w:val="21"/>
                    </w:rPr>
                  </w:pPr>
                  <w:r>
                    <w:rPr>
                      <w:color w:val="000000"/>
                      <w:kern w:val="0"/>
                      <w:szCs w:val="21"/>
                    </w:rPr>
                    <w:t>抗坏血酸</w:t>
                  </w:r>
                </w:p>
              </w:tc>
              <w:tc>
                <w:tcPr>
                  <w:tcW w:w="802" w:type="pct"/>
                  <w:vAlign w:val="center"/>
                </w:tcPr>
                <w:p>
                  <w:pPr>
                    <w:jc w:val="center"/>
                    <w:rPr>
                      <w:color w:val="000000"/>
                      <w:kern w:val="0"/>
                      <w:szCs w:val="21"/>
                    </w:rPr>
                  </w:pPr>
                  <w:r>
                    <w:rPr>
                      <w:color w:val="000000"/>
                      <w:kern w:val="0"/>
                      <w:szCs w:val="21"/>
                    </w:rPr>
                    <w:t>1000g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76</w:t>
                  </w:r>
                </w:p>
              </w:tc>
              <w:tc>
                <w:tcPr>
                  <w:tcW w:w="1137" w:type="pct"/>
                  <w:vAlign w:val="center"/>
                </w:tcPr>
                <w:p>
                  <w:pPr>
                    <w:jc w:val="center"/>
                    <w:rPr>
                      <w:color w:val="000000"/>
                      <w:kern w:val="0"/>
                      <w:szCs w:val="21"/>
                    </w:rPr>
                  </w:pPr>
                  <w:r>
                    <w:rPr>
                      <w:color w:val="000000"/>
                      <w:kern w:val="0"/>
                      <w:szCs w:val="21"/>
                    </w:rPr>
                    <w:t>柠檬酸铵</w:t>
                  </w:r>
                </w:p>
              </w:tc>
              <w:tc>
                <w:tcPr>
                  <w:tcW w:w="802" w:type="pct"/>
                  <w:vAlign w:val="center"/>
                </w:tcPr>
                <w:p>
                  <w:pPr>
                    <w:jc w:val="center"/>
                    <w:rPr>
                      <w:color w:val="000000"/>
                      <w:kern w:val="0"/>
                      <w:szCs w:val="21"/>
                    </w:rPr>
                  </w:pPr>
                  <w:r>
                    <w:rPr>
                      <w:color w:val="000000"/>
                      <w:kern w:val="0"/>
                      <w:szCs w:val="21"/>
                    </w:rPr>
                    <w:t>500g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外购，白色晶体粉末（低毒）</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77</w:t>
                  </w:r>
                </w:p>
              </w:tc>
              <w:tc>
                <w:tcPr>
                  <w:tcW w:w="1137" w:type="pct"/>
                  <w:vAlign w:val="center"/>
                </w:tcPr>
                <w:p>
                  <w:pPr>
                    <w:jc w:val="center"/>
                    <w:rPr>
                      <w:color w:val="000000"/>
                      <w:kern w:val="0"/>
                      <w:szCs w:val="21"/>
                    </w:rPr>
                  </w:pPr>
                  <w:r>
                    <w:rPr>
                      <w:color w:val="000000"/>
                      <w:kern w:val="0"/>
                      <w:szCs w:val="21"/>
                    </w:rPr>
                    <w:t>硫酸铵</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78</w:t>
                  </w:r>
                </w:p>
              </w:tc>
              <w:tc>
                <w:tcPr>
                  <w:tcW w:w="1137" w:type="pct"/>
                  <w:vAlign w:val="center"/>
                </w:tcPr>
                <w:p>
                  <w:pPr>
                    <w:jc w:val="center"/>
                    <w:rPr>
                      <w:color w:val="000000"/>
                      <w:kern w:val="0"/>
                      <w:szCs w:val="21"/>
                    </w:rPr>
                  </w:pPr>
                  <w:r>
                    <w:rPr>
                      <w:color w:val="000000"/>
                      <w:kern w:val="0"/>
                      <w:szCs w:val="21"/>
                    </w:rPr>
                    <w:t>碘化钾</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79</w:t>
                  </w:r>
                </w:p>
              </w:tc>
              <w:tc>
                <w:tcPr>
                  <w:tcW w:w="1137" w:type="pct"/>
                  <w:vAlign w:val="center"/>
                </w:tcPr>
                <w:p>
                  <w:pPr>
                    <w:jc w:val="center"/>
                    <w:rPr>
                      <w:color w:val="000000"/>
                      <w:kern w:val="0"/>
                      <w:szCs w:val="21"/>
                    </w:rPr>
                  </w:pPr>
                  <w:r>
                    <w:rPr>
                      <w:color w:val="000000"/>
                      <w:kern w:val="0"/>
                      <w:szCs w:val="21"/>
                    </w:rPr>
                    <w:t>盐酸羟胺</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外购，白色晶体粉末（有毒）</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80</w:t>
                  </w:r>
                </w:p>
              </w:tc>
              <w:tc>
                <w:tcPr>
                  <w:tcW w:w="1137" w:type="pct"/>
                  <w:vAlign w:val="center"/>
                </w:tcPr>
                <w:p>
                  <w:pPr>
                    <w:jc w:val="center"/>
                    <w:rPr>
                      <w:color w:val="000000"/>
                      <w:kern w:val="0"/>
                      <w:szCs w:val="21"/>
                    </w:rPr>
                  </w:pPr>
                  <w:r>
                    <w:rPr>
                      <w:color w:val="000000"/>
                      <w:kern w:val="0"/>
                      <w:szCs w:val="21"/>
                    </w:rPr>
                    <w:t>二硫腙</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外购，黑色晶体粉末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81</w:t>
                  </w:r>
                </w:p>
              </w:tc>
              <w:tc>
                <w:tcPr>
                  <w:tcW w:w="1137" w:type="pct"/>
                  <w:vAlign w:val="center"/>
                </w:tcPr>
                <w:p>
                  <w:pPr>
                    <w:jc w:val="center"/>
                    <w:rPr>
                      <w:color w:val="000000"/>
                      <w:kern w:val="0"/>
                      <w:szCs w:val="21"/>
                    </w:rPr>
                  </w:pPr>
                  <w:r>
                    <w:rPr>
                      <w:color w:val="000000"/>
                      <w:kern w:val="0"/>
                      <w:szCs w:val="21"/>
                    </w:rPr>
                    <w:t>三氧化二砷</w:t>
                  </w:r>
                </w:p>
              </w:tc>
              <w:tc>
                <w:tcPr>
                  <w:tcW w:w="802" w:type="pct"/>
                  <w:vAlign w:val="center"/>
                </w:tcPr>
                <w:p>
                  <w:pPr>
                    <w:jc w:val="center"/>
                    <w:rPr>
                      <w:color w:val="000000"/>
                      <w:kern w:val="0"/>
                      <w:szCs w:val="21"/>
                    </w:rPr>
                  </w:pPr>
                  <w:r>
                    <w:rPr>
                      <w:color w:val="000000"/>
                      <w:kern w:val="0"/>
                      <w:szCs w:val="21"/>
                    </w:rPr>
                    <w:t>10g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外购，晶体粉末（剧毒）</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82</w:t>
                  </w:r>
                </w:p>
              </w:tc>
              <w:tc>
                <w:tcPr>
                  <w:tcW w:w="1137" w:type="pct"/>
                  <w:vAlign w:val="center"/>
                </w:tcPr>
                <w:p>
                  <w:pPr>
                    <w:jc w:val="center"/>
                    <w:rPr>
                      <w:color w:val="000000"/>
                      <w:kern w:val="0"/>
                      <w:szCs w:val="21"/>
                    </w:rPr>
                  </w:pPr>
                  <w:r>
                    <w:rPr>
                      <w:color w:val="000000"/>
                      <w:kern w:val="0"/>
                      <w:szCs w:val="21"/>
                    </w:rPr>
                    <w:t>三氯化铁</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外购，黑棕色晶体粉末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83</w:t>
                  </w:r>
                </w:p>
              </w:tc>
              <w:tc>
                <w:tcPr>
                  <w:tcW w:w="1137" w:type="pct"/>
                  <w:vAlign w:val="center"/>
                </w:tcPr>
                <w:p>
                  <w:pPr>
                    <w:jc w:val="center"/>
                    <w:rPr>
                      <w:color w:val="000000"/>
                      <w:kern w:val="0"/>
                      <w:szCs w:val="21"/>
                    </w:rPr>
                  </w:pPr>
                  <w:r>
                    <w:rPr>
                      <w:color w:val="000000"/>
                      <w:kern w:val="0"/>
                      <w:szCs w:val="21"/>
                    </w:rPr>
                    <w:t>硫酸亚铁</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外购，白色晶体粉末（剧毒）</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84</w:t>
                  </w:r>
                </w:p>
              </w:tc>
              <w:tc>
                <w:tcPr>
                  <w:tcW w:w="1137" w:type="pct"/>
                  <w:vAlign w:val="center"/>
                </w:tcPr>
                <w:p>
                  <w:pPr>
                    <w:jc w:val="center"/>
                    <w:rPr>
                      <w:color w:val="000000"/>
                      <w:kern w:val="0"/>
                      <w:szCs w:val="21"/>
                    </w:rPr>
                  </w:pPr>
                  <w:r>
                    <w:rPr>
                      <w:color w:val="000000"/>
                      <w:kern w:val="0"/>
                      <w:szCs w:val="21"/>
                    </w:rPr>
                    <w:t>柠檬酸铋铵</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85</w:t>
                  </w:r>
                </w:p>
              </w:tc>
              <w:tc>
                <w:tcPr>
                  <w:tcW w:w="1137" w:type="pct"/>
                  <w:vAlign w:val="center"/>
                </w:tcPr>
                <w:p>
                  <w:pPr>
                    <w:jc w:val="center"/>
                    <w:rPr>
                      <w:color w:val="000000"/>
                      <w:kern w:val="0"/>
                      <w:szCs w:val="21"/>
                    </w:rPr>
                  </w:pPr>
                  <w:r>
                    <w:rPr>
                      <w:color w:val="000000"/>
                      <w:kern w:val="0"/>
                      <w:szCs w:val="21"/>
                    </w:rPr>
                    <w:t>草酸钠</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86</w:t>
                  </w:r>
                </w:p>
              </w:tc>
              <w:tc>
                <w:tcPr>
                  <w:tcW w:w="1137" w:type="pct"/>
                  <w:vAlign w:val="center"/>
                </w:tcPr>
                <w:p>
                  <w:pPr>
                    <w:jc w:val="center"/>
                    <w:rPr>
                      <w:color w:val="000000"/>
                      <w:kern w:val="0"/>
                      <w:szCs w:val="21"/>
                    </w:rPr>
                  </w:pPr>
                  <w:r>
                    <w:rPr>
                      <w:color w:val="000000"/>
                      <w:kern w:val="0"/>
                      <w:szCs w:val="21"/>
                    </w:rPr>
                    <w:t>亚硫酸钠</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87</w:t>
                  </w:r>
                </w:p>
              </w:tc>
              <w:tc>
                <w:tcPr>
                  <w:tcW w:w="1137" w:type="pct"/>
                  <w:vAlign w:val="center"/>
                </w:tcPr>
                <w:p>
                  <w:pPr>
                    <w:jc w:val="center"/>
                    <w:rPr>
                      <w:color w:val="000000"/>
                      <w:kern w:val="0"/>
                      <w:szCs w:val="21"/>
                    </w:rPr>
                  </w:pPr>
                  <w:r>
                    <w:rPr>
                      <w:color w:val="000000"/>
                      <w:kern w:val="0"/>
                      <w:szCs w:val="21"/>
                    </w:rPr>
                    <w:t>重铬酸钾</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外购，橘红色晶体粉末（有毒）</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88</w:t>
                  </w:r>
                </w:p>
              </w:tc>
              <w:tc>
                <w:tcPr>
                  <w:tcW w:w="1137" w:type="pct"/>
                  <w:vAlign w:val="center"/>
                </w:tcPr>
                <w:p>
                  <w:pPr>
                    <w:jc w:val="center"/>
                    <w:rPr>
                      <w:color w:val="000000"/>
                      <w:kern w:val="0"/>
                      <w:szCs w:val="21"/>
                    </w:rPr>
                  </w:pPr>
                  <w:r>
                    <w:rPr>
                      <w:color w:val="000000"/>
                      <w:kern w:val="0"/>
                      <w:szCs w:val="21"/>
                    </w:rPr>
                    <w:t>氯化亚硒</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89</w:t>
                  </w:r>
                </w:p>
              </w:tc>
              <w:tc>
                <w:tcPr>
                  <w:tcW w:w="1137" w:type="pct"/>
                  <w:vAlign w:val="center"/>
                </w:tcPr>
                <w:p>
                  <w:pPr>
                    <w:jc w:val="center"/>
                    <w:rPr>
                      <w:color w:val="000000"/>
                      <w:kern w:val="0"/>
                      <w:szCs w:val="21"/>
                    </w:rPr>
                  </w:pPr>
                  <w:r>
                    <w:rPr>
                      <w:color w:val="000000"/>
                      <w:kern w:val="0"/>
                      <w:szCs w:val="21"/>
                    </w:rPr>
                    <w:t>过硫酸钾</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90</w:t>
                  </w:r>
                </w:p>
              </w:tc>
              <w:tc>
                <w:tcPr>
                  <w:tcW w:w="1137" w:type="pct"/>
                  <w:vAlign w:val="center"/>
                </w:tcPr>
                <w:p>
                  <w:pPr>
                    <w:jc w:val="center"/>
                    <w:rPr>
                      <w:color w:val="000000"/>
                      <w:kern w:val="0"/>
                      <w:szCs w:val="21"/>
                    </w:rPr>
                  </w:pPr>
                  <w:r>
                    <w:rPr>
                      <w:color w:val="000000"/>
                      <w:kern w:val="0"/>
                      <w:szCs w:val="21"/>
                    </w:rPr>
                    <w:t>乙酸乙酯</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91</w:t>
                  </w:r>
                </w:p>
              </w:tc>
              <w:tc>
                <w:tcPr>
                  <w:tcW w:w="1137" w:type="pct"/>
                  <w:vAlign w:val="center"/>
                </w:tcPr>
                <w:p>
                  <w:pPr>
                    <w:jc w:val="center"/>
                    <w:rPr>
                      <w:color w:val="000000"/>
                      <w:kern w:val="0"/>
                      <w:szCs w:val="21"/>
                    </w:rPr>
                  </w:pPr>
                  <w:r>
                    <w:rPr>
                      <w:color w:val="000000"/>
                      <w:kern w:val="0"/>
                      <w:szCs w:val="21"/>
                    </w:rPr>
                    <w:t>硼酸钠</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92</w:t>
                  </w:r>
                </w:p>
              </w:tc>
              <w:tc>
                <w:tcPr>
                  <w:tcW w:w="1137" w:type="pct"/>
                  <w:vAlign w:val="center"/>
                </w:tcPr>
                <w:p>
                  <w:pPr>
                    <w:jc w:val="center"/>
                    <w:rPr>
                      <w:color w:val="000000"/>
                      <w:kern w:val="0"/>
                      <w:szCs w:val="21"/>
                    </w:rPr>
                  </w:pPr>
                  <w:r>
                    <w:rPr>
                      <w:color w:val="000000"/>
                      <w:kern w:val="0"/>
                      <w:szCs w:val="21"/>
                    </w:rPr>
                    <w:t>对氨基苯磺酸</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93</w:t>
                  </w:r>
                </w:p>
              </w:tc>
              <w:tc>
                <w:tcPr>
                  <w:tcW w:w="1137" w:type="pct"/>
                  <w:vAlign w:val="center"/>
                </w:tcPr>
                <w:p>
                  <w:pPr>
                    <w:jc w:val="center"/>
                    <w:rPr>
                      <w:color w:val="000000"/>
                      <w:kern w:val="0"/>
                      <w:szCs w:val="21"/>
                    </w:rPr>
                  </w:pPr>
                  <w:r>
                    <w:rPr>
                      <w:color w:val="000000"/>
                      <w:kern w:val="0"/>
                      <w:szCs w:val="21"/>
                    </w:rPr>
                    <w:t>盐酸萘乙二胺</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94</w:t>
                  </w:r>
                </w:p>
              </w:tc>
              <w:tc>
                <w:tcPr>
                  <w:tcW w:w="1137" w:type="pct"/>
                  <w:vAlign w:val="center"/>
                </w:tcPr>
                <w:p>
                  <w:pPr>
                    <w:jc w:val="center"/>
                    <w:rPr>
                      <w:color w:val="000000"/>
                      <w:kern w:val="0"/>
                      <w:szCs w:val="21"/>
                    </w:rPr>
                  </w:pPr>
                  <w:r>
                    <w:rPr>
                      <w:color w:val="000000"/>
                      <w:kern w:val="0"/>
                      <w:szCs w:val="21"/>
                    </w:rPr>
                    <w:t>酒石酸</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95</w:t>
                  </w:r>
                </w:p>
              </w:tc>
              <w:tc>
                <w:tcPr>
                  <w:tcW w:w="1137" w:type="pct"/>
                  <w:vAlign w:val="center"/>
                </w:tcPr>
                <w:p>
                  <w:pPr>
                    <w:jc w:val="center"/>
                    <w:rPr>
                      <w:color w:val="000000"/>
                      <w:kern w:val="0"/>
                      <w:szCs w:val="21"/>
                    </w:rPr>
                  </w:pPr>
                  <w:r>
                    <w:rPr>
                      <w:color w:val="000000"/>
                      <w:kern w:val="0"/>
                      <w:szCs w:val="21"/>
                    </w:rPr>
                    <w:t>硫酸镉</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96</w:t>
                  </w:r>
                </w:p>
              </w:tc>
              <w:tc>
                <w:tcPr>
                  <w:tcW w:w="1137" w:type="pct"/>
                  <w:vAlign w:val="center"/>
                </w:tcPr>
                <w:p>
                  <w:pPr>
                    <w:jc w:val="center"/>
                    <w:rPr>
                      <w:color w:val="000000"/>
                      <w:kern w:val="0"/>
                      <w:szCs w:val="21"/>
                    </w:rPr>
                  </w:pPr>
                  <w:r>
                    <w:rPr>
                      <w:color w:val="000000"/>
                      <w:kern w:val="0"/>
                      <w:szCs w:val="21"/>
                    </w:rPr>
                    <w:t>三正辛胺</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外购，油状液体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97</w:t>
                  </w:r>
                </w:p>
              </w:tc>
              <w:tc>
                <w:tcPr>
                  <w:tcW w:w="1137" w:type="pct"/>
                  <w:vAlign w:val="center"/>
                </w:tcPr>
                <w:p>
                  <w:pPr>
                    <w:jc w:val="center"/>
                    <w:rPr>
                      <w:color w:val="000000"/>
                      <w:kern w:val="0"/>
                      <w:szCs w:val="21"/>
                    </w:rPr>
                  </w:pPr>
                  <w:r>
                    <w:rPr>
                      <w:color w:val="000000"/>
                      <w:kern w:val="0"/>
                      <w:szCs w:val="21"/>
                    </w:rPr>
                    <w:t>异烟酸</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98</w:t>
                  </w:r>
                </w:p>
              </w:tc>
              <w:tc>
                <w:tcPr>
                  <w:tcW w:w="1137" w:type="pct"/>
                  <w:vAlign w:val="center"/>
                </w:tcPr>
                <w:p>
                  <w:pPr>
                    <w:jc w:val="center"/>
                    <w:rPr>
                      <w:color w:val="000000"/>
                      <w:kern w:val="0"/>
                      <w:szCs w:val="21"/>
                    </w:rPr>
                  </w:pPr>
                  <w:r>
                    <w:rPr>
                      <w:color w:val="000000"/>
                      <w:kern w:val="0"/>
                      <w:szCs w:val="21"/>
                    </w:rPr>
                    <w:t>吡唑啉酮</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外购，黄色晶体粉末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99</w:t>
                  </w:r>
                </w:p>
              </w:tc>
              <w:tc>
                <w:tcPr>
                  <w:tcW w:w="1137" w:type="pct"/>
                  <w:vAlign w:val="center"/>
                </w:tcPr>
                <w:p>
                  <w:pPr>
                    <w:jc w:val="center"/>
                    <w:rPr>
                      <w:color w:val="000000"/>
                      <w:kern w:val="0"/>
                      <w:szCs w:val="21"/>
                    </w:rPr>
                  </w:pPr>
                  <w:r>
                    <w:rPr>
                      <w:color w:val="000000"/>
                      <w:kern w:val="0"/>
                      <w:szCs w:val="21"/>
                    </w:rPr>
                    <w:t>铬黑T</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外购，黑色粉末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100</w:t>
                  </w:r>
                </w:p>
              </w:tc>
              <w:tc>
                <w:tcPr>
                  <w:tcW w:w="1137" w:type="pct"/>
                  <w:vAlign w:val="center"/>
                </w:tcPr>
                <w:p>
                  <w:pPr>
                    <w:jc w:val="center"/>
                    <w:rPr>
                      <w:color w:val="000000"/>
                      <w:kern w:val="0"/>
                      <w:szCs w:val="21"/>
                    </w:rPr>
                  </w:pPr>
                  <w:r>
                    <w:rPr>
                      <w:color w:val="000000"/>
                      <w:kern w:val="0"/>
                      <w:szCs w:val="21"/>
                    </w:rPr>
                    <w:t>异烟酸</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101</w:t>
                  </w:r>
                </w:p>
              </w:tc>
              <w:tc>
                <w:tcPr>
                  <w:tcW w:w="1137" w:type="pct"/>
                  <w:vAlign w:val="center"/>
                </w:tcPr>
                <w:p>
                  <w:pPr>
                    <w:jc w:val="center"/>
                    <w:rPr>
                      <w:color w:val="000000"/>
                      <w:kern w:val="0"/>
                      <w:szCs w:val="21"/>
                    </w:rPr>
                  </w:pPr>
                  <w:r>
                    <w:rPr>
                      <w:color w:val="000000"/>
                      <w:kern w:val="0"/>
                      <w:szCs w:val="21"/>
                    </w:rPr>
                    <w:t>氯胺T</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外购，黄色晶体粉末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102</w:t>
                  </w:r>
                </w:p>
              </w:tc>
              <w:tc>
                <w:tcPr>
                  <w:tcW w:w="1137" w:type="pct"/>
                  <w:vAlign w:val="center"/>
                </w:tcPr>
                <w:p>
                  <w:pPr>
                    <w:jc w:val="center"/>
                    <w:rPr>
                      <w:color w:val="000000"/>
                      <w:kern w:val="0"/>
                      <w:szCs w:val="21"/>
                    </w:rPr>
                  </w:pPr>
                  <w:r>
                    <w:rPr>
                      <w:color w:val="000000"/>
                      <w:kern w:val="0"/>
                      <w:szCs w:val="21"/>
                    </w:rPr>
                    <w:t>乙酸锌</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103</w:t>
                  </w:r>
                </w:p>
              </w:tc>
              <w:tc>
                <w:tcPr>
                  <w:tcW w:w="1137" w:type="pct"/>
                  <w:vAlign w:val="center"/>
                </w:tcPr>
                <w:p>
                  <w:pPr>
                    <w:jc w:val="center"/>
                    <w:rPr>
                      <w:color w:val="000000"/>
                      <w:kern w:val="0"/>
                      <w:szCs w:val="21"/>
                    </w:rPr>
                  </w:pPr>
                  <w:r>
                    <w:rPr>
                      <w:color w:val="000000"/>
                      <w:kern w:val="0"/>
                      <w:szCs w:val="21"/>
                    </w:rPr>
                    <w:t>钼酸铵</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104</w:t>
                  </w:r>
                </w:p>
              </w:tc>
              <w:tc>
                <w:tcPr>
                  <w:tcW w:w="1137" w:type="pct"/>
                  <w:vAlign w:val="center"/>
                </w:tcPr>
                <w:p>
                  <w:pPr>
                    <w:jc w:val="center"/>
                    <w:rPr>
                      <w:color w:val="000000"/>
                      <w:kern w:val="0"/>
                      <w:szCs w:val="21"/>
                    </w:rPr>
                  </w:pPr>
                  <w:r>
                    <w:rPr>
                      <w:color w:val="000000"/>
                      <w:kern w:val="0"/>
                      <w:szCs w:val="21"/>
                    </w:rPr>
                    <w:t>氯化亚锡</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105</w:t>
                  </w:r>
                </w:p>
              </w:tc>
              <w:tc>
                <w:tcPr>
                  <w:tcW w:w="1137" w:type="pct"/>
                  <w:vAlign w:val="center"/>
                </w:tcPr>
                <w:p>
                  <w:pPr>
                    <w:jc w:val="center"/>
                    <w:rPr>
                      <w:color w:val="000000"/>
                      <w:kern w:val="0"/>
                      <w:szCs w:val="21"/>
                    </w:rPr>
                  </w:pPr>
                  <w:r>
                    <w:rPr>
                      <w:color w:val="000000"/>
                      <w:kern w:val="0"/>
                      <w:szCs w:val="21"/>
                    </w:rPr>
                    <w:t>铁氰化钾</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外购，红色晶体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106</w:t>
                  </w:r>
                </w:p>
              </w:tc>
              <w:tc>
                <w:tcPr>
                  <w:tcW w:w="1137" w:type="pct"/>
                  <w:vAlign w:val="center"/>
                </w:tcPr>
                <w:p>
                  <w:pPr>
                    <w:jc w:val="center"/>
                    <w:rPr>
                      <w:color w:val="000000"/>
                      <w:kern w:val="0"/>
                      <w:szCs w:val="21"/>
                    </w:rPr>
                  </w:pPr>
                  <w:r>
                    <w:rPr>
                      <w:color w:val="000000"/>
                      <w:kern w:val="0"/>
                      <w:szCs w:val="21"/>
                    </w:rPr>
                    <w:t>硫酸肼</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107</w:t>
                  </w:r>
                </w:p>
              </w:tc>
              <w:tc>
                <w:tcPr>
                  <w:tcW w:w="1137" w:type="pct"/>
                  <w:vAlign w:val="center"/>
                </w:tcPr>
                <w:p>
                  <w:pPr>
                    <w:jc w:val="center"/>
                    <w:rPr>
                      <w:color w:val="000000"/>
                      <w:kern w:val="0"/>
                      <w:szCs w:val="21"/>
                    </w:rPr>
                  </w:pPr>
                  <w:r>
                    <w:rPr>
                      <w:color w:val="000000"/>
                      <w:kern w:val="0"/>
                      <w:szCs w:val="21"/>
                    </w:rPr>
                    <w:t>磷酸氢二铵</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108</w:t>
                  </w:r>
                </w:p>
              </w:tc>
              <w:tc>
                <w:tcPr>
                  <w:tcW w:w="1137" w:type="pct"/>
                  <w:vAlign w:val="center"/>
                </w:tcPr>
                <w:p>
                  <w:pPr>
                    <w:jc w:val="center"/>
                    <w:rPr>
                      <w:color w:val="000000"/>
                      <w:kern w:val="0"/>
                      <w:szCs w:val="21"/>
                    </w:rPr>
                  </w:pPr>
                  <w:r>
                    <w:rPr>
                      <w:color w:val="000000"/>
                      <w:kern w:val="0"/>
                      <w:szCs w:val="21"/>
                    </w:rPr>
                    <w:t>间苯二酚</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109</w:t>
                  </w:r>
                </w:p>
              </w:tc>
              <w:tc>
                <w:tcPr>
                  <w:tcW w:w="1137" w:type="pct"/>
                  <w:vAlign w:val="center"/>
                </w:tcPr>
                <w:p>
                  <w:pPr>
                    <w:jc w:val="center"/>
                    <w:rPr>
                      <w:color w:val="000000"/>
                      <w:kern w:val="0"/>
                      <w:szCs w:val="21"/>
                    </w:rPr>
                  </w:pPr>
                  <w:r>
                    <w:rPr>
                      <w:color w:val="000000"/>
                      <w:kern w:val="0"/>
                      <w:szCs w:val="21"/>
                    </w:rPr>
                    <w:t>乙酸酐</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外购，无色透明液体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110</w:t>
                  </w:r>
                </w:p>
              </w:tc>
              <w:tc>
                <w:tcPr>
                  <w:tcW w:w="1137" w:type="pct"/>
                  <w:vAlign w:val="center"/>
                </w:tcPr>
                <w:p>
                  <w:pPr>
                    <w:jc w:val="center"/>
                    <w:rPr>
                      <w:color w:val="000000"/>
                      <w:kern w:val="0"/>
                      <w:szCs w:val="21"/>
                    </w:rPr>
                  </w:pPr>
                  <w:r>
                    <w:rPr>
                      <w:color w:val="000000"/>
                      <w:kern w:val="0"/>
                      <w:szCs w:val="21"/>
                    </w:rPr>
                    <w:t>氯化铁</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外购，黑棕色晶体粉末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111</w:t>
                  </w:r>
                </w:p>
              </w:tc>
              <w:tc>
                <w:tcPr>
                  <w:tcW w:w="1137" w:type="pct"/>
                  <w:vAlign w:val="center"/>
                </w:tcPr>
                <w:p>
                  <w:pPr>
                    <w:jc w:val="center"/>
                    <w:rPr>
                      <w:color w:val="000000"/>
                      <w:kern w:val="0"/>
                      <w:szCs w:val="21"/>
                    </w:rPr>
                  </w:pPr>
                  <w:r>
                    <w:rPr>
                      <w:color w:val="000000"/>
                      <w:kern w:val="0"/>
                      <w:szCs w:val="21"/>
                    </w:rPr>
                    <w:t>硫酸氢钠</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112</w:t>
                  </w:r>
                </w:p>
              </w:tc>
              <w:tc>
                <w:tcPr>
                  <w:tcW w:w="1137" w:type="pct"/>
                  <w:vAlign w:val="center"/>
                </w:tcPr>
                <w:p>
                  <w:pPr>
                    <w:jc w:val="center"/>
                    <w:rPr>
                      <w:color w:val="000000"/>
                      <w:kern w:val="0"/>
                      <w:szCs w:val="21"/>
                    </w:rPr>
                  </w:pPr>
                  <w:r>
                    <w:rPr>
                      <w:color w:val="000000"/>
                      <w:kern w:val="0"/>
                      <w:szCs w:val="21"/>
                    </w:rPr>
                    <w:t>三氯乙酸</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外购，晶体粉末（有毒）</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113</w:t>
                  </w:r>
                </w:p>
              </w:tc>
              <w:tc>
                <w:tcPr>
                  <w:tcW w:w="1137" w:type="pct"/>
                  <w:vAlign w:val="center"/>
                </w:tcPr>
                <w:p>
                  <w:pPr>
                    <w:jc w:val="center"/>
                    <w:rPr>
                      <w:color w:val="000000"/>
                      <w:kern w:val="0"/>
                      <w:szCs w:val="21"/>
                    </w:rPr>
                  </w:pPr>
                  <w:r>
                    <w:rPr>
                      <w:color w:val="000000"/>
                      <w:kern w:val="0"/>
                      <w:szCs w:val="21"/>
                    </w:rPr>
                    <w:t>对硝基苯酚</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外购，淡黄色晶体粉末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114</w:t>
                  </w:r>
                </w:p>
              </w:tc>
              <w:tc>
                <w:tcPr>
                  <w:tcW w:w="1137" w:type="pct"/>
                  <w:vAlign w:val="center"/>
                </w:tcPr>
                <w:p>
                  <w:pPr>
                    <w:jc w:val="center"/>
                    <w:rPr>
                      <w:color w:val="000000"/>
                      <w:kern w:val="0"/>
                      <w:szCs w:val="21"/>
                    </w:rPr>
                  </w:pPr>
                  <w:r>
                    <w:rPr>
                      <w:color w:val="000000"/>
                      <w:kern w:val="0"/>
                      <w:szCs w:val="21"/>
                    </w:rPr>
                    <w:t>乙二胺</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外购，淡黄色液体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115</w:t>
                  </w:r>
                </w:p>
              </w:tc>
              <w:tc>
                <w:tcPr>
                  <w:tcW w:w="1137" w:type="pct"/>
                  <w:vAlign w:val="center"/>
                </w:tcPr>
                <w:p>
                  <w:pPr>
                    <w:jc w:val="center"/>
                    <w:rPr>
                      <w:color w:val="000000"/>
                      <w:kern w:val="0"/>
                      <w:szCs w:val="21"/>
                    </w:rPr>
                  </w:pPr>
                  <w:r>
                    <w:rPr>
                      <w:color w:val="000000"/>
                      <w:kern w:val="0"/>
                      <w:szCs w:val="21"/>
                    </w:rPr>
                    <w:t>铬天青S</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外购，红棕色粉末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116</w:t>
                  </w:r>
                </w:p>
              </w:tc>
              <w:tc>
                <w:tcPr>
                  <w:tcW w:w="1137" w:type="pct"/>
                  <w:vAlign w:val="center"/>
                </w:tcPr>
                <w:p>
                  <w:pPr>
                    <w:jc w:val="center"/>
                    <w:rPr>
                      <w:color w:val="000000"/>
                      <w:kern w:val="0"/>
                      <w:szCs w:val="21"/>
                    </w:rPr>
                  </w:pPr>
                  <w:r>
                    <w:rPr>
                      <w:color w:val="000000"/>
                      <w:kern w:val="0"/>
                      <w:szCs w:val="21"/>
                    </w:rPr>
                    <w:t>钨酸钠</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117</w:t>
                  </w:r>
                </w:p>
              </w:tc>
              <w:tc>
                <w:tcPr>
                  <w:tcW w:w="1137" w:type="pct"/>
                  <w:vAlign w:val="center"/>
                </w:tcPr>
                <w:p>
                  <w:pPr>
                    <w:jc w:val="center"/>
                    <w:rPr>
                      <w:color w:val="000000"/>
                      <w:kern w:val="0"/>
                      <w:szCs w:val="21"/>
                    </w:rPr>
                  </w:pPr>
                  <w:r>
                    <w:rPr>
                      <w:color w:val="000000"/>
                      <w:kern w:val="0"/>
                      <w:szCs w:val="21"/>
                    </w:rPr>
                    <w:t>碘化汞</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外购，红色晶体粉末（剧毒）</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118</w:t>
                  </w:r>
                </w:p>
              </w:tc>
              <w:tc>
                <w:tcPr>
                  <w:tcW w:w="1137" w:type="pct"/>
                  <w:vAlign w:val="center"/>
                </w:tcPr>
                <w:p>
                  <w:pPr>
                    <w:jc w:val="center"/>
                    <w:rPr>
                      <w:color w:val="000000"/>
                      <w:kern w:val="0"/>
                      <w:szCs w:val="21"/>
                    </w:rPr>
                  </w:pPr>
                  <w:r>
                    <w:rPr>
                      <w:color w:val="000000"/>
                      <w:kern w:val="0"/>
                      <w:szCs w:val="21"/>
                    </w:rPr>
                    <w:t>葡萄糖</w:t>
                  </w:r>
                </w:p>
              </w:tc>
              <w:tc>
                <w:tcPr>
                  <w:tcW w:w="802" w:type="pct"/>
                  <w:vAlign w:val="center"/>
                </w:tcPr>
                <w:p>
                  <w:pPr>
                    <w:jc w:val="center"/>
                    <w:rPr>
                      <w:color w:val="000000"/>
                      <w:kern w:val="0"/>
                      <w:szCs w:val="21"/>
                    </w:rPr>
                  </w:pPr>
                  <w:r>
                    <w:rPr>
                      <w:color w:val="000000"/>
                      <w:kern w:val="0"/>
                      <w:szCs w:val="21"/>
                    </w:rPr>
                    <w:t>500g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119</w:t>
                  </w:r>
                </w:p>
              </w:tc>
              <w:tc>
                <w:tcPr>
                  <w:tcW w:w="1137" w:type="pct"/>
                  <w:vAlign w:val="center"/>
                </w:tcPr>
                <w:p>
                  <w:pPr>
                    <w:jc w:val="center"/>
                    <w:rPr>
                      <w:color w:val="000000"/>
                      <w:kern w:val="0"/>
                      <w:szCs w:val="21"/>
                    </w:rPr>
                  </w:pPr>
                  <w:r>
                    <w:rPr>
                      <w:color w:val="000000"/>
                      <w:kern w:val="0"/>
                      <w:szCs w:val="21"/>
                    </w:rPr>
                    <w:t>氯化钠</w:t>
                  </w:r>
                </w:p>
              </w:tc>
              <w:tc>
                <w:tcPr>
                  <w:tcW w:w="802" w:type="pct"/>
                  <w:vAlign w:val="center"/>
                </w:tcPr>
                <w:p>
                  <w:pPr>
                    <w:jc w:val="center"/>
                    <w:rPr>
                      <w:color w:val="000000"/>
                      <w:kern w:val="0"/>
                      <w:szCs w:val="21"/>
                    </w:rPr>
                  </w:pPr>
                  <w:r>
                    <w:rPr>
                      <w:color w:val="000000"/>
                      <w:kern w:val="0"/>
                      <w:szCs w:val="21"/>
                    </w:rPr>
                    <w:t>1500g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120</w:t>
                  </w:r>
                </w:p>
              </w:tc>
              <w:tc>
                <w:tcPr>
                  <w:tcW w:w="1137" w:type="pct"/>
                  <w:vAlign w:val="center"/>
                </w:tcPr>
                <w:p>
                  <w:pPr>
                    <w:jc w:val="center"/>
                    <w:rPr>
                      <w:color w:val="000000"/>
                      <w:kern w:val="0"/>
                      <w:szCs w:val="21"/>
                    </w:rPr>
                  </w:pPr>
                  <w:r>
                    <w:rPr>
                      <w:color w:val="000000"/>
                      <w:kern w:val="0"/>
                      <w:szCs w:val="21"/>
                    </w:rPr>
                    <w:t>氯化钾</w:t>
                  </w:r>
                </w:p>
              </w:tc>
              <w:tc>
                <w:tcPr>
                  <w:tcW w:w="802" w:type="pct"/>
                  <w:vAlign w:val="center"/>
                </w:tcPr>
                <w:p>
                  <w:pPr>
                    <w:jc w:val="center"/>
                    <w:rPr>
                      <w:color w:val="000000"/>
                      <w:kern w:val="0"/>
                      <w:szCs w:val="21"/>
                    </w:rPr>
                  </w:pPr>
                  <w:r>
                    <w:rPr>
                      <w:color w:val="000000"/>
                      <w:kern w:val="0"/>
                      <w:szCs w:val="21"/>
                    </w:rPr>
                    <w:t>300g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121</w:t>
                  </w:r>
                </w:p>
              </w:tc>
              <w:tc>
                <w:tcPr>
                  <w:tcW w:w="1137" w:type="pct"/>
                  <w:vAlign w:val="center"/>
                </w:tcPr>
                <w:p>
                  <w:pPr>
                    <w:jc w:val="center"/>
                    <w:rPr>
                      <w:color w:val="000000"/>
                      <w:kern w:val="0"/>
                      <w:szCs w:val="21"/>
                    </w:rPr>
                  </w:pPr>
                  <w:r>
                    <w:rPr>
                      <w:color w:val="000000"/>
                      <w:kern w:val="0"/>
                      <w:szCs w:val="21"/>
                    </w:rPr>
                    <w:t>磷酸氢二钠</w:t>
                  </w:r>
                </w:p>
              </w:tc>
              <w:tc>
                <w:tcPr>
                  <w:tcW w:w="802" w:type="pct"/>
                  <w:vAlign w:val="center"/>
                </w:tcPr>
                <w:p>
                  <w:pPr>
                    <w:jc w:val="center"/>
                    <w:rPr>
                      <w:color w:val="000000"/>
                      <w:kern w:val="0"/>
                      <w:szCs w:val="21"/>
                    </w:rPr>
                  </w:pPr>
                  <w:r>
                    <w:rPr>
                      <w:color w:val="000000"/>
                      <w:kern w:val="0"/>
                      <w:szCs w:val="21"/>
                    </w:rPr>
                    <w:t>300g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122</w:t>
                  </w:r>
                </w:p>
              </w:tc>
              <w:tc>
                <w:tcPr>
                  <w:tcW w:w="1137" w:type="pct"/>
                  <w:vAlign w:val="center"/>
                </w:tcPr>
                <w:p>
                  <w:pPr>
                    <w:jc w:val="center"/>
                    <w:rPr>
                      <w:color w:val="000000"/>
                      <w:kern w:val="0"/>
                      <w:szCs w:val="21"/>
                    </w:rPr>
                  </w:pPr>
                  <w:r>
                    <w:rPr>
                      <w:color w:val="000000"/>
                      <w:kern w:val="0"/>
                      <w:szCs w:val="21"/>
                    </w:rPr>
                    <w:t>磷酸二氢钾</w:t>
                  </w:r>
                </w:p>
              </w:tc>
              <w:tc>
                <w:tcPr>
                  <w:tcW w:w="802" w:type="pct"/>
                  <w:vAlign w:val="center"/>
                </w:tcPr>
                <w:p>
                  <w:pPr>
                    <w:jc w:val="center"/>
                    <w:rPr>
                      <w:color w:val="000000"/>
                      <w:kern w:val="0"/>
                      <w:szCs w:val="21"/>
                    </w:rPr>
                  </w:pPr>
                  <w:r>
                    <w:rPr>
                      <w:color w:val="000000"/>
                      <w:kern w:val="0"/>
                      <w:szCs w:val="21"/>
                    </w:rPr>
                    <w:t>100g</w:t>
                  </w:r>
                </w:p>
              </w:tc>
              <w:tc>
                <w:tcPr>
                  <w:tcW w:w="738" w:type="pct"/>
                  <w:tcBorders>
                    <w:right w:val="single" w:color="auto" w:sz="4" w:space="0"/>
                  </w:tcBorders>
                  <w:vAlign w:val="center"/>
                </w:tcPr>
                <w:p>
                  <w:pPr>
                    <w:jc w:val="center"/>
                    <w:rPr>
                      <w:color w:val="000000"/>
                      <w:kern w:val="0"/>
                      <w:szCs w:val="21"/>
                    </w:rPr>
                  </w:pPr>
                  <w:r>
                    <w:rPr>
                      <w:color w:val="000000"/>
                      <w:kern w:val="0"/>
                      <w:szCs w:val="21"/>
                    </w:rPr>
                    <w:t>分析纯</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123</w:t>
                  </w:r>
                </w:p>
              </w:tc>
              <w:tc>
                <w:tcPr>
                  <w:tcW w:w="1137" w:type="pct"/>
                  <w:vAlign w:val="center"/>
                </w:tcPr>
                <w:p>
                  <w:pPr>
                    <w:jc w:val="center"/>
                    <w:rPr>
                      <w:color w:val="000000"/>
                      <w:kern w:val="0"/>
                      <w:szCs w:val="21"/>
                    </w:rPr>
                  </w:pPr>
                  <w:r>
                    <w:rPr>
                      <w:color w:val="000000"/>
                      <w:kern w:val="0"/>
                      <w:szCs w:val="21"/>
                    </w:rPr>
                    <w:t>无水碳酸钠</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工作基准</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124</w:t>
                  </w:r>
                </w:p>
              </w:tc>
              <w:tc>
                <w:tcPr>
                  <w:tcW w:w="1137" w:type="pct"/>
                  <w:vAlign w:val="center"/>
                </w:tcPr>
                <w:p>
                  <w:pPr>
                    <w:jc w:val="center"/>
                    <w:rPr>
                      <w:color w:val="000000"/>
                      <w:kern w:val="0"/>
                      <w:szCs w:val="21"/>
                    </w:rPr>
                  </w:pPr>
                  <w:r>
                    <w:rPr>
                      <w:color w:val="000000"/>
                      <w:kern w:val="0"/>
                      <w:szCs w:val="21"/>
                    </w:rPr>
                    <w:t>邻苯二甲酸氢钾</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工作基准</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125</w:t>
                  </w:r>
                </w:p>
              </w:tc>
              <w:tc>
                <w:tcPr>
                  <w:tcW w:w="1137" w:type="pct"/>
                  <w:vAlign w:val="center"/>
                </w:tcPr>
                <w:p>
                  <w:pPr>
                    <w:jc w:val="center"/>
                    <w:rPr>
                      <w:color w:val="000000"/>
                      <w:kern w:val="0"/>
                      <w:szCs w:val="21"/>
                    </w:rPr>
                  </w:pPr>
                  <w:r>
                    <w:rPr>
                      <w:color w:val="000000"/>
                      <w:kern w:val="0"/>
                      <w:szCs w:val="21"/>
                    </w:rPr>
                    <w:t>重铬酸钾</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工作基准</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外购，橘红色晶体粉末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126</w:t>
                  </w:r>
                </w:p>
              </w:tc>
              <w:tc>
                <w:tcPr>
                  <w:tcW w:w="1137" w:type="pct"/>
                  <w:vAlign w:val="center"/>
                </w:tcPr>
                <w:p>
                  <w:pPr>
                    <w:jc w:val="center"/>
                    <w:rPr>
                      <w:color w:val="000000"/>
                      <w:kern w:val="0"/>
                      <w:szCs w:val="21"/>
                    </w:rPr>
                  </w:pPr>
                  <w:r>
                    <w:rPr>
                      <w:color w:val="000000"/>
                      <w:kern w:val="0"/>
                      <w:szCs w:val="21"/>
                    </w:rPr>
                    <w:t>草酸钠</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工作基准</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127</w:t>
                  </w:r>
                </w:p>
              </w:tc>
              <w:tc>
                <w:tcPr>
                  <w:tcW w:w="1137" w:type="pct"/>
                  <w:vAlign w:val="center"/>
                </w:tcPr>
                <w:p>
                  <w:pPr>
                    <w:jc w:val="center"/>
                    <w:rPr>
                      <w:color w:val="000000"/>
                      <w:kern w:val="0"/>
                      <w:szCs w:val="21"/>
                    </w:rPr>
                  </w:pPr>
                  <w:r>
                    <w:rPr>
                      <w:color w:val="000000"/>
                      <w:kern w:val="0"/>
                      <w:szCs w:val="21"/>
                    </w:rPr>
                    <w:t>氧化锌</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工作基准</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128</w:t>
                  </w:r>
                </w:p>
              </w:tc>
              <w:tc>
                <w:tcPr>
                  <w:tcW w:w="1137" w:type="pct"/>
                  <w:vAlign w:val="center"/>
                </w:tcPr>
                <w:p>
                  <w:pPr>
                    <w:jc w:val="center"/>
                    <w:rPr>
                      <w:color w:val="000000"/>
                      <w:kern w:val="0"/>
                      <w:szCs w:val="21"/>
                    </w:rPr>
                  </w:pPr>
                  <w:r>
                    <w:rPr>
                      <w:color w:val="000000"/>
                      <w:kern w:val="0"/>
                      <w:szCs w:val="21"/>
                    </w:rPr>
                    <w:t>氯化钠</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工作基准</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外购，白色晶体粉末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129</w:t>
                  </w:r>
                </w:p>
              </w:tc>
              <w:tc>
                <w:tcPr>
                  <w:tcW w:w="1137" w:type="pct"/>
                  <w:vAlign w:val="center"/>
                </w:tcPr>
                <w:p>
                  <w:pPr>
                    <w:jc w:val="center"/>
                    <w:rPr>
                      <w:color w:val="000000"/>
                      <w:kern w:val="0"/>
                      <w:szCs w:val="21"/>
                    </w:rPr>
                  </w:pPr>
                  <w:r>
                    <w:rPr>
                      <w:color w:val="000000"/>
                      <w:kern w:val="0"/>
                      <w:szCs w:val="21"/>
                    </w:rPr>
                    <w:t>镉</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银白色金属</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130</w:t>
                  </w:r>
                </w:p>
              </w:tc>
              <w:tc>
                <w:tcPr>
                  <w:tcW w:w="1137" w:type="pct"/>
                  <w:vAlign w:val="center"/>
                </w:tcPr>
                <w:p>
                  <w:pPr>
                    <w:jc w:val="center"/>
                    <w:rPr>
                      <w:color w:val="000000"/>
                      <w:kern w:val="0"/>
                      <w:szCs w:val="21"/>
                    </w:rPr>
                  </w:pPr>
                  <w:r>
                    <w:rPr>
                      <w:color w:val="000000"/>
                      <w:kern w:val="0"/>
                      <w:szCs w:val="21"/>
                    </w:rPr>
                    <w:t>铬</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钢灰色金属</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131</w:t>
                  </w:r>
                </w:p>
              </w:tc>
              <w:tc>
                <w:tcPr>
                  <w:tcW w:w="1137" w:type="pct"/>
                  <w:vAlign w:val="center"/>
                </w:tcPr>
                <w:p>
                  <w:pPr>
                    <w:jc w:val="center"/>
                    <w:rPr>
                      <w:color w:val="000000"/>
                      <w:kern w:val="0"/>
                      <w:szCs w:val="21"/>
                    </w:rPr>
                  </w:pPr>
                  <w:r>
                    <w:rPr>
                      <w:color w:val="000000"/>
                      <w:kern w:val="0"/>
                      <w:szCs w:val="21"/>
                    </w:rPr>
                    <w:t>铝</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银白色轻金属</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132</w:t>
                  </w:r>
                </w:p>
              </w:tc>
              <w:tc>
                <w:tcPr>
                  <w:tcW w:w="1137" w:type="pct"/>
                  <w:vAlign w:val="center"/>
                </w:tcPr>
                <w:p>
                  <w:pPr>
                    <w:jc w:val="center"/>
                    <w:rPr>
                      <w:color w:val="000000"/>
                      <w:kern w:val="0"/>
                      <w:szCs w:val="21"/>
                    </w:rPr>
                  </w:pPr>
                  <w:r>
                    <w:rPr>
                      <w:color w:val="000000"/>
                      <w:kern w:val="0"/>
                      <w:szCs w:val="21"/>
                    </w:rPr>
                    <w:t>硒</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红色或灰色粉末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133</w:t>
                  </w:r>
                </w:p>
              </w:tc>
              <w:tc>
                <w:tcPr>
                  <w:tcW w:w="1137" w:type="pct"/>
                  <w:vAlign w:val="center"/>
                </w:tcPr>
                <w:p>
                  <w:pPr>
                    <w:jc w:val="center"/>
                    <w:rPr>
                      <w:color w:val="000000"/>
                      <w:kern w:val="0"/>
                      <w:szCs w:val="21"/>
                    </w:rPr>
                  </w:pPr>
                  <w:r>
                    <w:rPr>
                      <w:color w:val="000000"/>
                      <w:kern w:val="0"/>
                      <w:szCs w:val="21"/>
                    </w:rPr>
                    <w:t>铁</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银白色金属</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134</w:t>
                  </w:r>
                </w:p>
              </w:tc>
              <w:tc>
                <w:tcPr>
                  <w:tcW w:w="1137" w:type="pct"/>
                  <w:vAlign w:val="center"/>
                </w:tcPr>
                <w:p>
                  <w:pPr>
                    <w:jc w:val="center"/>
                    <w:rPr>
                      <w:color w:val="000000"/>
                      <w:kern w:val="0"/>
                      <w:szCs w:val="21"/>
                    </w:rPr>
                  </w:pPr>
                  <w:r>
                    <w:rPr>
                      <w:color w:val="000000"/>
                      <w:kern w:val="0"/>
                      <w:szCs w:val="21"/>
                    </w:rPr>
                    <w:t>砷</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银灰色发亮的块状固体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135</w:t>
                  </w:r>
                </w:p>
              </w:tc>
              <w:tc>
                <w:tcPr>
                  <w:tcW w:w="1137" w:type="pct"/>
                  <w:vAlign w:val="center"/>
                </w:tcPr>
                <w:p>
                  <w:pPr>
                    <w:jc w:val="center"/>
                    <w:rPr>
                      <w:color w:val="000000"/>
                      <w:kern w:val="0"/>
                      <w:szCs w:val="21"/>
                    </w:rPr>
                  </w:pPr>
                  <w:r>
                    <w:rPr>
                      <w:color w:val="000000"/>
                      <w:kern w:val="0"/>
                      <w:szCs w:val="21"/>
                    </w:rPr>
                    <w:t>铅</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蓝灰色金属</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136</w:t>
                  </w:r>
                </w:p>
              </w:tc>
              <w:tc>
                <w:tcPr>
                  <w:tcW w:w="1137" w:type="pct"/>
                  <w:vAlign w:val="center"/>
                </w:tcPr>
                <w:p>
                  <w:pPr>
                    <w:jc w:val="center"/>
                    <w:rPr>
                      <w:color w:val="000000"/>
                      <w:kern w:val="0"/>
                      <w:szCs w:val="21"/>
                    </w:rPr>
                  </w:pPr>
                  <w:r>
                    <w:rPr>
                      <w:color w:val="000000"/>
                      <w:kern w:val="0"/>
                      <w:szCs w:val="21"/>
                    </w:rPr>
                    <w:t>铜</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紫红色金属</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137</w:t>
                  </w:r>
                </w:p>
              </w:tc>
              <w:tc>
                <w:tcPr>
                  <w:tcW w:w="1137" w:type="pct"/>
                  <w:vAlign w:val="center"/>
                </w:tcPr>
                <w:p>
                  <w:pPr>
                    <w:jc w:val="center"/>
                    <w:rPr>
                      <w:color w:val="000000"/>
                      <w:kern w:val="0"/>
                      <w:szCs w:val="21"/>
                    </w:rPr>
                  </w:pPr>
                  <w:r>
                    <w:rPr>
                      <w:color w:val="000000"/>
                      <w:kern w:val="0"/>
                      <w:szCs w:val="21"/>
                    </w:rPr>
                    <w:t>锌</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银白色略带淡蓝色金属</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138</w:t>
                  </w:r>
                </w:p>
              </w:tc>
              <w:tc>
                <w:tcPr>
                  <w:tcW w:w="1137" w:type="pct"/>
                  <w:vAlign w:val="center"/>
                </w:tcPr>
                <w:p>
                  <w:pPr>
                    <w:jc w:val="center"/>
                    <w:rPr>
                      <w:color w:val="000000"/>
                      <w:kern w:val="0"/>
                      <w:szCs w:val="21"/>
                    </w:rPr>
                  </w:pPr>
                  <w:r>
                    <w:rPr>
                      <w:color w:val="000000"/>
                      <w:kern w:val="0"/>
                      <w:szCs w:val="21"/>
                    </w:rPr>
                    <w:t>锡</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银白色金属</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139</w:t>
                  </w:r>
                </w:p>
              </w:tc>
              <w:tc>
                <w:tcPr>
                  <w:tcW w:w="1137" w:type="pct"/>
                  <w:vAlign w:val="center"/>
                </w:tcPr>
                <w:p>
                  <w:pPr>
                    <w:jc w:val="center"/>
                    <w:rPr>
                      <w:color w:val="000000"/>
                      <w:kern w:val="0"/>
                      <w:szCs w:val="21"/>
                    </w:rPr>
                  </w:pPr>
                  <w:r>
                    <w:rPr>
                      <w:color w:val="000000"/>
                      <w:kern w:val="0"/>
                      <w:szCs w:val="21"/>
                    </w:rPr>
                    <w:t>锑</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银白色有光泽硬而脆的金属</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140</w:t>
                  </w:r>
                </w:p>
              </w:tc>
              <w:tc>
                <w:tcPr>
                  <w:tcW w:w="1137" w:type="pct"/>
                  <w:vAlign w:val="center"/>
                </w:tcPr>
                <w:p>
                  <w:pPr>
                    <w:jc w:val="center"/>
                    <w:rPr>
                      <w:color w:val="000000"/>
                      <w:kern w:val="0"/>
                      <w:szCs w:val="21"/>
                    </w:rPr>
                  </w:pPr>
                  <w:r>
                    <w:rPr>
                      <w:color w:val="000000"/>
                      <w:kern w:val="0"/>
                      <w:szCs w:val="21"/>
                    </w:rPr>
                    <w:t>镍</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银白色金属</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141</w:t>
                  </w:r>
                </w:p>
              </w:tc>
              <w:tc>
                <w:tcPr>
                  <w:tcW w:w="1137" w:type="pct"/>
                  <w:vAlign w:val="center"/>
                </w:tcPr>
                <w:p>
                  <w:pPr>
                    <w:jc w:val="center"/>
                    <w:rPr>
                      <w:color w:val="000000"/>
                      <w:kern w:val="0"/>
                      <w:szCs w:val="21"/>
                    </w:rPr>
                  </w:pPr>
                  <w:r>
                    <w:rPr>
                      <w:color w:val="000000"/>
                      <w:kern w:val="0"/>
                      <w:szCs w:val="21"/>
                    </w:rPr>
                    <w:t>镁</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银白色金属</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142</w:t>
                  </w:r>
                </w:p>
              </w:tc>
              <w:tc>
                <w:tcPr>
                  <w:tcW w:w="1137" w:type="pct"/>
                  <w:vAlign w:val="center"/>
                </w:tcPr>
                <w:p>
                  <w:pPr>
                    <w:jc w:val="center"/>
                    <w:rPr>
                      <w:color w:val="000000"/>
                      <w:kern w:val="0"/>
                      <w:szCs w:val="21"/>
                    </w:rPr>
                  </w:pPr>
                  <w:r>
                    <w:rPr>
                      <w:color w:val="000000"/>
                      <w:kern w:val="0"/>
                      <w:szCs w:val="21"/>
                    </w:rPr>
                    <w:t>锰</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灰白色金属</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143</w:t>
                  </w:r>
                </w:p>
              </w:tc>
              <w:tc>
                <w:tcPr>
                  <w:tcW w:w="1137" w:type="pct"/>
                  <w:vAlign w:val="center"/>
                </w:tcPr>
                <w:p>
                  <w:pPr>
                    <w:jc w:val="center"/>
                    <w:rPr>
                      <w:color w:val="000000"/>
                      <w:kern w:val="0"/>
                      <w:szCs w:val="21"/>
                    </w:rPr>
                  </w:pPr>
                  <w:r>
                    <w:rPr>
                      <w:color w:val="000000"/>
                      <w:kern w:val="0"/>
                      <w:szCs w:val="21"/>
                    </w:rPr>
                    <w:t>钾</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银白色金属</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144</w:t>
                  </w:r>
                </w:p>
              </w:tc>
              <w:tc>
                <w:tcPr>
                  <w:tcW w:w="1137" w:type="pct"/>
                  <w:vAlign w:val="center"/>
                </w:tcPr>
                <w:p>
                  <w:pPr>
                    <w:jc w:val="center"/>
                    <w:rPr>
                      <w:color w:val="000000"/>
                      <w:kern w:val="0"/>
                      <w:szCs w:val="21"/>
                    </w:rPr>
                  </w:pPr>
                  <w:r>
                    <w:rPr>
                      <w:color w:val="000000"/>
                      <w:kern w:val="0"/>
                      <w:szCs w:val="21"/>
                    </w:rPr>
                    <w:t>钠</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银白色金属</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145</w:t>
                  </w:r>
                </w:p>
              </w:tc>
              <w:tc>
                <w:tcPr>
                  <w:tcW w:w="1137" w:type="pct"/>
                  <w:vAlign w:val="center"/>
                </w:tcPr>
                <w:p>
                  <w:pPr>
                    <w:jc w:val="center"/>
                    <w:rPr>
                      <w:color w:val="000000"/>
                      <w:kern w:val="0"/>
                      <w:szCs w:val="21"/>
                    </w:rPr>
                  </w:pPr>
                  <w:r>
                    <w:rPr>
                      <w:color w:val="000000"/>
                      <w:kern w:val="0"/>
                      <w:szCs w:val="21"/>
                    </w:rPr>
                    <w:t>钙</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银白色金属</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146</w:t>
                  </w:r>
                </w:p>
              </w:tc>
              <w:tc>
                <w:tcPr>
                  <w:tcW w:w="1137" w:type="pct"/>
                  <w:vAlign w:val="center"/>
                </w:tcPr>
                <w:p>
                  <w:pPr>
                    <w:jc w:val="center"/>
                    <w:rPr>
                      <w:color w:val="000000"/>
                      <w:kern w:val="0"/>
                      <w:szCs w:val="21"/>
                    </w:rPr>
                  </w:pPr>
                  <w:r>
                    <w:rPr>
                      <w:color w:val="000000"/>
                      <w:kern w:val="0"/>
                      <w:szCs w:val="21"/>
                    </w:rPr>
                    <w:t>银</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银白色金属</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147</w:t>
                  </w:r>
                </w:p>
              </w:tc>
              <w:tc>
                <w:tcPr>
                  <w:tcW w:w="1137" w:type="pct"/>
                  <w:vAlign w:val="center"/>
                </w:tcPr>
                <w:p>
                  <w:pPr>
                    <w:jc w:val="center"/>
                    <w:rPr>
                      <w:color w:val="000000"/>
                      <w:kern w:val="0"/>
                      <w:szCs w:val="21"/>
                    </w:rPr>
                  </w:pPr>
                  <w:r>
                    <w:rPr>
                      <w:color w:val="000000"/>
                      <w:kern w:val="0"/>
                      <w:szCs w:val="21"/>
                    </w:rPr>
                    <w:t>钡</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银白色金属</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148</w:t>
                  </w:r>
                </w:p>
              </w:tc>
              <w:tc>
                <w:tcPr>
                  <w:tcW w:w="1137" w:type="pct"/>
                  <w:vAlign w:val="center"/>
                </w:tcPr>
                <w:p>
                  <w:pPr>
                    <w:jc w:val="center"/>
                    <w:rPr>
                      <w:color w:val="000000"/>
                      <w:kern w:val="0"/>
                      <w:szCs w:val="21"/>
                    </w:rPr>
                  </w:pPr>
                  <w:r>
                    <w:rPr>
                      <w:color w:val="000000"/>
                      <w:kern w:val="0"/>
                      <w:szCs w:val="21"/>
                    </w:rPr>
                    <w:t>锂</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银白色金属</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149</w:t>
                  </w:r>
                </w:p>
              </w:tc>
              <w:tc>
                <w:tcPr>
                  <w:tcW w:w="1137" w:type="pct"/>
                  <w:vAlign w:val="center"/>
                </w:tcPr>
                <w:p>
                  <w:pPr>
                    <w:jc w:val="center"/>
                    <w:rPr>
                      <w:color w:val="000000"/>
                      <w:kern w:val="0"/>
                      <w:szCs w:val="21"/>
                    </w:rPr>
                  </w:pPr>
                  <w:r>
                    <w:rPr>
                      <w:color w:val="000000"/>
                      <w:kern w:val="0"/>
                      <w:szCs w:val="21"/>
                    </w:rPr>
                    <w:t>钼</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银白色金属</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150</w:t>
                  </w:r>
                </w:p>
              </w:tc>
              <w:tc>
                <w:tcPr>
                  <w:tcW w:w="1137" w:type="pct"/>
                  <w:vAlign w:val="center"/>
                </w:tcPr>
                <w:p>
                  <w:pPr>
                    <w:jc w:val="center"/>
                    <w:rPr>
                      <w:color w:val="000000"/>
                      <w:kern w:val="0"/>
                      <w:szCs w:val="21"/>
                    </w:rPr>
                  </w:pPr>
                  <w:r>
                    <w:rPr>
                      <w:color w:val="000000"/>
                      <w:kern w:val="0"/>
                      <w:szCs w:val="21"/>
                    </w:rPr>
                    <w:t>锶</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银白色金属</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151</w:t>
                  </w:r>
                </w:p>
              </w:tc>
              <w:tc>
                <w:tcPr>
                  <w:tcW w:w="1137" w:type="pct"/>
                  <w:vAlign w:val="center"/>
                </w:tcPr>
                <w:p>
                  <w:pPr>
                    <w:jc w:val="center"/>
                    <w:rPr>
                      <w:color w:val="000000"/>
                      <w:kern w:val="0"/>
                      <w:szCs w:val="21"/>
                    </w:rPr>
                  </w:pPr>
                  <w:r>
                    <w:rPr>
                      <w:color w:val="000000"/>
                      <w:kern w:val="0"/>
                      <w:szCs w:val="21"/>
                    </w:rPr>
                    <w:t>钛</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银白色金属</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152</w:t>
                  </w:r>
                </w:p>
              </w:tc>
              <w:tc>
                <w:tcPr>
                  <w:tcW w:w="1137" w:type="pct"/>
                  <w:vAlign w:val="center"/>
                </w:tcPr>
                <w:p>
                  <w:pPr>
                    <w:jc w:val="center"/>
                    <w:rPr>
                      <w:color w:val="000000"/>
                      <w:kern w:val="0"/>
                      <w:szCs w:val="21"/>
                    </w:rPr>
                  </w:pPr>
                  <w:r>
                    <w:rPr>
                      <w:color w:val="000000"/>
                      <w:kern w:val="0"/>
                      <w:szCs w:val="21"/>
                    </w:rPr>
                    <w:t>汞</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银白色液体金属</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153</w:t>
                  </w:r>
                </w:p>
              </w:tc>
              <w:tc>
                <w:tcPr>
                  <w:tcW w:w="1137" w:type="pct"/>
                  <w:vAlign w:val="center"/>
                </w:tcPr>
                <w:p>
                  <w:pPr>
                    <w:jc w:val="center"/>
                    <w:rPr>
                      <w:color w:val="000000"/>
                      <w:kern w:val="0"/>
                      <w:szCs w:val="21"/>
                    </w:rPr>
                  </w:pPr>
                  <w:r>
                    <w:rPr>
                      <w:color w:val="000000"/>
                      <w:kern w:val="0"/>
                      <w:szCs w:val="21"/>
                    </w:rPr>
                    <w:t>钒</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银灰色金属</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156</w:t>
                  </w:r>
                </w:p>
              </w:tc>
              <w:tc>
                <w:tcPr>
                  <w:tcW w:w="1137" w:type="pct"/>
                  <w:vAlign w:val="center"/>
                </w:tcPr>
                <w:p>
                  <w:pPr>
                    <w:jc w:val="center"/>
                    <w:rPr>
                      <w:color w:val="000000"/>
                      <w:kern w:val="0"/>
                      <w:szCs w:val="21"/>
                    </w:rPr>
                  </w:pPr>
                  <w:r>
                    <w:rPr>
                      <w:color w:val="000000"/>
                      <w:kern w:val="0"/>
                      <w:szCs w:val="21"/>
                    </w:rPr>
                    <w:t>硼</w:t>
                  </w:r>
                </w:p>
              </w:tc>
              <w:tc>
                <w:tcPr>
                  <w:tcW w:w="802" w:type="pct"/>
                  <w:vAlign w:val="center"/>
                </w:tcPr>
                <w:p>
                  <w:pPr>
                    <w:jc w:val="center"/>
                    <w:rPr>
                      <w:color w:val="000000"/>
                      <w:kern w:val="0"/>
                      <w:szCs w:val="21"/>
                    </w:rPr>
                  </w:pPr>
                  <w:r>
                    <w:rPr>
                      <w:color w:val="000000"/>
                      <w:kern w:val="0"/>
                      <w:szCs w:val="21"/>
                    </w:rPr>
                    <w:t>50g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黑色或银灰色固体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157</w:t>
                  </w:r>
                </w:p>
              </w:tc>
              <w:tc>
                <w:tcPr>
                  <w:tcW w:w="1137" w:type="pct"/>
                  <w:vAlign w:val="center"/>
                </w:tcPr>
                <w:p>
                  <w:pPr>
                    <w:jc w:val="center"/>
                    <w:rPr>
                      <w:color w:val="000000"/>
                      <w:kern w:val="0"/>
                      <w:szCs w:val="21"/>
                    </w:rPr>
                  </w:pPr>
                  <w:r>
                    <w:rPr>
                      <w:color w:val="000000"/>
                      <w:kern w:val="0"/>
                      <w:szCs w:val="21"/>
                    </w:rPr>
                    <w:t>锗</w:t>
                  </w:r>
                </w:p>
              </w:tc>
              <w:tc>
                <w:tcPr>
                  <w:tcW w:w="802" w:type="pct"/>
                  <w:vAlign w:val="center"/>
                </w:tcPr>
                <w:p>
                  <w:pPr>
                    <w:jc w:val="center"/>
                    <w:rPr>
                      <w:color w:val="000000"/>
                      <w:kern w:val="0"/>
                      <w:szCs w:val="21"/>
                    </w:rPr>
                  </w:pPr>
                  <w:r>
                    <w:rPr>
                      <w:color w:val="000000"/>
                      <w:kern w:val="0"/>
                      <w:szCs w:val="21"/>
                    </w:rPr>
                    <w:t>50ml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灰白色准金属</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158</w:t>
                  </w:r>
                </w:p>
              </w:tc>
              <w:tc>
                <w:tcPr>
                  <w:tcW w:w="1137" w:type="pct"/>
                  <w:vAlign w:val="center"/>
                </w:tcPr>
                <w:p>
                  <w:pPr>
                    <w:jc w:val="center"/>
                    <w:rPr>
                      <w:color w:val="000000"/>
                      <w:kern w:val="0"/>
                      <w:szCs w:val="21"/>
                    </w:rPr>
                  </w:pPr>
                  <w:r>
                    <w:rPr>
                      <w:color w:val="000000"/>
                      <w:kern w:val="0"/>
                      <w:szCs w:val="21"/>
                    </w:rPr>
                    <w:t>苯甲酸</w:t>
                  </w:r>
                </w:p>
              </w:tc>
              <w:tc>
                <w:tcPr>
                  <w:tcW w:w="802" w:type="pct"/>
                  <w:vAlign w:val="center"/>
                </w:tcPr>
                <w:p>
                  <w:pPr>
                    <w:jc w:val="center"/>
                    <w:rPr>
                      <w:color w:val="000000"/>
                      <w:kern w:val="0"/>
                      <w:szCs w:val="21"/>
                    </w:rPr>
                  </w:pPr>
                  <w:r>
                    <w:rPr>
                      <w:color w:val="000000"/>
                      <w:kern w:val="0"/>
                      <w:szCs w:val="21"/>
                    </w:rPr>
                    <w:t>50ml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159</w:t>
                  </w:r>
                </w:p>
              </w:tc>
              <w:tc>
                <w:tcPr>
                  <w:tcW w:w="1137" w:type="pct"/>
                  <w:vAlign w:val="center"/>
                </w:tcPr>
                <w:p>
                  <w:pPr>
                    <w:jc w:val="center"/>
                    <w:rPr>
                      <w:color w:val="000000"/>
                      <w:kern w:val="0"/>
                      <w:szCs w:val="21"/>
                    </w:rPr>
                  </w:pPr>
                  <w:r>
                    <w:rPr>
                      <w:color w:val="000000"/>
                      <w:kern w:val="0"/>
                      <w:szCs w:val="21"/>
                    </w:rPr>
                    <w:t>山梨酸</w:t>
                  </w:r>
                </w:p>
              </w:tc>
              <w:tc>
                <w:tcPr>
                  <w:tcW w:w="802" w:type="pct"/>
                  <w:vAlign w:val="center"/>
                </w:tcPr>
                <w:p>
                  <w:pPr>
                    <w:jc w:val="center"/>
                    <w:rPr>
                      <w:color w:val="000000"/>
                      <w:kern w:val="0"/>
                      <w:szCs w:val="21"/>
                    </w:rPr>
                  </w:pPr>
                  <w:r>
                    <w:rPr>
                      <w:color w:val="000000"/>
                      <w:kern w:val="0"/>
                      <w:szCs w:val="21"/>
                    </w:rPr>
                    <w:t>50ml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160</w:t>
                  </w:r>
                </w:p>
              </w:tc>
              <w:tc>
                <w:tcPr>
                  <w:tcW w:w="1137" w:type="pct"/>
                  <w:vAlign w:val="center"/>
                </w:tcPr>
                <w:p>
                  <w:pPr>
                    <w:jc w:val="center"/>
                    <w:rPr>
                      <w:color w:val="000000"/>
                      <w:kern w:val="0"/>
                      <w:szCs w:val="21"/>
                    </w:rPr>
                  </w:pPr>
                  <w:r>
                    <w:rPr>
                      <w:color w:val="000000"/>
                      <w:kern w:val="0"/>
                      <w:szCs w:val="21"/>
                    </w:rPr>
                    <w:t>糖精钠</w:t>
                  </w:r>
                </w:p>
              </w:tc>
              <w:tc>
                <w:tcPr>
                  <w:tcW w:w="802" w:type="pct"/>
                  <w:vAlign w:val="center"/>
                </w:tcPr>
                <w:p>
                  <w:pPr>
                    <w:jc w:val="center"/>
                    <w:rPr>
                      <w:color w:val="000000"/>
                      <w:kern w:val="0"/>
                      <w:szCs w:val="21"/>
                    </w:rPr>
                  </w:pPr>
                  <w:r>
                    <w:rPr>
                      <w:color w:val="000000"/>
                      <w:kern w:val="0"/>
                      <w:szCs w:val="21"/>
                    </w:rPr>
                    <w:t>50ml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161</w:t>
                  </w:r>
                </w:p>
              </w:tc>
              <w:tc>
                <w:tcPr>
                  <w:tcW w:w="1137" w:type="pct"/>
                  <w:vAlign w:val="center"/>
                </w:tcPr>
                <w:p>
                  <w:pPr>
                    <w:jc w:val="center"/>
                    <w:rPr>
                      <w:color w:val="000000"/>
                      <w:kern w:val="0"/>
                      <w:szCs w:val="21"/>
                    </w:rPr>
                  </w:pPr>
                  <w:r>
                    <w:rPr>
                      <w:color w:val="000000"/>
                      <w:kern w:val="0"/>
                      <w:szCs w:val="21"/>
                    </w:rPr>
                    <w:t>环己基氨基磺酸钠</w:t>
                  </w:r>
                </w:p>
              </w:tc>
              <w:tc>
                <w:tcPr>
                  <w:tcW w:w="802" w:type="pct"/>
                  <w:vAlign w:val="center"/>
                </w:tcPr>
                <w:p>
                  <w:pPr>
                    <w:jc w:val="center"/>
                    <w:rPr>
                      <w:color w:val="000000"/>
                      <w:kern w:val="0"/>
                      <w:szCs w:val="21"/>
                    </w:rPr>
                  </w:pPr>
                  <w:r>
                    <w:rPr>
                      <w:color w:val="000000"/>
                      <w:kern w:val="0"/>
                      <w:szCs w:val="21"/>
                    </w:rPr>
                    <w:t>20g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162</w:t>
                  </w:r>
                </w:p>
              </w:tc>
              <w:tc>
                <w:tcPr>
                  <w:tcW w:w="1137" w:type="pct"/>
                  <w:vAlign w:val="center"/>
                </w:tcPr>
                <w:p>
                  <w:pPr>
                    <w:jc w:val="center"/>
                    <w:rPr>
                      <w:color w:val="000000"/>
                      <w:kern w:val="0"/>
                      <w:szCs w:val="21"/>
                    </w:rPr>
                  </w:pPr>
                  <w:r>
                    <w:rPr>
                      <w:color w:val="000000"/>
                      <w:kern w:val="0"/>
                      <w:szCs w:val="21"/>
                    </w:rPr>
                    <w:t>叔丁基羟基茴香醚(BHA)</w:t>
                  </w:r>
                </w:p>
              </w:tc>
              <w:tc>
                <w:tcPr>
                  <w:tcW w:w="802" w:type="pct"/>
                  <w:vAlign w:val="center"/>
                </w:tcPr>
                <w:p>
                  <w:pPr>
                    <w:jc w:val="center"/>
                    <w:rPr>
                      <w:color w:val="000000"/>
                      <w:kern w:val="0"/>
                      <w:szCs w:val="21"/>
                    </w:rPr>
                  </w:pPr>
                  <w:r>
                    <w:rPr>
                      <w:color w:val="000000"/>
                      <w:kern w:val="0"/>
                      <w:szCs w:val="21"/>
                    </w:rPr>
                    <w:t>20g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163</w:t>
                  </w:r>
                </w:p>
              </w:tc>
              <w:tc>
                <w:tcPr>
                  <w:tcW w:w="1137" w:type="pct"/>
                  <w:vAlign w:val="center"/>
                </w:tcPr>
                <w:p>
                  <w:pPr>
                    <w:jc w:val="center"/>
                    <w:rPr>
                      <w:color w:val="000000"/>
                      <w:kern w:val="0"/>
                      <w:szCs w:val="21"/>
                    </w:rPr>
                  </w:pPr>
                  <w:r>
                    <w:rPr>
                      <w:color w:val="000000"/>
                      <w:kern w:val="0"/>
                      <w:szCs w:val="21"/>
                    </w:rPr>
                    <w:t>2,6二叔丁基对甲酚(BHT)</w:t>
                  </w:r>
                </w:p>
              </w:tc>
              <w:tc>
                <w:tcPr>
                  <w:tcW w:w="802" w:type="pct"/>
                  <w:vAlign w:val="center"/>
                </w:tcPr>
                <w:p>
                  <w:pPr>
                    <w:jc w:val="center"/>
                    <w:rPr>
                      <w:color w:val="000000"/>
                      <w:kern w:val="0"/>
                      <w:szCs w:val="21"/>
                    </w:rPr>
                  </w:pPr>
                  <w:r>
                    <w:rPr>
                      <w:color w:val="000000"/>
                      <w:kern w:val="0"/>
                      <w:szCs w:val="21"/>
                    </w:rPr>
                    <w:t>50ml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164</w:t>
                  </w:r>
                </w:p>
              </w:tc>
              <w:tc>
                <w:tcPr>
                  <w:tcW w:w="1137" w:type="pct"/>
                  <w:vAlign w:val="center"/>
                </w:tcPr>
                <w:p>
                  <w:pPr>
                    <w:jc w:val="center"/>
                    <w:rPr>
                      <w:color w:val="000000"/>
                      <w:kern w:val="0"/>
                      <w:szCs w:val="21"/>
                    </w:rPr>
                  </w:pPr>
                  <w:r>
                    <w:rPr>
                      <w:color w:val="000000"/>
                      <w:kern w:val="0"/>
                      <w:szCs w:val="21"/>
                    </w:rPr>
                    <w:t>亚硝酸盐</w:t>
                  </w:r>
                </w:p>
              </w:tc>
              <w:tc>
                <w:tcPr>
                  <w:tcW w:w="802" w:type="pct"/>
                  <w:vAlign w:val="center"/>
                </w:tcPr>
                <w:p>
                  <w:pPr>
                    <w:jc w:val="center"/>
                    <w:rPr>
                      <w:color w:val="000000"/>
                      <w:kern w:val="0"/>
                      <w:szCs w:val="21"/>
                    </w:rPr>
                  </w:pPr>
                  <w:r>
                    <w:rPr>
                      <w:color w:val="000000"/>
                      <w:kern w:val="0"/>
                      <w:szCs w:val="21"/>
                    </w:rPr>
                    <w:t>50ml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165</w:t>
                  </w:r>
                </w:p>
              </w:tc>
              <w:tc>
                <w:tcPr>
                  <w:tcW w:w="1137" w:type="pct"/>
                  <w:vAlign w:val="center"/>
                </w:tcPr>
                <w:p>
                  <w:pPr>
                    <w:jc w:val="center"/>
                    <w:rPr>
                      <w:color w:val="000000"/>
                      <w:kern w:val="0"/>
                      <w:szCs w:val="21"/>
                    </w:rPr>
                  </w:pPr>
                  <w:r>
                    <w:rPr>
                      <w:color w:val="000000"/>
                      <w:kern w:val="0"/>
                      <w:szCs w:val="21"/>
                    </w:rPr>
                    <w:t>硝酸盐</w:t>
                  </w:r>
                </w:p>
              </w:tc>
              <w:tc>
                <w:tcPr>
                  <w:tcW w:w="802" w:type="pct"/>
                  <w:vAlign w:val="center"/>
                </w:tcPr>
                <w:p>
                  <w:pPr>
                    <w:jc w:val="center"/>
                    <w:rPr>
                      <w:color w:val="000000"/>
                      <w:kern w:val="0"/>
                      <w:szCs w:val="21"/>
                    </w:rPr>
                  </w:pPr>
                  <w:r>
                    <w:rPr>
                      <w:color w:val="000000"/>
                      <w:kern w:val="0"/>
                      <w:szCs w:val="21"/>
                    </w:rPr>
                    <w:t>50ml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166</w:t>
                  </w:r>
                </w:p>
              </w:tc>
              <w:tc>
                <w:tcPr>
                  <w:tcW w:w="1137" w:type="pct"/>
                  <w:vAlign w:val="center"/>
                </w:tcPr>
                <w:p>
                  <w:pPr>
                    <w:jc w:val="center"/>
                    <w:rPr>
                      <w:color w:val="000000"/>
                      <w:kern w:val="0"/>
                      <w:szCs w:val="21"/>
                    </w:rPr>
                  </w:pPr>
                  <w:r>
                    <w:rPr>
                      <w:color w:val="000000"/>
                      <w:kern w:val="0"/>
                      <w:szCs w:val="21"/>
                    </w:rPr>
                    <w:t>亚硫酸盐</w:t>
                  </w:r>
                </w:p>
              </w:tc>
              <w:tc>
                <w:tcPr>
                  <w:tcW w:w="802" w:type="pct"/>
                  <w:vAlign w:val="center"/>
                </w:tcPr>
                <w:p>
                  <w:pPr>
                    <w:jc w:val="center"/>
                    <w:rPr>
                      <w:color w:val="000000"/>
                      <w:kern w:val="0"/>
                      <w:szCs w:val="21"/>
                    </w:rPr>
                  </w:pPr>
                  <w:r>
                    <w:rPr>
                      <w:color w:val="000000"/>
                      <w:kern w:val="0"/>
                      <w:szCs w:val="21"/>
                    </w:rPr>
                    <w:t>50ml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167</w:t>
                  </w:r>
                </w:p>
              </w:tc>
              <w:tc>
                <w:tcPr>
                  <w:tcW w:w="1137" w:type="pct"/>
                  <w:vAlign w:val="center"/>
                </w:tcPr>
                <w:p>
                  <w:pPr>
                    <w:jc w:val="center"/>
                    <w:rPr>
                      <w:color w:val="000000"/>
                      <w:kern w:val="0"/>
                      <w:szCs w:val="21"/>
                    </w:rPr>
                  </w:pPr>
                  <w:r>
                    <w:rPr>
                      <w:color w:val="000000"/>
                      <w:kern w:val="0"/>
                      <w:szCs w:val="21"/>
                    </w:rPr>
                    <w:t>合成着色剂</w:t>
                  </w:r>
                </w:p>
              </w:tc>
              <w:tc>
                <w:tcPr>
                  <w:tcW w:w="802" w:type="pct"/>
                  <w:vAlign w:val="center"/>
                </w:tcPr>
                <w:p>
                  <w:pPr>
                    <w:jc w:val="center"/>
                    <w:rPr>
                      <w:color w:val="000000"/>
                      <w:kern w:val="0"/>
                      <w:szCs w:val="21"/>
                    </w:rPr>
                  </w:pPr>
                  <w:r>
                    <w:rPr>
                      <w:color w:val="000000"/>
                      <w:kern w:val="0"/>
                      <w:szCs w:val="21"/>
                    </w:rPr>
                    <w:t>50ml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168</w:t>
                  </w:r>
                </w:p>
              </w:tc>
              <w:tc>
                <w:tcPr>
                  <w:tcW w:w="1137" w:type="pct"/>
                  <w:vAlign w:val="center"/>
                </w:tcPr>
                <w:p>
                  <w:pPr>
                    <w:jc w:val="center"/>
                    <w:rPr>
                      <w:color w:val="000000"/>
                      <w:kern w:val="0"/>
                      <w:szCs w:val="21"/>
                    </w:rPr>
                  </w:pPr>
                  <w:r>
                    <w:rPr>
                      <w:color w:val="000000"/>
                      <w:kern w:val="0"/>
                      <w:szCs w:val="21"/>
                    </w:rPr>
                    <w:t>咖啡因</w:t>
                  </w:r>
                </w:p>
              </w:tc>
              <w:tc>
                <w:tcPr>
                  <w:tcW w:w="802" w:type="pct"/>
                  <w:vAlign w:val="center"/>
                </w:tcPr>
                <w:p>
                  <w:pPr>
                    <w:jc w:val="center"/>
                    <w:rPr>
                      <w:color w:val="000000"/>
                      <w:kern w:val="0"/>
                      <w:szCs w:val="21"/>
                    </w:rPr>
                  </w:pPr>
                  <w:r>
                    <w:rPr>
                      <w:color w:val="000000"/>
                      <w:kern w:val="0"/>
                      <w:szCs w:val="21"/>
                    </w:rPr>
                    <w:t>50ml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169</w:t>
                  </w:r>
                </w:p>
              </w:tc>
              <w:tc>
                <w:tcPr>
                  <w:tcW w:w="1137" w:type="pct"/>
                  <w:vAlign w:val="center"/>
                </w:tcPr>
                <w:p>
                  <w:pPr>
                    <w:jc w:val="center"/>
                    <w:rPr>
                      <w:color w:val="000000"/>
                      <w:kern w:val="0"/>
                      <w:szCs w:val="21"/>
                    </w:rPr>
                  </w:pPr>
                  <w:r>
                    <w:rPr>
                      <w:color w:val="000000"/>
                      <w:kern w:val="0"/>
                      <w:szCs w:val="21"/>
                    </w:rPr>
                    <w:t>游离棉酚</w:t>
                  </w:r>
                </w:p>
              </w:tc>
              <w:tc>
                <w:tcPr>
                  <w:tcW w:w="802" w:type="pct"/>
                  <w:vAlign w:val="center"/>
                </w:tcPr>
                <w:p>
                  <w:pPr>
                    <w:jc w:val="center"/>
                    <w:rPr>
                      <w:color w:val="000000"/>
                      <w:kern w:val="0"/>
                      <w:szCs w:val="21"/>
                    </w:rPr>
                  </w:pPr>
                  <w:r>
                    <w:rPr>
                      <w:color w:val="000000"/>
                      <w:kern w:val="0"/>
                      <w:szCs w:val="21"/>
                    </w:rPr>
                    <w:t>50ml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170</w:t>
                  </w:r>
                </w:p>
              </w:tc>
              <w:tc>
                <w:tcPr>
                  <w:tcW w:w="1137" w:type="pct"/>
                  <w:vAlign w:val="center"/>
                </w:tcPr>
                <w:p>
                  <w:pPr>
                    <w:jc w:val="center"/>
                    <w:rPr>
                      <w:color w:val="000000"/>
                      <w:kern w:val="0"/>
                      <w:szCs w:val="21"/>
                    </w:rPr>
                  </w:pPr>
                  <w:r>
                    <w:rPr>
                      <w:color w:val="000000"/>
                      <w:kern w:val="0"/>
                      <w:szCs w:val="21"/>
                    </w:rPr>
                    <w:t>六六六</w:t>
                  </w:r>
                </w:p>
              </w:tc>
              <w:tc>
                <w:tcPr>
                  <w:tcW w:w="802" w:type="pct"/>
                  <w:vAlign w:val="center"/>
                </w:tcPr>
                <w:p>
                  <w:pPr>
                    <w:jc w:val="center"/>
                    <w:rPr>
                      <w:color w:val="000000"/>
                      <w:kern w:val="0"/>
                      <w:szCs w:val="21"/>
                    </w:rPr>
                  </w:pPr>
                  <w:r>
                    <w:rPr>
                      <w:color w:val="000000"/>
                      <w:kern w:val="0"/>
                      <w:szCs w:val="21"/>
                    </w:rPr>
                    <w:t>50ml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171</w:t>
                  </w:r>
                </w:p>
              </w:tc>
              <w:tc>
                <w:tcPr>
                  <w:tcW w:w="1137" w:type="pct"/>
                  <w:vAlign w:val="center"/>
                </w:tcPr>
                <w:p>
                  <w:pPr>
                    <w:jc w:val="center"/>
                    <w:rPr>
                      <w:color w:val="000000"/>
                      <w:kern w:val="0"/>
                      <w:szCs w:val="21"/>
                    </w:rPr>
                  </w:pPr>
                  <w:r>
                    <w:rPr>
                      <w:color w:val="000000"/>
                      <w:kern w:val="0"/>
                      <w:szCs w:val="21"/>
                    </w:rPr>
                    <w:t>滴滴涕</w:t>
                  </w:r>
                </w:p>
              </w:tc>
              <w:tc>
                <w:tcPr>
                  <w:tcW w:w="802" w:type="pct"/>
                  <w:vAlign w:val="center"/>
                </w:tcPr>
                <w:p>
                  <w:pPr>
                    <w:jc w:val="center"/>
                    <w:rPr>
                      <w:color w:val="000000"/>
                      <w:kern w:val="0"/>
                      <w:szCs w:val="21"/>
                    </w:rPr>
                  </w:pPr>
                  <w:r>
                    <w:rPr>
                      <w:color w:val="000000"/>
                      <w:kern w:val="0"/>
                      <w:szCs w:val="21"/>
                    </w:rPr>
                    <w:t>50ml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172</w:t>
                  </w:r>
                </w:p>
              </w:tc>
              <w:tc>
                <w:tcPr>
                  <w:tcW w:w="1137" w:type="pct"/>
                  <w:vAlign w:val="center"/>
                </w:tcPr>
                <w:p>
                  <w:pPr>
                    <w:jc w:val="center"/>
                    <w:rPr>
                      <w:color w:val="000000"/>
                      <w:kern w:val="0"/>
                      <w:szCs w:val="21"/>
                    </w:rPr>
                  </w:pPr>
                  <w:r>
                    <w:rPr>
                      <w:color w:val="000000"/>
                      <w:kern w:val="0"/>
                      <w:szCs w:val="21"/>
                    </w:rPr>
                    <w:t>六号溶剂</w:t>
                  </w:r>
                </w:p>
              </w:tc>
              <w:tc>
                <w:tcPr>
                  <w:tcW w:w="802" w:type="pct"/>
                  <w:vAlign w:val="center"/>
                </w:tcPr>
                <w:p>
                  <w:pPr>
                    <w:jc w:val="center"/>
                    <w:rPr>
                      <w:color w:val="000000"/>
                      <w:kern w:val="0"/>
                      <w:szCs w:val="21"/>
                    </w:rPr>
                  </w:pPr>
                  <w:r>
                    <w:rPr>
                      <w:color w:val="000000"/>
                      <w:kern w:val="0"/>
                      <w:szCs w:val="21"/>
                    </w:rPr>
                    <w:t>50ml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无色透明液体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173</w:t>
                  </w:r>
                </w:p>
              </w:tc>
              <w:tc>
                <w:tcPr>
                  <w:tcW w:w="1137" w:type="pct"/>
                  <w:vAlign w:val="center"/>
                </w:tcPr>
                <w:p>
                  <w:pPr>
                    <w:jc w:val="center"/>
                    <w:rPr>
                      <w:color w:val="000000"/>
                      <w:kern w:val="0"/>
                      <w:szCs w:val="21"/>
                    </w:rPr>
                  </w:pPr>
                  <w:r>
                    <w:rPr>
                      <w:color w:val="000000"/>
                      <w:kern w:val="0"/>
                      <w:szCs w:val="21"/>
                    </w:rPr>
                    <w:t>阿斯巴甜</w:t>
                  </w:r>
                </w:p>
              </w:tc>
              <w:tc>
                <w:tcPr>
                  <w:tcW w:w="802" w:type="pct"/>
                  <w:vAlign w:val="center"/>
                </w:tcPr>
                <w:p>
                  <w:pPr>
                    <w:jc w:val="center"/>
                    <w:rPr>
                      <w:color w:val="000000"/>
                      <w:kern w:val="0"/>
                      <w:szCs w:val="21"/>
                    </w:rPr>
                  </w:pPr>
                  <w:r>
                    <w:rPr>
                      <w:color w:val="000000"/>
                      <w:kern w:val="0"/>
                      <w:szCs w:val="21"/>
                    </w:rPr>
                    <w:t>50ml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174</w:t>
                  </w:r>
                </w:p>
              </w:tc>
              <w:tc>
                <w:tcPr>
                  <w:tcW w:w="1137" w:type="pct"/>
                  <w:vAlign w:val="center"/>
                </w:tcPr>
                <w:p>
                  <w:pPr>
                    <w:jc w:val="center"/>
                    <w:rPr>
                      <w:color w:val="000000"/>
                      <w:kern w:val="0"/>
                      <w:szCs w:val="21"/>
                    </w:rPr>
                  </w:pPr>
                  <w:r>
                    <w:rPr>
                      <w:color w:val="000000"/>
                      <w:kern w:val="0"/>
                      <w:szCs w:val="21"/>
                    </w:rPr>
                    <w:t>阿力甜</w:t>
                  </w:r>
                </w:p>
              </w:tc>
              <w:tc>
                <w:tcPr>
                  <w:tcW w:w="802" w:type="pct"/>
                  <w:vAlign w:val="center"/>
                </w:tcPr>
                <w:p>
                  <w:pPr>
                    <w:jc w:val="center"/>
                    <w:rPr>
                      <w:color w:val="000000"/>
                      <w:kern w:val="0"/>
                      <w:szCs w:val="21"/>
                    </w:rPr>
                  </w:pPr>
                  <w:r>
                    <w:rPr>
                      <w:color w:val="000000"/>
                      <w:kern w:val="0"/>
                      <w:szCs w:val="21"/>
                    </w:rPr>
                    <w:t>20g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175</w:t>
                  </w:r>
                </w:p>
              </w:tc>
              <w:tc>
                <w:tcPr>
                  <w:tcW w:w="1137" w:type="pct"/>
                  <w:vAlign w:val="center"/>
                </w:tcPr>
                <w:p>
                  <w:pPr>
                    <w:jc w:val="center"/>
                    <w:rPr>
                      <w:color w:val="000000"/>
                      <w:kern w:val="0"/>
                      <w:szCs w:val="21"/>
                    </w:rPr>
                  </w:pPr>
                  <w:r>
                    <w:rPr>
                      <w:color w:val="000000"/>
                      <w:kern w:val="0"/>
                      <w:szCs w:val="21"/>
                    </w:rPr>
                    <w:t>双乙酸钠</w:t>
                  </w:r>
                </w:p>
              </w:tc>
              <w:tc>
                <w:tcPr>
                  <w:tcW w:w="802" w:type="pct"/>
                  <w:vAlign w:val="center"/>
                </w:tcPr>
                <w:p>
                  <w:pPr>
                    <w:jc w:val="center"/>
                    <w:rPr>
                      <w:color w:val="000000"/>
                      <w:kern w:val="0"/>
                      <w:szCs w:val="21"/>
                    </w:rPr>
                  </w:pPr>
                  <w:r>
                    <w:rPr>
                      <w:color w:val="000000"/>
                      <w:kern w:val="0"/>
                      <w:szCs w:val="21"/>
                    </w:rPr>
                    <w:t>20g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176</w:t>
                  </w:r>
                </w:p>
              </w:tc>
              <w:tc>
                <w:tcPr>
                  <w:tcW w:w="1137" w:type="pct"/>
                  <w:vAlign w:val="center"/>
                </w:tcPr>
                <w:p>
                  <w:pPr>
                    <w:jc w:val="center"/>
                    <w:rPr>
                      <w:color w:val="000000"/>
                      <w:kern w:val="0"/>
                      <w:szCs w:val="21"/>
                    </w:rPr>
                  </w:pPr>
                  <w:r>
                    <w:rPr>
                      <w:color w:val="000000"/>
                      <w:kern w:val="0"/>
                      <w:szCs w:val="21"/>
                    </w:rPr>
                    <w:t>乙二胺四乙酸二钠</w:t>
                  </w:r>
                </w:p>
              </w:tc>
              <w:tc>
                <w:tcPr>
                  <w:tcW w:w="802" w:type="pct"/>
                  <w:vAlign w:val="center"/>
                </w:tcPr>
                <w:p>
                  <w:pPr>
                    <w:jc w:val="center"/>
                    <w:rPr>
                      <w:color w:val="000000"/>
                      <w:kern w:val="0"/>
                      <w:szCs w:val="21"/>
                    </w:rPr>
                  </w:pPr>
                  <w:r>
                    <w:rPr>
                      <w:color w:val="000000"/>
                      <w:kern w:val="0"/>
                      <w:szCs w:val="21"/>
                    </w:rPr>
                    <w:t>20g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乳白色</w:t>
                  </w: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177</w:t>
                  </w:r>
                </w:p>
              </w:tc>
              <w:tc>
                <w:tcPr>
                  <w:tcW w:w="1137" w:type="pct"/>
                  <w:vAlign w:val="center"/>
                </w:tcPr>
                <w:p>
                  <w:pPr>
                    <w:jc w:val="center"/>
                    <w:rPr>
                      <w:color w:val="000000"/>
                      <w:kern w:val="0"/>
                      <w:szCs w:val="21"/>
                    </w:rPr>
                  </w:pPr>
                  <w:r>
                    <w:rPr>
                      <w:color w:val="000000"/>
                      <w:kern w:val="0"/>
                      <w:szCs w:val="21"/>
                    </w:rPr>
                    <w:t>对硫磷</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无色液体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178</w:t>
                  </w:r>
                </w:p>
              </w:tc>
              <w:tc>
                <w:tcPr>
                  <w:tcW w:w="1137" w:type="pct"/>
                  <w:vAlign w:val="center"/>
                </w:tcPr>
                <w:p>
                  <w:pPr>
                    <w:jc w:val="center"/>
                    <w:rPr>
                      <w:color w:val="000000"/>
                      <w:kern w:val="0"/>
                      <w:szCs w:val="21"/>
                    </w:rPr>
                  </w:pPr>
                  <w:r>
                    <w:rPr>
                      <w:color w:val="000000"/>
                      <w:kern w:val="0"/>
                      <w:szCs w:val="21"/>
                    </w:rPr>
                    <w:t>四氯化碳</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无色透明液体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179</w:t>
                  </w:r>
                </w:p>
              </w:tc>
              <w:tc>
                <w:tcPr>
                  <w:tcW w:w="1137" w:type="pct"/>
                  <w:vAlign w:val="center"/>
                </w:tcPr>
                <w:p>
                  <w:pPr>
                    <w:jc w:val="center"/>
                    <w:rPr>
                      <w:color w:val="000000"/>
                      <w:kern w:val="0"/>
                      <w:szCs w:val="21"/>
                    </w:rPr>
                  </w:pPr>
                  <w:r>
                    <w:rPr>
                      <w:color w:val="000000"/>
                      <w:kern w:val="0"/>
                      <w:szCs w:val="21"/>
                    </w:rPr>
                    <w:t>三氯甲烷</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无色透明液体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180</w:t>
                  </w:r>
                </w:p>
              </w:tc>
              <w:tc>
                <w:tcPr>
                  <w:tcW w:w="1137" w:type="pct"/>
                  <w:vAlign w:val="center"/>
                </w:tcPr>
                <w:p>
                  <w:pPr>
                    <w:jc w:val="center"/>
                    <w:rPr>
                      <w:color w:val="000000"/>
                      <w:kern w:val="0"/>
                      <w:szCs w:val="21"/>
                    </w:rPr>
                  </w:pPr>
                  <w:r>
                    <w:rPr>
                      <w:color w:val="000000"/>
                      <w:kern w:val="0"/>
                      <w:szCs w:val="21"/>
                    </w:rPr>
                    <w:t>一氯二溴甲烷</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无色液体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181</w:t>
                  </w:r>
                </w:p>
              </w:tc>
              <w:tc>
                <w:tcPr>
                  <w:tcW w:w="1137" w:type="pct"/>
                  <w:vAlign w:val="center"/>
                </w:tcPr>
                <w:p>
                  <w:pPr>
                    <w:jc w:val="center"/>
                    <w:rPr>
                      <w:color w:val="000000"/>
                      <w:kern w:val="0"/>
                      <w:szCs w:val="21"/>
                    </w:rPr>
                  </w:pPr>
                  <w:r>
                    <w:rPr>
                      <w:color w:val="000000"/>
                      <w:kern w:val="0"/>
                      <w:szCs w:val="21"/>
                    </w:rPr>
                    <w:t>二氯一溴甲烷</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无色液体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182</w:t>
                  </w:r>
                </w:p>
              </w:tc>
              <w:tc>
                <w:tcPr>
                  <w:tcW w:w="1137" w:type="pct"/>
                  <w:vAlign w:val="center"/>
                </w:tcPr>
                <w:p>
                  <w:pPr>
                    <w:jc w:val="center"/>
                    <w:rPr>
                      <w:color w:val="000000"/>
                      <w:kern w:val="0"/>
                      <w:szCs w:val="21"/>
                    </w:rPr>
                  </w:pPr>
                  <w:r>
                    <w:rPr>
                      <w:color w:val="000000"/>
                      <w:kern w:val="0"/>
                      <w:szCs w:val="21"/>
                    </w:rPr>
                    <w:t>三溴甲烷</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无色至黄色液体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183</w:t>
                  </w:r>
                </w:p>
              </w:tc>
              <w:tc>
                <w:tcPr>
                  <w:tcW w:w="1137" w:type="pct"/>
                  <w:vAlign w:val="center"/>
                </w:tcPr>
                <w:p>
                  <w:pPr>
                    <w:jc w:val="center"/>
                    <w:rPr>
                      <w:color w:val="000000"/>
                      <w:kern w:val="0"/>
                      <w:szCs w:val="21"/>
                    </w:rPr>
                  </w:pPr>
                  <w:r>
                    <w:rPr>
                      <w:color w:val="000000"/>
                      <w:kern w:val="0"/>
                      <w:szCs w:val="21"/>
                    </w:rPr>
                    <w:t>三氯乙烯</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无色透明液体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184</w:t>
                  </w:r>
                </w:p>
              </w:tc>
              <w:tc>
                <w:tcPr>
                  <w:tcW w:w="1137" w:type="pct"/>
                  <w:vAlign w:val="center"/>
                </w:tcPr>
                <w:p>
                  <w:pPr>
                    <w:jc w:val="center"/>
                    <w:rPr>
                      <w:color w:val="000000"/>
                      <w:kern w:val="0"/>
                      <w:szCs w:val="21"/>
                    </w:rPr>
                  </w:pPr>
                  <w:r>
                    <w:rPr>
                      <w:color w:val="000000"/>
                      <w:kern w:val="0"/>
                      <w:szCs w:val="21"/>
                    </w:rPr>
                    <w:t>四氯乙烯</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无色液体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185</w:t>
                  </w:r>
                </w:p>
              </w:tc>
              <w:tc>
                <w:tcPr>
                  <w:tcW w:w="1137" w:type="pct"/>
                  <w:vAlign w:val="center"/>
                </w:tcPr>
                <w:p>
                  <w:pPr>
                    <w:jc w:val="center"/>
                    <w:rPr>
                      <w:color w:val="000000"/>
                      <w:kern w:val="0"/>
                      <w:szCs w:val="21"/>
                    </w:rPr>
                  </w:pPr>
                  <w:r>
                    <w:rPr>
                      <w:color w:val="000000"/>
                      <w:kern w:val="0"/>
                      <w:szCs w:val="21"/>
                    </w:rPr>
                    <w:t>1,1,1-三氯乙烷</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无色液体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186</w:t>
                  </w:r>
                </w:p>
              </w:tc>
              <w:tc>
                <w:tcPr>
                  <w:tcW w:w="1137" w:type="pct"/>
                  <w:vAlign w:val="center"/>
                </w:tcPr>
                <w:p>
                  <w:pPr>
                    <w:jc w:val="center"/>
                    <w:rPr>
                      <w:color w:val="000000"/>
                      <w:kern w:val="0"/>
                      <w:szCs w:val="21"/>
                    </w:rPr>
                  </w:pPr>
                  <w:r>
                    <w:rPr>
                      <w:color w:val="000000"/>
                      <w:kern w:val="0"/>
                      <w:szCs w:val="21"/>
                    </w:rPr>
                    <w:t>1，1-二氯乙烯</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无色液体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187</w:t>
                  </w:r>
                </w:p>
              </w:tc>
              <w:tc>
                <w:tcPr>
                  <w:tcW w:w="1137" w:type="pct"/>
                  <w:vAlign w:val="center"/>
                </w:tcPr>
                <w:p>
                  <w:pPr>
                    <w:jc w:val="center"/>
                    <w:rPr>
                      <w:color w:val="000000"/>
                      <w:kern w:val="0"/>
                      <w:szCs w:val="21"/>
                    </w:rPr>
                  </w:pPr>
                  <w:r>
                    <w:rPr>
                      <w:color w:val="000000"/>
                      <w:kern w:val="0"/>
                      <w:szCs w:val="21"/>
                    </w:rPr>
                    <w:t>1，2-二氯乙烯</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无色液体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189</w:t>
                  </w:r>
                </w:p>
              </w:tc>
              <w:tc>
                <w:tcPr>
                  <w:tcW w:w="1137" w:type="pct"/>
                  <w:vAlign w:val="center"/>
                </w:tcPr>
                <w:p>
                  <w:pPr>
                    <w:jc w:val="center"/>
                    <w:rPr>
                      <w:color w:val="000000"/>
                      <w:kern w:val="0"/>
                      <w:szCs w:val="21"/>
                    </w:rPr>
                  </w:pPr>
                  <w:r>
                    <w:rPr>
                      <w:color w:val="000000"/>
                      <w:kern w:val="0"/>
                      <w:szCs w:val="21"/>
                    </w:rPr>
                    <w:t>丙烯酰胺</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白色结晶性粉末</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190</w:t>
                  </w:r>
                </w:p>
              </w:tc>
              <w:tc>
                <w:tcPr>
                  <w:tcW w:w="1137" w:type="pct"/>
                  <w:vAlign w:val="center"/>
                </w:tcPr>
                <w:p>
                  <w:pPr>
                    <w:jc w:val="center"/>
                    <w:rPr>
                      <w:color w:val="000000"/>
                      <w:kern w:val="0"/>
                      <w:szCs w:val="21"/>
                    </w:rPr>
                  </w:pPr>
                  <w:r>
                    <w:rPr>
                      <w:color w:val="000000"/>
                      <w:kern w:val="0"/>
                      <w:szCs w:val="21"/>
                    </w:rPr>
                    <w:t>邻苯二甲酸二酯</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kern w:val="0"/>
                      <w:szCs w:val="21"/>
                    </w:rPr>
                    <w:t>无色透明微黄色油状液体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191</w:t>
                  </w:r>
                </w:p>
              </w:tc>
              <w:tc>
                <w:tcPr>
                  <w:tcW w:w="1137" w:type="pct"/>
                  <w:vAlign w:val="center"/>
                </w:tcPr>
                <w:p>
                  <w:pPr>
                    <w:jc w:val="center"/>
                    <w:rPr>
                      <w:color w:val="000000"/>
                      <w:kern w:val="0"/>
                      <w:szCs w:val="21"/>
                    </w:rPr>
                  </w:pPr>
                  <w:r>
                    <w:rPr>
                      <w:color w:val="000000"/>
                      <w:kern w:val="0"/>
                      <w:szCs w:val="21"/>
                    </w:rPr>
                    <w:t>苯</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无色透明液体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192</w:t>
                  </w:r>
                </w:p>
              </w:tc>
              <w:tc>
                <w:tcPr>
                  <w:tcW w:w="1137" w:type="pct"/>
                  <w:vAlign w:val="center"/>
                </w:tcPr>
                <w:p>
                  <w:pPr>
                    <w:jc w:val="center"/>
                    <w:rPr>
                      <w:color w:val="000000"/>
                      <w:kern w:val="0"/>
                      <w:szCs w:val="21"/>
                    </w:rPr>
                  </w:pPr>
                  <w:r>
                    <w:rPr>
                      <w:color w:val="000000"/>
                      <w:kern w:val="0"/>
                      <w:szCs w:val="21"/>
                    </w:rPr>
                    <w:t>乙苯</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无色液体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193</w:t>
                  </w:r>
                </w:p>
              </w:tc>
              <w:tc>
                <w:tcPr>
                  <w:tcW w:w="1137" w:type="pct"/>
                  <w:vAlign w:val="center"/>
                </w:tcPr>
                <w:p>
                  <w:pPr>
                    <w:jc w:val="center"/>
                    <w:rPr>
                      <w:color w:val="000000"/>
                      <w:kern w:val="0"/>
                      <w:szCs w:val="21"/>
                    </w:rPr>
                  </w:pPr>
                  <w:r>
                    <w:rPr>
                      <w:color w:val="000000"/>
                      <w:kern w:val="0"/>
                      <w:szCs w:val="21"/>
                    </w:rPr>
                    <w:t>二甲苯</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无色透明液体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194</w:t>
                  </w:r>
                </w:p>
              </w:tc>
              <w:tc>
                <w:tcPr>
                  <w:tcW w:w="1137" w:type="pct"/>
                  <w:vAlign w:val="center"/>
                </w:tcPr>
                <w:p>
                  <w:pPr>
                    <w:jc w:val="center"/>
                    <w:rPr>
                      <w:color w:val="000000"/>
                      <w:kern w:val="0"/>
                      <w:szCs w:val="21"/>
                    </w:rPr>
                  </w:pPr>
                  <w:r>
                    <w:rPr>
                      <w:color w:val="000000"/>
                      <w:kern w:val="0"/>
                      <w:szCs w:val="21"/>
                    </w:rPr>
                    <w:t>甲苯</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无色液体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195</w:t>
                  </w:r>
                </w:p>
              </w:tc>
              <w:tc>
                <w:tcPr>
                  <w:tcW w:w="1137" w:type="pct"/>
                  <w:vAlign w:val="center"/>
                </w:tcPr>
                <w:p>
                  <w:pPr>
                    <w:jc w:val="center"/>
                    <w:rPr>
                      <w:color w:val="000000"/>
                      <w:kern w:val="0"/>
                      <w:szCs w:val="21"/>
                    </w:rPr>
                  </w:pPr>
                  <w:r>
                    <w:rPr>
                      <w:color w:val="000000"/>
                      <w:kern w:val="0"/>
                      <w:szCs w:val="21"/>
                    </w:rPr>
                    <w:t>苯乙烯</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无色透明油状液体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196</w:t>
                  </w:r>
                </w:p>
              </w:tc>
              <w:tc>
                <w:tcPr>
                  <w:tcW w:w="1137" w:type="pct"/>
                  <w:vAlign w:val="center"/>
                </w:tcPr>
                <w:p>
                  <w:pPr>
                    <w:jc w:val="center"/>
                    <w:rPr>
                      <w:color w:val="000000"/>
                      <w:kern w:val="0"/>
                      <w:szCs w:val="21"/>
                    </w:rPr>
                  </w:pPr>
                  <w:r>
                    <w:rPr>
                      <w:color w:val="000000"/>
                      <w:kern w:val="0"/>
                      <w:szCs w:val="21"/>
                    </w:rPr>
                    <w:t>氯苯</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无色透明液体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197</w:t>
                  </w:r>
                </w:p>
              </w:tc>
              <w:tc>
                <w:tcPr>
                  <w:tcW w:w="1137" w:type="pct"/>
                  <w:vAlign w:val="center"/>
                </w:tcPr>
                <w:p>
                  <w:pPr>
                    <w:jc w:val="center"/>
                    <w:rPr>
                      <w:color w:val="000000"/>
                      <w:kern w:val="0"/>
                      <w:szCs w:val="21"/>
                    </w:rPr>
                  </w:pPr>
                  <w:r>
                    <w:rPr>
                      <w:color w:val="000000"/>
                      <w:kern w:val="0"/>
                      <w:szCs w:val="21"/>
                    </w:rPr>
                    <w:t>三氯苯</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198</w:t>
                  </w:r>
                </w:p>
              </w:tc>
              <w:tc>
                <w:tcPr>
                  <w:tcW w:w="1137" w:type="pct"/>
                  <w:vAlign w:val="center"/>
                </w:tcPr>
                <w:p>
                  <w:pPr>
                    <w:jc w:val="center"/>
                    <w:rPr>
                      <w:color w:val="000000"/>
                      <w:kern w:val="0"/>
                      <w:szCs w:val="21"/>
                    </w:rPr>
                  </w:pPr>
                  <w:r>
                    <w:rPr>
                      <w:color w:val="000000"/>
                      <w:kern w:val="0"/>
                      <w:szCs w:val="21"/>
                    </w:rPr>
                    <w:t>1，2-二氯苯</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199</w:t>
                  </w:r>
                </w:p>
              </w:tc>
              <w:tc>
                <w:tcPr>
                  <w:tcW w:w="1137" w:type="pct"/>
                  <w:vAlign w:val="center"/>
                </w:tcPr>
                <w:p>
                  <w:pPr>
                    <w:jc w:val="center"/>
                    <w:rPr>
                      <w:color w:val="000000"/>
                      <w:kern w:val="0"/>
                      <w:szCs w:val="21"/>
                    </w:rPr>
                  </w:pPr>
                  <w:r>
                    <w:rPr>
                      <w:color w:val="000000"/>
                      <w:kern w:val="0"/>
                      <w:szCs w:val="21"/>
                    </w:rPr>
                    <w:t>1，4-二氯苯</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200</w:t>
                  </w:r>
                </w:p>
              </w:tc>
              <w:tc>
                <w:tcPr>
                  <w:tcW w:w="1137" w:type="pct"/>
                  <w:vAlign w:val="center"/>
                </w:tcPr>
                <w:p>
                  <w:pPr>
                    <w:jc w:val="center"/>
                    <w:rPr>
                      <w:color w:val="000000"/>
                      <w:kern w:val="0"/>
                      <w:szCs w:val="21"/>
                    </w:rPr>
                  </w:pPr>
                  <w:r>
                    <w:rPr>
                      <w:color w:val="000000"/>
                      <w:kern w:val="0"/>
                      <w:szCs w:val="21"/>
                    </w:rPr>
                    <w:t>六氯苯</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201</w:t>
                  </w:r>
                </w:p>
              </w:tc>
              <w:tc>
                <w:tcPr>
                  <w:tcW w:w="1137" w:type="pct"/>
                  <w:vAlign w:val="center"/>
                </w:tcPr>
                <w:p>
                  <w:pPr>
                    <w:jc w:val="center"/>
                    <w:rPr>
                      <w:color w:val="000000"/>
                      <w:kern w:val="0"/>
                      <w:szCs w:val="21"/>
                    </w:rPr>
                  </w:pPr>
                  <w:r>
                    <w:rPr>
                      <w:color w:val="000000"/>
                      <w:kern w:val="0"/>
                      <w:szCs w:val="21"/>
                    </w:rPr>
                    <w:t>硝基苯</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202</w:t>
                  </w:r>
                </w:p>
              </w:tc>
              <w:tc>
                <w:tcPr>
                  <w:tcW w:w="1137" w:type="pct"/>
                  <w:vAlign w:val="center"/>
                </w:tcPr>
                <w:p>
                  <w:pPr>
                    <w:jc w:val="center"/>
                    <w:rPr>
                      <w:color w:val="000000"/>
                      <w:kern w:val="0"/>
                      <w:szCs w:val="21"/>
                    </w:rPr>
                  </w:pPr>
                  <w:r>
                    <w:rPr>
                      <w:color w:val="000000"/>
                      <w:kern w:val="0"/>
                      <w:szCs w:val="21"/>
                    </w:rPr>
                    <w:t>六氯丁二烯</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203</w:t>
                  </w:r>
                </w:p>
              </w:tc>
              <w:tc>
                <w:tcPr>
                  <w:tcW w:w="1137" w:type="pct"/>
                  <w:vAlign w:val="center"/>
                </w:tcPr>
                <w:p>
                  <w:pPr>
                    <w:jc w:val="center"/>
                    <w:rPr>
                      <w:color w:val="000000"/>
                      <w:kern w:val="0"/>
                      <w:szCs w:val="21"/>
                    </w:rPr>
                  </w:pPr>
                  <w:r>
                    <w:rPr>
                      <w:color w:val="000000"/>
                      <w:kern w:val="0"/>
                      <w:szCs w:val="21"/>
                    </w:rPr>
                    <w:t>氯乙烯</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204</w:t>
                  </w:r>
                </w:p>
              </w:tc>
              <w:tc>
                <w:tcPr>
                  <w:tcW w:w="1137" w:type="pct"/>
                  <w:vAlign w:val="center"/>
                </w:tcPr>
                <w:p>
                  <w:pPr>
                    <w:jc w:val="center"/>
                    <w:rPr>
                      <w:color w:val="000000"/>
                      <w:kern w:val="0"/>
                      <w:szCs w:val="21"/>
                    </w:rPr>
                  </w:pPr>
                  <w:r>
                    <w:rPr>
                      <w:color w:val="000000"/>
                      <w:kern w:val="0"/>
                      <w:szCs w:val="21"/>
                    </w:rPr>
                    <w:t>马拉硫磷</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205</w:t>
                  </w:r>
                </w:p>
              </w:tc>
              <w:tc>
                <w:tcPr>
                  <w:tcW w:w="1137" w:type="pct"/>
                  <w:vAlign w:val="center"/>
                </w:tcPr>
                <w:p>
                  <w:pPr>
                    <w:jc w:val="center"/>
                    <w:rPr>
                      <w:color w:val="000000"/>
                      <w:kern w:val="0"/>
                      <w:szCs w:val="21"/>
                    </w:rPr>
                  </w:pPr>
                  <w:r>
                    <w:rPr>
                      <w:color w:val="000000"/>
                      <w:kern w:val="0"/>
                      <w:szCs w:val="21"/>
                    </w:rPr>
                    <w:t>甲基对硫磷</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206</w:t>
                  </w:r>
                </w:p>
              </w:tc>
              <w:tc>
                <w:tcPr>
                  <w:tcW w:w="1137" w:type="pct"/>
                  <w:vAlign w:val="center"/>
                </w:tcPr>
                <w:p>
                  <w:pPr>
                    <w:jc w:val="center"/>
                    <w:rPr>
                      <w:color w:val="000000"/>
                      <w:kern w:val="0"/>
                      <w:szCs w:val="21"/>
                    </w:rPr>
                  </w:pPr>
                  <w:r>
                    <w:rPr>
                      <w:color w:val="000000"/>
                      <w:kern w:val="0"/>
                      <w:szCs w:val="21"/>
                    </w:rPr>
                    <w:t>乐果</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207</w:t>
                  </w:r>
                </w:p>
              </w:tc>
              <w:tc>
                <w:tcPr>
                  <w:tcW w:w="1137" w:type="pct"/>
                  <w:vAlign w:val="center"/>
                </w:tcPr>
                <w:p>
                  <w:pPr>
                    <w:jc w:val="center"/>
                    <w:rPr>
                      <w:color w:val="000000"/>
                      <w:kern w:val="0"/>
                      <w:szCs w:val="21"/>
                    </w:rPr>
                  </w:pPr>
                  <w:r>
                    <w:rPr>
                      <w:color w:val="000000"/>
                      <w:kern w:val="0"/>
                      <w:szCs w:val="21"/>
                    </w:rPr>
                    <w:t>敌敌畏</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208</w:t>
                  </w:r>
                </w:p>
              </w:tc>
              <w:tc>
                <w:tcPr>
                  <w:tcW w:w="1137" w:type="pct"/>
                  <w:vAlign w:val="center"/>
                </w:tcPr>
                <w:p>
                  <w:pPr>
                    <w:jc w:val="center"/>
                    <w:rPr>
                      <w:color w:val="000000"/>
                      <w:kern w:val="0"/>
                      <w:szCs w:val="21"/>
                    </w:rPr>
                  </w:pPr>
                  <w:r>
                    <w:rPr>
                      <w:color w:val="000000"/>
                      <w:kern w:val="0"/>
                      <w:szCs w:val="21"/>
                    </w:rPr>
                    <w:t>百菌清</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209</w:t>
                  </w:r>
                </w:p>
              </w:tc>
              <w:tc>
                <w:tcPr>
                  <w:tcW w:w="1137" w:type="pct"/>
                  <w:vAlign w:val="center"/>
                </w:tcPr>
                <w:p>
                  <w:pPr>
                    <w:jc w:val="center"/>
                    <w:rPr>
                      <w:color w:val="000000"/>
                      <w:kern w:val="0"/>
                      <w:szCs w:val="21"/>
                    </w:rPr>
                  </w:pPr>
                  <w:r>
                    <w:rPr>
                      <w:color w:val="000000"/>
                      <w:kern w:val="0"/>
                      <w:szCs w:val="21"/>
                    </w:rPr>
                    <w:t>溴氰菊酯</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210</w:t>
                  </w:r>
                </w:p>
              </w:tc>
              <w:tc>
                <w:tcPr>
                  <w:tcW w:w="1137" w:type="pct"/>
                  <w:vAlign w:val="center"/>
                </w:tcPr>
                <w:p>
                  <w:pPr>
                    <w:jc w:val="center"/>
                    <w:rPr>
                      <w:color w:val="000000"/>
                      <w:kern w:val="0"/>
                      <w:szCs w:val="21"/>
                    </w:rPr>
                  </w:pPr>
                  <w:r>
                    <w:rPr>
                      <w:color w:val="000000"/>
                      <w:kern w:val="0"/>
                      <w:szCs w:val="21"/>
                    </w:rPr>
                    <w:t>灭草松</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211</w:t>
                  </w:r>
                </w:p>
              </w:tc>
              <w:tc>
                <w:tcPr>
                  <w:tcW w:w="1137" w:type="pct"/>
                  <w:vAlign w:val="center"/>
                </w:tcPr>
                <w:p>
                  <w:pPr>
                    <w:jc w:val="center"/>
                    <w:rPr>
                      <w:color w:val="000000"/>
                      <w:kern w:val="0"/>
                      <w:szCs w:val="21"/>
                    </w:rPr>
                  </w:pPr>
                  <w:r>
                    <w:rPr>
                      <w:color w:val="000000"/>
                      <w:kern w:val="0"/>
                      <w:szCs w:val="21"/>
                    </w:rPr>
                    <w:t>2,4-滴</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212</w:t>
                  </w:r>
                </w:p>
              </w:tc>
              <w:tc>
                <w:tcPr>
                  <w:tcW w:w="1137" w:type="pct"/>
                  <w:vAlign w:val="center"/>
                </w:tcPr>
                <w:p>
                  <w:pPr>
                    <w:jc w:val="center"/>
                    <w:rPr>
                      <w:color w:val="000000"/>
                      <w:kern w:val="0"/>
                      <w:szCs w:val="21"/>
                    </w:rPr>
                  </w:pPr>
                  <w:r>
                    <w:rPr>
                      <w:color w:val="000000"/>
                      <w:kern w:val="0"/>
                      <w:szCs w:val="21"/>
                    </w:rPr>
                    <w:t>呋喃丹</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213</w:t>
                  </w:r>
                </w:p>
              </w:tc>
              <w:tc>
                <w:tcPr>
                  <w:tcW w:w="1137" w:type="pct"/>
                  <w:vAlign w:val="center"/>
                </w:tcPr>
                <w:p>
                  <w:pPr>
                    <w:jc w:val="center"/>
                    <w:rPr>
                      <w:color w:val="000000"/>
                      <w:kern w:val="0"/>
                      <w:szCs w:val="21"/>
                    </w:rPr>
                  </w:pPr>
                  <w:r>
                    <w:rPr>
                      <w:color w:val="000000"/>
                      <w:kern w:val="0"/>
                      <w:szCs w:val="21"/>
                    </w:rPr>
                    <w:t>毒死婢</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214</w:t>
                  </w:r>
                </w:p>
              </w:tc>
              <w:tc>
                <w:tcPr>
                  <w:tcW w:w="1137" w:type="pct"/>
                  <w:vAlign w:val="center"/>
                </w:tcPr>
                <w:p>
                  <w:pPr>
                    <w:jc w:val="center"/>
                    <w:rPr>
                      <w:color w:val="000000"/>
                      <w:kern w:val="0"/>
                      <w:szCs w:val="21"/>
                    </w:rPr>
                  </w:pPr>
                  <w:r>
                    <w:rPr>
                      <w:color w:val="000000"/>
                      <w:kern w:val="0"/>
                      <w:szCs w:val="21"/>
                    </w:rPr>
                    <w:t>莠去津</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215</w:t>
                  </w:r>
                </w:p>
              </w:tc>
              <w:tc>
                <w:tcPr>
                  <w:tcW w:w="1137" w:type="pct"/>
                  <w:vAlign w:val="center"/>
                </w:tcPr>
                <w:p>
                  <w:pPr>
                    <w:jc w:val="center"/>
                    <w:rPr>
                      <w:color w:val="000000"/>
                      <w:kern w:val="0"/>
                      <w:szCs w:val="21"/>
                    </w:rPr>
                  </w:pPr>
                  <w:r>
                    <w:rPr>
                      <w:color w:val="000000"/>
                      <w:kern w:val="0"/>
                      <w:szCs w:val="21"/>
                    </w:rPr>
                    <w:t>草甘膦</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216</w:t>
                  </w:r>
                </w:p>
              </w:tc>
              <w:tc>
                <w:tcPr>
                  <w:tcW w:w="1137" w:type="pct"/>
                  <w:vAlign w:val="center"/>
                </w:tcPr>
                <w:p>
                  <w:pPr>
                    <w:jc w:val="center"/>
                    <w:rPr>
                      <w:color w:val="000000"/>
                      <w:kern w:val="0"/>
                      <w:szCs w:val="21"/>
                    </w:rPr>
                  </w:pPr>
                  <w:r>
                    <w:rPr>
                      <w:color w:val="000000"/>
                      <w:kern w:val="0"/>
                      <w:szCs w:val="21"/>
                    </w:rPr>
                    <w:t>七氯</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217</w:t>
                  </w:r>
                </w:p>
              </w:tc>
              <w:tc>
                <w:tcPr>
                  <w:tcW w:w="1137" w:type="pct"/>
                  <w:vAlign w:val="center"/>
                </w:tcPr>
                <w:p>
                  <w:pPr>
                    <w:jc w:val="center"/>
                    <w:rPr>
                      <w:color w:val="000000"/>
                      <w:kern w:val="0"/>
                      <w:szCs w:val="21"/>
                    </w:rPr>
                  </w:pPr>
                  <w:r>
                    <w:rPr>
                      <w:color w:val="000000"/>
                      <w:kern w:val="0"/>
                      <w:szCs w:val="21"/>
                    </w:rPr>
                    <w:t>二氯甲烷</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218</w:t>
                  </w:r>
                </w:p>
              </w:tc>
              <w:tc>
                <w:tcPr>
                  <w:tcW w:w="1137" w:type="pct"/>
                  <w:vAlign w:val="center"/>
                </w:tcPr>
                <w:p>
                  <w:pPr>
                    <w:jc w:val="center"/>
                    <w:rPr>
                      <w:color w:val="000000"/>
                      <w:kern w:val="0"/>
                      <w:szCs w:val="21"/>
                    </w:rPr>
                  </w:pPr>
                  <w:r>
                    <w:rPr>
                      <w:color w:val="000000"/>
                      <w:kern w:val="0"/>
                      <w:szCs w:val="21"/>
                    </w:rPr>
                    <w:t>1，2-二氯乙烷</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219</w:t>
                  </w:r>
                </w:p>
              </w:tc>
              <w:tc>
                <w:tcPr>
                  <w:tcW w:w="1137" w:type="pct"/>
                  <w:vAlign w:val="center"/>
                </w:tcPr>
                <w:p>
                  <w:pPr>
                    <w:jc w:val="center"/>
                    <w:rPr>
                      <w:color w:val="000000"/>
                      <w:kern w:val="0"/>
                      <w:szCs w:val="21"/>
                    </w:rPr>
                  </w:pPr>
                  <w:r>
                    <w:rPr>
                      <w:color w:val="000000"/>
                      <w:kern w:val="0"/>
                      <w:szCs w:val="21"/>
                    </w:rPr>
                    <w:t>丙烯醛</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220</w:t>
                  </w:r>
                </w:p>
              </w:tc>
              <w:tc>
                <w:tcPr>
                  <w:tcW w:w="1137" w:type="pct"/>
                  <w:vAlign w:val="center"/>
                </w:tcPr>
                <w:p>
                  <w:pPr>
                    <w:jc w:val="center"/>
                    <w:rPr>
                      <w:color w:val="000000"/>
                      <w:kern w:val="0"/>
                      <w:szCs w:val="21"/>
                    </w:rPr>
                  </w:pPr>
                  <w:r>
                    <w:rPr>
                      <w:color w:val="000000"/>
                      <w:kern w:val="0"/>
                      <w:szCs w:val="21"/>
                    </w:rPr>
                    <w:t>三氯乙醛</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221</w:t>
                  </w:r>
                </w:p>
              </w:tc>
              <w:tc>
                <w:tcPr>
                  <w:tcW w:w="1137" w:type="pct"/>
                  <w:vAlign w:val="center"/>
                </w:tcPr>
                <w:p>
                  <w:pPr>
                    <w:jc w:val="center"/>
                    <w:rPr>
                      <w:color w:val="000000"/>
                      <w:kern w:val="0"/>
                      <w:szCs w:val="21"/>
                    </w:rPr>
                  </w:pPr>
                  <w:r>
                    <w:rPr>
                      <w:color w:val="000000"/>
                      <w:kern w:val="0"/>
                      <w:szCs w:val="21"/>
                    </w:rPr>
                    <w:t>二氯乙酸</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222</w:t>
                  </w:r>
                </w:p>
              </w:tc>
              <w:tc>
                <w:tcPr>
                  <w:tcW w:w="1137" w:type="pct"/>
                  <w:vAlign w:val="center"/>
                </w:tcPr>
                <w:p>
                  <w:pPr>
                    <w:jc w:val="center"/>
                    <w:rPr>
                      <w:color w:val="000000"/>
                      <w:kern w:val="0"/>
                      <w:szCs w:val="21"/>
                    </w:rPr>
                  </w:pPr>
                  <w:r>
                    <w:rPr>
                      <w:color w:val="000000"/>
                      <w:kern w:val="0"/>
                      <w:szCs w:val="21"/>
                    </w:rPr>
                    <w:t>三氯乙酸</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223</w:t>
                  </w:r>
                </w:p>
              </w:tc>
              <w:tc>
                <w:tcPr>
                  <w:tcW w:w="1137" w:type="pct"/>
                  <w:vAlign w:val="center"/>
                </w:tcPr>
                <w:p>
                  <w:pPr>
                    <w:jc w:val="center"/>
                    <w:rPr>
                      <w:color w:val="000000"/>
                      <w:kern w:val="0"/>
                      <w:szCs w:val="21"/>
                    </w:rPr>
                  </w:pPr>
                  <w:r>
                    <w:rPr>
                      <w:color w:val="000000"/>
                      <w:kern w:val="0"/>
                      <w:szCs w:val="21"/>
                    </w:rPr>
                    <w:t>氯化氰</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224</w:t>
                  </w:r>
                </w:p>
              </w:tc>
              <w:tc>
                <w:tcPr>
                  <w:tcW w:w="1137" w:type="pct"/>
                  <w:vAlign w:val="center"/>
                </w:tcPr>
                <w:p>
                  <w:pPr>
                    <w:jc w:val="center"/>
                    <w:rPr>
                      <w:color w:val="000000"/>
                      <w:kern w:val="0"/>
                      <w:szCs w:val="21"/>
                    </w:rPr>
                  </w:pPr>
                  <w:r>
                    <w:rPr>
                      <w:color w:val="000000"/>
                      <w:kern w:val="0"/>
                      <w:szCs w:val="21"/>
                    </w:rPr>
                    <w:t>2,4,6-三氯酚</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225</w:t>
                  </w:r>
                </w:p>
              </w:tc>
              <w:tc>
                <w:tcPr>
                  <w:tcW w:w="1137" w:type="pct"/>
                  <w:vAlign w:val="center"/>
                </w:tcPr>
                <w:p>
                  <w:pPr>
                    <w:jc w:val="center"/>
                    <w:rPr>
                      <w:color w:val="000000"/>
                      <w:kern w:val="0"/>
                      <w:szCs w:val="21"/>
                    </w:rPr>
                  </w:pPr>
                  <w:r>
                    <w:rPr>
                      <w:color w:val="000000"/>
                      <w:kern w:val="0"/>
                      <w:szCs w:val="21"/>
                    </w:rPr>
                    <w:t>五氯酚</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226</w:t>
                  </w:r>
                </w:p>
              </w:tc>
              <w:tc>
                <w:tcPr>
                  <w:tcW w:w="1137" w:type="pct"/>
                  <w:vAlign w:val="center"/>
                </w:tcPr>
                <w:p>
                  <w:pPr>
                    <w:jc w:val="center"/>
                    <w:rPr>
                      <w:color w:val="000000"/>
                      <w:kern w:val="0"/>
                      <w:szCs w:val="21"/>
                    </w:rPr>
                  </w:pPr>
                  <w:r>
                    <w:rPr>
                      <w:color w:val="000000"/>
                      <w:kern w:val="0"/>
                      <w:szCs w:val="21"/>
                    </w:rPr>
                    <w:t>亚氯酸盐</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5" w:hRule="atLeast"/>
                <w:jc w:val="center"/>
              </w:trPr>
              <w:tc>
                <w:tcPr>
                  <w:tcW w:w="393" w:type="pct"/>
                  <w:vAlign w:val="center"/>
                </w:tcPr>
                <w:p>
                  <w:pPr>
                    <w:jc w:val="center"/>
                    <w:rPr>
                      <w:color w:val="000000"/>
                      <w:kern w:val="0"/>
                      <w:szCs w:val="21"/>
                    </w:rPr>
                  </w:pPr>
                  <w:r>
                    <w:rPr>
                      <w:color w:val="000000"/>
                      <w:kern w:val="0"/>
                      <w:szCs w:val="21"/>
                    </w:rPr>
                    <w:t>227</w:t>
                  </w:r>
                </w:p>
              </w:tc>
              <w:tc>
                <w:tcPr>
                  <w:tcW w:w="1137" w:type="pct"/>
                  <w:vAlign w:val="center"/>
                </w:tcPr>
                <w:p>
                  <w:pPr>
                    <w:jc w:val="center"/>
                    <w:rPr>
                      <w:color w:val="000000"/>
                      <w:kern w:val="0"/>
                      <w:szCs w:val="21"/>
                    </w:rPr>
                  </w:pPr>
                  <w:r>
                    <w:rPr>
                      <w:color w:val="000000"/>
                      <w:kern w:val="0"/>
                      <w:szCs w:val="21"/>
                    </w:rPr>
                    <w:t>氯酸盐</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228</w:t>
                  </w:r>
                </w:p>
              </w:tc>
              <w:tc>
                <w:tcPr>
                  <w:tcW w:w="1137" w:type="pct"/>
                  <w:vAlign w:val="center"/>
                </w:tcPr>
                <w:p>
                  <w:pPr>
                    <w:jc w:val="center"/>
                    <w:rPr>
                      <w:color w:val="000000"/>
                      <w:kern w:val="0"/>
                      <w:szCs w:val="21"/>
                    </w:rPr>
                  </w:pPr>
                  <w:r>
                    <w:rPr>
                      <w:color w:val="000000"/>
                      <w:kern w:val="0"/>
                      <w:szCs w:val="21"/>
                    </w:rPr>
                    <w:t>溴酸盐</w:t>
                  </w:r>
                </w:p>
              </w:tc>
              <w:tc>
                <w:tcPr>
                  <w:tcW w:w="802" w:type="pct"/>
                  <w:vAlign w:val="center"/>
                </w:tcPr>
                <w:p>
                  <w:pPr>
                    <w:jc w:val="center"/>
                    <w:rPr>
                      <w:color w:val="000000"/>
                      <w:kern w:val="0"/>
                      <w:szCs w:val="21"/>
                    </w:rPr>
                  </w:pPr>
                  <w:r>
                    <w:rPr>
                      <w:color w:val="000000"/>
                      <w:kern w:val="0"/>
                      <w:szCs w:val="21"/>
                    </w:rPr>
                    <w:t>10ml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229</w:t>
                  </w:r>
                </w:p>
              </w:tc>
              <w:tc>
                <w:tcPr>
                  <w:tcW w:w="1137" w:type="pct"/>
                  <w:vAlign w:val="center"/>
                </w:tcPr>
                <w:p>
                  <w:pPr>
                    <w:jc w:val="center"/>
                    <w:rPr>
                      <w:color w:val="000000"/>
                      <w:kern w:val="0"/>
                      <w:szCs w:val="21"/>
                    </w:rPr>
                  </w:pPr>
                  <w:r>
                    <w:rPr>
                      <w:color w:val="000000"/>
                      <w:kern w:val="0"/>
                      <w:szCs w:val="21"/>
                    </w:rPr>
                    <w:t>胰蛋白胨</w:t>
                  </w:r>
                </w:p>
              </w:tc>
              <w:tc>
                <w:tcPr>
                  <w:tcW w:w="802" w:type="pct"/>
                  <w:vAlign w:val="center"/>
                </w:tcPr>
                <w:p>
                  <w:pPr>
                    <w:jc w:val="center"/>
                    <w:rPr>
                      <w:color w:val="000000"/>
                      <w:kern w:val="0"/>
                      <w:szCs w:val="21"/>
                    </w:rPr>
                  </w:pPr>
                  <w:r>
                    <w:rPr>
                      <w:color w:val="000000"/>
                      <w:kern w:val="0"/>
                      <w:szCs w:val="21"/>
                    </w:rPr>
                    <w:t>1000ml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230</w:t>
                  </w:r>
                </w:p>
              </w:tc>
              <w:tc>
                <w:tcPr>
                  <w:tcW w:w="1137" w:type="pct"/>
                  <w:vAlign w:val="center"/>
                </w:tcPr>
                <w:p>
                  <w:pPr>
                    <w:jc w:val="center"/>
                    <w:rPr>
                      <w:color w:val="000000"/>
                      <w:kern w:val="0"/>
                      <w:szCs w:val="21"/>
                    </w:rPr>
                  </w:pPr>
                  <w:r>
                    <w:rPr>
                      <w:color w:val="000000"/>
                      <w:kern w:val="0"/>
                      <w:szCs w:val="21"/>
                    </w:rPr>
                    <w:t>酵母浸膏</w:t>
                  </w:r>
                </w:p>
              </w:tc>
              <w:tc>
                <w:tcPr>
                  <w:tcW w:w="802" w:type="pct"/>
                  <w:vAlign w:val="center"/>
                </w:tcPr>
                <w:p>
                  <w:pPr>
                    <w:jc w:val="center"/>
                    <w:rPr>
                      <w:color w:val="000000"/>
                      <w:kern w:val="0"/>
                      <w:szCs w:val="21"/>
                    </w:rPr>
                  </w:pPr>
                  <w:r>
                    <w:rPr>
                      <w:color w:val="000000"/>
                      <w:kern w:val="0"/>
                      <w:szCs w:val="21"/>
                    </w:rPr>
                    <w:t>1000ml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231</w:t>
                  </w:r>
                </w:p>
              </w:tc>
              <w:tc>
                <w:tcPr>
                  <w:tcW w:w="1137" w:type="pct"/>
                  <w:vAlign w:val="center"/>
                </w:tcPr>
                <w:p>
                  <w:pPr>
                    <w:jc w:val="center"/>
                    <w:rPr>
                      <w:color w:val="000000"/>
                      <w:kern w:val="0"/>
                      <w:szCs w:val="21"/>
                    </w:rPr>
                  </w:pPr>
                  <w:r>
                    <w:rPr>
                      <w:color w:val="000000"/>
                      <w:kern w:val="0"/>
                      <w:szCs w:val="21"/>
                    </w:rPr>
                    <w:t>琼脂</w:t>
                  </w:r>
                </w:p>
              </w:tc>
              <w:tc>
                <w:tcPr>
                  <w:tcW w:w="802" w:type="pct"/>
                  <w:vAlign w:val="center"/>
                </w:tcPr>
                <w:p>
                  <w:pPr>
                    <w:jc w:val="center"/>
                    <w:rPr>
                      <w:color w:val="000000"/>
                      <w:kern w:val="0"/>
                      <w:szCs w:val="21"/>
                    </w:rPr>
                  </w:pPr>
                  <w:r>
                    <w:rPr>
                      <w:color w:val="000000"/>
                      <w:kern w:val="0"/>
                      <w:szCs w:val="21"/>
                    </w:rPr>
                    <w:t>1000ml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232</w:t>
                  </w:r>
                </w:p>
              </w:tc>
              <w:tc>
                <w:tcPr>
                  <w:tcW w:w="1137" w:type="pct"/>
                  <w:vAlign w:val="center"/>
                </w:tcPr>
                <w:p>
                  <w:pPr>
                    <w:jc w:val="center"/>
                    <w:rPr>
                      <w:color w:val="000000"/>
                      <w:kern w:val="0"/>
                      <w:szCs w:val="21"/>
                    </w:rPr>
                  </w:pPr>
                  <w:r>
                    <w:rPr>
                      <w:color w:val="000000"/>
                      <w:kern w:val="0"/>
                      <w:szCs w:val="21"/>
                    </w:rPr>
                    <w:t>月桂基硫酸钠</w:t>
                  </w:r>
                </w:p>
              </w:tc>
              <w:tc>
                <w:tcPr>
                  <w:tcW w:w="802" w:type="pct"/>
                  <w:vAlign w:val="center"/>
                </w:tcPr>
                <w:p>
                  <w:pPr>
                    <w:jc w:val="center"/>
                    <w:rPr>
                      <w:color w:val="000000"/>
                      <w:kern w:val="0"/>
                      <w:szCs w:val="21"/>
                    </w:rPr>
                  </w:pPr>
                  <w:r>
                    <w:rPr>
                      <w:color w:val="000000"/>
                      <w:kern w:val="0"/>
                      <w:szCs w:val="21"/>
                    </w:rPr>
                    <w:t>1000ml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233</w:t>
                  </w:r>
                </w:p>
              </w:tc>
              <w:tc>
                <w:tcPr>
                  <w:tcW w:w="1137" w:type="pct"/>
                  <w:vAlign w:val="center"/>
                </w:tcPr>
                <w:p>
                  <w:pPr>
                    <w:jc w:val="center"/>
                    <w:rPr>
                      <w:color w:val="000000"/>
                      <w:kern w:val="0"/>
                      <w:szCs w:val="21"/>
                    </w:rPr>
                  </w:pPr>
                  <w:r>
                    <w:rPr>
                      <w:color w:val="000000"/>
                      <w:kern w:val="0"/>
                      <w:szCs w:val="21"/>
                    </w:rPr>
                    <w:t>乳糖</w:t>
                  </w:r>
                </w:p>
              </w:tc>
              <w:tc>
                <w:tcPr>
                  <w:tcW w:w="802" w:type="pct"/>
                  <w:vAlign w:val="center"/>
                </w:tcPr>
                <w:p>
                  <w:pPr>
                    <w:jc w:val="center"/>
                    <w:rPr>
                      <w:color w:val="000000"/>
                      <w:kern w:val="0"/>
                      <w:szCs w:val="21"/>
                    </w:rPr>
                  </w:pPr>
                  <w:r>
                    <w:rPr>
                      <w:color w:val="000000"/>
                      <w:kern w:val="0"/>
                      <w:szCs w:val="21"/>
                    </w:rPr>
                    <w:t>1000ml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234</w:t>
                  </w:r>
                </w:p>
              </w:tc>
              <w:tc>
                <w:tcPr>
                  <w:tcW w:w="1137" w:type="pct"/>
                  <w:vAlign w:val="center"/>
                </w:tcPr>
                <w:p>
                  <w:pPr>
                    <w:jc w:val="center"/>
                    <w:rPr>
                      <w:color w:val="000000"/>
                      <w:kern w:val="0"/>
                      <w:szCs w:val="21"/>
                    </w:rPr>
                  </w:pPr>
                  <w:r>
                    <w:rPr>
                      <w:color w:val="000000"/>
                      <w:kern w:val="0"/>
                      <w:szCs w:val="21"/>
                    </w:rPr>
                    <w:t>3号胆盐</w:t>
                  </w:r>
                </w:p>
              </w:tc>
              <w:tc>
                <w:tcPr>
                  <w:tcW w:w="802" w:type="pct"/>
                  <w:vAlign w:val="center"/>
                </w:tcPr>
                <w:p>
                  <w:pPr>
                    <w:jc w:val="center"/>
                    <w:rPr>
                      <w:color w:val="000000"/>
                      <w:kern w:val="0"/>
                      <w:szCs w:val="21"/>
                    </w:rPr>
                  </w:pPr>
                  <w:r>
                    <w:rPr>
                      <w:color w:val="000000"/>
                      <w:kern w:val="0"/>
                      <w:szCs w:val="21"/>
                    </w:rPr>
                    <w:t>1000ml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235</w:t>
                  </w:r>
                </w:p>
              </w:tc>
              <w:tc>
                <w:tcPr>
                  <w:tcW w:w="1137" w:type="pct"/>
                  <w:vAlign w:val="center"/>
                </w:tcPr>
                <w:p>
                  <w:pPr>
                    <w:jc w:val="center"/>
                    <w:rPr>
                      <w:color w:val="000000"/>
                      <w:kern w:val="0"/>
                      <w:szCs w:val="21"/>
                    </w:rPr>
                  </w:pPr>
                  <w:r>
                    <w:rPr>
                      <w:color w:val="000000"/>
                      <w:kern w:val="0"/>
                      <w:szCs w:val="21"/>
                    </w:rPr>
                    <w:t>结晶紫</w:t>
                  </w:r>
                </w:p>
              </w:tc>
              <w:tc>
                <w:tcPr>
                  <w:tcW w:w="802" w:type="pct"/>
                  <w:vAlign w:val="center"/>
                </w:tcPr>
                <w:p>
                  <w:pPr>
                    <w:jc w:val="center"/>
                    <w:rPr>
                      <w:color w:val="000000"/>
                      <w:kern w:val="0"/>
                      <w:szCs w:val="21"/>
                    </w:rPr>
                  </w:pPr>
                  <w:r>
                    <w:rPr>
                      <w:color w:val="000000"/>
                      <w:kern w:val="0"/>
                      <w:szCs w:val="21"/>
                    </w:rPr>
                    <w:t>1000ml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236</w:t>
                  </w:r>
                </w:p>
              </w:tc>
              <w:tc>
                <w:tcPr>
                  <w:tcW w:w="1137" w:type="pct"/>
                  <w:vAlign w:val="center"/>
                </w:tcPr>
                <w:p>
                  <w:pPr>
                    <w:jc w:val="center"/>
                    <w:rPr>
                      <w:color w:val="000000"/>
                      <w:kern w:val="0"/>
                      <w:szCs w:val="21"/>
                    </w:rPr>
                  </w:pPr>
                  <w:r>
                    <w:rPr>
                      <w:color w:val="000000"/>
                      <w:kern w:val="0"/>
                      <w:szCs w:val="21"/>
                    </w:rPr>
                    <w:t>蛋白胨</w:t>
                  </w:r>
                </w:p>
              </w:tc>
              <w:tc>
                <w:tcPr>
                  <w:tcW w:w="802" w:type="pct"/>
                  <w:vAlign w:val="center"/>
                </w:tcPr>
                <w:p>
                  <w:pPr>
                    <w:jc w:val="center"/>
                    <w:rPr>
                      <w:color w:val="000000"/>
                      <w:kern w:val="0"/>
                      <w:szCs w:val="21"/>
                    </w:rPr>
                  </w:pPr>
                  <w:r>
                    <w:rPr>
                      <w:color w:val="000000"/>
                      <w:kern w:val="0"/>
                      <w:szCs w:val="21"/>
                    </w:rPr>
                    <w:t>1000ml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237</w:t>
                  </w:r>
                </w:p>
              </w:tc>
              <w:tc>
                <w:tcPr>
                  <w:tcW w:w="1137" w:type="pct"/>
                  <w:vAlign w:val="center"/>
                </w:tcPr>
                <w:p>
                  <w:pPr>
                    <w:jc w:val="center"/>
                    <w:rPr>
                      <w:color w:val="000000"/>
                      <w:kern w:val="0"/>
                      <w:szCs w:val="21"/>
                    </w:rPr>
                  </w:pPr>
                  <w:r>
                    <w:rPr>
                      <w:color w:val="000000"/>
                      <w:kern w:val="0"/>
                      <w:szCs w:val="21"/>
                    </w:rPr>
                    <w:t>牛胆粉</w:t>
                  </w:r>
                </w:p>
              </w:tc>
              <w:tc>
                <w:tcPr>
                  <w:tcW w:w="802" w:type="pct"/>
                  <w:vAlign w:val="center"/>
                </w:tcPr>
                <w:p>
                  <w:pPr>
                    <w:jc w:val="center"/>
                    <w:rPr>
                      <w:color w:val="000000"/>
                      <w:kern w:val="0"/>
                      <w:szCs w:val="21"/>
                    </w:rPr>
                  </w:pPr>
                  <w:r>
                    <w:rPr>
                      <w:color w:val="000000"/>
                      <w:kern w:val="0"/>
                      <w:szCs w:val="21"/>
                    </w:rPr>
                    <w:t>1000ml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238</w:t>
                  </w:r>
                </w:p>
              </w:tc>
              <w:tc>
                <w:tcPr>
                  <w:tcW w:w="1137" w:type="pct"/>
                  <w:vAlign w:val="center"/>
                </w:tcPr>
                <w:p>
                  <w:pPr>
                    <w:jc w:val="center"/>
                    <w:rPr>
                      <w:color w:val="000000"/>
                      <w:kern w:val="0"/>
                      <w:szCs w:val="21"/>
                    </w:rPr>
                  </w:pPr>
                  <w:r>
                    <w:rPr>
                      <w:color w:val="000000"/>
                      <w:kern w:val="0"/>
                      <w:szCs w:val="21"/>
                    </w:rPr>
                    <w:t>煌绿</w:t>
                  </w:r>
                </w:p>
              </w:tc>
              <w:tc>
                <w:tcPr>
                  <w:tcW w:w="802" w:type="pct"/>
                  <w:vAlign w:val="center"/>
                </w:tcPr>
                <w:p>
                  <w:pPr>
                    <w:jc w:val="center"/>
                    <w:rPr>
                      <w:color w:val="000000"/>
                      <w:kern w:val="0"/>
                      <w:szCs w:val="21"/>
                    </w:rPr>
                  </w:pPr>
                  <w:r>
                    <w:rPr>
                      <w:color w:val="000000"/>
                      <w:kern w:val="0"/>
                      <w:szCs w:val="21"/>
                    </w:rPr>
                    <w:t>1000ml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239</w:t>
                  </w:r>
                </w:p>
              </w:tc>
              <w:tc>
                <w:tcPr>
                  <w:tcW w:w="1137" w:type="pct"/>
                  <w:vAlign w:val="center"/>
                </w:tcPr>
                <w:p>
                  <w:pPr>
                    <w:jc w:val="center"/>
                    <w:rPr>
                      <w:color w:val="000000"/>
                      <w:kern w:val="0"/>
                      <w:szCs w:val="21"/>
                    </w:rPr>
                  </w:pPr>
                  <w:r>
                    <w:rPr>
                      <w:color w:val="000000"/>
                      <w:kern w:val="0"/>
                      <w:szCs w:val="21"/>
                    </w:rPr>
                    <w:t>牛肉膏</w:t>
                  </w:r>
                </w:p>
              </w:tc>
              <w:tc>
                <w:tcPr>
                  <w:tcW w:w="802" w:type="pct"/>
                  <w:vAlign w:val="center"/>
                </w:tcPr>
                <w:p>
                  <w:pPr>
                    <w:jc w:val="center"/>
                    <w:rPr>
                      <w:color w:val="000000"/>
                      <w:kern w:val="0"/>
                      <w:szCs w:val="21"/>
                    </w:rPr>
                  </w:pPr>
                  <w:r>
                    <w:rPr>
                      <w:color w:val="000000"/>
                      <w:kern w:val="0"/>
                      <w:szCs w:val="21"/>
                    </w:rPr>
                    <w:t>1L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240</w:t>
                  </w:r>
                </w:p>
              </w:tc>
              <w:tc>
                <w:tcPr>
                  <w:tcW w:w="1137" w:type="pct"/>
                  <w:vAlign w:val="center"/>
                </w:tcPr>
                <w:p>
                  <w:pPr>
                    <w:jc w:val="center"/>
                    <w:rPr>
                      <w:color w:val="000000"/>
                      <w:kern w:val="0"/>
                      <w:szCs w:val="21"/>
                    </w:rPr>
                  </w:pPr>
                  <w:r>
                    <w:rPr>
                      <w:color w:val="000000"/>
                      <w:kern w:val="0"/>
                      <w:szCs w:val="21"/>
                    </w:rPr>
                    <w:t>牛胆盐</w:t>
                  </w:r>
                </w:p>
              </w:tc>
              <w:tc>
                <w:tcPr>
                  <w:tcW w:w="802" w:type="pct"/>
                  <w:vAlign w:val="center"/>
                </w:tcPr>
                <w:p>
                  <w:pPr>
                    <w:jc w:val="center"/>
                    <w:rPr>
                      <w:color w:val="000000"/>
                      <w:kern w:val="0"/>
                      <w:szCs w:val="21"/>
                    </w:rPr>
                  </w:pPr>
                  <w:r>
                    <w:rPr>
                      <w:color w:val="000000"/>
                      <w:kern w:val="0"/>
                      <w:szCs w:val="21"/>
                    </w:rPr>
                    <w:t>1L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241</w:t>
                  </w:r>
                </w:p>
              </w:tc>
              <w:tc>
                <w:tcPr>
                  <w:tcW w:w="1137" w:type="pct"/>
                  <w:vAlign w:val="center"/>
                </w:tcPr>
                <w:p>
                  <w:pPr>
                    <w:jc w:val="center"/>
                    <w:rPr>
                      <w:color w:val="000000"/>
                      <w:kern w:val="0"/>
                      <w:szCs w:val="21"/>
                    </w:rPr>
                  </w:pPr>
                  <w:r>
                    <w:rPr>
                      <w:color w:val="000000"/>
                      <w:kern w:val="0"/>
                      <w:szCs w:val="21"/>
                    </w:rPr>
                    <w:t>L-胱氨酸</w:t>
                  </w:r>
                </w:p>
              </w:tc>
              <w:tc>
                <w:tcPr>
                  <w:tcW w:w="802" w:type="pct"/>
                  <w:vAlign w:val="center"/>
                </w:tcPr>
                <w:p>
                  <w:pPr>
                    <w:jc w:val="center"/>
                    <w:rPr>
                      <w:color w:val="000000"/>
                      <w:kern w:val="0"/>
                      <w:szCs w:val="21"/>
                    </w:rPr>
                  </w:pPr>
                  <w:r>
                    <w:rPr>
                      <w:color w:val="000000"/>
                      <w:kern w:val="0"/>
                      <w:szCs w:val="21"/>
                    </w:rPr>
                    <w:t>500ml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242</w:t>
                  </w:r>
                </w:p>
              </w:tc>
              <w:tc>
                <w:tcPr>
                  <w:tcW w:w="1137" w:type="pct"/>
                  <w:vAlign w:val="center"/>
                </w:tcPr>
                <w:p>
                  <w:pPr>
                    <w:jc w:val="center"/>
                    <w:rPr>
                      <w:color w:val="000000"/>
                      <w:kern w:val="0"/>
                      <w:szCs w:val="21"/>
                    </w:rPr>
                  </w:pPr>
                  <w:r>
                    <w:rPr>
                      <w:color w:val="000000"/>
                      <w:kern w:val="0"/>
                      <w:szCs w:val="21"/>
                    </w:rPr>
                    <w:t>木糖</w:t>
                  </w:r>
                </w:p>
              </w:tc>
              <w:tc>
                <w:tcPr>
                  <w:tcW w:w="802" w:type="pct"/>
                  <w:vAlign w:val="center"/>
                </w:tcPr>
                <w:p>
                  <w:pPr>
                    <w:jc w:val="center"/>
                    <w:rPr>
                      <w:color w:val="000000"/>
                      <w:kern w:val="0"/>
                      <w:szCs w:val="21"/>
                    </w:rPr>
                  </w:pPr>
                  <w:r>
                    <w:rPr>
                      <w:color w:val="000000"/>
                      <w:kern w:val="0"/>
                      <w:szCs w:val="21"/>
                    </w:rPr>
                    <w:t>500ml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243</w:t>
                  </w:r>
                </w:p>
              </w:tc>
              <w:tc>
                <w:tcPr>
                  <w:tcW w:w="1137" w:type="pct"/>
                  <w:vAlign w:val="center"/>
                </w:tcPr>
                <w:p>
                  <w:pPr>
                    <w:jc w:val="center"/>
                    <w:rPr>
                      <w:color w:val="000000"/>
                      <w:kern w:val="0"/>
                      <w:szCs w:val="21"/>
                    </w:rPr>
                  </w:pPr>
                  <w:r>
                    <w:rPr>
                      <w:color w:val="000000"/>
                      <w:kern w:val="0"/>
                      <w:szCs w:val="21"/>
                    </w:rPr>
                    <w:t>蔗糖</w:t>
                  </w:r>
                </w:p>
              </w:tc>
              <w:tc>
                <w:tcPr>
                  <w:tcW w:w="802" w:type="pct"/>
                  <w:vAlign w:val="center"/>
                </w:tcPr>
                <w:p>
                  <w:pPr>
                    <w:jc w:val="center"/>
                    <w:rPr>
                      <w:color w:val="000000"/>
                      <w:kern w:val="0"/>
                      <w:szCs w:val="21"/>
                    </w:rPr>
                  </w:pPr>
                  <w:r>
                    <w:rPr>
                      <w:color w:val="000000"/>
                      <w:kern w:val="0"/>
                      <w:szCs w:val="21"/>
                    </w:rPr>
                    <w:t>500ml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244</w:t>
                  </w:r>
                </w:p>
              </w:tc>
              <w:tc>
                <w:tcPr>
                  <w:tcW w:w="1137" w:type="pct"/>
                  <w:vAlign w:val="center"/>
                </w:tcPr>
                <w:p>
                  <w:pPr>
                    <w:jc w:val="center"/>
                    <w:rPr>
                      <w:color w:val="000000"/>
                      <w:kern w:val="0"/>
                      <w:szCs w:val="21"/>
                    </w:rPr>
                  </w:pPr>
                  <w:r>
                    <w:rPr>
                      <w:color w:val="000000"/>
                      <w:kern w:val="0"/>
                      <w:szCs w:val="21"/>
                    </w:rPr>
                    <w:t>新生</w:t>
                  </w:r>
                  <w:r>
                    <w:rPr>
                      <w:rFonts w:hint="eastAsia"/>
                      <w:color w:val="000000"/>
                      <w:kern w:val="0"/>
                      <w:szCs w:val="21"/>
                    </w:rPr>
                    <w:t>霉</w:t>
                  </w:r>
                  <w:r>
                    <w:rPr>
                      <w:color w:val="000000"/>
                      <w:kern w:val="0"/>
                      <w:szCs w:val="21"/>
                    </w:rPr>
                    <w:t>素</w:t>
                  </w:r>
                </w:p>
              </w:tc>
              <w:tc>
                <w:tcPr>
                  <w:tcW w:w="802" w:type="pct"/>
                  <w:vAlign w:val="center"/>
                </w:tcPr>
                <w:p>
                  <w:pPr>
                    <w:jc w:val="center"/>
                    <w:rPr>
                      <w:color w:val="000000"/>
                      <w:kern w:val="0"/>
                      <w:szCs w:val="21"/>
                    </w:rPr>
                  </w:pPr>
                  <w:r>
                    <w:rPr>
                      <w:color w:val="000000"/>
                      <w:kern w:val="0"/>
                      <w:szCs w:val="21"/>
                    </w:rPr>
                    <w:t>1L</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245</w:t>
                  </w:r>
                </w:p>
              </w:tc>
              <w:tc>
                <w:tcPr>
                  <w:tcW w:w="1137" w:type="pct"/>
                  <w:vAlign w:val="center"/>
                </w:tcPr>
                <w:p>
                  <w:pPr>
                    <w:jc w:val="center"/>
                    <w:rPr>
                      <w:color w:val="000000"/>
                      <w:kern w:val="0"/>
                      <w:szCs w:val="21"/>
                    </w:rPr>
                  </w:pPr>
                  <w:r>
                    <w:rPr>
                      <w:color w:val="000000"/>
                      <w:kern w:val="0"/>
                      <w:szCs w:val="21"/>
                    </w:rPr>
                    <w:t>灌装氧气</w:t>
                  </w:r>
                </w:p>
              </w:tc>
              <w:tc>
                <w:tcPr>
                  <w:tcW w:w="802" w:type="pct"/>
                  <w:vAlign w:val="center"/>
                </w:tcPr>
                <w:p>
                  <w:pPr>
                    <w:jc w:val="center"/>
                    <w:rPr>
                      <w:color w:val="000000"/>
                      <w:kern w:val="0"/>
                      <w:szCs w:val="21"/>
                    </w:rPr>
                  </w:pPr>
                  <w:r>
                    <w:rPr>
                      <w:color w:val="000000"/>
                      <w:kern w:val="0"/>
                      <w:szCs w:val="21"/>
                    </w:rPr>
                    <w:t>150kg</w:t>
                  </w:r>
                </w:p>
              </w:tc>
              <w:tc>
                <w:tcPr>
                  <w:tcW w:w="738" w:type="pct"/>
                  <w:tcBorders>
                    <w:right w:val="single" w:color="auto" w:sz="4" w:space="0"/>
                  </w:tcBorders>
                  <w:vAlign w:val="center"/>
                </w:tcPr>
                <w:p>
                  <w:pPr>
                    <w:jc w:val="center"/>
                    <w:rPr>
                      <w:color w:val="000000"/>
                      <w:kern w:val="0"/>
                      <w:szCs w:val="21"/>
                    </w:rPr>
                  </w:pPr>
                  <w:r>
                    <w:rPr>
                      <w:color w:val="000000"/>
                      <w:kern w:val="0"/>
                      <w:szCs w:val="21"/>
                    </w:rPr>
                    <w:t>标准品</w:t>
                  </w:r>
                </w:p>
              </w:tc>
              <w:tc>
                <w:tcPr>
                  <w:tcW w:w="624" w:type="pct"/>
                  <w:tcBorders>
                    <w:left w:val="single" w:color="auto" w:sz="4" w:space="0"/>
                  </w:tcBorders>
                  <w:vAlign w:val="center"/>
                </w:tcPr>
                <w:p>
                  <w:pPr>
                    <w:jc w:val="center"/>
                    <w:rPr>
                      <w:color w:val="000000"/>
                      <w:kern w:val="0"/>
                      <w:szCs w:val="21"/>
                    </w:rPr>
                  </w:pPr>
                  <w:r>
                    <w:rPr>
                      <w:color w:val="000000"/>
                      <w:kern w:val="0"/>
                      <w:szCs w:val="21"/>
                    </w:rPr>
                    <w:t>瓶装</w:t>
                  </w:r>
                </w:p>
              </w:tc>
              <w:tc>
                <w:tcPr>
                  <w:tcW w:w="1306" w:type="pct"/>
                  <w:tcBorders>
                    <w:left w:val="single" w:color="auto" w:sz="4" w:space="0"/>
                  </w:tcBorders>
                  <w:vAlign w:val="center"/>
                </w:tcPr>
                <w:p>
                  <w:pPr>
                    <w:jc w:val="center"/>
                    <w:rPr>
                      <w:color w:val="000000"/>
                      <w:kern w:val="0"/>
                      <w:szCs w:val="21"/>
                    </w:rPr>
                  </w:pPr>
                  <w:r>
                    <w:rPr>
                      <w:color w:val="000000"/>
                      <w:szCs w:val="21"/>
                      <w:lang w:val="pt-BR"/>
                    </w:rPr>
                    <w:t>液体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247</w:t>
                  </w:r>
                </w:p>
              </w:tc>
              <w:tc>
                <w:tcPr>
                  <w:tcW w:w="1137" w:type="pct"/>
                  <w:vAlign w:val="center"/>
                </w:tcPr>
                <w:p>
                  <w:pPr>
                    <w:jc w:val="center"/>
                    <w:rPr>
                      <w:color w:val="000000"/>
                      <w:kern w:val="0"/>
                      <w:szCs w:val="21"/>
                    </w:rPr>
                  </w:pPr>
                  <w:r>
                    <w:rPr>
                      <w:color w:val="000000"/>
                      <w:kern w:val="0"/>
                      <w:szCs w:val="21"/>
                    </w:rPr>
                    <w:t>水</w:t>
                  </w:r>
                </w:p>
              </w:tc>
              <w:tc>
                <w:tcPr>
                  <w:tcW w:w="802" w:type="pct"/>
                  <w:vAlign w:val="center"/>
                </w:tcPr>
                <w:p>
                  <w:pPr>
                    <w:jc w:val="center"/>
                    <w:rPr>
                      <w:color w:val="000000"/>
                      <w:kern w:val="0"/>
                      <w:szCs w:val="21"/>
                    </w:rPr>
                  </w:pPr>
                  <w:r>
                    <w:rPr>
                      <w:color w:val="000000"/>
                      <w:kern w:val="0"/>
                      <w:szCs w:val="21"/>
                    </w:rPr>
                    <w:t>3600立方米</w:t>
                  </w:r>
                </w:p>
              </w:tc>
              <w:tc>
                <w:tcPr>
                  <w:tcW w:w="738" w:type="pct"/>
                  <w:tcBorders>
                    <w:right w:val="single" w:color="auto" w:sz="4" w:space="0"/>
                  </w:tcBorders>
                  <w:vAlign w:val="center"/>
                </w:tcPr>
                <w:p>
                  <w:pPr>
                    <w:jc w:val="center"/>
                    <w:rPr>
                      <w:color w:val="000000"/>
                      <w:kern w:val="0"/>
                      <w:szCs w:val="21"/>
                    </w:rPr>
                  </w:pPr>
                  <w:r>
                    <w:rPr>
                      <w:color w:val="000000"/>
                      <w:kern w:val="0"/>
                      <w:szCs w:val="21"/>
                    </w:rPr>
                    <w:t>/</w:t>
                  </w:r>
                </w:p>
              </w:tc>
              <w:tc>
                <w:tcPr>
                  <w:tcW w:w="624" w:type="pct"/>
                  <w:tcBorders>
                    <w:left w:val="single" w:color="auto" w:sz="4" w:space="0"/>
                  </w:tcBorders>
                  <w:vAlign w:val="center"/>
                </w:tcPr>
                <w:p>
                  <w:pPr>
                    <w:jc w:val="center"/>
                    <w:rPr>
                      <w:color w:val="000000"/>
                      <w:kern w:val="0"/>
                      <w:szCs w:val="21"/>
                    </w:rPr>
                  </w:pPr>
                  <w:r>
                    <w:rPr>
                      <w:color w:val="000000"/>
                      <w:kern w:val="0"/>
                      <w:szCs w:val="21"/>
                    </w:rPr>
                    <w:t>/</w:t>
                  </w:r>
                </w:p>
              </w:tc>
              <w:tc>
                <w:tcPr>
                  <w:tcW w:w="1306" w:type="pct"/>
                  <w:tcBorders>
                    <w:left w:val="single" w:color="auto" w:sz="4" w:space="0"/>
                  </w:tcBorders>
                  <w:vAlign w:val="center"/>
                </w:tcPr>
                <w:p>
                  <w:pPr>
                    <w:jc w:val="center"/>
                    <w:rPr>
                      <w:color w:val="000000"/>
                      <w:kern w:val="0"/>
                      <w:szCs w:val="21"/>
                    </w:rPr>
                  </w:pPr>
                  <w:r>
                    <w:rPr>
                      <w:color w:val="000000"/>
                      <w:kern w:val="0"/>
                      <w:szCs w:val="21"/>
                    </w:rPr>
                    <w:t>/</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93" w:type="pct"/>
                  <w:vAlign w:val="center"/>
                </w:tcPr>
                <w:p>
                  <w:pPr>
                    <w:jc w:val="center"/>
                    <w:rPr>
                      <w:color w:val="000000"/>
                      <w:kern w:val="0"/>
                      <w:szCs w:val="21"/>
                    </w:rPr>
                  </w:pPr>
                  <w:r>
                    <w:rPr>
                      <w:color w:val="000000"/>
                      <w:kern w:val="0"/>
                      <w:szCs w:val="21"/>
                    </w:rPr>
                    <w:t>248</w:t>
                  </w:r>
                </w:p>
              </w:tc>
              <w:tc>
                <w:tcPr>
                  <w:tcW w:w="1137" w:type="pct"/>
                  <w:vAlign w:val="center"/>
                </w:tcPr>
                <w:p>
                  <w:pPr>
                    <w:jc w:val="center"/>
                    <w:rPr>
                      <w:color w:val="000000"/>
                      <w:kern w:val="0"/>
                      <w:szCs w:val="21"/>
                    </w:rPr>
                  </w:pPr>
                  <w:r>
                    <w:rPr>
                      <w:color w:val="000000"/>
                      <w:kern w:val="0"/>
                      <w:szCs w:val="21"/>
                    </w:rPr>
                    <w:t>电</w:t>
                  </w:r>
                </w:p>
              </w:tc>
              <w:tc>
                <w:tcPr>
                  <w:tcW w:w="802" w:type="pct"/>
                  <w:vAlign w:val="center"/>
                </w:tcPr>
                <w:p>
                  <w:pPr>
                    <w:jc w:val="center"/>
                    <w:rPr>
                      <w:color w:val="000000"/>
                      <w:kern w:val="0"/>
                      <w:szCs w:val="21"/>
                    </w:rPr>
                  </w:pPr>
                  <w:r>
                    <w:rPr>
                      <w:color w:val="000000"/>
                      <w:kern w:val="0"/>
                      <w:szCs w:val="21"/>
                    </w:rPr>
                    <w:t>11.25万KW·h</w:t>
                  </w:r>
                </w:p>
              </w:tc>
              <w:tc>
                <w:tcPr>
                  <w:tcW w:w="738" w:type="pct"/>
                  <w:tcBorders>
                    <w:right w:val="single" w:color="auto" w:sz="4" w:space="0"/>
                  </w:tcBorders>
                  <w:vAlign w:val="center"/>
                </w:tcPr>
                <w:p>
                  <w:pPr>
                    <w:jc w:val="center"/>
                    <w:rPr>
                      <w:color w:val="000000"/>
                      <w:kern w:val="0"/>
                      <w:szCs w:val="21"/>
                    </w:rPr>
                  </w:pPr>
                  <w:r>
                    <w:rPr>
                      <w:color w:val="000000"/>
                      <w:kern w:val="0"/>
                      <w:szCs w:val="21"/>
                    </w:rPr>
                    <w:t>/</w:t>
                  </w:r>
                </w:p>
              </w:tc>
              <w:tc>
                <w:tcPr>
                  <w:tcW w:w="624" w:type="pct"/>
                  <w:tcBorders>
                    <w:left w:val="single" w:color="auto" w:sz="4" w:space="0"/>
                  </w:tcBorders>
                  <w:vAlign w:val="center"/>
                </w:tcPr>
                <w:p>
                  <w:pPr>
                    <w:jc w:val="center"/>
                    <w:rPr>
                      <w:color w:val="000000"/>
                      <w:kern w:val="0"/>
                      <w:szCs w:val="21"/>
                    </w:rPr>
                  </w:pPr>
                  <w:r>
                    <w:rPr>
                      <w:color w:val="000000"/>
                      <w:kern w:val="0"/>
                      <w:szCs w:val="21"/>
                    </w:rPr>
                    <w:t>/</w:t>
                  </w:r>
                </w:p>
              </w:tc>
              <w:tc>
                <w:tcPr>
                  <w:tcW w:w="1306" w:type="pct"/>
                  <w:tcBorders>
                    <w:left w:val="single" w:color="auto" w:sz="4" w:space="0"/>
                  </w:tcBorders>
                  <w:vAlign w:val="center"/>
                </w:tcPr>
                <w:p>
                  <w:pPr>
                    <w:jc w:val="center"/>
                    <w:rPr>
                      <w:color w:val="000000"/>
                      <w:kern w:val="0"/>
                      <w:szCs w:val="21"/>
                    </w:rPr>
                  </w:pPr>
                  <w:r>
                    <w:rPr>
                      <w:color w:val="000000"/>
                      <w:kern w:val="0"/>
                      <w:szCs w:val="21"/>
                    </w:rPr>
                    <w:t>/</w:t>
                  </w:r>
                </w:p>
              </w:tc>
            </w:tr>
          </w:tbl>
          <w:p>
            <w:pPr>
              <w:spacing w:line="460" w:lineRule="exact"/>
              <w:ind w:firstLine="480" w:firstLineChars="200"/>
              <w:rPr>
                <w:bCs/>
                <w:color w:val="000000"/>
                <w:sz w:val="24"/>
              </w:rPr>
            </w:pPr>
            <w:r>
              <w:rPr>
                <w:bCs/>
                <w:color w:val="000000"/>
                <w:sz w:val="24"/>
              </w:rPr>
              <w:t>本项目</w:t>
            </w:r>
            <w:r>
              <w:rPr>
                <w:rFonts w:hint="eastAsia"/>
                <w:bCs/>
                <w:color w:val="000000"/>
                <w:sz w:val="24"/>
              </w:rPr>
              <w:t>实验化学</w:t>
            </w:r>
            <w:r>
              <w:rPr>
                <w:bCs/>
                <w:color w:val="000000"/>
                <w:sz w:val="24"/>
              </w:rPr>
              <w:t>试剂为消耗品，为实验室暂存量，在实验室药剂室暂存。实验室加强对试剂的管理，配备专职管理员，对药剂室的试剂进行分类存放，按实验需求定量领取试剂，同时对试剂领取实行登记管理。</w:t>
            </w:r>
          </w:p>
          <w:p>
            <w:pPr>
              <w:spacing w:line="460" w:lineRule="exact"/>
              <w:ind w:firstLine="480" w:firstLineChars="200"/>
              <w:rPr>
                <w:bCs/>
                <w:color w:val="000000"/>
                <w:sz w:val="24"/>
              </w:rPr>
            </w:pPr>
            <w:r>
              <w:rPr>
                <w:bCs/>
                <w:color w:val="000000"/>
                <w:sz w:val="24"/>
              </w:rPr>
              <w:t>实验室药剂室管理制度：</w:t>
            </w:r>
            <w:r>
              <w:rPr>
                <w:bCs/>
                <w:color w:val="000000"/>
                <w:sz w:val="24"/>
              </w:rPr>
              <w:fldChar w:fldCharType="begin"/>
            </w:r>
            <w:r>
              <w:rPr>
                <w:bCs/>
                <w:color w:val="000000"/>
                <w:sz w:val="24"/>
              </w:rPr>
              <w:instrText xml:space="preserve"> = 1 \* GB3 </w:instrText>
            </w:r>
            <w:r>
              <w:rPr>
                <w:bCs/>
                <w:color w:val="000000"/>
                <w:sz w:val="24"/>
              </w:rPr>
              <w:fldChar w:fldCharType="separate"/>
            </w:r>
            <w:r>
              <w:rPr>
                <w:rFonts w:hint="eastAsia" w:ascii="宋体" w:hAnsi="宋体" w:cs="宋体"/>
                <w:bCs/>
                <w:color w:val="000000"/>
                <w:sz w:val="24"/>
              </w:rPr>
              <w:t>①</w:t>
            </w:r>
            <w:r>
              <w:rPr>
                <w:bCs/>
                <w:color w:val="000000"/>
                <w:sz w:val="24"/>
              </w:rPr>
              <w:fldChar w:fldCharType="end"/>
            </w:r>
            <w:r>
              <w:rPr>
                <w:bCs/>
                <w:color w:val="000000"/>
                <w:sz w:val="24"/>
              </w:rPr>
              <w:t>分类摆放。按各种试剂的化学性质分类保管药剂柜内。试剂和溶液瓶上应贴有标签，注明名称、浓度、配置日期等信息。性质稳定的固体盐类可按阳离子或阴离子分类，分开摆放，取用后及时放回原处；</w:t>
            </w:r>
            <w:r>
              <w:rPr>
                <w:bCs/>
                <w:color w:val="000000"/>
                <w:sz w:val="24"/>
              </w:rPr>
              <w:fldChar w:fldCharType="begin"/>
            </w:r>
            <w:r>
              <w:rPr>
                <w:bCs/>
                <w:color w:val="000000"/>
                <w:sz w:val="24"/>
              </w:rPr>
              <w:instrText xml:space="preserve"> = 2 \* GB3 </w:instrText>
            </w:r>
            <w:r>
              <w:rPr>
                <w:bCs/>
                <w:color w:val="000000"/>
                <w:sz w:val="24"/>
              </w:rPr>
              <w:fldChar w:fldCharType="separate"/>
            </w:r>
            <w:r>
              <w:rPr>
                <w:rFonts w:hint="eastAsia" w:ascii="宋体" w:hAnsi="宋体" w:cs="宋体"/>
                <w:bCs/>
                <w:color w:val="000000"/>
                <w:sz w:val="24"/>
              </w:rPr>
              <w:t>②</w:t>
            </w:r>
            <w:r>
              <w:rPr>
                <w:bCs/>
                <w:color w:val="000000"/>
                <w:sz w:val="24"/>
              </w:rPr>
              <w:fldChar w:fldCharType="end"/>
            </w:r>
            <w:r>
              <w:rPr>
                <w:bCs/>
                <w:color w:val="000000"/>
                <w:sz w:val="24"/>
              </w:rPr>
              <w:t>毒性试剂应贮存于配备两把锁的铁皮柜中，并有专人保管；</w:t>
            </w:r>
            <w:r>
              <w:rPr>
                <w:bCs/>
                <w:color w:val="000000"/>
                <w:sz w:val="24"/>
              </w:rPr>
              <w:fldChar w:fldCharType="begin"/>
            </w:r>
            <w:r>
              <w:rPr>
                <w:bCs/>
                <w:color w:val="000000"/>
                <w:sz w:val="24"/>
              </w:rPr>
              <w:instrText xml:space="preserve"> = 3 \* GB3 </w:instrText>
            </w:r>
            <w:r>
              <w:rPr>
                <w:bCs/>
                <w:color w:val="000000"/>
                <w:sz w:val="24"/>
              </w:rPr>
              <w:fldChar w:fldCharType="separate"/>
            </w:r>
            <w:r>
              <w:rPr>
                <w:rFonts w:hint="eastAsia" w:ascii="宋体" w:hAnsi="宋体" w:cs="宋体"/>
                <w:bCs/>
                <w:color w:val="000000"/>
                <w:sz w:val="24"/>
              </w:rPr>
              <w:t>③</w:t>
            </w:r>
            <w:r>
              <w:rPr>
                <w:bCs/>
                <w:color w:val="000000"/>
                <w:sz w:val="24"/>
              </w:rPr>
              <w:fldChar w:fldCharType="end"/>
            </w:r>
            <w:r>
              <w:rPr>
                <w:bCs/>
                <w:color w:val="000000"/>
                <w:sz w:val="24"/>
              </w:rPr>
              <w:t>剧毒与易燃易爆试剂的贮存还必须遵守关于防火、防爆、防中毒的有关规定；</w:t>
            </w:r>
            <w:r>
              <w:rPr>
                <w:bCs/>
                <w:color w:val="000000"/>
                <w:sz w:val="24"/>
              </w:rPr>
              <w:fldChar w:fldCharType="begin"/>
            </w:r>
            <w:r>
              <w:rPr>
                <w:bCs/>
                <w:color w:val="000000"/>
                <w:sz w:val="24"/>
              </w:rPr>
              <w:instrText xml:space="preserve"> = 4 \* GB3 </w:instrText>
            </w:r>
            <w:r>
              <w:rPr>
                <w:bCs/>
                <w:color w:val="000000"/>
                <w:sz w:val="24"/>
              </w:rPr>
              <w:fldChar w:fldCharType="separate"/>
            </w:r>
            <w:r>
              <w:rPr>
                <w:rFonts w:hint="eastAsia" w:ascii="宋体" w:hAnsi="宋体" w:cs="宋体"/>
                <w:bCs/>
                <w:color w:val="000000"/>
                <w:sz w:val="24"/>
              </w:rPr>
              <w:t>④</w:t>
            </w:r>
            <w:r>
              <w:rPr>
                <w:bCs/>
                <w:color w:val="000000"/>
                <w:sz w:val="24"/>
              </w:rPr>
              <w:fldChar w:fldCharType="end"/>
            </w:r>
            <w:r>
              <w:rPr>
                <w:bCs/>
                <w:color w:val="000000"/>
                <w:sz w:val="24"/>
              </w:rPr>
              <w:t>所有的试剂瓶表明应擦拭干净，贮存在干燥洁净的药剂柜中，阴暗避光环境保存。</w:t>
            </w:r>
            <w:r>
              <w:rPr>
                <w:bCs/>
                <w:color w:val="000000"/>
                <w:sz w:val="24"/>
              </w:rPr>
              <w:fldChar w:fldCharType="begin"/>
            </w:r>
            <w:r>
              <w:rPr>
                <w:bCs/>
                <w:color w:val="000000"/>
                <w:sz w:val="24"/>
              </w:rPr>
              <w:instrText xml:space="preserve"> = 5 \* GB3 </w:instrText>
            </w:r>
            <w:r>
              <w:rPr>
                <w:bCs/>
                <w:color w:val="000000"/>
                <w:sz w:val="24"/>
              </w:rPr>
              <w:fldChar w:fldCharType="separate"/>
            </w:r>
            <w:r>
              <w:rPr>
                <w:rFonts w:hint="eastAsia" w:ascii="宋体" w:hAnsi="宋体" w:cs="宋体"/>
                <w:bCs/>
                <w:color w:val="000000"/>
                <w:sz w:val="24"/>
              </w:rPr>
              <w:t>⑤</w:t>
            </w:r>
            <w:r>
              <w:rPr>
                <w:bCs/>
                <w:color w:val="000000"/>
                <w:sz w:val="24"/>
              </w:rPr>
              <w:fldChar w:fldCharType="end"/>
            </w:r>
            <w:r>
              <w:rPr>
                <w:bCs/>
                <w:color w:val="000000"/>
                <w:sz w:val="24"/>
              </w:rPr>
              <w:t>药剂室采取密闭负压通过集气管道对药剂室废气进行收集。</w:t>
            </w:r>
          </w:p>
          <w:p>
            <w:pPr>
              <w:spacing w:line="460" w:lineRule="exact"/>
              <w:ind w:firstLine="480" w:firstLineChars="200"/>
              <w:rPr>
                <w:bCs/>
                <w:color w:val="000000"/>
                <w:sz w:val="24"/>
              </w:rPr>
            </w:pPr>
            <w:r>
              <w:rPr>
                <w:rFonts w:hint="eastAsia"/>
                <w:bCs/>
                <w:color w:val="000000"/>
                <w:sz w:val="24"/>
              </w:rPr>
              <w:t>本实验室主要试剂</w:t>
            </w:r>
            <w:r>
              <w:rPr>
                <w:bCs/>
                <w:color w:val="000000"/>
                <w:sz w:val="24"/>
              </w:rPr>
              <w:t>理化性质见表19。</w:t>
            </w:r>
          </w:p>
          <w:p>
            <w:pPr>
              <w:spacing w:line="440" w:lineRule="exact"/>
              <w:ind w:firstLine="480" w:firstLineChars="200"/>
              <w:jc w:val="left"/>
              <w:rPr>
                <w:rFonts w:eastAsia="黑体"/>
                <w:color w:val="000000"/>
                <w:sz w:val="24"/>
                <w:lang w:val="pt-BR"/>
              </w:rPr>
            </w:pPr>
            <w:r>
              <w:rPr>
                <w:rFonts w:eastAsia="黑体"/>
                <w:color w:val="000000"/>
                <w:sz w:val="24"/>
                <w:lang w:val="pt-BR"/>
              </w:rPr>
              <w:t>表</w:t>
            </w:r>
            <w:r>
              <w:rPr>
                <w:rFonts w:eastAsia="黑体"/>
                <w:bCs/>
                <w:color w:val="000000"/>
                <w:sz w:val="24"/>
              </w:rPr>
              <w:t xml:space="preserve">19               </w:t>
            </w:r>
            <w:r>
              <w:rPr>
                <w:rFonts w:eastAsia="黑体"/>
                <w:color w:val="000000"/>
                <w:sz w:val="24"/>
                <w:lang w:val="pt-BR"/>
              </w:rPr>
              <w:t>本项目主要</w:t>
            </w:r>
            <w:r>
              <w:rPr>
                <w:rFonts w:hint="eastAsia" w:eastAsia="黑体"/>
                <w:color w:val="000000"/>
                <w:sz w:val="24"/>
                <w:lang w:val="pt-BR"/>
              </w:rPr>
              <w:t>试剂</w:t>
            </w:r>
            <w:r>
              <w:rPr>
                <w:rFonts w:eastAsia="黑体"/>
                <w:color w:val="000000"/>
                <w:sz w:val="24"/>
                <w:lang w:val="pt-BR"/>
              </w:rPr>
              <w:t>理化性质</w:t>
            </w:r>
          </w:p>
          <w:tbl>
            <w:tblPr>
              <w:tblStyle w:val="21"/>
              <w:tblW w:w="5000" w:type="pct"/>
              <w:jc w:val="center"/>
              <w:tblBorders>
                <w:top w:val="single" w:color="auto" w:sz="8"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84"/>
              <w:gridCol w:w="855"/>
              <w:gridCol w:w="709"/>
              <w:gridCol w:w="5797"/>
            </w:tblGrid>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368" w:type="pct"/>
                  <w:tcBorders>
                    <w:top w:val="single" w:color="auto" w:sz="8" w:space="0"/>
                    <w:left w:val="nil"/>
                    <w:bottom w:val="single" w:color="auto" w:sz="4" w:space="0"/>
                    <w:right w:val="single" w:color="auto" w:sz="4" w:space="0"/>
                  </w:tcBorders>
                  <w:vAlign w:val="center"/>
                </w:tcPr>
                <w:p>
                  <w:pPr>
                    <w:jc w:val="center"/>
                    <w:rPr>
                      <w:b/>
                      <w:color w:val="000000"/>
                      <w:szCs w:val="21"/>
                    </w:rPr>
                  </w:pPr>
                  <w:r>
                    <w:rPr>
                      <w:b/>
                      <w:color w:val="000000"/>
                      <w:szCs w:val="21"/>
                      <w:lang w:val="pt-BR"/>
                    </w:rPr>
                    <w:t>序号</w:t>
                  </w:r>
                </w:p>
              </w:tc>
              <w:tc>
                <w:tcPr>
                  <w:tcW w:w="538" w:type="pct"/>
                  <w:tcBorders>
                    <w:top w:val="single" w:color="auto" w:sz="8"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原料名称</w:t>
                  </w:r>
                </w:p>
              </w:tc>
              <w:tc>
                <w:tcPr>
                  <w:tcW w:w="446" w:type="pct"/>
                  <w:tcBorders>
                    <w:top w:val="single" w:color="auto" w:sz="8"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成分</w:t>
                  </w:r>
                </w:p>
              </w:tc>
              <w:tc>
                <w:tcPr>
                  <w:tcW w:w="3648" w:type="pct"/>
                  <w:tcBorders>
                    <w:top w:val="single" w:color="auto" w:sz="8" w:space="0"/>
                    <w:left w:val="single" w:color="auto" w:sz="4" w:space="0"/>
                    <w:bottom w:val="single" w:color="auto" w:sz="4" w:space="0"/>
                    <w:right w:val="nil"/>
                  </w:tcBorders>
                  <w:vAlign w:val="center"/>
                </w:tcPr>
                <w:p>
                  <w:pPr>
                    <w:jc w:val="center"/>
                    <w:rPr>
                      <w:b/>
                      <w:color w:val="000000"/>
                      <w:szCs w:val="21"/>
                    </w:rPr>
                  </w:pPr>
                  <w:r>
                    <w:rPr>
                      <w:b/>
                      <w:color w:val="000000"/>
                      <w:szCs w:val="21"/>
                    </w:rPr>
                    <w:t>理化性质</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1</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lang w:val="pt-BR"/>
                    </w:rPr>
                    <w:t>氮气</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N</w:t>
                  </w:r>
                  <w:r>
                    <w:rPr>
                      <w:color w:val="000000"/>
                      <w:szCs w:val="21"/>
                      <w:vertAlign w:val="subscript"/>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纯度大于99.999%。无色无臭无味无毒的惰性气体。相对密度ds(21.1℃，空气=1)0.967。气体密度1.153kg/m</w:t>
                  </w:r>
                  <w:r>
                    <w:rPr>
                      <w:color w:val="000000"/>
                      <w:szCs w:val="21"/>
                      <w:vertAlign w:val="superscript"/>
                      <w:lang w:val="pt-BR"/>
                    </w:rPr>
                    <w:t>3</w:t>
                  </w:r>
                  <w:r>
                    <w:rPr>
                      <w:color w:val="000000"/>
                      <w:szCs w:val="21"/>
                      <w:lang w:val="pt-BR"/>
                    </w:rPr>
                    <w:t>(21.1℃，101.3kPa)；液体密度808.5kg/m</w:t>
                  </w:r>
                  <w:r>
                    <w:rPr>
                      <w:color w:val="000000"/>
                      <w:szCs w:val="21"/>
                      <w:vertAlign w:val="superscript"/>
                      <w:lang w:val="pt-BR"/>
                    </w:rPr>
                    <w:t>3</w:t>
                  </w:r>
                  <w:r>
                    <w:rPr>
                      <w:color w:val="000000"/>
                      <w:szCs w:val="21"/>
                      <w:lang w:val="pt-BR"/>
                    </w:rPr>
                    <w:t>(-195.8℃,101.3kPa)。相对分子质量28.013；熔点63.15K，-210℃，-346oF；沸点，195.6；</w:t>
                  </w:r>
                </w:p>
                <w:p>
                  <w:pPr>
                    <w:adjustRightInd w:val="0"/>
                    <w:rPr>
                      <w:color w:val="000000"/>
                      <w:szCs w:val="21"/>
                      <w:lang w:val="pt-BR"/>
                    </w:rPr>
                  </w:pPr>
                  <w:r>
                    <w:rPr>
                      <w:color w:val="000000"/>
                      <w:szCs w:val="21"/>
                      <w:lang w:val="pt-BR"/>
                    </w:rPr>
                    <w:t>用作保护气和运载气，化学气相淀积时的载气，液体扩散源的携带气，在高温扩散炉中用作器件的保护气。氮气化学性质很不活泼，在高温高压及催化剂条件下才能和氢气反应生成氨气；在放电的情况下才能和氧气化合生成一氧化氮；即使Ca、Mg、Sr和Ba等活泼金属也只有在加热的情形下才能与其反应。氮气的这种高度化学稳定性与其分子结构有关。</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2</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lang w:val="pt-BR"/>
                    </w:rPr>
                    <w:t>乙炔气</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C</w:t>
                  </w:r>
                  <w:r>
                    <w:rPr>
                      <w:color w:val="000000"/>
                      <w:szCs w:val="21"/>
                      <w:vertAlign w:val="subscript"/>
                    </w:rPr>
                    <w:t>2</w:t>
                  </w:r>
                  <w:r>
                    <w:rPr>
                      <w:color w:val="000000"/>
                      <w:szCs w:val="21"/>
                    </w:rPr>
                    <w:t>H</w:t>
                  </w:r>
                  <w:r>
                    <w:rPr>
                      <w:color w:val="000000"/>
                      <w:szCs w:val="21"/>
                      <w:vertAlign w:val="subscript"/>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乙炔，是一种有机化合物，化学式为C</w:t>
                  </w:r>
                  <w:r>
                    <w:rPr>
                      <w:color w:val="000000"/>
                      <w:szCs w:val="21"/>
                      <w:vertAlign w:val="subscript"/>
                      <w:lang w:val="pt-BR"/>
                    </w:rPr>
                    <w:t>2</w:t>
                  </w:r>
                  <w:r>
                    <w:rPr>
                      <w:color w:val="000000"/>
                      <w:szCs w:val="21"/>
                      <w:lang w:val="pt-BR"/>
                    </w:rPr>
                    <w:t>H</w:t>
                  </w:r>
                  <w:r>
                    <w:rPr>
                      <w:color w:val="000000"/>
                      <w:szCs w:val="21"/>
                      <w:vertAlign w:val="subscript"/>
                      <w:lang w:val="pt-BR"/>
                    </w:rPr>
                    <w:t>2</w:t>
                  </w:r>
                  <w:r>
                    <w:rPr>
                      <w:color w:val="000000"/>
                      <w:szCs w:val="21"/>
                      <w:lang w:val="pt-BR"/>
                    </w:rPr>
                    <w:t>，俗称风煤或电石气，是炔烃化合物中体积最小的一员，常温常压下为无色气体，微溶于水，溶于乙醇，丙酮、氯仿、苯，混溶于乙醚，是有机合成的重要原料之一，也是合成橡胶、合成纤维和塑料的单体，也可用于氧炔焊割。熔点-81.8°C（198K，升华），沸点-84°C，相对密度0.6208（-82/4℃），闪点（开杯）-17.78℃，自燃点305℃。在空气中爆炸极限2.3%-72.3%（vol）。微溶于水，溶于乙醇、苯、丙酮。在15℃和1.5MPa时，乙炔在丙酮中的溶解度为237g/L，溶液是稳定的。</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3</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lang w:val="pt-BR"/>
                    </w:rPr>
                    <w:t>氩气</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Ar</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氩气是一种无色、无味的单原子气体，氩气的密度是空气的1.4倍，是氦气的10倍。氩气是一种惰性气体，在常温下与其他物质均不起化学反应，在高温下也不溶于液态金属中，在焊接有色金属时更能显示其优越性。可用于灯泡充气和对不锈钢、镁、铝等的电弧焊接，即“氩弧焊”。熔点：-189.2℃；沸点：-185.9℃；密度：1.784kg/m</w:t>
                  </w:r>
                  <w:r>
                    <w:rPr>
                      <w:color w:val="000000"/>
                      <w:szCs w:val="21"/>
                      <w:vertAlign w:val="superscript"/>
                      <w:lang w:val="pt-BR"/>
                    </w:rPr>
                    <w:t>3</w:t>
                  </w:r>
                  <w:r>
                    <w:rPr>
                      <w:color w:val="000000"/>
                      <w:szCs w:val="21"/>
                      <w:lang w:val="pt-BR"/>
                    </w:rPr>
                    <w:t>；1394kg/m</w:t>
                  </w:r>
                  <w:r>
                    <w:rPr>
                      <w:color w:val="000000"/>
                      <w:szCs w:val="21"/>
                      <w:vertAlign w:val="superscript"/>
                      <w:lang w:val="pt-BR"/>
                    </w:rPr>
                    <w:t>3</w:t>
                  </w:r>
                  <w:r>
                    <w:rPr>
                      <w:color w:val="000000"/>
                      <w:szCs w:val="21"/>
                      <w:lang w:val="pt-BR"/>
                    </w:rPr>
                    <w:t>（饱和液氩，1atm）；外观：无色无臭气体；溶解性：微溶于水。</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4</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lang w:val="pt-BR"/>
                    </w:rPr>
                    <w:t>甲醇</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CH</w:t>
                  </w:r>
                  <w:r>
                    <w:rPr>
                      <w:color w:val="000000"/>
                      <w:szCs w:val="21"/>
                      <w:vertAlign w:val="subscript"/>
                    </w:rPr>
                    <w:t>3</w:t>
                  </w:r>
                  <w:r>
                    <w:rPr>
                      <w:color w:val="000000"/>
                      <w:szCs w:val="21"/>
                    </w:rPr>
                    <w:t>OH/CH</w:t>
                  </w:r>
                  <w:r>
                    <w:rPr>
                      <w:color w:val="000000"/>
                      <w:szCs w:val="21"/>
                      <w:vertAlign w:val="subscript"/>
                    </w:rPr>
                    <w:t>4</w:t>
                  </w:r>
                  <w:r>
                    <w:rPr>
                      <w:color w:val="000000"/>
                      <w:szCs w:val="21"/>
                    </w:rPr>
                    <w:t>O</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甲醇（Methanol）又称羟基甲烷，是一种有机化合物，是结构最为简单的饱和一元醇，其化学式为CH</w:t>
                  </w:r>
                  <w:r>
                    <w:rPr>
                      <w:color w:val="000000"/>
                      <w:szCs w:val="21"/>
                      <w:vertAlign w:val="subscript"/>
                      <w:lang w:val="pt-BR"/>
                    </w:rPr>
                    <w:t>3</w:t>
                  </w:r>
                  <w:r>
                    <w:rPr>
                      <w:color w:val="000000"/>
                      <w:szCs w:val="21"/>
                      <w:lang w:val="pt-BR"/>
                    </w:rPr>
                    <w:t>OH/CH</w:t>
                  </w:r>
                  <w:r>
                    <w:rPr>
                      <w:color w:val="000000"/>
                      <w:szCs w:val="21"/>
                      <w:vertAlign w:val="subscript"/>
                      <w:lang w:val="pt-BR"/>
                    </w:rPr>
                    <w:t>4</w:t>
                  </w:r>
                  <w:r>
                    <w:rPr>
                      <w:color w:val="000000"/>
                      <w:szCs w:val="21"/>
                      <w:lang w:val="pt-BR"/>
                    </w:rPr>
                    <w:t>O，其中CH</w:t>
                  </w:r>
                  <w:r>
                    <w:rPr>
                      <w:color w:val="000000"/>
                      <w:szCs w:val="21"/>
                      <w:vertAlign w:val="subscript"/>
                      <w:lang w:val="pt-BR"/>
                    </w:rPr>
                    <w:t>3</w:t>
                  </w:r>
                  <w:r>
                    <w:rPr>
                      <w:color w:val="000000"/>
                      <w:szCs w:val="21"/>
                      <w:lang w:val="pt-BR"/>
                    </w:rPr>
                    <w:t>OH是结构简式，能突出甲醇的羟基，CAS号为67-56-1，分子量为32.04，沸点为64.7℃。因在干馏木材中首次发现，故又称“木醇”或“木精”。人口服中毒最低剂量约为100mg/kg体重，经口摄入0.3～1g/kg可致死。密度：0.791g/cm</w:t>
                  </w:r>
                  <w:r>
                    <w:rPr>
                      <w:color w:val="000000"/>
                      <w:szCs w:val="21"/>
                      <w:vertAlign w:val="superscript"/>
                      <w:lang w:val="pt-BR"/>
                    </w:rPr>
                    <w:t>3</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5</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乙腈</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CH</w:t>
                  </w:r>
                  <w:r>
                    <w:rPr>
                      <w:color w:val="000000"/>
                      <w:szCs w:val="21"/>
                      <w:vertAlign w:val="subscript"/>
                    </w:rPr>
                    <w:t>3</w:t>
                  </w:r>
                  <w:r>
                    <w:rPr>
                      <w:color w:val="000000"/>
                      <w:szCs w:val="21"/>
                    </w:rPr>
                    <w:t>CN或C</w:t>
                  </w:r>
                  <w:r>
                    <w:rPr>
                      <w:color w:val="000000"/>
                      <w:szCs w:val="21"/>
                      <w:vertAlign w:val="subscript"/>
                    </w:rPr>
                    <w:t>2</w:t>
                  </w:r>
                  <w:r>
                    <w:rPr>
                      <w:color w:val="000000"/>
                      <w:szCs w:val="21"/>
                    </w:rPr>
                    <w:t>H</w:t>
                  </w:r>
                  <w:r>
                    <w:rPr>
                      <w:color w:val="000000"/>
                      <w:szCs w:val="21"/>
                      <w:vertAlign w:val="subscript"/>
                    </w:rPr>
                    <w:t>3</w:t>
                  </w:r>
                  <w:r>
                    <w:rPr>
                      <w:color w:val="000000"/>
                      <w:szCs w:val="21"/>
                    </w:rPr>
                    <w:t>N</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乙腈，是一种有机化合物，化学式为CH</w:t>
                  </w:r>
                  <w:r>
                    <w:rPr>
                      <w:color w:val="000000"/>
                      <w:szCs w:val="21"/>
                      <w:vertAlign w:val="subscript"/>
                      <w:lang w:val="pt-BR"/>
                    </w:rPr>
                    <w:t>3</w:t>
                  </w:r>
                  <w:r>
                    <w:rPr>
                      <w:color w:val="000000"/>
                      <w:szCs w:val="21"/>
                      <w:lang w:val="pt-BR"/>
                    </w:rPr>
                    <w:t>CN或C</w:t>
                  </w:r>
                  <w:r>
                    <w:rPr>
                      <w:color w:val="000000"/>
                      <w:szCs w:val="21"/>
                      <w:vertAlign w:val="subscript"/>
                      <w:lang w:val="pt-BR"/>
                    </w:rPr>
                    <w:t>2</w:t>
                  </w:r>
                  <w:r>
                    <w:rPr>
                      <w:color w:val="000000"/>
                      <w:szCs w:val="21"/>
                      <w:lang w:val="pt-BR"/>
                    </w:rPr>
                    <w:t>H</w:t>
                  </w:r>
                  <w:r>
                    <w:rPr>
                      <w:color w:val="000000"/>
                      <w:szCs w:val="21"/>
                      <w:vertAlign w:val="subscript"/>
                      <w:lang w:val="pt-BR"/>
                    </w:rPr>
                    <w:t>3</w:t>
                  </w:r>
                  <w:r>
                    <w:rPr>
                      <w:color w:val="000000"/>
                      <w:szCs w:val="21"/>
                      <w:lang w:val="pt-BR"/>
                    </w:rPr>
                    <w:t>N，为无色透明液体，有优良的溶剂性能，能溶解多种有机、无机和气体物质，与水和醇无限互溶。乙腈能发生典型的腈类反应，并被用于制备许多典型含氮化合物，是一个重要的有机中间体。0.786g/cm³；密度：0.786g/cm</w:t>
                  </w:r>
                  <w:r>
                    <w:rPr>
                      <w:color w:val="000000"/>
                      <w:szCs w:val="21"/>
                      <w:vertAlign w:val="superscript"/>
                      <w:lang w:val="pt-BR"/>
                    </w:rPr>
                    <w:t>3</w:t>
                  </w:r>
                  <w:r>
                    <w:rPr>
                      <w:color w:val="000000"/>
                      <w:szCs w:val="21"/>
                      <w:lang w:val="pt-BR"/>
                    </w:rPr>
                    <w:t>；熔点：-45℃；沸点：81-82℃</w:t>
                  </w:r>
                </w:p>
                <w:p>
                  <w:pPr>
                    <w:adjustRightInd w:val="0"/>
                    <w:rPr>
                      <w:color w:val="000000"/>
                      <w:szCs w:val="21"/>
                      <w:lang w:val="pt-BR"/>
                    </w:rPr>
                  </w:pPr>
                  <w:r>
                    <w:rPr>
                      <w:color w:val="000000"/>
                      <w:szCs w:val="21"/>
                      <w:lang w:val="pt-BR"/>
                    </w:rPr>
                    <w:t>闪点：12.8℃（CC）；折射率：1.344（20℃）；饱和蒸气压：13.33kPa（27℃）；临界温度：274.7℃；临界压力：4.83Mpa；引燃温度：524℃；爆炸上限（V/V）：16.0%；爆炸下限（V/V）：3.0%；外观：无色透明液体；溶解性：与水混溶，溶于乙醇、乙醚等多数有机溶剂</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6</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rPr>
                  </w:pPr>
                  <w:r>
                    <w:rPr>
                      <w:color w:val="000000"/>
                      <w:szCs w:val="21"/>
                    </w:rPr>
                    <w:t>二氯甲烷</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CH</w:t>
                  </w:r>
                  <w:r>
                    <w:rPr>
                      <w:color w:val="000000"/>
                      <w:szCs w:val="21"/>
                      <w:vertAlign w:val="subscript"/>
                    </w:rPr>
                    <w:t>2</w:t>
                  </w:r>
                  <w:r>
                    <w:rPr>
                      <w:color w:val="000000"/>
                      <w:szCs w:val="21"/>
                    </w:rPr>
                    <w:t>Cl</w:t>
                  </w:r>
                  <w:r>
                    <w:rPr>
                      <w:color w:val="000000"/>
                      <w:szCs w:val="21"/>
                      <w:vertAlign w:val="subscript"/>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二氯甲烷，是一种有机化合物，化学式为CH</w:t>
                  </w:r>
                  <w:r>
                    <w:rPr>
                      <w:color w:val="000000"/>
                      <w:szCs w:val="21"/>
                      <w:vertAlign w:val="subscript"/>
                      <w:lang w:val="pt-BR"/>
                    </w:rPr>
                    <w:t>2</w:t>
                  </w:r>
                  <w:r>
                    <w:rPr>
                      <w:color w:val="000000"/>
                      <w:szCs w:val="21"/>
                      <w:lang w:val="pt-BR"/>
                    </w:rPr>
                    <w:t>Cl</w:t>
                  </w:r>
                  <w:r>
                    <w:rPr>
                      <w:color w:val="000000"/>
                      <w:szCs w:val="21"/>
                      <w:vertAlign w:val="subscript"/>
                      <w:lang w:val="pt-BR"/>
                    </w:rPr>
                    <w:t>2</w:t>
                  </w:r>
                  <w:r>
                    <w:rPr>
                      <w:color w:val="000000"/>
                      <w:szCs w:val="21"/>
                      <w:lang w:val="pt-BR"/>
                    </w:rPr>
                    <w:t>，为无色透明液体，具有类似醚的刺激性气味。微溶于水，溶于乙醇和乙醚，在通常的使用条件下是不可燃低沸点溶剂，其蒸气在高温空气中成为高浓度时，才会生成微弱燃烧的混合气体，常用来代替易燃的石油醚、乙醚等。密度：1.325g/cm</w:t>
                  </w:r>
                  <w:r>
                    <w:rPr>
                      <w:color w:val="000000"/>
                      <w:szCs w:val="21"/>
                      <w:vertAlign w:val="superscript"/>
                      <w:lang w:val="pt-BR"/>
                    </w:rPr>
                    <w:t>3</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7</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rPr>
                  </w:pPr>
                  <w:r>
                    <w:rPr>
                      <w:color w:val="000000"/>
                      <w:szCs w:val="21"/>
                      <w:lang w:val="pt-BR"/>
                    </w:rPr>
                    <w:t>乙酸铵</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lang w:val="pt-BR"/>
                    </w:rPr>
                    <w:t>CH</w:t>
                  </w:r>
                  <w:r>
                    <w:rPr>
                      <w:color w:val="000000"/>
                      <w:szCs w:val="21"/>
                      <w:vertAlign w:val="subscript"/>
                      <w:lang w:val="pt-BR"/>
                    </w:rPr>
                    <w:t>3</w:t>
                  </w:r>
                  <w:r>
                    <w:rPr>
                      <w:color w:val="000000"/>
                      <w:szCs w:val="21"/>
                      <w:lang w:val="pt-BR"/>
                    </w:rPr>
                    <w:t>COONH</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乙酸铵（ammoniumacetate），又称醋酸铵，是一种有机化合物，结构简式为CH</w:t>
                  </w:r>
                  <w:r>
                    <w:rPr>
                      <w:color w:val="000000"/>
                      <w:szCs w:val="21"/>
                      <w:vertAlign w:val="subscript"/>
                      <w:lang w:val="pt-BR"/>
                    </w:rPr>
                    <w:t>3</w:t>
                  </w:r>
                  <w:r>
                    <w:rPr>
                      <w:color w:val="000000"/>
                      <w:szCs w:val="21"/>
                      <w:lang w:val="pt-BR"/>
                    </w:rPr>
                    <w:t>COONH</w:t>
                  </w:r>
                  <w:r>
                    <w:rPr>
                      <w:color w:val="000000"/>
                      <w:szCs w:val="21"/>
                      <w:vertAlign w:val="subscript"/>
                      <w:lang w:val="pt-BR"/>
                    </w:rPr>
                    <w:t>4</w:t>
                  </w:r>
                  <w:r>
                    <w:rPr>
                      <w:color w:val="000000"/>
                      <w:szCs w:val="21"/>
                      <w:lang w:val="pt-BR"/>
                    </w:rPr>
                    <w:t>，分子量为77.082，是一种有乙酸气味的白色晶体，可作为分析试剂和肉类防腐剂。其具有吸水性，易潮解，因此乙酸铵需要干燥保存，取用时应在干燥的环境中进行。</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8</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苯</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C</w:t>
                  </w:r>
                  <w:r>
                    <w:rPr>
                      <w:color w:val="000000"/>
                      <w:szCs w:val="21"/>
                      <w:vertAlign w:val="subscript"/>
                    </w:rPr>
                    <w:t>6</w:t>
                  </w:r>
                  <w:r>
                    <w:rPr>
                      <w:color w:val="000000"/>
                      <w:szCs w:val="21"/>
                    </w:rPr>
                    <w:t>H</w:t>
                  </w:r>
                  <w:r>
                    <w:rPr>
                      <w:color w:val="000000"/>
                      <w:szCs w:val="21"/>
                      <w:vertAlign w:val="subscript"/>
                    </w:rPr>
                    <w:t>6</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苯是一种碳氢有机化合物，是最简单的芳烃，在室温下是甜味、可燃、有致癌毒性的无色透明液体，有强烈的芳香气味。比较难溶于水，易溶于有机溶剂，本身也可用作有机溶剂。苯是一种在室温下无色、有甜味的透明液体，密度比水低，有很强的芳香气味。苯的沸点为80.1度，熔点为5.5度。苯的密度比水低，密度为0.88g/cm</w:t>
                  </w:r>
                  <w:r>
                    <w:rPr>
                      <w:color w:val="000000"/>
                      <w:szCs w:val="21"/>
                      <w:vertAlign w:val="superscript"/>
                      <w:lang w:val="pt-BR"/>
                    </w:rPr>
                    <w:t>3</w:t>
                  </w:r>
                  <w:r>
                    <w:rPr>
                      <w:color w:val="000000"/>
                      <w:szCs w:val="21"/>
                      <w:lang w:val="pt-BR"/>
                    </w:rPr>
                    <w:t>，但分子量比水重。苯很难溶于水，在1升水中溶解高达1.7克。然而，苯是一种很好的有机溶剂，能很好地溶解有机分子和一些无机非极分子，除了甘油、乙二醇和其他多元醇可以与大多数有机溶剂混合，除了碘和硫稍溶解，苯中的无机物质不溶解。</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9</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rPr>
                  </w:pPr>
                  <w:r>
                    <w:rPr>
                      <w:color w:val="000000"/>
                      <w:szCs w:val="21"/>
                      <w:lang w:val="pt-BR"/>
                    </w:rPr>
                    <w:t>甲醛</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HCHO或CH</w:t>
                  </w:r>
                  <w:r>
                    <w:rPr>
                      <w:color w:val="000000"/>
                      <w:szCs w:val="21"/>
                      <w:vertAlign w:val="subscript"/>
                    </w:rPr>
                    <w:t>2</w:t>
                  </w:r>
                  <w:r>
                    <w:rPr>
                      <w:color w:val="000000"/>
                      <w:szCs w:val="21"/>
                    </w:rPr>
                    <w:t>O</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甲醛，又称蚁醛，是一种有机化合物，化学式是HCHO或CH</w:t>
                  </w:r>
                  <w:r>
                    <w:rPr>
                      <w:color w:val="000000"/>
                      <w:szCs w:val="21"/>
                      <w:vertAlign w:val="subscript"/>
                      <w:lang w:val="pt-BR"/>
                    </w:rPr>
                    <w:t>2</w:t>
                  </w:r>
                  <w:r>
                    <w:rPr>
                      <w:color w:val="000000"/>
                      <w:szCs w:val="21"/>
                      <w:lang w:val="pt-BR"/>
                    </w:rPr>
                    <w:t>O，分子量30.03。是无色有刺激性气体，对人眼、鼻等有刺激作用。气体相对密度1.067（空气=1），液体密度0.815g/cm</w:t>
                  </w:r>
                  <w:r>
                    <w:rPr>
                      <w:color w:val="000000"/>
                      <w:szCs w:val="21"/>
                      <w:vertAlign w:val="superscript"/>
                      <w:lang w:val="pt-BR"/>
                    </w:rPr>
                    <w:t>3</w:t>
                  </w:r>
                  <w:r>
                    <w:rPr>
                      <w:color w:val="000000"/>
                      <w:szCs w:val="21"/>
                      <w:lang w:val="pt-BR"/>
                    </w:rPr>
                    <w:t>（-20℃）。熔点-92℃，沸点-19.5℃。易溶于水和乙醇。水溶液的浓度最高可达55%，一般是35%—40%，通常为37%，称作甲醛水，俗称福尔马林（formalin）</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10</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rPr>
                  </w:pPr>
                  <w:r>
                    <w:rPr>
                      <w:color w:val="000000"/>
                      <w:szCs w:val="21"/>
                    </w:rPr>
                    <w:t>硫酸</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H</w:t>
                  </w:r>
                  <w:r>
                    <w:rPr>
                      <w:color w:val="000000"/>
                      <w:szCs w:val="21"/>
                      <w:vertAlign w:val="subscript"/>
                    </w:rPr>
                    <w:t>2</w:t>
                  </w:r>
                  <w:r>
                    <w:rPr>
                      <w:color w:val="000000"/>
                      <w:szCs w:val="21"/>
                    </w:rPr>
                    <w:t>SO</w:t>
                  </w:r>
                  <w:r>
                    <w:rPr>
                      <w:color w:val="000000"/>
                      <w:szCs w:val="21"/>
                      <w:vertAlign w:val="subscript"/>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rPr>
                    <w:t>硫酸是一种无机化合物，化学式是H</w:t>
                  </w:r>
                  <w:r>
                    <w:rPr>
                      <w:color w:val="000000"/>
                      <w:szCs w:val="21"/>
                      <w:vertAlign w:val="subscript"/>
                    </w:rPr>
                    <w:t>2</w:t>
                  </w:r>
                  <w:r>
                    <w:rPr>
                      <w:color w:val="000000"/>
                      <w:szCs w:val="21"/>
                    </w:rPr>
                    <w:t>SO</w:t>
                  </w:r>
                  <w:r>
                    <w:rPr>
                      <w:color w:val="000000"/>
                      <w:szCs w:val="21"/>
                      <w:vertAlign w:val="subscript"/>
                    </w:rPr>
                    <w:t>4</w:t>
                  </w:r>
                  <w:r>
                    <w:rPr>
                      <w:color w:val="000000"/>
                      <w:szCs w:val="21"/>
                    </w:rPr>
                    <w:t>，是硫的最重要的</w:t>
                  </w:r>
                  <w:r>
                    <w:fldChar w:fldCharType="begin"/>
                  </w:r>
                  <w:r>
                    <w:instrText xml:space="preserve"> HYPERLINK "https://baike.baidu.com/item/%E5%90%AB%E6%B0%A7%E9%85%B8/155450" \t "_blank" </w:instrText>
                  </w:r>
                  <w:r>
                    <w:fldChar w:fldCharType="separate"/>
                  </w:r>
                  <w:r>
                    <w:rPr>
                      <w:color w:val="000000"/>
                      <w:szCs w:val="21"/>
                    </w:rPr>
                    <w:t>含氧酸</w:t>
                  </w:r>
                  <w:r>
                    <w:rPr>
                      <w:color w:val="000000"/>
                      <w:szCs w:val="21"/>
                    </w:rPr>
                    <w:fldChar w:fldCharType="end"/>
                  </w:r>
                  <w:r>
                    <w:rPr>
                      <w:color w:val="000000"/>
                      <w:szCs w:val="21"/>
                    </w:rPr>
                    <w:t>。纯净的硫酸为无色油状液体，10.36℃时结晶，通常使用的是它的各种不同浓度的水溶液，用塔式法和接触法制取。前者所得为粗制稀硫酸，质量分数一般在75%左右；后者可得质量分数98.3%的浓硫酸，沸点338℃，相对密度1.84。</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11</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rPr>
                  </w:pPr>
                  <w:r>
                    <w:rPr>
                      <w:color w:val="000000"/>
                      <w:szCs w:val="21"/>
                    </w:rPr>
                    <w:t>盐酸</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HCl</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rPr>
                    <w:t>盐酸（hydrochloricacid）是氯化氢（HCl）的水溶液，工业用途广泛。盐酸的性状为无色透明的液体，有强烈的刺鼻气味，具有较高的腐蚀性。浓盐酸（质量分数约为37%）具有极强的挥发性，因此盛有浓盐酸的容器打开后氯化氢气体会挥发，与空气中的水蒸气结合产生盐酸小液滴，使瓶口上方出现酸雾。</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12</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rPr>
                  </w:pPr>
                  <w:r>
                    <w:rPr>
                      <w:color w:val="000000"/>
                      <w:szCs w:val="21"/>
                    </w:rPr>
                    <w:t>硝酸</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HNO</w:t>
                  </w:r>
                  <w:r>
                    <w:rPr>
                      <w:color w:val="000000"/>
                      <w:szCs w:val="21"/>
                      <w:vertAlign w:val="subscript"/>
                    </w:rPr>
                    <w:t>3</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rPr>
                    <w:t>硝酸（英文名：Nitricacid），是一种具有强</w:t>
                  </w:r>
                  <w:r>
                    <w:fldChar w:fldCharType="begin"/>
                  </w:r>
                  <w:r>
                    <w:instrText xml:space="preserve"> HYPERLINK "https://baike.baidu.com/item/%E6%B0%A7%E5%8C%96%E6%80%A7/4826093" \t "_blank" </w:instrText>
                  </w:r>
                  <w:r>
                    <w:fldChar w:fldCharType="separate"/>
                  </w:r>
                  <w:r>
                    <w:rPr>
                      <w:color w:val="000000"/>
                      <w:szCs w:val="21"/>
                    </w:rPr>
                    <w:t>氧化性</w:t>
                  </w:r>
                  <w:r>
                    <w:rPr>
                      <w:color w:val="000000"/>
                      <w:szCs w:val="21"/>
                    </w:rPr>
                    <w:fldChar w:fldCharType="end"/>
                  </w:r>
                  <w:r>
                    <w:rPr>
                      <w:color w:val="000000"/>
                      <w:szCs w:val="21"/>
                    </w:rPr>
                    <w:t>、腐蚀性的一元无机</w:t>
                  </w:r>
                  <w:r>
                    <w:fldChar w:fldCharType="begin"/>
                  </w:r>
                  <w:r>
                    <w:instrText xml:space="preserve"> HYPERLINK "https://baike.baidu.com/item/%E5%BC%BA%E9%85%B8/10424255" \t "_blank" </w:instrText>
                  </w:r>
                  <w:r>
                    <w:fldChar w:fldCharType="separate"/>
                  </w:r>
                  <w:r>
                    <w:rPr>
                      <w:color w:val="000000"/>
                      <w:szCs w:val="21"/>
                    </w:rPr>
                    <w:t>强酸</w:t>
                  </w:r>
                  <w:r>
                    <w:rPr>
                      <w:color w:val="000000"/>
                      <w:szCs w:val="21"/>
                    </w:rPr>
                    <w:fldChar w:fldCharType="end"/>
                  </w:r>
                  <w:r>
                    <w:rPr>
                      <w:color w:val="000000"/>
                      <w:szCs w:val="21"/>
                    </w:rPr>
                    <w:t>，是六大无机强酸之一，也是一种重要的</w:t>
                  </w:r>
                  <w:r>
                    <w:fldChar w:fldCharType="begin"/>
                  </w:r>
                  <w:r>
                    <w:instrText xml:space="preserve"> HYPERLINK "https://baike.baidu.com/item/%E5%8C%96%E5%B7%A5%E5%8E%9F%E6%96%99/5139172" \t "_blank" </w:instrText>
                  </w:r>
                  <w:r>
                    <w:fldChar w:fldCharType="separate"/>
                  </w:r>
                  <w:r>
                    <w:rPr>
                      <w:color w:val="000000"/>
                      <w:szCs w:val="21"/>
                    </w:rPr>
                    <w:t>化工原料</w:t>
                  </w:r>
                  <w:r>
                    <w:rPr>
                      <w:color w:val="000000"/>
                      <w:szCs w:val="21"/>
                    </w:rPr>
                    <w:fldChar w:fldCharType="end"/>
                  </w:r>
                  <w:r>
                    <w:rPr>
                      <w:color w:val="000000"/>
                      <w:szCs w:val="21"/>
                    </w:rPr>
                    <w:t>，化学式为HNO</w:t>
                  </w:r>
                  <w:r>
                    <w:rPr>
                      <w:color w:val="000000"/>
                      <w:szCs w:val="21"/>
                      <w:vertAlign w:val="subscript"/>
                    </w:rPr>
                    <w:t>3</w:t>
                  </w:r>
                  <w:r>
                    <w:rPr>
                      <w:color w:val="000000"/>
                      <w:szCs w:val="21"/>
                    </w:rPr>
                    <w:t>，分子量为63.01，其水溶液俗称硝镪水或氨氮水。在工业上可用于制化肥、农药、炸药、染料等；在有机化学中，浓硝酸与浓硫酸的混合液是重要的硝化试剂。所属的危险符号是O（Oxidizingagent氧化剂）与C（Corrosive腐蚀品）。硝酸的</w:t>
                  </w:r>
                  <w:r>
                    <w:fldChar w:fldCharType="begin"/>
                  </w:r>
                  <w:r>
                    <w:instrText xml:space="preserve"> HYPERLINK "https://baike.baidu.com/item/%E9%85%B8%E9%85%90/3610125" \t "_blank" </w:instrText>
                  </w:r>
                  <w:r>
                    <w:fldChar w:fldCharType="separate"/>
                  </w:r>
                  <w:r>
                    <w:rPr>
                      <w:color w:val="000000"/>
                      <w:szCs w:val="21"/>
                    </w:rPr>
                    <w:t>酸酐</w:t>
                  </w:r>
                  <w:r>
                    <w:rPr>
                      <w:color w:val="000000"/>
                      <w:szCs w:val="21"/>
                    </w:rPr>
                    <w:fldChar w:fldCharType="end"/>
                  </w:r>
                  <w:r>
                    <w:rPr>
                      <w:color w:val="000000"/>
                      <w:szCs w:val="21"/>
                    </w:rPr>
                    <w:t>是</w:t>
                  </w:r>
                  <w:r>
                    <w:fldChar w:fldCharType="begin"/>
                  </w:r>
                  <w:r>
                    <w:instrText xml:space="preserve"> HYPERLINK "https://baike.baidu.com/item/%E4%BA%94%E6%B0%A7%E5%8C%96%E4%BA%8C%E6%B0%AE/1058975" \t "_blank" </w:instrText>
                  </w:r>
                  <w:r>
                    <w:fldChar w:fldCharType="separate"/>
                  </w:r>
                  <w:r>
                    <w:rPr>
                      <w:color w:val="000000"/>
                      <w:szCs w:val="21"/>
                    </w:rPr>
                    <w:t>五氧化二氮</w:t>
                  </w:r>
                  <w:r>
                    <w:rPr>
                      <w:color w:val="000000"/>
                      <w:szCs w:val="21"/>
                    </w:rPr>
                    <w:fldChar w:fldCharType="end"/>
                  </w:r>
                  <w:r>
                    <w:rPr>
                      <w:color w:val="000000"/>
                      <w:szCs w:val="21"/>
                    </w:rPr>
                    <w:t>（N</w:t>
                  </w:r>
                  <w:r>
                    <w:rPr>
                      <w:color w:val="000000"/>
                      <w:szCs w:val="21"/>
                      <w:vertAlign w:val="subscript"/>
                    </w:rPr>
                    <w:t>2</w:t>
                  </w:r>
                  <w:r>
                    <w:rPr>
                      <w:color w:val="000000"/>
                      <w:szCs w:val="21"/>
                    </w:rPr>
                    <w:t>O</w:t>
                  </w:r>
                  <w:r>
                    <w:rPr>
                      <w:color w:val="000000"/>
                      <w:szCs w:val="21"/>
                      <w:vertAlign w:val="subscript"/>
                    </w:rPr>
                    <w:t>5</w:t>
                  </w:r>
                  <w:r>
                    <w:rPr>
                      <w:color w:val="000000"/>
                      <w:szCs w:val="21"/>
                    </w:rPr>
                    <w:t>）；密度1.50g/cm³(无水)，熔点-42℃，沸点83℃。</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13</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rPr>
                  </w:pPr>
                  <w:r>
                    <w:rPr>
                      <w:color w:val="000000"/>
                      <w:szCs w:val="21"/>
                    </w:rPr>
                    <w:t>高氯酸</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HClO</w:t>
                  </w:r>
                  <w:r>
                    <w:rPr>
                      <w:color w:val="000000"/>
                      <w:szCs w:val="21"/>
                      <w:vertAlign w:val="subscript"/>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rPr>
                    <w:t>高氯酸，是一种无机化合物，化学式为HClO</w:t>
                  </w:r>
                  <w:r>
                    <w:rPr>
                      <w:color w:val="000000"/>
                      <w:szCs w:val="21"/>
                      <w:vertAlign w:val="subscript"/>
                    </w:rPr>
                    <w:t>4</w:t>
                  </w:r>
                  <w:r>
                    <w:rPr>
                      <w:color w:val="000000"/>
                      <w:szCs w:val="21"/>
                    </w:rPr>
                    <w:t>，六大无机强酸之首，是氯的最高价氧化物的水化物。是无色透明的发烟液体。高氯酸在无机含氧酸中酸性最强。可助燃，具强腐蚀性、强刺激性，可致人体灼伤。熔点-112℃；沸点203℃；密度1.67g/cm³；水溶性与水混溶；优级纯、分析纯均在70~72%之间。</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14</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rPr>
                  </w:pPr>
                  <w:r>
                    <w:rPr>
                      <w:color w:val="000000"/>
                      <w:szCs w:val="21"/>
                    </w:rPr>
                    <w:t>磷酸</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H</w:t>
                  </w:r>
                  <w:r>
                    <w:rPr>
                      <w:color w:val="000000"/>
                      <w:szCs w:val="21"/>
                      <w:vertAlign w:val="subscript"/>
                    </w:rPr>
                    <w:t>3</w:t>
                  </w:r>
                  <w:r>
                    <w:rPr>
                      <w:color w:val="000000"/>
                      <w:szCs w:val="21"/>
                    </w:rPr>
                    <w:t>PO</w:t>
                  </w:r>
                  <w:r>
                    <w:rPr>
                      <w:color w:val="000000"/>
                      <w:szCs w:val="21"/>
                      <w:vertAlign w:val="subscript"/>
                    </w:rPr>
                    <w:t>4</w:t>
                  </w:r>
                </w:p>
              </w:tc>
              <w:tc>
                <w:tcPr>
                  <w:tcW w:w="3648" w:type="pct"/>
                  <w:tcBorders>
                    <w:top w:val="single" w:color="auto" w:sz="4" w:space="0"/>
                    <w:left w:val="single" w:color="auto" w:sz="4" w:space="0"/>
                    <w:bottom w:val="single" w:color="auto" w:sz="4" w:space="0"/>
                    <w:right w:val="nil"/>
                  </w:tcBorders>
                  <w:vAlign w:val="center"/>
                </w:tcPr>
                <w:p>
                  <w:pPr>
                    <w:rPr>
                      <w:color w:val="000000"/>
                      <w:szCs w:val="21"/>
                    </w:rPr>
                  </w:pPr>
                  <w:r>
                    <w:rPr>
                      <w:color w:val="000000"/>
                      <w:szCs w:val="21"/>
                    </w:rPr>
                    <w:t>是中强酸，化学式为H</w:t>
                  </w:r>
                  <w:r>
                    <w:rPr>
                      <w:color w:val="000000"/>
                      <w:szCs w:val="21"/>
                      <w:vertAlign w:val="subscript"/>
                    </w:rPr>
                    <w:t>3</w:t>
                  </w:r>
                  <w:r>
                    <w:rPr>
                      <w:color w:val="000000"/>
                      <w:szCs w:val="21"/>
                    </w:rPr>
                    <w:t>PO</w:t>
                  </w:r>
                  <w:r>
                    <w:rPr>
                      <w:color w:val="000000"/>
                      <w:szCs w:val="21"/>
                      <w:vertAlign w:val="subscript"/>
                    </w:rPr>
                    <w:t>4</w:t>
                  </w:r>
                  <w:r>
                    <w:rPr>
                      <w:color w:val="000000"/>
                      <w:szCs w:val="21"/>
                    </w:rPr>
                    <w:t>，分子量为97.994。透明无色液体，不易挥发，不易分解，几乎没有氧化性。具有酸的通性，是三元弱酸，其酸性比盐酸、硫酸、硝酸弱，但比醋酸、硼酸等强。磷酸在空气中容易潮解。加热会失水得到焦磷酸，再进一步失水得到偏磷酸。熔点：42℃沸点：261℃（分解）；密度：1.874g/mL（液态）·</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15</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rPr>
                  </w:pPr>
                  <w:r>
                    <w:rPr>
                      <w:szCs w:val="21"/>
                    </w:rPr>
                    <w:t>冰乙酸</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CH</w:t>
                  </w:r>
                  <w:r>
                    <w:rPr>
                      <w:color w:val="000000"/>
                      <w:szCs w:val="21"/>
                      <w:vertAlign w:val="subscript"/>
                    </w:rPr>
                    <w:t>3</w:t>
                  </w:r>
                  <w:r>
                    <w:rPr>
                      <w:color w:val="000000"/>
                      <w:szCs w:val="21"/>
                    </w:rPr>
                    <w:t>COOH</w:t>
                  </w:r>
                </w:p>
              </w:tc>
              <w:tc>
                <w:tcPr>
                  <w:tcW w:w="3648" w:type="pct"/>
                  <w:tcBorders>
                    <w:top w:val="single" w:color="auto" w:sz="4" w:space="0"/>
                    <w:left w:val="single" w:color="auto" w:sz="4" w:space="0"/>
                    <w:bottom w:val="single" w:color="auto" w:sz="4" w:space="0"/>
                    <w:right w:val="nil"/>
                  </w:tcBorders>
                  <w:vAlign w:val="center"/>
                </w:tcPr>
                <w:p>
                  <w:pPr>
                    <w:rPr>
                      <w:color w:val="000000"/>
                      <w:szCs w:val="21"/>
                    </w:rPr>
                  </w:pPr>
                  <w:r>
                    <w:rPr>
                      <w:color w:val="000000"/>
                      <w:szCs w:val="21"/>
                    </w:rPr>
                    <w:t>乙酸，也叫醋酸，是一种有机化合物，化学式CH</w:t>
                  </w:r>
                  <w:r>
                    <w:rPr>
                      <w:color w:val="000000"/>
                      <w:szCs w:val="21"/>
                      <w:vertAlign w:val="subscript"/>
                    </w:rPr>
                    <w:t>3</w:t>
                  </w:r>
                  <w:r>
                    <w:rPr>
                      <w:color w:val="000000"/>
                      <w:szCs w:val="21"/>
                    </w:rPr>
                    <w:t>COOH，是一种有机一元酸，为食醋主要成分。纯的无水乙酸（冰醋酸）是无色的吸湿性液体，凝固点为16.6℃（62℉），凝固后为无色晶体，其水溶液中弱酸性且腐蚀性强，对金属有强烈腐蚀性，蒸汽对眼和鼻有刺激性作用。熔点：16.6℃；沸点：117.9℃；密度：1.05g/cm</w:t>
                  </w:r>
                  <w:r>
                    <w:rPr>
                      <w:color w:val="000000"/>
                      <w:szCs w:val="21"/>
                      <w:vertAlign w:val="superscript"/>
                    </w:rPr>
                    <w:t>3</w:t>
                  </w:r>
                  <w:r>
                    <w:rPr>
                      <w:color w:val="000000"/>
                      <w:szCs w:val="21"/>
                    </w:rPr>
                    <w:t>；闪点：39℃（CC）；折射率：1.371（20℃）。</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16</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rPr>
                  </w:pPr>
                  <w:r>
                    <w:rPr>
                      <w:color w:val="000000"/>
                      <w:szCs w:val="21"/>
                    </w:rPr>
                    <w:t>氨水</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25%～28%NH</w:t>
                  </w:r>
                  <w:r>
                    <w:rPr>
                      <w:color w:val="000000"/>
                      <w:szCs w:val="21"/>
                      <w:vertAlign w:val="subscript"/>
                    </w:rPr>
                    <w:t>3</w:t>
                  </w:r>
                </w:p>
              </w:tc>
              <w:tc>
                <w:tcPr>
                  <w:tcW w:w="3648" w:type="pct"/>
                  <w:tcBorders>
                    <w:top w:val="single" w:color="auto" w:sz="4" w:space="0"/>
                    <w:left w:val="single" w:color="auto" w:sz="4" w:space="0"/>
                    <w:bottom w:val="single" w:color="auto" w:sz="4" w:space="0"/>
                    <w:right w:val="nil"/>
                  </w:tcBorders>
                  <w:vAlign w:val="center"/>
                </w:tcPr>
                <w:p>
                  <w:pPr>
                    <w:rPr>
                      <w:color w:val="000000"/>
                      <w:szCs w:val="21"/>
                    </w:rPr>
                  </w:pPr>
                  <w:r>
                    <w:rPr>
                      <w:color w:val="000000"/>
                      <w:szCs w:val="21"/>
                    </w:rPr>
                    <w:t>氨的水溶液，有强烈刺鼻气味，具弱碱性。1mol/L氨水的pH值为11.63，大约有0.42%的NH</w:t>
                  </w:r>
                  <w:r>
                    <w:rPr>
                      <w:color w:val="000000"/>
                      <w:szCs w:val="21"/>
                      <w:vertAlign w:val="subscript"/>
                    </w:rPr>
                    <w:t>3</w:t>
                  </w:r>
                  <w:r>
                    <w:rPr>
                      <w:color w:val="000000"/>
                      <w:szCs w:val="21"/>
                    </w:rPr>
                    <w:t>变为。氨水易挥发出氨气，易分解放出氨气，温度越高，分解速度越快，可形成爆炸性气氛。</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17</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rPr>
                  </w:pPr>
                  <w:r>
                    <w:rPr>
                      <w:color w:val="000000"/>
                      <w:szCs w:val="21"/>
                    </w:rPr>
                    <w:t>无水乙醚</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C</w:t>
                  </w:r>
                  <w:r>
                    <w:rPr>
                      <w:color w:val="000000"/>
                      <w:szCs w:val="21"/>
                      <w:vertAlign w:val="subscript"/>
                    </w:rPr>
                    <w:t>2</w:t>
                  </w:r>
                  <w:r>
                    <w:rPr>
                      <w:color w:val="000000"/>
                      <w:szCs w:val="21"/>
                    </w:rPr>
                    <w:t>H</w:t>
                  </w:r>
                  <w:r>
                    <w:rPr>
                      <w:color w:val="000000"/>
                      <w:szCs w:val="21"/>
                      <w:vertAlign w:val="subscript"/>
                    </w:rPr>
                    <w:t>5</w:t>
                  </w:r>
                  <w:r>
                    <w:rPr>
                      <w:color w:val="000000"/>
                      <w:szCs w:val="21"/>
                    </w:rPr>
                    <w:t>OC</w:t>
                  </w:r>
                  <w:r>
                    <w:rPr>
                      <w:color w:val="000000"/>
                      <w:szCs w:val="21"/>
                      <w:vertAlign w:val="subscript"/>
                    </w:rPr>
                    <w:t>2</w:t>
                  </w:r>
                  <w:r>
                    <w:rPr>
                      <w:color w:val="000000"/>
                      <w:szCs w:val="21"/>
                    </w:rPr>
                    <w:t>H</w:t>
                  </w:r>
                  <w:r>
                    <w:rPr>
                      <w:color w:val="000000"/>
                      <w:szCs w:val="21"/>
                      <w:vertAlign w:val="subscript"/>
                    </w:rPr>
                    <w:t>5</w:t>
                  </w:r>
                </w:p>
              </w:tc>
              <w:tc>
                <w:tcPr>
                  <w:tcW w:w="3648" w:type="pct"/>
                  <w:tcBorders>
                    <w:top w:val="single" w:color="auto" w:sz="4" w:space="0"/>
                    <w:left w:val="single" w:color="auto" w:sz="4" w:space="0"/>
                    <w:bottom w:val="single" w:color="auto" w:sz="4" w:space="0"/>
                    <w:right w:val="nil"/>
                  </w:tcBorders>
                  <w:vAlign w:val="center"/>
                </w:tcPr>
                <w:p>
                  <w:pPr>
                    <w:rPr>
                      <w:color w:val="000000"/>
                      <w:szCs w:val="21"/>
                    </w:rPr>
                  </w:pPr>
                  <w:r>
                    <w:rPr>
                      <w:color w:val="000000"/>
                      <w:szCs w:val="21"/>
                    </w:rPr>
                    <w:t>乙醚，是一种有机化合物，化学式为C</w:t>
                  </w:r>
                  <w:r>
                    <w:rPr>
                      <w:color w:val="000000"/>
                      <w:szCs w:val="21"/>
                      <w:vertAlign w:val="subscript"/>
                    </w:rPr>
                    <w:t>2</w:t>
                  </w:r>
                  <w:r>
                    <w:rPr>
                      <w:color w:val="000000"/>
                      <w:szCs w:val="21"/>
                    </w:rPr>
                    <w:t>H</w:t>
                  </w:r>
                  <w:r>
                    <w:rPr>
                      <w:color w:val="000000"/>
                      <w:szCs w:val="21"/>
                      <w:vertAlign w:val="subscript"/>
                    </w:rPr>
                    <w:t>5</w:t>
                  </w:r>
                  <w:r>
                    <w:rPr>
                      <w:color w:val="000000"/>
                      <w:szCs w:val="21"/>
                    </w:rPr>
                    <w:t>OC</w:t>
                  </w:r>
                  <w:r>
                    <w:rPr>
                      <w:color w:val="000000"/>
                      <w:szCs w:val="21"/>
                      <w:vertAlign w:val="subscript"/>
                    </w:rPr>
                    <w:t>2</w:t>
                  </w:r>
                  <w:r>
                    <w:rPr>
                      <w:color w:val="000000"/>
                      <w:szCs w:val="21"/>
                    </w:rPr>
                    <w:t>H</w:t>
                  </w:r>
                  <w:r>
                    <w:rPr>
                      <w:color w:val="000000"/>
                      <w:szCs w:val="21"/>
                      <w:vertAlign w:val="subscript"/>
                    </w:rPr>
                    <w:t>5</w:t>
                  </w:r>
                  <w:r>
                    <w:rPr>
                      <w:color w:val="000000"/>
                      <w:szCs w:val="21"/>
                    </w:rPr>
                    <w:t>，为无色透明液体，分子量：74.12，有特殊刺激气味。带甜味。极易挥发。其蒸汽重于空气。在空气的作用下能氧化成过氧化物、醛和乙酸，暴露于光线下能促进其氧化。密度：0.714g/cm</w:t>
                  </w:r>
                  <w:r>
                    <w:rPr>
                      <w:color w:val="000000"/>
                      <w:szCs w:val="21"/>
                      <w:vertAlign w:val="superscript"/>
                    </w:rPr>
                    <w:t>3</w:t>
                  </w:r>
                  <w:r>
                    <w:rPr>
                      <w:color w:val="000000"/>
                      <w:szCs w:val="21"/>
                    </w:rPr>
                    <w:t>；熔点：-116℃；沸点：34.6℃；闪点：-45℃（CC）；临界温度：192.7℃；外观：无色透明液体。溶解性：微溶于水，溶于乙醇、苯、氯仿、溶剂石脑油等多数有机溶剂。</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18</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rPr>
                  </w:pPr>
                  <w:r>
                    <w:rPr>
                      <w:szCs w:val="21"/>
                    </w:rPr>
                    <w:t>95%乙醇</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szCs w:val="21"/>
                    </w:rPr>
                    <w:t>95%</w:t>
                  </w:r>
                  <w:r>
                    <w:rPr>
                      <w:color w:val="000000"/>
                      <w:szCs w:val="21"/>
                    </w:rPr>
                    <w:t>C</w:t>
                  </w:r>
                  <w:r>
                    <w:rPr>
                      <w:color w:val="000000"/>
                      <w:szCs w:val="21"/>
                      <w:vertAlign w:val="subscript"/>
                    </w:rPr>
                    <w:t>2</w:t>
                  </w:r>
                  <w:r>
                    <w:rPr>
                      <w:color w:val="000000"/>
                      <w:szCs w:val="21"/>
                    </w:rPr>
                    <w:t>H</w:t>
                  </w:r>
                  <w:r>
                    <w:rPr>
                      <w:color w:val="000000"/>
                      <w:szCs w:val="21"/>
                      <w:vertAlign w:val="subscript"/>
                    </w:rPr>
                    <w:t>6</w:t>
                  </w:r>
                  <w:r>
                    <w:rPr>
                      <w:color w:val="000000"/>
                      <w:szCs w:val="21"/>
                    </w:rPr>
                    <w:t>O</w:t>
                  </w:r>
                </w:p>
              </w:tc>
              <w:tc>
                <w:tcPr>
                  <w:tcW w:w="3648" w:type="pct"/>
                  <w:vMerge w:val="restart"/>
                  <w:tcBorders>
                    <w:top w:val="single" w:color="auto" w:sz="4" w:space="0"/>
                    <w:left w:val="single" w:color="auto" w:sz="4" w:space="0"/>
                    <w:right w:val="nil"/>
                  </w:tcBorders>
                  <w:vAlign w:val="center"/>
                </w:tcPr>
                <w:p>
                  <w:pPr>
                    <w:rPr>
                      <w:color w:val="000000"/>
                      <w:szCs w:val="21"/>
                    </w:rPr>
                  </w:pPr>
                  <w:r>
                    <w:rPr>
                      <w:color w:val="000000"/>
                      <w:szCs w:val="21"/>
                    </w:rPr>
                    <w:t>是一种有机化合物，结构简式为CH</w:t>
                  </w:r>
                  <w:r>
                    <w:rPr>
                      <w:color w:val="000000"/>
                      <w:szCs w:val="21"/>
                      <w:vertAlign w:val="subscript"/>
                    </w:rPr>
                    <w:t>3</w:t>
                  </w:r>
                  <w:r>
                    <w:rPr>
                      <w:color w:val="000000"/>
                      <w:szCs w:val="21"/>
                    </w:rPr>
                    <w:t>CH</w:t>
                  </w:r>
                  <w:r>
                    <w:rPr>
                      <w:color w:val="000000"/>
                      <w:szCs w:val="21"/>
                      <w:vertAlign w:val="subscript"/>
                    </w:rPr>
                    <w:t>2</w:t>
                  </w:r>
                  <w:r>
                    <w:rPr>
                      <w:color w:val="000000"/>
                      <w:szCs w:val="21"/>
                    </w:rPr>
                    <w:t>OH或C</w:t>
                  </w:r>
                  <w:r>
                    <w:rPr>
                      <w:color w:val="000000"/>
                      <w:szCs w:val="21"/>
                      <w:vertAlign w:val="subscript"/>
                    </w:rPr>
                    <w:t>2</w:t>
                  </w:r>
                  <w:r>
                    <w:rPr>
                      <w:color w:val="000000"/>
                      <w:szCs w:val="21"/>
                    </w:rPr>
                    <w:t>H</w:t>
                  </w:r>
                  <w:r>
                    <w:rPr>
                      <w:color w:val="000000"/>
                      <w:szCs w:val="21"/>
                      <w:vertAlign w:val="subscript"/>
                    </w:rPr>
                    <w:t>5</w:t>
                  </w:r>
                  <w:r>
                    <w:rPr>
                      <w:color w:val="000000"/>
                      <w:szCs w:val="21"/>
                    </w:rPr>
                    <w:t>OH，分子式为C</w:t>
                  </w:r>
                  <w:r>
                    <w:rPr>
                      <w:color w:val="000000"/>
                      <w:szCs w:val="21"/>
                      <w:vertAlign w:val="subscript"/>
                    </w:rPr>
                    <w:t>2</w:t>
                  </w:r>
                  <w:r>
                    <w:rPr>
                      <w:color w:val="000000"/>
                      <w:szCs w:val="21"/>
                    </w:rPr>
                    <w:t>H</w:t>
                  </w:r>
                  <w:r>
                    <w:rPr>
                      <w:color w:val="000000"/>
                      <w:szCs w:val="21"/>
                      <w:vertAlign w:val="subscript"/>
                    </w:rPr>
                    <w:t>6</w:t>
                  </w:r>
                  <w:r>
                    <w:rPr>
                      <w:color w:val="000000"/>
                      <w:szCs w:val="21"/>
                    </w:rPr>
                    <w:t>O，分子量：46.07；俗称酒精。常温常压下是一种易挥发的无色透明液体，低毒性，纯液体不可直接饮用。乙醇易燃，其蒸气能与空气形成爆炸性混合物。乙醇能与水以任意比互溶，能与氯仿、乙醚、甲醇、丙酮和其他多数有机溶剂混溶。熔点：-114.1℃(常压)；沸点：78.3℃(常压)；密度：0.7893g/cm³(20℃)；外观：无色透明液体，有芳香气。</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19</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rPr>
                  </w:pPr>
                  <w:r>
                    <w:rPr>
                      <w:color w:val="000000"/>
                      <w:szCs w:val="21"/>
                    </w:rPr>
                    <w:t>无水乙醇</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100%C</w:t>
                  </w:r>
                  <w:r>
                    <w:rPr>
                      <w:color w:val="000000"/>
                      <w:szCs w:val="21"/>
                      <w:vertAlign w:val="subscript"/>
                    </w:rPr>
                    <w:t>2</w:t>
                  </w:r>
                  <w:r>
                    <w:rPr>
                      <w:color w:val="000000"/>
                      <w:szCs w:val="21"/>
                    </w:rPr>
                    <w:t>H</w:t>
                  </w:r>
                  <w:r>
                    <w:rPr>
                      <w:color w:val="000000"/>
                      <w:szCs w:val="21"/>
                      <w:vertAlign w:val="subscript"/>
                    </w:rPr>
                    <w:t>6</w:t>
                  </w:r>
                  <w:r>
                    <w:rPr>
                      <w:color w:val="000000"/>
                      <w:szCs w:val="21"/>
                    </w:rPr>
                    <w:t>O</w:t>
                  </w:r>
                </w:p>
              </w:tc>
              <w:tc>
                <w:tcPr>
                  <w:tcW w:w="3648" w:type="pct"/>
                  <w:vMerge w:val="continue"/>
                  <w:tcBorders>
                    <w:left w:val="single" w:color="auto" w:sz="4" w:space="0"/>
                    <w:bottom w:val="single" w:color="auto" w:sz="4" w:space="0"/>
                    <w:right w:val="nil"/>
                  </w:tcBorders>
                  <w:vAlign w:val="center"/>
                </w:tcPr>
                <w:p>
                  <w:pPr>
                    <w:adjustRightInd w:val="0"/>
                    <w:jc w:val="center"/>
                    <w:rPr>
                      <w:color w:val="000000"/>
                      <w:szCs w:val="21"/>
                      <w:lang w:val="pt-BR"/>
                    </w:rPr>
                  </w:pP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20</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rPr>
                  </w:pPr>
                  <w:r>
                    <w:rPr>
                      <w:szCs w:val="21"/>
                    </w:rPr>
                    <w:t>三氯甲烷</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lang w:val="pt-BR"/>
                    </w:rPr>
                    <w:t>CHCl</w:t>
                  </w:r>
                  <w:r>
                    <w:rPr>
                      <w:color w:val="000000"/>
                      <w:szCs w:val="21"/>
                      <w:vertAlign w:val="subscript"/>
                      <w:lang w:val="pt-BR"/>
                    </w:rPr>
                    <w:t>3</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是一种有机化合物，化学式为CHCl</w:t>
                  </w:r>
                  <w:r>
                    <w:rPr>
                      <w:color w:val="000000"/>
                      <w:szCs w:val="21"/>
                      <w:vertAlign w:val="subscript"/>
                      <w:lang w:val="pt-BR"/>
                    </w:rPr>
                    <w:t>3</w:t>
                  </w:r>
                  <w:r>
                    <w:rPr>
                      <w:color w:val="000000"/>
                      <w:szCs w:val="21"/>
                      <w:lang w:val="pt-BR"/>
                    </w:rPr>
                    <w:t>，为无色透明液体，有特殊气味，味甜，高折光，不燃，质重，易挥发。能与乙醇、苯、乙醚、石油醚、四氯化碳、二硫化碳和油类等混溶、25℃时1mL溶于200mL水。外观与性状：无色透明重质液体，极易挥发，有特殊气味。熔点：-63.5℃；密度：1.48g/cm</w:t>
                  </w:r>
                  <w:r>
                    <w:rPr>
                      <w:color w:val="000000"/>
                      <w:szCs w:val="21"/>
                      <w:vertAlign w:val="superscript"/>
                      <w:lang w:val="pt-BR"/>
                    </w:rPr>
                    <w:t>3</w:t>
                  </w:r>
                  <w:r>
                    <w:rPr>
                      <w:color w:val="000000"/>
                      <w:szCs w:val="21"/>
                      <w:lang w:val="pt-BR"/>
                    </w:rPr>
                    <w:t>；沸点：61.3℃，溶解性：不溶于水，溶于醇、醚、苯。</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21</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rPr>
                  </w:pPr>
                  <w:r>
                    <w:rPr>
                      <w:szCs w:val="21"/>
                    </w:rPr>
                    <w:t>四氯化碳</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lang w:val="pt-BR"/>
                    </w:rPr>
                    <w:t>CCl</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化学式CCl</w:t>
                  </w:r>
                  <w:r>
                    <w:rPr>
                      <w:color w:val="000000"/>
                      <w:szCs w:val="21"/>
                      <w:vertAlign w:val="subscript"/>
                      <w:lang w:val="pt-BR"/>
                    </w:rPr>
                    <w:t>4</w:t>
                  </w:r>
                  <w:r>
                    <w:rPr>
                      <w:color w:val="000000"/>
                      <w:szCs w:val="21"/>
                      <w:lang w:val="pt-BR"/>
                    </w:rPr>
                    <w:t>，分子量：153.823；密度：1.594g/cm</w:t>
                  </w:r>
                  <w:r>
                    <w:rPr>
                      <w:color w:val="000000"/>
                      <w:szCs w:val="21"/>
                      <w:vertAlign w:val="superscript"/>
                      <w:lang w:val="pt-BR"/>
                    </w:rPr>
                    <w:t>3</w:t>
                  </w:r>
                  <w:r>
                    <w:rPr>
                      <w:color w:val="000000"/>
                      <w:szCs w:val="21"/>
                      <w:lang w:val="pt-BR"/>
                    </w:rPr>
                    <w:t>；熔点：-23℃；沸点：76-77℃；外观：无色透明液体；主要用作优良的溶剂、干洗剂、灭火剂、制冷剂、香料的浸出剂以及农药等，也可用于有机合成。</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22</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rPr>
                  </w:pPr>
                  <w:r>
                    <w:rPr>
                      <w:color w:val="000000"/>
                      <w:szCs w:val="21"/>
                    </w:rPr>
                    <w:t>正己烷</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lang w:val="pt-BR"/>
                    </w:rPr>
                    <w:t>C</w:t>
                  </w:r>
                  <w:r>
                    <w:rPr>
                      <w:color w:val="000000"/>
                      <w:szCs w:val="21"/>
                      <w:vertAlign w:val="subscript"/>
                      <w:lang w:val="pt-BR"/>
                    </w:rPr>
                    <w:t>6</w:t>
                  </w:r>
                  <w:r>
                    <w:rPr>
                      <w:color w:val="000000"/>
                      <w:szCs w:val="21"/>
                      <w:lang w:val="pt-BR"/>
                    </w:rPr>
                    <w:t>H</w:t>
                  </w:r>
                  <w:r>
                    <w:rPr>
                      <w:color w:val="000000"/>
                      <w:szCs w:val="21"/>
                      <w:vertAlign w:val="subscript"/>
                      <w:lang w:val="pt-BR"/>
                    </w:rPr>
                    <w:t>14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正己烷，是一种有机化合物，化学式为C</w:t>
                  </w:r>
                  <w:r>
                    <w:rPr>
                      <w:color w:val="000000"/>
                      <w:szCs w:val="21"/>
                      <w:vertAlign w:val="subscript"/>
                      <w:lang w:val="pt-BR"/>
                    </w:rPr>
                    <w:t>6</w:t>
                  </w:r>
                  <w:r>
                    <w:rPr>
                      <w:color w:val="000000"/>
                      <w:szCs w:val="21"/>
                      <w:lang w:val="pt-BR"/>
                    </w:rPr>
                    <w:t>H</w:t>
                  </w:r>
                  <w:r>
                    <w:rPr>
                      <w:color w:val="000000"/>
                      <w:szCs w:val="21"/>
                      <w:vertAlign w:val="subscript"/>
                      <w:lang w:val="pt-BR"/>
                    </w:rPr>
                    <w:t>14</w:t>
                  </w:r>
                  <w:r>
                    <w:rPr>
                      <w:color w:val="000000"/>
                      <w:szCs w:val="21"/>
                      <w:lang w:val="pt-BR"/>
                    </w:rPr>
                    <w:t>，分子量：86.175；密度：0.659g/cm</w:t>
                  </w:r>
                  <w:r>
                    <w:rPr>
                      <w:color w:val="000000"/>
                      <w:szCs w:val="21"/>
                      <w:vertAlign w:val="superscript"/>
                      <w:lang w:val="pt-BR"/>
                    </w:rPr>
                    <w:t>3</w:t>
                  </w:r>
                  <w:r>
                    <w:rPr>
                      <w:color w:val="000000"/>
                      <w:szCs w:val="21"/>
                      <w:lang w:val="pt-BR"/>
                    </w:rPr>
                    <w:t>；熔点：-95℃；沸点：69℃；闪点：-22℃；属于直链饱和脂肪烃类，为无色液体，不溶于水，溶于乙醇、乙醚、丙酮、氯仿等多数有机溶剂，主要用作溶剂、色谱分析参比物质、涂料稀释剂、聚合反应的介质等，也可用于有机合成。</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23</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rPr>
                  </w:pPr>
                  <w:r>
                    <w:rPr>
                      <w:szCs w:val="21"/>
                    </w:rPr>
                    <w:t>丙酮</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lang w:val="pt-BR"/>
                    </w:rPr>
                    <w:t>C</w:t>
                  </w:r>
                  <w:r>
                    <w:rPr>
                      <w:color w:val="000000"/>
                      <w:szCs w:val="21"/>
                      <w:vertAlign w:val="subscript"/>
                      <w:lang w:val="pt-BR"/>
                    </w:rPr>
                    <w:t>3</w:t>
                  </w:r>
                  <w:r>
                    <w:rPr>
                      <w:color w:val="000000"/>
                      <w:szCs w:val="21"/>
                      <w:lang w:val="pt-BR"/>
                    </w:rPr>
                    <w:t>H</w:t>
                  </w:r>
                  <w:r>
                    <w:rPr>
                      <w:color w:val="000000"/>
                      <w:szCs w:val="21"/>
                      <w:vertAlign w:val="subscript"/>
                      <w:lang w:val="pt-BR"/>
                    </w:rPr>
                    <w:t>6</w:t>
                  </w:r>
                  <w:r>
                    <w:rPr>
                      <w:color w:val="000000"/>
                      <w:szCs w:val="21"/>
                      <w:lang w:val="pt-BR"/>
                    </w:rPr>
                    <w:t>O</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又名二甲基酮，是一种有机物，分子式为C</w:t>
                  </w:r>
                  <w:r>
                    <w:rPr>
                      <w:color w:val="000000"/>
                      <w:szCs w:val="21"/>
                      <w:vertAlign w:val="subscript"/>
                      <w:lang w:val="pt-BR"/>
                    </w:rPr>
                    <w:t>3</w:t>
                  </w:r>
                  <w:r>
                    <w:rPr>
                      <w:color w:val="000000"/>
                      <w:szCs w:val="21"/>
                      <w:lang w:val="pt-BR"/>
                    </w:rPr>
                    <w:t>H</w:t>
                  </w:r>
                  <w:r>
                    <w:rPr>
                      <w:color w:val="000000"/>
                      <w:szCs w:val="21"/>
                      <w:vertAlign w:val="subscript"/>
                      <w:lang w:val="pt-BR"/>
                    </w:rPr>
                    <w:t>6</w:t>
                  </w:r>
                  <w:r>
                    <w:rPr>
                      <w:color w:val="000000"/>
                      <w:szCs w:val="21"/>
                      <w:lang w:val="pt-BR"/>
                    </w:rPr>
                    <w:t>O，分子量：58.08；熔点：-94.9℃；沸点：56.5℃；密度：0.7899g/cm</w:t>
                  </w:r>
                  <w:r>
                    <w:rPr>
                      <w:color w:val="000000"/>
                      <w:szCs w:val="21"/>
                      <w:vertAlign w:val="superscript"/>
                      <w:lang w:val="pt-BR"/>
                    </w:rPr>
                    <w:t>3</w:t>
                  </w:r>
                  <w:r>
                    <w:rPr>
                      <w:color w:val="000000"/>
                      <w:szCs w:val="21"/>
                      <w:lang w:val="pt-BR"/>
                    </w:rPr>
                    <w:t>；为最简单的饱和酮。是一种无色透明液体，有微香气味。易溶于水和甲醇、乙醇、乙醚、氯仿、吡啶等有机溶剂。易燃、易挥发，化学性质较活泼。</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24</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kern w:val="0"/>
                      <w:szCs w:val="21"/>
                    </w:rPr>
                  </w:pPr>
                  <w:r>
                    <w:rPr>
                      <w:kern w:val="0"/>
                      <w:szCs w:val="21"/>
                    </w:rPr>
                    <w:t>石油醚</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戊烷及己烷</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一种轻质石油产品，主要成分：戊烷、己烷；密度：0.64～0.66g/cm</w:t>
                  </w:r>
                  <w:r>
                    <w:rPr>
                      <w:color w:val="000000"/>
                      <w:szCs w:val="21"/>
                      <w:vertAlign w:val="superscript"/>
                      <w:lang w:val="pt-BR"/>
                    </w:rPr>
                    <w:t>3</w:t>
                  </w:r>
                  <w:r>
                    <w:rPr>
                      <w:color w:val="000000"/>
                      <w:szCs w:val="21"/>
                      <w:lang w:val="pt-BR"/>
                    </w:rPr>
                    <w:t>；是低相对分子质量的烃（主要是戊烷及己烷）的混合物，为无色透明液体，有煤油气味。不溶于水，溶于乙醇、苯、氯仿、油类等多数有机溶剂。主要用作溶剂和油脂处理，但易挥发和着火。实验室柱层析时，常用石油醚（PE）和乙酸乙酯（EA）做洗脱剂。石油醚不等于汽油，同时，其结构中没有醚键（C-O-C）。</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25</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rPr>
                  </w:pPr>
                  <w:r>
                    <w:rPr>
                      <w:kern w:val="0"/>
                      <w:szCs w:val="21"/>
                    </w:rPr>
                    <w:t>甲酸</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lang w:val="pt-BR"/>
                    </w:rPr>
                    <w:t>HCOOH</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甲酸是一种有机物，化学式为HCOOH，分子量46.03，相对密度（20℃，4℃）：1.220；临界压力：8.63Mpa；闪点：68.9℃（开杯）；密度：1.22g/cm</w:t>
                  </w:r>
                  <w:r>
                    <w:rPr>
                      <w:color w:val="000000"/>
                      <w:szCs w:val="21"/>
                      <w:vertAlign w:val="superscript"/>
                      <w:lang w:val="pt-BR"/>
                    </w:rPr>
                    <w:t>3</w:t>
                  </w:r>
                  <w:r>
                    <w:rPr>
                      <w:color w:val="000000"/>
                      <w:szCs w:val="21"/>
                      <w:lang w:val="pt-BR"/>
                    </w:rPr>
                    <w:t>；熔点：8.2-8.4℃；沸点：100.6℃；俗名蚁酸，是最简单的羧酸。为无色而有刺激性气味的液体。甲酸属于弱电解质，但其水溶液中弱酸性且腐蚀性强，能刺激皮肤起泡。能与水、乙醇、乙醚和甘油任意混溶，和大多数的极性有机溶剂混溶，在烃中也有一定的溶解性。</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26</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rPr>
                  </w:pPr>
                  <w:r>
                    <w:rPr>
                      <w:color w:val="000000"/>
                      <w:szCs w:val="21"/>
                    </w:rPr>
                    <w:t>乙酸</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lang w:val="pt-BR"/>
                    </w:rPr>
                    <w:t>CH</w:t>
                  </w:r>
                  <w:r>
                    <w:rPr>
                      <w:color w:val="000000"/>
                      <w:szCs w:val="21"/>
                      <w:vertAlign w:val="subscript"/>
                      <w:lang w:val="pt-BR"/>
                    </w:rPr>
                    <w:t>3</w:t>
                  </w:r>
                  <w:r>
                    <w:rPr>
                      <w:color w:val="000000"/>
                      <w:szCs w:val="21"/>
                      <w:lang w:val="pt-BR"/>
                    </w:rPr>
                    <w:t>COOH</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也叫醋酸，是一种有机化合物，化学式CH</w:t>
                  </w:r>
                  <w:r>
                    <w:rPr>
                      <w:color w:val="000000"/>
                      <w:szCs w:val="21"/>
                      <w:vertAlign w:val="subscript"/>
                      <w:lang w:val="pt-BR"/>
                    </w:rPr>
                    <w:t>3</w:t>
                  </w:r>
                  <w:r>
                    <w:rPr>
                      <w:color w:val="000000"/>
                      <w:szCs w:val="21"/>
                      <w:lang w:val="pt-BR"/>
                    </w:rPr>
                    <w:t>COOH，分子量60.05；熔点：16.6℃；沸点：117.9℃；密度：1.05g/cm</w:t>
                  </w:r>
                  <w:r>
                    <w:rPr>
                      <w:color w:val="000000"/>
                      <w:szCs w:val="21"/>
                      <w:vertAlign w:val="superscript"/>
                      <w:lang w:val="pt-BR"/>
                    </w:rPr>
                    <w:t>3</w:t>
                  </w:r>
                  <w:r>
                    <w:rPr>
                      <w:color w:val="000000"/>
                      <w:szCs w:val="21"/>
                      <w:lang w:val="pt-BR"/>
                    </w:rPr>
                    <w:t>；闪点：39℃（CC）；是一种有机一元酸，为食醋主要成分。外观：无色透明液体；溶解性：溶于水、乙醇、乙醚、甘油，不溶于二硫化碳；纯的无水乙酸（冰醋酸）是无色的吸湿性液体，凝固点为16.6℃（62℉），凝固后为无色晶体，其水溶液中弱酸性且腐蚀性强，对金属有强烈腐蚀性，蒸汽对眼和鼻有刺激性作用。浓度为1mol/L的醋酸溶液（类似于家用醋的浓度）的pH为2.4，也就是说仅有0.4%的醋酸分子是解离的。</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27</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rPr>
                  </w:pPr>
                  <w:r>
                    <w:rPr>
                      <w:color w:val="000000"/>
                      <w:szCs w:val="21"/>
                    </w:rPr>
                    <w:t>异丙酮</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lang w:val="pt-BR"/>
                    </w:rPr>
                    <w:t>C</w:t>
                  </w:r>
                  <w:r>
                    <w:rPr>
                      <w:color w:val="000000"/>
                      <w:szCs w:val="21"/>
                      <w:vertAlign w:val="subscript"/>
                      <w:lang w:val="pt-BR"/>
                    </w:rPr>
                    <w:t>3</w:t>
                  </w:r>
                  <w:r>
                    <w:rPr>
                      <w:color w:val="000000"/>
                      <w:szCs w:val="21"/>
                      <w:lang w:val="pt-BR"/>
                    </w:rPr>
                    <w:t>H</w:t>
                  </w:r>
                  <w:r>
                    <w:rPr>
                      <w:color w:val="000000"/>
                      <w:szCs w:val="21"/>
                      <w:vertAlign w:val="subscript"/>
                      <w:lang w:val="pt-BR"/>
                    </w:rPr>
                    <w:t>8</w:t>
                  </w:r>
                  <w:r>
                    <w:rPr>
                      <w:color w:val="000000"/>
                      <w:szCs w:val="21"/>
                      <w:lang w:val="pt-BR"/>
                    </w:rPr>
                    <w:t>O</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是一种有机化合物，化学式是C</w:t>
                  </w:r>
                  <w:r>
                    <w:rPr>
                      <w:color w:val="000000"/>
                      <w:szCs w:val="21"/>
                      <w:vertAlign w:val="subscript"/>
                      <w:lang w:val="pt-BR"/>
                    </w:rPr>
                    <w:t>3</w:t>
                  </w:r>
                  <w:r>
                    <w:rPr>
                      <w:color w:val="000000"/>
                      <w:szCs w:val="21"/>
                      <w:lang w:val="pt-BR"/>
                    </w:rPr>
                    <w:t>H</w:t>
                  </w:r>
                  <w:r>
                    <w:rPr>
                      <w:color w:val="000000"/>
                      <w:szCs w:val="21"/>
                      <w:vertAlign w:val="subscript"/>
                      <w:lang w:val="pt-BR"/>
                    </w:rPr>
                    <w:t>8</w:t>
                  </w:r>
                  <w:r>
                    <w:rPr>
                      <w:color w:val="000000"/>
                      <w:szCs w:val="21"/>
                      <w:lang w:val="pt-BR"/>
                    </w:rPr>
                    <w:t>O，分子量：60.095；密度：0.7855g/cm</w:t>
                  </w:r>
                  <w:r>
                    <w:rPr>
                      <w:color w:val="000000"/>
                      <w:szCs w:val="21"/>
                      <w:vertAlign w:val="superscript"/>
                      <w:lang w:val="pt-BR"/>
                    </w:rPr>
                    <w:t>3</w:t>
                  </w:r>
                  <w:r>
                    <w:rPr>
                      <w:color w:val="000000"/>
                      <w:szCs w:val="21"/>
                      <w:lang w:val="pt-BR"/>
                    </w:rPr>
                    <w:t>；熔点：-89.5℃；沸点：82.5℃；闪点：11.7℃（CC）；是正丙醇的同分异构体，为无色透明液体，有似乙醇和丙酮混合物的气味，可溶于水，也可溶于醇、醚、苯、氯仿等多数有机溶剂。</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28</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rPr>
                  </w:pPr>
                  <w:r>
                    <w:rPr>
                      <w:kern w:val="0"/>
                      <w:szCs w:val="21"/>
                    </w:rPr>
                    <w:t>甲苯</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lang w:val="pt-BR"/>
                    </w:rPr>
                    <w:t>C</w:t>
                  </w:r>
                  <w:r>
                    <w:rPr>
                      <w:color w:val="000000"/>
                      <w:szCs w:val="21"/>
                      <w:vertAlign w:val="subscript"/>
                      <w:lang w:val="pt-BR"/>
                    </w:rPr>
                    <w:t>7</w:t>
                  </w:r>
                  <w:r>
                    <w:rPr>
                      <w:color w:val="000000"/>
                      <w:szCs w:val="21"/>
                      <w:lang w:val="pt-BR"/>
                    </w:rPr>
                    <w:t>H</w:t>
                  </w:r>
                  <w:r>
                    <w:rPr>
                      <w:color w:val="000000"/>
                      <w:szCs w:val="21"/>
                      <w:vertAlign w:val="subscript"/>
                      <w:lang w:val="pt-BR"/>
                    </w:rPr>
                    <w:t>8</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是一种有机化合物，化学式为C</w:t>
                  </w:r>
                  <w:r>
                    <w:rPr>
                      <w:color w:val="000000"/>
                      <w:szCs w:val="21"/>
                      <w:vertAlign w:val="subscript"/>
                      <w:lang w:val="pt-BR"/>
                    </w:rPr>
                    <w:t>7</w:t>
                  </w:r>
                  <w:r>
                    <w:rPr>
                      <w:color w:val="000000"/>
                      <w:szCs w:val="21"/>
                      <w:lang w:val="pt-BR"/>
                    </w:rPr>
                    <w:t>H</w:t>
                  </w:r>
                  <w:r>
                    <w:rPr>
                      <w:color w:val="000000"/>
                      <w:szCs w:val="21"/>
                      <w:vertAlign w:val="subscript"/>
                      <w:lang w:val="pt-BR"/>
                    </w:rPr>
                    <w:t>8</w:t>
                  </w:r>
                  <w:r>
                    <w:rPr>
                      <w:color w:val="000000"/>
                      <w:szCs w:val="21"/>
                      <w:lang w:val="pt-BR"/>
                    </w:rPr>
                    <w:t>，分子量：92.14；是一种无色、带特殊芳香味的易挥发液体。熔点：-94.9℃；沸点：110.6℃；密度：0.872g/cm</w:t>
                  </w:r>
                  <w:r>
                    <w:rPr>
                      <w:color w:val="000000"/>
                      <w:szCs w:val="21"/>
                      <w:vertAlign w:val="superscript"/>
                      <w:lang w:val="pt-BR"/>
                    </w:rPr>
                    <w:t>3</w:t>
                  </w:r>
                  <w:r>
                    <w:rPr>
                      <w:color w:val="000000"/>
                      <w:szCs w:val="21"/>
                      <w:lang w:val="pt-BR"/>
                    </w:rPr>
                    <w:t>；饱和蒸气压：3.8kPa（25℃）；临界温度：318.6℃；有强折光性。能与乙醇、乙醚、丙酮、氯仿、二硫化碳和冰乙酸混溶，极微溶于水。易燃，蒸气能与空气形成爆炸性混合物，混合物的体积浓度在较低范围时即可发生爆炸。化学性质活泼，与苯相像。可进行氧化、磺化、硝化和歧化反应，以及侧链氯化反应。甲苯能被氧化成苯甲酸。</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29</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rPr>
                  </w:pPr>
                  <w:r>
                    <w:rPr>
                      <w:color w:val="000000"/>
                      <w:szCs w:val="21"/>
                    </w:rPr>
                    <w:t>氯仿</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lang w:val="pt-BR"/>
                    </w:rPr>
                    <w:t>CHCl</w:t>
                  </w:r>
                  <w:r>
                    <w:rPr>
                      <w:color w:val="000000"/>
                      <w:szCs w:val="21"/>
                      <w:vertAlign w:val="subscript"/>
                      <w:lang w:val="pt-BR"/>
                    </w:rPr>
                    <w:t>3</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是一种有机化合物，化学式为CHCl</w:t>
                  </w:r>
                  <w:r>
                    <w:rPr>
                      <w:color w:val="000000"/>
                      <w:szCs w:val="21"/>
                      <w:vertAlign w:val="subscript"/>
                      <w:lang w:val="pt-BR"/>
                    </w:rPr>
                    <w:t>3</w:t>
                  </w:r>
                  <w:r>
                    <w:rPr>
                      <w:color w:val="000000"/>
                      <w:szCs w:val="21"/>
                      <w:lang w:val="pt-BR"/>
                    </w:rPr>
                    <w:t>，分子量：119.38；熔点：-63.5℃；密度：1.48g/cm</w:t>
                  </w:r>
                  <w:r>
                    <w:rPr>
                      <w:color w:val="000000"/>
                      <w:szCs w:val="21"/>
                      <w:vertAlign w:val="superscript"/>
                      <w:lang w:val="pt-BR"/>
                    </w:rPr>
                    <w:t>3</w:t>
                  </w:r>
                  <w:r>
                    <w:rPr>
                      <w:color w:val="000000"/>
                      <w:szCs w:val="21"/>
                      <w:lang w:val="pt-BR"/>
                    </w:rPr>
                    <w:t>；沸点：61.3℃；为无色透明液体，有特殊气味，味甜，高折光，不燃，质重，易挥发。对光敏感，遇光照会与空气中的氧作用，逐渐分解而生成剧毒的光气（碳酰氯）和氯化氢。可加入0.6%～1%的乙醇作稳定剂。能与乙醇、苯、乙醚、石油醚、四氯化碳、二硫化碳和油类等混溶、25℃时1mL0.691溶于200mL水。</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30</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rPr>
                  </w:pPr>
                  <w:r>
                    <w:rPr>
                      <w:kern w:val="0"/>
                      <w:szCs w:val="21"/>
                    </w:rPr>
                    <w:t>异辛烷</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lang w:val="pt-BR"/>
                    </w:rPr>
                    <w:t>C</w:t>
                  </w:r>
                  <w:r>
                    <w:rPr>
                      <w:color w:val="000000"/>
                      <w:szCs w:val="21"/>
                      <w:vertAlign w:val="subscript"/>
                      <w:lang w:val="pt-BR"/>
                    </w:rPr>
                    <w:t>8</w:t>
                  </w:r>
                  <w:r>
                    <w:rPr>
                      <w:color w:val="000000"/>
                      <w:szCs w:val="21"/>
                      <w:lang w:val="pt-BR"/>
                    </w:rPr>
                    <w:t>H</w:t>
                  </w:r>
                  <w:r>
                    <w:rPr>
                      <w:color w:val="000000"/>
                      <w:szCs w:val="21"/>
                      <w:vertAlign w:val="subscript"/>
                      <w:lang w:val="pt-BR"/>
                    </w:rPr>
                    <w:t>18</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2,2,4-三甲基戊烷，是一种有机化合物，化学式为C</w:t>
                  </w:r>
                  <w:r>
                    <w:rPr>
                      <w:color w:val="000000"/>
                      <w:szCs w:val="21"/>
                      <w:vertAlign w:val="subscript"/>
                      <w:lang w:val="pt-BR"/>
                    </w:rPr>
                    <w:t>8</w:t>
                  </w:r>
                  <w:r>
                    <w:rPr>
                      <w:color w:val="000000"/>
                      <w:szCs w:val="21"/>
                      <w:lang w:val="pt-BR"/>
                    </w:rPr>
                    <w:t>H</w:t>
                  </w:r>
                  <w:r>
                    <w:rPr>
                      <w:color w:val="000000"/>
                      <w:szCs w:val="21"/>
                      <w:vertAlign w:val="subscript"/>
                      <w:lang w:val="pt-BR"/>
                    </w:rPr>
                    <w:t>18</w:t>
                  </w:r>
                  <w:r>
                    <w:rPr>
                      <w:color w:val="000000"/>
                      <w:szCs w:val="21"/>
                      <w:lang w:val="pt-BR"/>
                    </w:rPr>
                    <w:t>，分子量：114.23；主要用于有机合成，也可用作溶剂及气相色谱的对比样品。熔点：-107.4ºC；沸点：98-99ºC；密度：0.691（20℃）；闪点：4.5℃（OC）；折射率：1.391（20℃）；饱和蒸气压：5.1kPa（20ºC）；外观：无色透明液体；溶解性：不溶于水，混溶于庚烷、丙酮，溶于乙醚、苯、甲苯、二甲苯、氯仿、二硫化碳、四氯化碳等。</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31</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kern w:val="0"/>
                      <w:szCs w:val="21"/>
                    </w:rPr>
                    <w:t>环乙烷</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2</w:t>
                  </w:r>
                  <w:r>
                    <w:rPr>
                      <w:color w:val="000000"/>
                      <w:szCs w:val="21"/>
                      <w:lang w:val="pt-BR"/>
                    </w:rPr>
                    <w:t>H</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分子式：C</w:t>
                  </w:r>
                  <w:r>
                    <w:rPr>
                      <w:color w:val="000000"/>
                      <w:szCs w:val="21"/>
                      <w:vertAlign w:val="subscript"/>
                      <w:lang w:val="pt-BR"/>
                    </w:rPr>
                    <w:t>2</w:t>
                  </w:r>
                  <w:r>
                    <w:rPr>
                      <w:color w:val="000000"/>
                      <w:szCs w:val="21"/>
                      <w:lang w:val="pt-BR"/>
                    </w:rPr>
                    <w:t>H</w:t>
                  </w:r>
                  <w:r>
                    <w:rPr>
                      <w:color w:val="000000"/>
                      <w:szCs w:val="21"/>
                      <w:vertAlign w:val="subscript"/>
                      <w:lang w:val="pt-BR"/>
                    </w:rPr>
                    <w:t>4</w:t>
                  </w:r>
                  <w:r>
                    <w:rPr>
                      <w:color w:val="000000"/>
                      <w:szCs w:val="21"/>
                      <w:lang w:val="pt-BR"/>
                    </w:rPr>
                    <w:t>；相对分子质量：28.034；它是无色液体，易挥发，易燃烧，是生产合成纤维锦纶的一种重要原料，也是一种有机溶剂。密度：0.79g/cm</w:t>
                  </w:r>
                  <w:r>
                    <w:rPr>
                      <w:color w:val="000000"/>
                      <w:szCs w:val="21"/>
                      <w:vertAlign w:val="superscript"/>
                      <w:lang w:val="pt-BR"/>
                    </w:rPr>
                    <w:t>3</w:t>
                  </w:r>
                  <w:r>
                    <w:rPr>
                      <w:color w:val="000000"/>
                      <w:szCs w:val="21"/>
                      <w:lang w:val="pt-BR"/>
                    </w:rPr>
                    <w:t>；</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32</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lang w:val="pt-BR"/>
                    </w:rPr>
                  </w:pPr>
                  <w:r>
                    <w:rPr>
                      <w:color w:val="000000"/>
                      <w:szCs w:val="21"/>
                      <w:lang w:val="pt-BR"/>
                    </w:rPr>
                    <w:t>环己烷</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6</w:t>
                  </w:r>
                  <w:r>
                    <w:rPr>
                      <w:color w:val="000000"/>
                      <w:szCs w:val="21"/>
                      <w:lang w:val="pt-BR"/>
                    </w:rPr>
                    <w:t>H</w:t>
                  </w:r>
                  <w:r>
                    <w:rPr>
                      <w:color w:val="000000"/>
                      <w:szCs w:val="21"/>
                      <w:vertAlign w:val="subscript"/>
                      <w:lang w:val="pt-BR"/>
                    </w:rPr>
                    <w:t>12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是一种有机化合物，化学式是C</w:t>
                  </w:r>
                  <w:r>
                    <w:rPr>
                      <w:color w:val="000000"/>
                      <w:szCs w:val="21"/>
                      <w:vertAlign w:val="subscript"/>
                      <w:lang w:val="pt-BR"/>
                    </w:rPr>
                    <w:t>6</w:t>
                  </w:r>
                  <w:r>
                    <w:rPr>
                      <w:color w:val="000000"/>
                      <w:szCs w:val="21"/>
                      <w:lang w:val="pt-BR"/>
                    </w:rPr>
                    <w:t>H</w:t>
                  </w:r>
                  <w:r>
                    <w:rPr>
                      <w:color w:val="000000"/>
                      <w:szCs w:val="21"/>
                      <w:vertAlign w:val="subscript"/>
                      <w:lang w:val="pt-BR"/>
                    </w:rPr>
                    <w:t>12</w:t>
                  </w:r>
                  <w:r>
                    <w:rPr>
                      <w:color w:val="000000"/>
                      <w:szCs w:val="21"/>
                      <w:lang w:val="pt-BR"/>
                    </w:rPr>
                    <w:t>，分子量：84.162；密度：0.79g/cm</w:t>
                  </w:r>
                  <w:r>
                    <w:rPr>
                      <w:color w:val="000000"/>
                      <w:szCs w:val="21"/>
                      <w:vertAlign w:val="superscript"/>
                      <w:lang w:val="pt-BR"/>
                    </w:rPr>
                    <w:t>3</w:t>
                  </w:r>
                  <w:r>
                    <w:rPr>
                      <w:color w:val="000000"/>
                      <w:szCs w:val="21"/>
                      <w:lang w:val="pt-BR"/>
                    </w:rPr>
                    <w:t>；熔点：6.5℃；沸点：80.7℃；闪点：-18℃（CC）；为无色有刺激性气味的液体，不溶于水，溶于乙醇、乙醚、苯、丙酮等多数有机溶剂。</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33</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氢氧化钠</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NaOH</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也称苛性钠、烧碱、火碱，是一种无机化合物，化学式NaOH，分子量：40.00；密度：2.13g/cm</w:t>
                  </w:r>
                  <w:r>
                    <w:rPr>
                      <w:color w:val="000000"/>
                      <w:szCs w:val="21"/>
                      <w:vertAlign w:val="superscript"/>
                      <w:lang w:val="pt-BR"/>
                    </w:rPr>
                    <w:t>3</w:t>
                  </w:r>
                  <w:r>
                    <w:rPr>
                      <w:color w:val="000000"/>
                      <w:szCs w:val="21"/>
                      <w:lang w:val="pt-BR"/>
                    </w:rPr>
                    <w:t>；熔点：318℃；沸点：1388℃；氢氧化钠具有强碱性，腐蚀性极强，可作酸中和剂、配合掩蔽剂、沉淀剂、沉淀掩蔽剂、显色剂、皂化剂、去皮剂、洗涤剂等，用途非常广泛。外观：白色结晶性粉末；溶解性：易溶于水、乙醇、甘油，不溶于丙酮、乙醚。</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34</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kern w:val="0"/>
                      <w:szCs w:val="21"/>
                    </w:rPr>
                    <w:t>氢氧化钾</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KOH</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是一种无机化合物，化学式为KOH，分子量：56.1056；密度：1.450g/cm</w:t>
                  </w:r>
                  <w:r>
                    <w:rPr>
                      <w:color w:val="000000"/>
                      <w:szCs w:val="21"/>
                      <w:vertAlign w:val="superscript"/>
                      <w:lang w:val="pt-BR"/>
                    </w:rPr>
                    <w:t>3</w:t>
                  </w:r>
                  <w:r>
                    <w:rPr>
                      <w:color w:val="000000"/>
                      <w:szCs w:val="21"/>
                      <w:lang w:val="pt-BR"/>
                    </w:rPr>
                    <w:t>；熔点：361℃；沸点：1320℃；折射率：1.421（20℃）；是常见的无机碱，具有强碱性，0.1mol/L溶液的pH为13.5，溶于水、乙醇，微溶于乙醚，极易吸收空气中水分而潮解，吸收二氧化碳而成碳酸钾，外观：白色结晶性粉末，溶解性：溶于水、乙醇，微溶于乙醚。</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35</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酒石酸氢钾</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KHC</w:t>
                  </w:r>
                  <w:r>
                    <w:rPr>
                      <w:color w:val="000000"/>
                      <w:szCs w:val="21"/>
                      <w:vertAlign w:val="subscript"/>
                      <w:lang w:val="pt-BR"/>
                    </w:rPr>
                    <w:t>4</w:t>
                  </w:r>
                  <w:r>
                    <w:rPr>
                      <w:color w:val="000000"/>
                      <w:szCs w:val="21"/>
                      <w:lang w:val="pt-BR"/>
                    </w:rPr>
                    <w:t>H</w:t>
                  </w:r>
                  <w:r>
                    <w:rPr>
                      <w:color w:val="000000"/>
                      <w:szCs w:val="21"/>
                      <w:vertAlign w:val="subscript"/>
                      <w:lang w:val="pt-BR"/>
                    </w:rPr>
                    <w:t>4</w:t>
                  </w:r>
                  <w:r>
                    <w:rPr>
                      <w:color w:val="000000"/>
                      <w:szCs w:val="21"/>
                      <w:lang w:val="pt-BR"/>
                    </w:rPr>
                    <w:t>O</w:t>
                  </w:r>
                  <w:r>
                    <w:rPr>
                      <w:color w:val="000000"/>
                      <w:szCs w:val="21"/>
                      <w:vertAlign w:val="subscript"/>
                      <w:lang w:val="pt-BR"/>
                    </w:rPr>
                    <w:t>6</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化学式KHC</w:t>
                  </w:r>
                  <w:r>
                    <w:rPr>
                      <w:color w:val="000000"/>
                      <w:szCs w:val="21"/>
                      <w:vertAlign w:val="subscript"/>
                      <w:lang w:val="pt-BR"/>
                    </w:rPr>
                    <w:t>4</w:t>
                  </w:r>
                  <w:r>
                    <w:rPr>
                      <w:color w:val="000000"/>
                      <w:szCs w:val="21"/>
                      <w:lang w:val="pt-BR"/>
                    </w:rPr>
                    <w:t>H</w:t>
                  </w:r>
                  <w:r>
                    <w:rPr>
                      <w:color w:val="000000"/>
                      <w:szCs w:val="21"/>
                      <w:vertAlign w:val="subscript"/>
                      <w:lang w:val="pt-BR"/>
                    </w:rPr>
                    <w:t>4</w:t>
                  </w:r>
                  <w:r>
                    <w:rPr>
                      <w:color w:val="000000"/>
                      <w:szCs w:val="21"/>
                      <w:lang w:val="pt-BR"/>
                    </w:rPr>
                    <w:t>O</w:t>
                  </w:r>
                  <w:r>
                    <w:rPr>
                      <w:color w:val="000000"/>
                      <w:szCs w:val="21"/>
                      <w:vertAlign w:val="subscript"/>
                      <w:lang w:val="pt-BR"/>
                    </w:rPr>
                    <w:t>6</w:t>
                  </w:r>
                  <w:r>
                    <w:rPr>
                      <w:color w:val="000000"/>
                      <w:szCs w:val="21"/>
                      <w:lang w:val="pt-BR"/>
                    </w:rPr>
                    <w:t>；分子量188.18；酒石酸氢钾，是酒石酸钾的酸式盐。是酿葡萄酒时的副产品，被食品工业称作塔塔粉，通常为无色至白色斜方晶系结晶性粉末，无臭，有愉快的清凉酸味。相对密度1.984kg/m³。水溶性：难溶于水，易溶于稀无机酸；碱溶液或硼砂溶液。不溶于乙醇或乙酸。</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36</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柠檬酸氢二钠</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6</w:t>
                  </w:r>
                  <w:r>
                    <w:rPr>
                      <w:color w:val="000000"/>
                      <w:szCs w:val="21"/>
                      <w:lang w:val="pt-BR"/>
                    </w:rPr>
                    <w:t>H</w:t>
                  </w:r>
                  <w:r>
                    <w:rPr>
                      <w:color w:val="000000"/>
                      <w:szCs w:val="21"/>
                      <w:vertAlign w:val="subscript"/>
                      <w:lang w:val="pt-BR"/>
                    </w:rPr>
                    <w:t>6</w:t>
                  </w:r>
                  <w:r>
                    <w:rPr>
                      <w:color w:val="000000"/>
                      <w:szCs w:val="21"/>
                      <w:lang w:val="pt-BR"/>
                    </w:rPr>
                    <w:t>Na</w:t>
                  </w:r>
                  <w:r>
                    <w:rPr>
                      <w:color w:val="000000"/>
                      <w:szCs w:val="21"/>
                      <w:vertAlign w:val="subscript"/>
                      <w:lang w:val="pt-BR"/>
                    </w:rPr>
                    <w:t>2</w:t>
                  </w:r>
                  <w:r>
                    <w:rPr>
                      <w:color w:val="000000"/>
                      <w:szCs w:val="21"/>
                      <w:lang w:val="pt-BR"/>
                    </w:rPr>
                    <w:t>O</w:t>
                  </w:r>
                  <w:r>
                    <w:rPr>
                      <w:color w:val="000000"/>
                      <w:szCs w:val="21"/>
                      <w:vertAlign w:val="subscript"/>
                      <w:lang w:val="pt-BR"/>
                    </w:rPr>
                    <w:t>7</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分子式是C</w:t>
                  </w:r>
                  <w:r>
                    <w:rPr>
                      <w:color w:val="000000"/>
                      <w:szCs w:val="21"/>
                      <w:vertAlign w:val="subscript"/>
                      <w:lang w:val="pt-BR"/>
                    </w:rPr>
                    <w:t>6</w:t>
                  </w:r>
                  <w:r>
                    <w:rPr>
                      <w:color w:val="000000"/>
                      <w:szCs w:val="21"/>
                      <w:lang w:val="pt-BR"/>
                    </w:rPr>
                    <w:t>H</w:t>
                  </w:r>
                  <w:r>
                    <w:rPr>
                      <w:color w:val="000000"/>
                      <w:szCs w:val="21"/>
                      <w:vertAlign w:val="subscript"/>
                      <w:lang w:val="pt-BR"/>
                    </w:rPr>
                    <w:t>6</w:t>
                  </w:r>
                  <w:r>
                    <w:rPr>
                      <w:color w:val="000000"/>
                      <w:szCs w:val="21"/>
                      <w:lang w:val="pt-BR"/>
                    </w:rPr>
                    <w:t>Na</w:t>
                  </w:r>
                  <w:r>
                    <w:rPr>
                      <w:color w:val="000000"/>
                      <w:szCs w:val="21"/>
                      <w:vertAlign w:val="subscript"/>
                      <w:lang w:val="pt-BR"/>
                    </w:rPr>
                    <w:t>2</w:t>
                  </w:r>
                  <w:r>
                    <w:rPr>
                      <w:color w:val="000000"/>
                      <w:szCs w:val="21"/>
                      <w:lang w:val="pt-BR"/>
                    </w:rPr>
                    <w:t>O</w:t>
                  </w:r>
                  <w:r>
                    <w:rPr>
                      <w:color w:val="000000"/>
                      <w:szCs w:val="21"/>
                      <w:vertAlign w:val="subscript"/>
                      <w:lang w:val="pt-BR"/>
                    </w:rPr>
                    <w:t>7</w:t>
                  </w:r>
                  <w:r>
                    <w:rPr>
                      <w:color w:val="000000"/>
                      <w:szCs w:val="21"/>
                      <w:lang w:val="pt-BR"/>
                    </w:rPr>
                    <w:t>；分子量236.09；本品为2-羟基丙烷-1，2，3-三羧酸。按无水物计算，含CsH807应在99.5%</w:t>
                  </w:r>
                  <w:r>
                    <w:rPr>
                      <w:rFonts w:eastAsia="微软雅黑"/>
                      <w:color w:val="000000"/>
                      <w:szCs w:val="21"/>
                      <w:lang w:val="pt-BR"/>
                    </w:rPr>
                    <w:t>〜</w:t>
                  </w:r>
                  <w:r>
                    <w:rPr>
                      <w:color w:val="000000"/>
                      <w:szCs w:val="21"/>
                      <w:lang w:val="pt-BR"/>
                    </w:rPr>
                    <w:t>100.5%。无色的半透明结晶、白色颗粒或白色结晶性粉末；无臭，味极酸；在干燥空气中微有风化性；水溶液显酸性反应。在水中极易溶解，在乙醇中易溶，在乙醚中略溶。熔点（通则0612)为152</w:t>
                  </w:r>
                  <w:r>
                    <w:rPr>
                      <w:rFonts w:eastAsia="微软雅黑"/>
                      <w:color w:val="000000"/>
                      <w:szCs w:val="21"/>
                      <w:lang w:val="pt-BR"/>
                    </w:rPr>
                    <w:t>〜</w:t>
                  </w:r>
                  <w:r>
                    <w:rPr>
                      <w:color w:val="000000"/>
                      <w:szCs w:val="21"/>
                      <w:lang w:val="pt-BR"/>
                    </w:rPr>
                    <w:t>154°C，熔融同时分解。熔点240°C</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37</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一水柠檬酸</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6</w:t>
                  </w:r>
                  <w:r>
                    <w:rPr>
                      <w:color w:val="000000"/>
                      <w:szCs w:val="21"/>
                      <w:lang w:val="pt-BR"/>
                    </w:rPr>
                    <w:t>H</w:t>
                  </w:r>
                  <w:r>
                    <w:rPr>
                      <w:color w:val="000000"/>
                      <w:szCs w:val="21"/>
                      <w:vertAlign w:val="subscript"/>
                      <w:lang w:val="pt-BR"/>
                    </w:rPr>
                    <w:t>10</w:t>
                  </w:r>
                  <w:r>
                    <w:rPr>
                      <w:color w:val="000000"/>
                      <w:szCs w:val="21"/>
                      <w:lang w:val="pt-BR"/>
                    </w:rPr>
                    <w:t>O</w:t>
                  </w:r>
                  <w:r>
                    <w:rPr>
                      <w:color w:val="000000"/>
                      <w:szCs w:val="21"/>
                      <w:vertAlign w:val="subscript"/>
                      <w:lang w:val="pt-BR"/>
                    </w:rPr>
                    <w:t>8</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一种有机化合物，分子式为C</w:t>
                  </w:r>
                  <w:r>
                    <w:rPr>
                      <w:color w:val="000000"/>
                      <w:szCs w:val="21"/>
                      <w:vertAlign w:val="subscript"/>
                      <w:lang w:val="pt-BR"/>
                    </w:rPr>
                    <w:t>6</w:t>
                  </w:r>
                  <w:r>
                    <w:rPr>
                      <w:color w:val="000000"/>
                      <w:szCs w:val="21"/>
                      <w:lang w:val="pt-BR"/>
                    </w:rPr>
                    <w:t>H</w:t>
                  </w:r>
                  <w:r>
                    <w:rPr>
                      <w:color w:val="000000"/>
                      <w:szCs w:val="21"/>
                      <w:vertAlign w:val="subscript"/>
                      <w:lang w:val="pt-BR"/>
                    </w:rPr>
                    <w:t>10</w:t>
                  </w:r>
                  <w:r>
                    <w:rPr>
                      <w:color w:val="000000"/>
                      <w:szCs w:val="21"/>
                      <w:lang w:val="pt-BR"/>
                    </w:rPr>
                    <w:t>O</w:t>
                  </w:r>
                  <w:r>
                    <w:rPr>
                      <w:color w:val="000000"/>
                      <w:szCs w:val="21"/>
                      <w:vertAlign w:val="subscript"/>
                      <w:lang w:val="pt-BR"/>
                    </w:rPr>
                    <w:t>8</w:t>
                  </w:r>
                  <w:r>
                    <w:rPr>
                      <w:color w:val="000000"/>
                      <w:szCs w:val="21"/>
                      <w:lang w:val="pt-BR"/>
                    </w:rPr>
                    <w:t>，分子量：210.14。性质：密度1.54。熔点135-152℃。闪点173.9℃。水溶性1630g/L(20℃)。主要用于食品、饮料行业作为酸味剂、调味剂及防腐剂、保鲜剂。外观与性状：白色结晶粉末，无臭。溶解性：溶于水、乙醇、乙醚，不溶于苯，微溶于氯仿。</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38</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硼砂</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Na</w:t>
                  </w:r>
                  <w:r>
                    <w:rPr>
                      <w:color w:val="000000"/>
                      <w:szCs w:val="21"/>
                      <w:vertAlign w:val="subscript"/>
                      <w:lang w:val="pt-BR"/>
                    </w:rPr>
                    <w:t>2</w:t>
                  </w:r>
                  <w:r>
                    <w:rPr>
                      <w:color w:val="000000"/>
                      <w:szCs w:val="21"/>
                      <w:lang w:val="pt-BR"/>
                    </w:rPr>
                    <w:t>B</w:t>
                  </w:r>
                  <w:r>
                    <w:rPr>
                      <w:color w:val="000000"/>
                      <w:szCs w:val="21"/>
                      <w:vertAlign w:val="subscript"/>
                      <w:lang w:val="pt-BR"/>
                    </w:rPr>
                    <w:t>4</w:t>
                  </w:r>
                  <w:r>
                    <w:rPr>
                      <w:color w:val="000000"/>
                      <w:szCs w:val="21"/>
                      <w:lang w:val="pt-BR"/>
                    </w:rPr>
                    <w:t>O</w:t>
                  </w:r>
                  <w:r>
                    <w:rPr>
                      <w:color w:val="000000"/>
                      <w:szCs w:val="21"/>
                      <w:vertAlign w:val="subscript"/>
                      <w:lang w:val="pt-BR"/>
                    </w:rPr>
                    <w:t>7</w:t>
                  </w:r>
                  <w:r>
                    <w:rPr>
                      <w:color w:val="000000"/>
                      <w:szCs w:val="21"/>
                      <w:lang w:val="pt-BR"/>
                    </w:rPr>
                    <w:t>·10H</w:t>
                  </w:r>
                  <w:r>
                    <w:rPr>
                      <w:color w:val="000000"/>
                      <w:szCs w:val="21"/>
                      <w:vertAlign w:val="subscript"/>
                      <w:lang w:val="pt-BR"/>
                    </w:rPr>
                    <w:t>2</w:t>
                  </w:r>
                  <w:r>
                    <w:rPr>
                      <w:color w:val="000000"/>
                      <w:szCs w:val="21"/>
                      <w:lang w:val="pt-BR"/>
                    </w:rPr>
                    <w:t>O</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一种无机化合物，一般写作Na</w:t>
                  </w:r>
                  <w:r>
                    <w:rPr>
                      <w:color w:val="000000"/>
                      <w:szCs w:val="21"/>
                      <w:vertAlign w:val="subscript"/>
                      <w:lang w:val="pt-BR"/>
                    </w:rPr>
                    <w:t>2</w:t>
                  </w:r>
                  <w:r>
                    <w:rPr>
                      <w:color w:val="000000"/>
                      <w:szCs w:val="21"/>
                      <w:lang w:val="pt-BR"/>
                    </w:rPr>
                    <w:t>B</w:t>
                  </w:r>
                  <w:r>
                    <w:rPr>
                      <w:color w:val="000000"/>
                      <w:szCs w:val="21"/>
                      <w:vertAlign w:val="subscript"/>
                      <w:lang w:val="pt-BR"/>
                    </w:rPr>
                    <w:t>4</w:t>
                  </w:r>
                  <w:r>
                    <w:rPr>
                      <w:color w:val="000000"/>
                      <w:szCs w:val="21"/>
                      <w:lang w:val="pt-BR"/>
                    </w:rPr>
                    <w:t>O</w:t>
                  </w:r>
                  <w:r>
                    <w:rPr>
                      <w:color w:val="000000"/>
                      <w:szCs w:val="21"/>
                      <w:vertAlign w:val="subscript"/>
                      <w:lang w:val="pt-BR"/>
                    </w:rPr>
                    <w:t>7</w:t>
                  </w:r>
                  <w:r>
                    <w:rPr>
                      <w:color w:val="000000"/>
                      <w:szCs w:val="21"/>
                      <w:lang w:val="pt-BR"/>
                    </w:rPr>
                    <w:t>·10H</w:t>
                  </w:r>
                  <w:r>
                    <w:rPr>
                      <w:color w:val="000000"/>
                      <w:szCs w:val="21"/>
                      <w:vertAlign w:val="subscript"/>
                      <w:lang w:val="pt-BR"/>
                    </w:rPr>
                    <w:t>2</w:t>
                  </w:r>
                  <w:r>
                    <w:rPr>
                      <w:color w:val="000000"/>
                      <w:szCs w:val="21"/>
                      <w:lang w:val="pt-BR"/>
                    </w:rPr>
                    <w:t>O，分子量为381.37。硼砂是非常重要的含硼矿物及硼化合物。通常为含有无色晶体的白色粉末，易溶于水。系无色半透明结晶体或白色结晶粉末，单斜晶系。它无臭，味咸，易溶于水和甘油，不溶于乙醇和酸，水溶液呈弱碱性。其密度为1.73g/cm</w:t>
                  </w:r>
                  <w:r>
                    <w:rPr>
                      <w:color w:val="000000"/>
                      <w:szCs w:val="21"/>
                      <w:vertAlign w:val="superscript"/>
                      <w:lang w:val="pt-BR"/>
                    </w:rPr>
                    <w:t>3</w:t>
                  </w:r>
                  <w:r>
                    <w:rPr>
                      <w:color w:val="000000"/>
                      <w:szCs w:val="21"/>
                      <w:lang w:val="pt-BR"/>
                    </w:rPr>
                    <w:t>，在干燥空气中风化。在高于56℃时，自溶液中析出五水盐；低于56℃时，则析出十水盐；加热至350～400℃，完全失水成为无水盐；加热至878℃，熔化为玻璃状物。</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39</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七水硫酸钴</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CoSO</w:t>
                  </w:r>
                  <w:r>
                    <w:rPr>
                      <w:color w:val="000000"/>
                      <w:szCs w:val="21"/>
                      <w:vertAlign w:val="subscript"/>
                      <w:lang w:val="pt-BR"/>
                    </w:rPr>
                    <w:t>4</w:t>
                  </w:r>
                  <w:r>
                    <w:rPr>
                      <w:color w:val="000000"/>
                      <w:szCs w:val="21"/>
                      <w:lang w:val="pt-BR"/>
                    </w:rPr>
                    <w:t>.7(H</w:t>
                  </w:r>
                  <w:r>
                    <w:rPr>
                      <w:color w:val="000000"/>
                      <w:szCs w:val="21"/>
                      <w:vertAlign w:val="subscript"/>
                      <w:lang w:val="pt-BR"/>
                    </w:rPr>
                    <w:t>2</w:t>
                  </w:r>
                  <w:r>
                    <w:rPr>
                      <w:color w:val="000000"/>
                      <w:szCs w:val="21"/>
                      <w:lang w:val="pt-BR"/>
                    </w:rPr>
                    <w:t>O)</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化学式：CoSO</w:t>
                  </w:r>
                  <w:r>
                    <w:rPr>
                      <w:color w:val="000000"/>
                      <w:szCs w:val="21"/>
                      <w:vertAlign w:val="subscript"/>
                      <w:lang w:val="pt-BR"/>
                    </w:rPr>
                    <w:t>4</w:t>
                  </w:r>
                  <w:r>
                    <w:rPr>
                      <w:color w:val="000000"/>
                      <w:szCs w:val="21"/>
                      <w:lang w:val="pt-BR"/>
                    </w:rPr>
                    <w:t>.7(H</w:t>
                  </w:r>
                  <w:r>
                    <w:rPr>
                      <w:color w:val="000000"/>
                      <w:szCs w:val="21"/>
                      <w:vertAlign w:val="subscript"/>
                      <w:lang w:val="pt-BR"/>
                    </w:rPr>
                    <w:t>2</w:t>
                  </w:r>
                  <w:r>
                    <w:rPr>
                      <w:color w:val="000000"/>
                      <w:szCs w:val="21"/>
                      <w:lang w:val="pt-BR"/>
                    </w:rPr>
                    <w:t>O)；分子量：281.098；熔点：98°C；沸点：735°C；密度：2.03g/mLat25°C(lit.)；水溶性：362g/L(20℃)；桃红色单斜晶系结晶。溶于水及甲醇，不溶于氨，微溶于乙醇。用作陶瓷釉料、油漆催干剂，也用于染料，有毒物品</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rPr>
                    <w:t>40</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rPr>
                    <w:t>溴化钾</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KBr</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溴化钾是一种无机物，化学式为KBr，相对分子质量为119.00。无色结晶或白色粉末，有强烈咸味，见光色变黄。稍有吸湿性。1g溶于1.5ml水，水溶液呈中性。相对密度为2.75(25℃)。熔点730℃。沸点1435℃。</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41</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highlight w:val="yellow"/>
                    </w:rPr>
                  </w:pPr>
                  <w:r>
                    <w:rPr>
                      <w:color w:val="000000"/>
                      <w:szCs w:val="21"/>
                    </w:rPr>
                    <w:t>硫酸镁</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lang w:val="pt-BR"/>
                    </w:rPr>
                    <w:t>MgSO</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是一种含镁的化合物，分子式为MgSO</w:t>
                  </w:r>
                  <w:r>
                    <w:rPr>
                      <w:color w:val="000000"/>
                      <w:szCs w:val="21"/>
                      <w:vertAlign w:val="subscript"/>
                      <w:lang w:val="pt-BR"/>
                    </w:rPr>
                    <w:t>4</w:t>
                  </w:r>
                  <w:r>
                    <w:rPr>
                      <w:color w:val="000000"/>
                      <w:szCs w:val="21"/>
                      <w:lang w:val="pt-BR"/>
                    </w:rPr>
                    <w:t>，分子量120.3676；熔点：1124℃；水溶性：25.5g/100mL(20°C)；密度：2.66g/cm³；是一种常用的化学试剂及干燥试剂，为无色或白色晶体或粉末，无臭、味苦，有潮解性。临床用于导泻、利胆、抗惊厥、子痫、破伤风、高血压等症。溶解性：易溶于水，微溶于乙醇、甘油、乙醚，不溶于丙酮。毒性：低毒；稳定性：无水硫酸镁易吸水，七水硫酸镁易脱水</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42</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氧化钙</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CaO</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氧化钙是一种无机化合物，化学式是CaO，分子量：56.077；俗名生石灰。物理性质是表面白色粉末，不纯者为灰白色，含有杂质时呈淡黄色或灰色，具有吸湿性。密度：3.35g/cm</w:t>
                  </w:r>
                  <w:r>
                    <w:rPr>
                      <w:color w:val="000000"/>
                      <w:szCs w:val="21"/>
                      <w:vertAlign w:val="superscript"/>
                      <w:lang w:val="pt-BR"/>
                    </w:rPr>
                    <w:t>3</w:t>
                  </w:r>
                  <w:r>
                    <w:rPr>
                      <w:color w:val="000000"/>
                      <w:szCs w:val="21"/>
                      <w:lang w:val="pt-BR"/>
                    </w:rPr>
                    <w:t>；熔点：2572℃；沸点：2850℃；折射率：1.83；外观：白色至灰色固体；溶解性：不溶于乙醇，溶于酸、甘油。氧化钙为碱性氧化物，对湿敏感。易从空气中吸收二氧化碳及水分。与水反应生成氢氧化钙（Ca(OH)</w:t>
                  </w:r>
                  <w:r>
                    <w:rPr>
                      <w:color w:val="000000"/>
                      <w:szCs w:val="21"/>
                      <w:vertAlign w:val="subscript"/>
                      <w:lang w:val="pt-BR"/>
                    </w:rPr>
                    <w:t>2</w:t>
                  </w:r>
                  <w:r>
                    <w:rPr>
                      <w:color w:val="000000"/>
                      <w:szCs w:val="21"/>
                      <w:lang w:val="pt-BR"/>
                    </w:rPr>
                    <w:t>）并产生大量热，有腐蚀性。</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43</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碳酸钙</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CaCO₃</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碳酸钙是一种无机化合物，化学式为CaCO₃，是石灰石、大理石等的主要成分。碳酸钙基本上不溶于水，溶于盐酸（与盐酸反应）。密度为2.93g/cm</w:t>
                  </w:r>
                  <w:r>
                    <w:rPr>
                      <w:color w:val="000000"/>
                      <w:szCs w:val="21"/>
                      <w:vertAlign w:val="superscript"/>
                      <w:lang w:val="pt-BR"/>
                    </w:rPr>
                    <w:t>3</w:t>
                  </w:r>
                  <w:r>
                    <w:rPr>
                      <w:color w:val="000000"/>
                      <w:szCs w:val="21"/>
                      <w:lang w:val="pt-BR"/>
                    </w:rPr>
                    <w:t>。熔点1339℃（825-896.6℃时已分解），10.7MPa下熔点为1289℃。难溶于醇，溶于氯化铵溶液，几乎不溶于水。碳酸钙是白色微细结晶粉末，无味、无臭。有无定形和结晶两种形态。</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44</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氯化铝</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AlCl</w:t>
                  </w:r>
                  <w:r>
                    <w:rPr>
                      <w:color w:val="000000"/>
                      <w:szCs w:val="21"/>
                      <w:vertAlign w:val="subscript"/>
                      <w:lang w:val="pt-BR"/>
                    </w:rPr>
                    <w:t>3</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是一种无机化合物，化学式为AlCl</w:t>
                  </w:r>
                  <w:r>
                    <w:rPr>
                      <w:color w:val="000000"/>
                      <w:szCs w:val="21"/>
                      <w:vertAlign w:val="subscript"/>
                      <w:lang w:val="pt-BR"/>
                    </w:rPr>
                    <w:t>3</w:t>
                  </w:r>
                  <w:r>
                    <w:rPr>
                      <w:color w:val="000000"/>
                      <w:szCs w:val="21"/>
                      <w:lang w:val="pt-BR"/>
                    </w:rPr>
                    <w:t>，是氯和铝的化合物。氯化铝熔点、沸点都很低，且会升华，为共价化合物。氯化铝是白色结晶性粉末。有强盐酸气味，工业品呈淡黄色。易溶于水、醇、氯仿、四氯化碳，微溶于苯。氯化铝在178℃升华，它的蒸气是缔合的双分子。在空气中能吸收水分，一部分水解而放出氯化氢。氯化铝为无色透明晶体或白色而微带浅黄色的结晶性粉末。极易吸收水分并部分水解放出氯化氢而形成酸雾。易溶于水并强烈水解，溶液显酸性。也溶于乙醇和乙醚，同时放出大量的热。</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45</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氧化铝</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Al</w:t>
                  </w:r>
                  <w:r>
                    <w:rPr>
                      <w:color w:val="000000"/>
                      <w:szCs w:val="21"/>
                      <w:vertAlign w:val="subscript"/>
                      <w:lang w:val="pt-BR"/>
                    </w:rPr>
                    <w:t>2</w:t>
                  </w:r>
                  <w:r>
                    <w:rPr>
                      <w:color w:val="000000"/>
                      <w:szCs w:val="21"/>
                      <w:lang w:val="pt-BR"/>
                    </w:rPr>
                    <w:t>O</w:t>
                  </w:r>
                  <w:r>
                    <w:rPr>
                      <w:color w:val="000000"/>
                      <w:szCs w:val="21"/>
                      <w:vertAlign w:val="subscript"/>
                      <w:lang w:val="pt-BR"/>
                    </w:rPr>
                    <w:t>3</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是一种无机物，化学式Al</w:t>
                  </w:r>
                  <w:r>
                    <w:rPr>
                      <w:color w:val="000000"/>
                      <w:szCs w:val="21"/>
                      <w:vertAlign w:val="subscript"/>
                      <w:lang w:val="pt-BR"/>
                    </w:rPr>
                    <w:t>2</w:t>
                  </w:r>
                  <w:r>
                    <w:rPr>
                      <w:color w:val="000000"/>
                      <w:szCs w:val="21"/>
                      <w:lang w:val="pt-BR"/>
                    </w:rPr>
                    <w:t>O</w:t>
                  </w:r>
                  <w:r>
                    <w:rPr>
                      <w:color w:val="000000"/>
                      <w:szCs w:val="21"/>
                      <w:vertAlign w:val="subscript"/>
                      <w:lang w:val="pt-BR"/>
                    </w:rPr>
                    <w:t>3</w:t>
                  </w:r>
                  <w:r>
                    <w:rPr>
                      <w:color w:val="000000"/>
                      <w:szCs w:val="21"/>
                      <w:lang w:val="pt-BR"/>
                    </w:rPr>
                    <w:t>，是一种高硬度的化合物，熔点为2054℃，沸点为2980℃，在高温下可电离的离子晶体，常用于制造耐火材料。分子量：101.96；熔点：2054℃；沸点：2980℃；真密度：3.97g/cm</w:t>
                  </w:r>
                  <w:r>
                    <w:rPr>
                      <w:color w:val="000000"/>
                      <w:szCs w:val="21"/>
                      <w:vertAlign w:val="superscript"/>
                      <w:lang w:val="pt-BR"/>
                    </w:rPr>
                    <w:t>3</w:t>
                  </w:r>
                  <w:r>
                    <w:rPr>
                      <w:color w:val="000000"/>
                      <w:szCs w:val="21"/>
                      <w:lang w:val="pt-BR"/>
                    </w:rPr>
                    <w:t>；溶解性：常温下不溶于水；外观：白色无定形粉状物。</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46</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硼氢化钠</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NaBH</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是一种无机化合物，化学式为NaBH</w:t>
                  </w:r>
                  <w:r>
                    <w:rPr>
                      <w:color w:val="000000"/>
                      <w:szCs w:val="21"/>
                      <w:vertAlign w:val="subscript"/>
                      <w:lang w:val="pt-BR"/>
                    </w:rPr>
                    <w:t>4</w:t>
                  </w:r>
                  <w:r>
                    <w:rPr>
                      <w:color w:val="000000"/>
                      <w:szCs w:val="21"/>
                      <w:lang w:val="pt-BR"/>
                    </w:rPr>
                    <w:t>，分子量37.83；白色至灰白色结晶性粉末，吸湿性强，其碱性溶液呈棕黄色，是最常用的还原剂之一。溶于水、液氨、胺类，易溶于甲醇，微溶于乙醇、四氢呋喃，不溶于乙醚、苯、烃。在干空气中稳定，在湿空气中分解，500℃加热下也分解。水溶性：550g/L(25ºC)；密度：1.07g/cm³；熔点：400℃</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47</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szCs w:val="21"/>
                    </w:rPr>
                    <w:t>硼氢化钾</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KBH</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是一种无机化合物，化学式为KBH</w:t>
                  </w:r>
                  <w:r>
                    <w:rPr>
                      <w:color w:val="000000"/>
                      <w:szCs w:val="21"/>
                      <w:vertAlign w:val="subscript"/>
                      <w:lang w:val="pt-BR"/>
                    </w:rPr>
                    <w:t>4</w:t>
                  </w:r>
                  <w:r>
                    <w:rPr>
                      <w:color w:val="000000"/>
                      <w:szCs w:val="21"/>
                      <w:lang w:val="pt-BR"/>
                    </w:rPr>
                    <w:t>，为白色结晶性粉末，熔点：212℃；沸点：444℃（分解）；闪点：40℃；密度：4.35g/cm</w:t>
                  </w:r>
                  <w:r>
                    <w:rPr>
                      <w:color w:val="000000"/>
                      <w:szCs w:val="21"/>
                      <w:vertAlign w:val="superscript"/>
                      <w:lang w:val="pt-BR"/>
                    </w:rPr>
                    <w:t>3</w:t>
                  </w:r>
                  <w:r>
                    <w:rPr>
                      <w:color w:val="000000"/>
                      <w:szCs w:val="21"/>
                      <w:lang w:val="pt-BR"/>
                    </w:rPr>
                    <w:t>；外观：白色结晶性粉末；溶解性：易溶于水、氨水、甘油，微溶于乙醚在空气中稳定，无吸湿性。硼氢化钾易溶于水，溶于液氨，微溶于甲醇和乙醇，几乎不溶于乙醚、苯、四氢呋喃、甲醚及其他碳氢化合物。在碱性环境中稳定，遇无机酸分解而放出氢气，具有强还原性。</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48</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硝酸银</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AgNO</w:t>
                  </w:r>
                  <w:r>
                    <w:rPr>
                      <w:color w:val="000000"/>
                      <w:szCs w:val="21"/>
                      <w:vertAlign w:val="subscript"/>
                      <w:lang w:val="pt-BR"/>
                    </w:rPr>
                    <w:t>3</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是一种无机化合物，化学式为AgNO</w:t>
                  </w:r>
                  <w:r>
                    <w:rPr>
                      <w:color w:val="000000"/>
                      <w:szCs w:val="21"/>
                      <w:vertAlign w:val="subscript"/>
                      <w:lang w:val="pt-BR"/>
                    </w:rPr>
                    <w:t>3</w:t>
                  </w:r>
                  <w:r>
                    <w:rPr>
                      <w:color w:val="000000"/>
                      <w:szCs w:val="21"/>
                      <w:lang w:val="pt-BR"/>
                    </w:rPr>
                    <w:t>，分子量：169.87，为白色结晶性粉末，易溶于水、氨水、甘油，微溶于乙醇。纯硝酸银对光稳定，但由于一般的产品纯度不够，其水溶液和固体常被保存在棕色试剂瓶中。被列入《易制爆危险化学品名录》；硝酸银遇有机物变灰黑色，分解出银。纯硝酸银对光稳定，但由于一般的产品纯度不够，其水溶液和固体常被保存在棕色试剂瓶中。硝酸银加热至444℃时分解成银、氮气、氧气和二氧化氮。水溶液和乙醇溶液对石蕊呈中性反应，pH约为6。沸点444℃（分解）。有氧化性。在有机物存在下，见光变灰色或灰黑色。</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49</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硝酸汞</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Hg(NO</w:t>
                  </w:r>
                  <w:r>
                    <w:rPr>
                      <w:color w:val="000000"/>
                      <w:szCs w:val="21"/>
                      <w:vertAlign w:val="subscript"/>
                      <w:lang w:val="pt-BR"/>
                    </w:rPr>
                    <w:t>3</w:t>
                  </w:r>
                  <w:r>
                    <w:rPr>
                      <w:color w:val="000000"/>
                      <w:szCs w:val="21"/>
                      <w:lang w:val="pt-BR"/>
                    </w:rPr>
                    <w:t>)</w:t>
                  </w:r>
                  <w:r>
                    <w:rPr>
                      <w:color w:val="000000"/>
                      <w:szCs w:val="21"/>
                      <w:vertAlign w:val="sub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是一种无机化合物，化学式为Hg(NO</w:t>
                  </w:r>
                  <w:r>
                    <w:rPr>
                      <w:color w:val="000000"/>
                      <w:szCs w:val="21"/>
                      <w:vertAlign w:val="subscript"/>
                      <w:lang w:val="pt-BR"/>
                    </w:rPr>
                    <w:t>3</w:t>
                  </w:r>
                  <w:r>
                    <w:rPr>
                      <w:color w:val="000000"/>
                      <w:szCs w:val="21"/>
                      <w:lang w:val="pt-BR"/>
                    </w:rPr>
                    <w:t>)</w:t>
                  </w:r>
                  <w:r>
                    <w:rPr>
                      <w:color w:val="000000"/>
                      <w:szCs w:val="21"/>
                      <w:vertAlign w:val="subscript"/>
                      <w:lang w:val="pt-BR"/>
                    </w:rPr>
                    <w:t>2</w:t>
                  </w:r>
                  <w:r>
                    <w:rPr>
                      <w:color w:val="000000"/>
                      <w:szCs w:val="21"/>
                      <w:lang w:val="pt-BR"/>
                    </w:rPr>
                    <w:t>，分子量：324.61；为白色结晶性粉末，易溶于水，不溶于乙醇，溶于硝酸，主要用作分析试剂，也可用于有机合成。密度：4.39g/cm</w:t>
                  </w:r>
                  <w:r>
                    <w:rPr>
                      <w:color w:val="000000"/>
                      <w:szCs w:val="21"/>
                      <w:vertAlign w:val="superscript"/>
                      <w:lang w:val="pt-BR"/>
                    </w:rPr>
                    <w:t>3</w:t>
                  </w:r>
                  <w:r>
                    <w:rPr>
                      <w:color w:val="000000"/>
                      <w:szCs w:val="21"/>
                      <w:lang w:val="pt-BR"/>
                    </w:rPr>
                    <w:t>；熔点：79℃；沸点：180℃（分解）；外观：白色结晶性粉末；溶解性：易溶于水，不溶于乙醇，溶于硝酸；主要用作分析试剂，也可用于有机合成。有毒物质。</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50</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氯化汞</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HgCl</w:t>
                  </w:r>
                  <w:r>
                    <w:rPr>
                      <w:color w:val="000000"/>
                      <w:szCs w:val="21"/>
                      <w:vertAlign w:val="sub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俗称升汞，是一种无机物，化学式为HgCl</w:t>
                  </w:r>
                  <w:r>
                    <w:rPr>
                      <w:color w:val="000000"/>
                      <w:szCs w:val="21"/>
                      <w:vertAlign w:val="subscript"/>
                      <w:lang w:val="pt-BR"/>
                    </w:rPr>
                    <w:t>2</w:t>
                  </w:r>
                  <w:r>
                    <w:rPr>
                      <w:color w:val="000000"/>
                      <w:szCs w:val="21"/>
                      <w:lang w:val="pt-BR"/>
                    </w:rPr>
                    <w:t>，分子量：271.496；呈白色结晶性粉末、有剧毒，溶于水、乙醇、乙醚、甲醇、丙酮、乙酸乙酯，不溶于二硫化碳、吡啶。氯化汞可用于木材和解剖标本的保存、皮革鞣制和钢铁镂蚀，是分析化学的重要试剂，还可做消毒剂和防腐剂。熔点：277℃；沸点：302℃；密度：5.44g/cm</w:t>
                  </w:r>
                  <w:r>
                    <w:rPr>
                      <w:color w:val="000000"/>
                      <w:szCs w:val="21"/>
                      <w:vertAlign w:val="superscript"/>
                      <w:lang w:val="pt-BR"/>
                    </w:rPr>
                    <w:t>3</w:t>
                  </w:r>
                  <w:r>
                    <w:rPr>
                      <w:color w:val="000000"/>
                      <w:szCs w:val="21"/>
                      <w:lang w:val="pt-BR"/>
                    </w:rPr>
                    <w:t>；折射率：1.859；外观：白色结晶性粉末；溶解性：溶于水、乙醇、乙醚、甲醇、丙酮、乙酸乙酯，不溶于二硫化碳、吡啶。</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51</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szCs w:val="21"/>
                    </w:rPr>
                    <w:t>碳酸氢钠</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NaHCO₃</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分子式为NaHCO₃，分子量：84.01；水溶性：溶于水，不溶于乙醇；密度：2.20g/cm³；是一种无机化合物，呈白色结晶性粉末，无臭，味碱，易溶于水。在潮湿空气或热空气中即缓慢分解，产生二氧化碳，</w:t>
                  </w:r>
                  <w:r>
                    <w:rPr>
                      <w:color w:val="000000"/>
                      <w:szCs w:val="21"/>
                    </w:rPr>
                    <w:t>受热易分解，在50℃以上迅速分解，</w:t>
                  </w:r>
                  <w:r>
                    <w:rPr>
                      <w:color w:val="000000"/>
                      <w:szCs w:val="21"/>
                      <w:lang w:val="pt-BR"/>
                    </w:rPr>
                    <w:t>加热至270℃完全分解。遇酸则强烈分解，产生二氧化碳。</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52</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color w:val="000000"/>
                      <w:szCs w:val="21"/>
                    </w:rPr>
                    <w:t>高锰酸钾</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KMnO</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是一种强氧化剂，化学式为KMnO</w:t>
                  </w:r>
                  <w:r>
                    <w:rPr>
                      <w:color w:val="000000"/>
                      <w:szCs w:val="21"/>
                      <w:vertAlign w:val="subscript"/>
                      <w:lang w:val="pt-BR"/>
                    </w:rPr>
                    <w:t>4</w:t>
                  </w:r>
                  <w:r>
                    <w:rPr>
                      <w:color w:val="000000"/>
                      <w:szCs w:val="21"/>
                      <w:lang w:val="pt-BR"/>
                    </w:rPr>
                    <w:t>，分子量：158.034；为黑紫色结晶，带蓝色的金属光泽，无臭，与某些有机物或易氧化物接触，易发生爆炸，溶于水、碱液，微溶于甲醇、丙酮、硫酸。在化学品生产中，广泛用作氧化剂。熔点：240°C；密度：2.7g/cm</w:t>
                  </w:r>
                  <w:r>
                    <w:rPr>
                      <w:color w:val="000000"/>
                      <w:szCs w:val="21"/>
                      <w:vertAlign w:val="superscript"/>
                      <w:lang w:val="pt-BR"/>
                    </w:rPr>
                    <w:t>3</w:t>
                  </w:r>
                  <w:r>
                    <w:rPr>
                      <w:color w:val="000000"/>
                      <w:szCs w:val="21"/>
                      <w:lang w:val="pt-BR"/>
                    </w:rPr>
                    <w:t>；外观：黑紫色结晶；溶解性：溶于水、碱液，微溶于甲醇、丙酮、硫酸；水溶解性：6.4g/100mL(20ºC)。在乙醇、过氧化氢中使之氧化分解。高锰酸钾（易制毒-3，易制爆）</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rPr>
                  </w:pPr>
                  <w:r>
                    <w:rPr>
                      <w:color w:val="000000"/>
                      <w:szCs w:val="21"/>
                    </w:rPr>
                    <w:t>53</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rPr>
                  </w:pPr>
                  <w:r>
                    <w:rPr>
                      <w:szCs w:val="21"/>
                    </w:rPr>
                    <w:t>三乙醇胺</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6</w:t>
                  </w:r>
                  <w:r>
                    <w:rPr>
                      <w:color w:val="000000"/>
                      <w:szCs w:val="21"/>
                      <w:lang w:val="pt-BR"/>
                    </w:rPr>
                    <w:t>H</w:t>
                  </w:r>
                  <w:r>
                    <w:rPr>
                      <w:color w:val="000000"/>
                      <w:szCs w:val="21"/>
                      <w:vertAlign w:val="subscript"/>
                      <w:lang w:val="pt-BR"/>
                    </w:rPr>
                    <w:t>15</w:t>
                  </w:r>
                  <w:r>
                    <w:rPr>
                      <w:color w:val="000000"/>
                      <w:szCs w:val="21"/>
                      <w:lang w:val="pt-BR"/>
                    </w:rPr>
                    <w:t>NO</w:t>
                  </w:r>
                  <w:r>
                    <w:rPr>
                      <w:color w:val="000000"/>
                      <w:szCs w:val="21"/>
                      <w:vertAlign w:val="subscript"/>
                      <w:lang w:val="pt-BR"/>
                    </w:rPr>
                    <w:t>3</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是一种有机化合物，可以看做是三乙胺的三羟基取代物，化学式为C</w:t>
                  </w:r>
                  <w:r>
                    <w:rPr>
                      <w:color w:val="000000"/>
                      <w:szCs w:val="21"/>
                      <w:vertAlign w:val="subscript"/>
                      <w:lang w:val="pt-BR"/>
                    </w:rPr>
                    <w:t>6</w:t>
                  </w:r>
                  <w:r>
                    <w:rPr>
                      <w:color w:val="000000"/>
                      <w:szCs w:val="21"/>
                      <w:lang w:val="pt-BR"/>
                    </w:rPr>
                    <w:t>H</w:t>
                  </w:r>
                  <w:r>
                    <w:rPr>
                      <w:color w:val="000000"/>
                      <w:szCs w:val="21"/>
                      <w:vertAlign w:val="subscript"/>
                      <w:lang w:val="pt-BR"/>
                    </w:rPr>
                    <w:t>15</w:t>
                  </w:r>
                  <w:r>
                    <w:rPr>
                      <w:color w:val="000000"/>
                      <w:szCs w:val="21"/>
                      <w:lang w:val="pt-BR"/>
                    </w:rPr>
                    <w:t>NO</w:t>
                  </w:r>
                  <w:r>
                    <w:rPr>
                      <w:color w:val="000000"/>
                      <w:szCs w:val="21"/>
                      <w:vertAlign w:val="subscript"/>
                      <w:lang w:val="pt-BR"/>
                    </w:rPr>
                    <w:t>3</w:t>
                  </w:r>
                  <w:r>
                    <w:rPr>
                      <w:color w:val="000000"/>
                      <w:szCs w:val="21"/>
                      <w:lang w:val="pt-BR"/>
                    </w:rPr>
                    <w:t>。分子量：149.188；熔点：21℃；沸点：335.4℃；密度：1.124g/cm</w:t>
                  </w:r>
                  <w:r>
                    <w:rPr>
                      <w:color w:val="000000"/>
                      <w:szCs w:val="21"/>
                      <w:vertAlign w:val="superscript"/>
                      <w:lang w:val="pt-BR"/>
                    </w:rPr>
                    <w:t>3</w:t>
                  </w:r>
                  <w:r>
                    <w:rPr>
                      <w:color w:val="000000"/>
                      <w:szCs w:val="21"/>
                      <w:lang w:val="pt-BR"/>
                    </w:rPr>
                    <w:t>；折射率：1.485（20℃）；闪点：179℃（CC）；外观：无色至淡黄色粘性液体，室温下为无色透明粘稠液体，溶解性：溶于水，甲醇、丙酮、氯仿等，微溶于乙醚和苯，在非极性溶剂中几乎不溶。用作气相色谱固定液，用作各种重金属的高效螯合剂，由于可用于制造氮芥毒气，三乙醇胺被列入《化学武器公约》。</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54</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乙二胺四乙酸二钠</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10</w:t>
                  </w:r>
                  <w:r>
                    <w:rPr>
                      <w:color w:val="000000"/>
                      <w:szCs w:val="21"/>
                      <w:lang w:val="pt-BR"/>
                    </w:rPr>
                    <w:t>H</w:t>
                  </w:r>
                  <w:r>
                    <w:rPr>
                      <w:color w:val="000000"/>
                      <w:szCs w:val="21"/>
                      <w:vertAlign w:val="subscript"/>
                      <w:lang w:val="pt-BR"/>
                    </w:rPr>
                    <w:t>14</w:t>
                  </w:r>
                  <w:r>
                    <w:rPr>
                      <w:color w:val="000000"/>
                      <w:szCs w:val="21"/>
                      <w:lang w:val="pt-BR"/>
                    </w:rPr>
                    <w:t>N</w:t>
                  </w:r>
                  <w:r>
                    <w:rPr>
                      <w:color w:val="000000"/>
                      <w:szCs w:val="21"/>
                      <w:vertAlign w:val="subscript"/>
                      <w:lang w:val="pt-BR"/>
                    </w:rPr>
                    <w:t>2</w:t>
                  </w:r>
                  <w:r>
                    <w:rPr>
                      <w:color w:val="000000"/>
                      <w:szCs w:val="21"/>
                      <w:lang w:val="pt-BR"/>
                    </w:rPr>
                    <w:t>Na</w:t>
                  </w:r>
                  <w:r>
                    <w:rPr>
                      <w:color w:val="000000"/>
                      <w:szCs w:val="21"/>
                      <w:vertAlign w:val="subscript"/>
                      <w:lang w:val="pt-BR"/>
                    </w:rPr>
                    <w:t>2</w:t>
                  </w:r>
                  <w:r>
                    <w:rPr>
                      <w:color w:val="000000"/>
                      <w:szCs w:val="21"/>
                      <w:lang w:val="pt-BR"/>
                    </w:rPr>
                    <w:t>O</w:t>
                  </w:r>
                  <w:r>
                    <w:rPr>
                      <w:color w:val="000000"/>
                      <w:szCs w:val="21"/>
                      <w:vertAlign w:val="subscript"/>
                      <w:lang w:val="pt-BR"/>
                    </w:rPr>
                    <w:t>8</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乙二胺四乙酸二钠，又叫做EDTA-2Na，是化学中一种良好的配合剂。化学式为C</w:t>
                  </w:r>
                  <w:r>
                    <w:rPr>
                      <w:color w:val="000000"/>
                      <w:szCs w:val="21"/>
                      <w:vertAlign w:val="subscript"/>
                      <w:lang w:val="pt-BR"/>
                    </w:rPr>
                    <w:t>10</w:t>
                  </w:r>
                  <w:r>
                    <w:rPr>
                      <w:color w:val="000000"/>
                      <w:szCs w:val="21"/>
                      <w:lang w:val="pt-BR"/>
                    </w:rPr>
                    <w:t>H</w:t>
                  </w:r>
                  <w:r>
                    <w:rPr>
                      <w:color w:val="000000"/>
                      <w:szCs w:val="21"/>
                      <w:vertAlign w:val="subscript"/>
                      <w:lang w:val="pt-BR"/>
                    </w:rPr>
                    <w:t>14</w:t>
                  </w:r>
                  <w:r>
                    <w:rPr>
                      <w:color w:val="000000"/>
                      <w:szCs w:val="21"/>
                      <w:lang w:val="pt-BR"/>
                    </w:rPr>
                    <w:t>N</w:t>
                  </w:r>
                  <w:r>
                    <w:rPr>
                      <w:color w:val="000000"/>
                      <w:szCs w:val="21"/>
                      <w:vertAlign w:val="subscript"/>
                      <w:lang w:val="pt-BR"/>
                    </w:rPr>
                    <w:t>2</w:t>
                  </w:r>
                  <w:r>
                    <w:rPr>
                      <w:color w:val="000000"/>
                      <w:szCs w:val="21"/>
                      <w:lang w:val="pt-BR"/>
                    </w:rPr>
                    <w:t>Na</w:t>
                  </w:r>
                  <w:r>
                    <w:rPr>
                      <w:color w:val="000000"/>
                      <w:szCs w:val="21"/>
                      <w:vertAlign w:val="subscript"/>
                      <w:lang w:val="pt-BR"/>
                    </w:rPr>
                    <w:t>2</w:t>
                  </w:r>
                  <w:r>
                    <w:rPr>
                      <w:color w:val="000000"/>
                      <w:szCs w:val="21"/>
                      <w:lang w:val="pt-BR"/>
                    </w:rPr>
                    <w:t>O</w:t>
                  </w:r>
                  <w:r>
                    <w:rPr>
                      <w:color w:val="000000"/>
                      <w:szCs w:val="21"/>
                      <w:vertAlign w:val="subscript"/>
                      <w:lang w:val="pt-BR"/>
                    </w:rPr>
                    <w:t>8</w:t>
                  </w:r>
                  <w:r>
                    <w:rPr>
                      <w:color w:val="000000"/>
                      <w:szCs w:val="21"/>
                      <w:lang w:val="pt-BR"/>
                    </w:rPr>
                    <w:t>，分子量为336.206，它有六个配位原子，形成的配合物叫做螯合物，EDTA在配位滴定中经常用到，一般是测定金属离子的含量。为无味无臭或微咸的白色或乳白色结晶或颗粒状粉末，无臭、无味。它能溶于水，极难溶于乙醇。它是一种重要的螯合剂，能螯合溶液中的金属离子。防止金属引起的变色、变质、变浊和维生素C的氧化损失，还能提高油脂的抗氧化性，几乎能与所有的金属离子形成稳定的螯合物。物化性质：白色结晶粉末。低毒，溶于水，5%的水溶液pH值为4～6。呈酸性。难溶于醇。主要用作络合剂。【毒性】:按FAO/WHO(1985)规定，ADI为0~2.5g/kg。</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55</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氨基磺酸铵</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H</w:t>
                  </w:r>
                  <w:r>
                    <w:rPr>
                      <w:color w:val="000000"/>
                      <w:szCs w:val="21"/>
                      <w:vertAlign w:val="subscript"/>
                      <w:lang w:val="pt-BR"/>
                    </w:rPr>
                    <w:t>6</w:t>
                  </w:r>
                  <w:r>
                    <w:rPr>
                      <w:color w:val="000000"/>
                      <w:szCs w:val="21"/>
                      <w:lang w:val="pt-BR"/>
                    </w:rPr>
                    <w:t>N</w:t>
                  </w:r>
                  <w:r>
                    <w:rPr>
                      <w:color w:val="000000"/>
                      <w:szCs w:val="21"/>
                      <w:vertAlign w:val="subscript"/>
                      <w:lang w:val="pt-BR"/>
                    </w:rPr>
                    <w:t>2</w:t>
                  </w:r>
                  <w:r>
                    <w:rPr>
                      <w:color w:val="000000"/>
                      <w:szCs w:val="21"/>
                      <w:lang w:val="pt-BR"/>
                    </w:rPr>
                    <w:t>O</w:t>
                  </w:r>
                  <w:r>
                    <w:rPr>
                      <w:color w:val="000000"/>
                      <w:szCs w:val="21"/>
                      <w:vertAlign w:val="subscript"/>
                      <w:lang w:val="pt-BR"/>
                    </w:rPr>
                    <w:t>3</w:t>
                  </w:r>
                  <w:r>
                    <w:rPr>
                      <w:color w:val="000000"/>
                      <w:szCs w:val="21"/>
                      <w:lang w:val="pt-BR"/>
                    </w:rPr>
                    <w:t>S</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分子式：H</w:t>
                  </w:r>
                  <w:r>
                    <w:rPr>
                      <w:color w:val="000000"/>
                      <w:szCs w:val="21"/>
                      <w:vertAlign w:val="subscript"/>
                      <w:lang w:val="pt-BR"/>
                    </w:rPr>
                    <w:t>6</w:t>
                  </w:r>
                  <w:r>
                    <w:rPr>
                      <w:color w:val="000000"/>
                      <w:szCs w:val="21"/>
                      <w:lang w:val="pt-BR"/>
                    </w:rPr>
                    <w:t>N</w:t>
                  </w:r>
                  <w:r>
                    <w:rPr>
                      <w:color w:val="000000"/>
                      <w:szCs w:val="21"/>
                      <w:vertAlign w:val="subscript"/>
                      <w:lang w:val="pt-BR"/>
                    </w:rPr>
                    <w:t>2</w:t>
                  </w:r>
                  <w:r>
                    <w:rPr>
                      <w:color w:val="000000"/>
                      <w:szCs w:val="21"/>
                      <w:lang w:val="pt-BR"/>
                    </w:rPr>
                    <w:t>O</w:t>
                  </w:r>
                  <w:r>
                    <w:rPr>
                      <w:color w:val="000000"/>
                      <w:szCs w:val="21"/>
                      <w:vertAlign w:val="subscript"/>
                      <w:lang w:val="pt-BR"/>
                    </w:rPr>
                    <w:t>3</w:t>
                  </w:r>
                  <w:r>
                    <w:rPr>
                      <w:color w:val="000000"/>
                      <w:szCs w:val="21"/>
                      <w:lang w:val="pt-BR"/>
                    </w:rPr>
                    <w:t>S；分子量：114.12；氨基磺酸铵受热可爆，在热酸溶液中自发爆炸。燃烧产生有毒氮氧化物和硫氧化物气体。库房通风低温干燥；，与食品原料分开储运。性状：白色晶体，溶于水，水溶液中呈弱酸性，10%的水溶液pH值为4-6，不溶于甲醇和乙醇；能吸收空气中的水份；熔点：131-135℃（lit.)；水溶性：1950g/L(20°C)。溶解情况：微溶于乙醇、丙二醇、甲酰胺，易溶于水、及液氨。白色疏松晶体，标准状况下水中溶解度为185.6；熔点131℃，沸点160℃（分解），能吸收空气中的水分；不溶于甲醇和乙醇。有吸湿性。受热分解，放出大量惰性气体。危险代码：Xn；危险等级：22；安全等级：24/25；联合国编号：UN3077。</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56</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szCs w:val="21"/>
                    </w:rPr>
                    <w:t>硫酸银</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Ag</w:t>
                  </w:r>
                  <w:r>
                    <w:rPr>
                      <w:color w:val="000000"/>
                      <w:szCs w:val="21"/>
                      <w:vertAlign w:val="subscript"/>
                      <w:lang w:val="pt-BR"/>
                    </w:rPr>
                    <w:t>2</w:t>
                  </w:r>
                  <w:r>
                    <w:rPr>
                      <w:color w:val="000000"/>
                      <w:szCs w:val="21"/>
                      <w:lang w:val="pt-BR"/>
                    </w:rPr>
                    <w:t>SO</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化学式Ag</w:t>
                  </w:r>
                  <w:r>
                    <w:rPr>
                      <w:color w:val="000000"/>
                      <w:szCs w:val="21"/>
                      <w:vertAlign w:val="subscript"/>
                      <w:lang w:val="pt-BR"/>
                    </w:rPr>
                    <w:t>2</w:t>
                  </w:r>
                  <w:r>
                    <w:rPr>
                      <w:color w:val="000000"/>
                      <w:szCs w:val="21"/>
                      <w:lang w:val="pt-BR"/>
                    </w:rPr>
                    <w:t>SO</w:t>
                  </w:r>
                  <w:r>
                    <w:rPr>
                      <w:color w:val="000000"/>
                      <w:szCs w:val="21"/>
                      <w:vertAlign w:val="subscript"/>
                      <w:lang w:val="pt-BR"/>
                    </w:rPr>
                    <w:t>4</w:t>
                  </w:r>
                  <w:r>
                    <w:rPr>
                      <w:color w:val="000000"/>
                      <w:szCs w:val="21"/>
                      <w:lang w:val="pt-BR"/>
                    </w:rPr>
                    <w:t>，分子量：311.799；溶于硝酸、氨水和浓硫酸，不溶于乙醇，在水中为微溶，并且受溶液环境pH的减小而增大，当氢离子浓度足够大时可以有明显的溶解现象。用作分析试剂，测定水中化学耗氧量时用作催化剂。密度：4.45g/cm</w:t>
                  </w:r>
                  <w:r>
                    <w:rPr>
                      <w:color w:val="000000"/>
                      <w:szCs w:val="21"/>
                      <w:vertAlign w:val="superscript"/>
                      <w:lang w:val="pt-BR"/>
                    </w:rPr>
                    <w:t>3</w:t>
                  </w:r>
                  <w:r>
                    <w:rPr>
                      <w:color w:val="000000"/>
                      <w:szCs w:val="21"/>
                      <w:lang w:val="pt-BR"/>
                    </w:rPr>
                    <w:t>；熔点：652℃；沸点：1085℃；蒸汽压：3.35E-05mmHgat25°C；外观：白色结晶性粉末。溶解性：易溶于氨水、硝酸、和浓硫酸，微溶于水，不溶于乙醇。用于亚硝酸盐、钒酸盐、磷酸盐和氟的比色测定。测定乙烯以及水质分析中钴和铬的测定；用作分析试剂，如测定水中化学耗氧量时用作催化剂。该物质对环境可能有危害，对水体应给予特别注意。</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57</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szCs w:val="21"/>
                    </w:rPr>
                    <w:t>硝酸钾</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KNO</w:t>
                  </w:r>
                  <w:r>
                    <w:rPr>
                      <w:color w:val="000000"/>
                      <w:szCs w:val="21"/>
                      <w:vertAlign w:val="subscript"/>
                      <w:lang w:val="pt-BR"/>
                    </w:rPr>
                    <w:t>3</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一种无机化合物，俗称火硝或土硝，化学式为KNO</w:t>
                  </w:r>
                  <w:r>
                    <w:rPr>
                      <w:color w:val="000000"/>
                      <w:szCs w:val="21"/>
                      <w:vertAlign w:val="subscript"/>
                      <w:lang w:val="pt-BR"/>
                    </w:rPr>
                    <w:t>3</w:t>
                  </w:r>
                  <w:r>
                    <w:rPr>
                      <w:color w:val="000000"/>
                      <w:szCs w:val="21"/>
                      <w:lang w:val="pt-BR"/>
                    </w:rPr>
                    <w:t>，分子量：101.10；是含钾的硝酸盐，为无色透明斜方晶体或菱形晶体或白色粉末，无臭、无毒，有咸味和清凉感。熔点：334℃；闪点：400℃；密度：2.21g/cm</w:t>
                  </w:r>
                  <w:r>
                    <w:rPr>
                      <w:color w:val="000000"/>
                      <w:szCs w:val="21"/>
                      <w:vertAlign w:val="superscript"/>
                      <w:lang w:val="pt-BR"/>
                    </w:rPr>
                    <w:t>3</w:t>
                  </w:r>
                  <w:r>
                    <w:rPr>
                      <w:color w:val="000000"/>
                      <w:szCs w:val="21"/>
                      <w:lang w:val="pt-BR"/>
                    </w:rPr>
                    <w:t>；性状：无色透明棱柱状或白色颗粒或结晶性粉末。味辛辣而咸有凉感。微潮解，潮解性比硝酸钠小。溶解性：易溶于水，不溶于无水乙醇、乙醚。溶于水时吸热，溶液温度降低。急性毒性：LD50：3750mg/kg（大鼠经口）；其他有害作用：该物质对环境可能有危害，在地下水中有蓄积作用。</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58</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铬酸钾</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K</w:t>
                  </w:r>
                  <w:r>
                    <w:rPr>
                      <w:color w:val="000000"/>
                      <w:szCs w:val="21"/>
                      <w:vertAlign w:val="subscript"/>
                      <w:lang w:val="pt-BR"/>
                    </w:rPr>
                    <w:t>2</w:t>
                  </w:r>
                  <w:r>
                    <w:rPr>
                      <w:color w:val="000000"/>
                      <w:szCs w:val="21"/>
                      <w:lang w:val="pt-BR"/>
                    </w:rPr>
                    <w:t>CrO</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是一种无机化合物，化学式为K</w:t>
                  </w:r>
                  <w:r>
                    <w:rPr>
                      <w:color w:val="000000"/>
                      <w:szCs w:val="21"/>
                      <w:vertAlign w:val="subscript"/>
                      <w:lang w:val="pt-BR"/>
                    </w:rPr>
                    <w:t>2</w:t>
                  </w:r>
                  <w:r>
                    <w:rPr>
                      <w:color w:val="000000"/>
                      <w:szCs w:val="21"/>
                      <w:lang w:val="pt-BR"/>
                    </w:rPr>
                    <w:t>CrO</w:t>
                  </w:r>
                  <w:r>
                    <w:rPr>
                      <w:color w:val="000000"/>
                      <w:szCs w:val="21"/>
                      <w:vertAlign w:val="subscript"/>
                      <w:lang w:val="pt-BR"/>
                    </w:rPr>
                    <w:t>4</w:t>
                  </w:r>
                  <w:r>
                    <w:rPr>
                      <w:color w:val="000000"/>
                      <w:szCs w:val="21"/>
                      <w:lang w:val="pt-BR"/>
                    </w:rPr>
                    <w:t>，分子量：194.19；密度：2.732g/cm</w:t>
                  </w:r>
                  <w:r>
                    <w:rPr>
                      <w:color w:val="000000"/>
                      <w:szCs w:val="21"/>
                      <w:vertAlign w:val="superscript"/>
                      <w:lang w:val="pt-BR"/>
                    </w:rPr>
                    <w:t>3</w:t>
                  </w:r>
                  <w:r>
                    <w:rPr>
                      <w:color w:val="000000"/>
                      <w:szCs w:val="21"/>
                      <w:lang w:val="pt-BR"/>
                    </w:rPr>
                    <w:t>；熔点：971°C；外观：黄色结晶性粉末；溶解性：溶于水、不溶于乙醇为黄色结晶性粉末，是铬酸所成的钾盐，用于鉴别氯离子，铬酸钾中铬为六价，属于一级致癌物质，吸入或吞食会导致癌症。危险化学品</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59</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szCs w:val="21"/>
                    </w:rPr>
                    <w:t>氯化钡</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BaCl</w:t>
                  </w:r>
                  <w:r>
                    <w:rPr>
                      <w:color w:val="000000"/>
                      <w:szCs w:val="21"/>
                      <w:vertAlign w:val="sub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是一种无机化合物，化学式BaCl</w:t>
                  </w:r>
                  <w:r>
                    <w:rPr>
                      <w:color w:val="000000"/>
                      <w:szCs w:val="21"/>
                      <w:vertAlign w:val="subscript"/>
                      <w:lang w:val="pt-BR"/>
                    </w:rPr>
                    <w:t>2</w:t>
                  </w:r>
                  <w:r>
                    <w:rPr>
                      <w:color w:val="000000"/>
                      <w:szCs w:val="21"/>
                      <w:lang w:val="pt-BR"/>
                    </w:rPr>
                    <w:t>，分子量：208.233；是白色的晶体，易溶于水，微溶于盐酸和硝酸，难溶于乙醇和乙醚，易吸湿，常用作分析试剂、脱水剂，制钡盐原料以及用于电子、仪表、冶金等工业。密度：3.856g/cm</w:t>
                  </w:r>
                  <w:r>
                    <w:rPr>
                      <w:color w:val="000000"/>
                      <w:szCs w:val="21"/>
                      <w:vertAlign w:val="superscript"/>
                      <w:lang w:val="pt-BR"/>
                    </w:rPr>
                    <w:t>3</w:t>
                  </w:r>
                  <w:r>
                    <w:rPr>
                      <w:color w:val="000000"/>
                      <w:szCs w:val="21"/>
                      <w:lang w:val="pt-BR"/>
                    </w:rPr>
                    <w:t>；熔点：960℃；沸点：1560℃；外观：白色结晶性粉末；溶解性：溶于水，不溶于丙酮、乙醇，微溶于乙酸、硫酸；测定硫酸盐和硒酸盐等，色谱分析，点滴分析测定铂，软水剂。织物染色。有毒。</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60</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szCs w:val="21"/>
                    </w:rPr>
                    <w:t>过氧化氢</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H</w:t>
                  </w:r>
                  <w:r>
                    <w:rPr>
                      <w:color w:val="000000"/>
                      <w:szCs w:val="21"/>
                      <w:vertAlign w:val="subscript"/>
                      <w:lang w:val="pt-BR"/>
                    </w:rPr>
                    <w:t>2</w:t>
                  </w:r>
                  <w:r>
                    <w:rPr>
                      <w:color w:val="000000"/>
                      <w:szCs w:val="21"/>
                      <w:lang w:val="pt-BR"/>
                    </w:rPr>
                    <w:t>O</w:t>
                  </w:r>
                  <w:r>
                    <w:rPr>
                      <w:color w:val="000000"/>
                      <w:szCs w:val="21"/>
                      <w:vertAlign w:val="sub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是一种无机化合物，化学式为H</w:t>
                  </w:r>
                  <w:r>
                    <w:rPr>
                      <w:color w:val="000000"/>
                      <w:szCs w:val="21"/>
                      <w:vertAlign w:val="subscript"/>
                      <w:lang w:val="pt-BR"/>
                    </w:rPr>
                    <w:t>2</w:t>
                  </w:r>
                  <w:r>
                    <w:rPr>
                      <w:color w:val="000000"/>
                      <w:szCs w:val="21"/>
                      <w:lang w:val="pt-BR"/>
                    </w:rPr>
                    <w:t>O</w:t>
                  </w:r>
                  <w:r>
                    <w:rPr>
                      <w:color w:val="000000"/>
                      <w:szCs w:val="21"/>
                      <w:vertAlign w:val="subscript"/>
                      <w:lang w:val="pt-BR"/>
                    </w:rPr>
                    <w:t>2</w:t>
                  </w:r>
                  <w:r>
                    <w:rPr>
                      <w:color w:val="000000"/>
                      <w:szCs w:val="21"/>
                      <w:lang w:val="pt-BR"/>
                    </w:rPr>
                    <w:t>。纯过氧化氢是淡蓝色的黏稠液体，可任意比例与水混溶，是一种强氧化剂，水溶液俗称双氧水，为无色透明液体，溶于水、醇、乙醚，不溶于苯、石油醚，水溶液为无色透明液体。该物质对水生生物是有毒的。爆炸性强氧化剂。过氧化氢自身不燃，但能与可燃物反应放出大量热量和氧气而引起着火爆炸。</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61</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szCs w:val="21"/>
                    </w:rPr>
                    <w:t>氢氧化铝</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Al(OH)</w:t>
                  </w:r>
                  <w:r>
                    <w:rPr>
                      <w:color w:val="000000"/>
                      <w:szCs w:val="21"/>
                      <w:vertAlign w:val="subscript"/>
                      <w:lang w:val="pt-BR"/>
                    </w:rPr>
                    <w:t>3</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是一种无机物，化学式Al(OH)</w:t>
                  </w:r>
                  <w:r>
                    <w:rPr>
                      <w:color w:val="000000"/>
                      <w:szCs w:val="21"/>
                      <w:vertAlign w:val="subscript"/>
                      <w:lang w:val="pt-BR"/>
                    </w:rPr>
                    <w:t>3</w:t>
                  </w:r>
                  <w:r>
                    <w:rPr>
                      <w:color w:val="000000"/>
                      <w:szCs w:val="21"/>
                      <w:lang w:val="pt-BR"/>
                    </w:rPr>
                    <w:t>，分子量：78.004；是铝的氢氧化物。氢氧化铝既能与酸反应生成盐和水又能与强碱反应生成盐和水，因此它是一种两性氢氧化物。由于又显一定的酸性，所以又可称之为铝酸（H3AlO3）。外观与性状：白色非晶形的粉末</w:t>
                  </w:r>
                </w:p>
                <w:p>
                  <w:pPr>
                    <w:adjustRightInd w:val="0"/>
                    <w:rPr>
                      <w:color w:val="000000"/>
                      <w:szCs w:val="21"/>
                    </w:rPr>
                  </w:pPr>
                  <w:r>
                    <w:rPr>
                      <w:color w:val="000000"/>
                      <w:szCs w:val="21"/>
                      <w:lang w:val="pt-BR"/>
                    </w:rPr>
                    <w:t>密度：2.40g/cm</w:t>
                  </w:r>
                  <w:r>
                    <w:rPr>
                      <w:color w:val="000000"/>
                      <w:szCs w:val="21"/>
                      <w:vertAlign w:val="superscript"/>
                      <w:lang w:val="pt-BR"/>
                    </w:rPr>
                    <w:t>3</w:t>
                  </w:r>
                  <w:r>
                    <w:rPr>
                      <w:color w:val="000000"/>
                      <w:szCs w:val="21"/>
                      <w:lang w:val="pt-BR"/>
                    </w:rPr>
                    <w:t>；熔点：300℃；水溶解性：不溶。</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62</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szCs w:val="21"/>
                    </w:rPr>
                    <w:t>草酸铵</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(NH</w:t>
                  </w:r>
                  <w:r>
                    <w:rPr>
                      <w:color w:val="000000"/>
                      <w:szCs w:val="21"/>
                      <w:vertAlign w:val="subscript"/>
                      <w:lang w:val="pt-BR"/>
                    </w:rPr>
                    <w:t>4</w:t>
                  </w:r>
                  <w:r>
                    <w:rPr>
                      <w:color w:val="000000"/>
                      <w:szCs w:val="21"/>
                      <w:lang w:val="pt-BR"/>
                    </w:rPr>
                    <w:t>)</w:t>
                  </w:r>
                  <w:r>
                    <w:rPr>
                      <w:color w:val="000000"/>
                      <w:szCs w:val="21"/>
                      <w:vertAlign w:val="subscript"/>
                      <w:lang w:val="pt-BR"/>
                    </w:rPr>
                    <w:t>2</w:t>
                  </w:r>
                  <w:r>
                    <w:rPr>
                      <w:color w:val="000000"/>
                      <w:szCs w:val="21"/>
                      <w:lang w:val="pt-BR"/>
                    </w:rPr>
                    <w:t>C</w:t>
                  </w:r>
                  <w:r>
                    <w:rPr>
                      <w:color w:val="000000"/>
                      <w:szCs w:val="21"/>
                      <w:vertAlign w:val="subscript"/>
                      <w:lang w:val="pt-BR"/>
                    </w:rPr>
                    <w:t>2</w:t>
                  </w:r>
                  <w:r>
                    <w:rPr>
                      <w:color w:val="000000"/>
                      <w:szCs w:val="21"/>
                      <w:lang w:val="pt-BR"/>
                    </w:rPr>
                    <w:t>O</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化学式为(NH</w:t>
                  </w:r>
                  <w:r>
                    <w:rPr>
                      <w:color w:val="000000"/>
                      <w:szCs w:val="21"/>
                      <w:vertAlign w:val="subscript"/>
                      <w:lang w:val="pt-BR"/>
                    </w:rPr>
                    <w:t>4</w:t>
                  </w:r>
                  <w:r>
                    <w:rPr>
                      <w:color w:val="000000"/>
                      <w:szCs w:val="21"/>
                      <w:lang w:val="pt-BR"/>
                    </w:rPr>
                    <w:t>)</w:t>
                  </w:r>
                  <w:r>
                    <w:rPr>
                      <w:color w:val="000000"/>
                      <w:szCs w:val="21"/>
                      <w:vertAlign w:val="subscript"/>
                      <w:lang w:val="pt-BR"/>
                    </w:rPr>
                    <w:t>2</w:t>
                  </w:r>
                  <w:r>
                    <w:rPr>
                      <w:color w:val="000000"/>
                      <w:szCs w:val="21"/>
                      <w:lang w:val="pt-BR"/>
                    </w:rPr>
                    <w:t>C</w:t>
                  </w:r>
                  <w:r>
                    <w:rPr>
                      <w:color w:val="000000"/>
                      <w:szCs w:val="21"/>
                      <w:vertAlign w:val="subscript"/>
                      <w:lang w:val="pt-BR"/>
                    </w:rPr>
                    <w:t>2</w:t>
                  </w:r>
                  <w:r>
                    <w:rPr>
                      <w:color w:val="000000"/>
                      <w:szCs w:val="21"/>
                      <w:lang w:val="pt-BR"/>
                    </w:rPr>
                    <w:t>O</w:t>
                  </w:r>
                  <w:r>
                    <w:rPr>
                      <w:color w:val="000000"/>
                      <w:szCs w:val="21"/>
                      <w:vertAlign w:val="subscript"/>
                      <w:lang w:val="pt-BR"/>
                    </w:rPr>
                    <w:t>4</w:t>
                  </w:r>
                  <w:r>
                    <w:rPr>
                      <w:color w:val="000000"/>
                      <w:szCs w:val="21"/>
                      <w:lang w:val="pt-BR"/>
                    </w:rPr>
                    <w:t>，相对分子量或原子量：124.10；密度：1.50；溶于水，微溶于乙醇。水溶液显酸性。在实验室，草酸铵可以和溶液中的钙、镁等离子生成沉淀，用过滤的方法除去溶液中的钙、镁离子。无色无臭，四方晶体，有毒。草酸铵遇热分解生成草酸并放出氨气：溶于水，微溶于乙醇。水溶液显酸性。1、无色柱状或白色粒状结晶。无味。1g该品溶于20mL水、2.6mL沸水，微溶于乙醇，不溶于氨。密度1.50。无色柱状结晶。相对密度1.501,折光率1.439。能溶于20份冷水，2.6份沸水，微溶于乙醇，不溶于于氨。无气味，加热即分解。水溶性可溶。皮肤接触及吞食有害。</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63</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乙酸镁</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Mg(CH</w:t>
                  </w:r>
                  <w:r>
                    <w:rPr>
                      <w:color w:val="000000"/>
                      <w:szCs w:val="21"/>
                      <w:vertAlign w:val="subscript"/>
                      <w:lang w:val="pt-BR"/>
                    </w:rPr>
                    <w:t>3</w:t>
                  </w:r>
                  <w:r>
                    <w:rPr>
                      <w:color w:val="000000"/>
                      <w:szCs w:val="21"/>
                      <w:lang w:val="pt-BR"/>
                    </w:rPr>
                    <w:t>COO)</w:t>
                  </w:r>
                  <w:r>
                    <w:rPr>
                      <w:color w:val="000000"/>
                      <w:szCs w:val="21"/>
                      <w:vertAlign w:val="sub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乙酸镁是一种有机盐，结构式为Mg(CH</w:t>
                  </w:r>
                  <w:r>
                    <w:rPr>
                      <w:color w:val="000000"/>
                      <w:szCs w:val="21"/>
                      <w:vertAlign w:val="subscript"/>
                      <w:lang w:val="pt-BR"/>
                    </w:rPr>
                    <w:t>3</w:t>
                  </w:r>
                  <w:r>
                    <w:rPr>
                      <w:color w:val="000000"/>
                      <w:szCs w:val="21"/>
                      <w:lang w:val="pt-BR"/>
                    </w:rPr>
                    <w:t>COO)</w:t>
                  </w:r>
                  <w:r>
                    <w:rPr>
                      <w:color w:val="000000"/>
                      <w:szCs w:val="21"/>
                      <w:vertAlign w:val="subscript"/>
                      <w:lang w:val="pt-BR"/>
                    </w:rPr>
                    <w:t>2</w:t>
                  </w:r>
                  <w:r>
                    <w:rPr>
                      <w:color w:val="000000"/>
                      <w:szCs w:val="21"/>
                      <w:lang w:val="pt-BR"/>
                    </w:rPr>
                    <w:t>。分子量：214.45400；通常为四水合物，外观为无色单斜晶体，密度1.454g/cm</w:t>
                  </w:r>
                  <w:r>
                    <w:rPr>
                      <w:color w:val="000000"/>
                      <w:szCs w:val="21"/>
                      <w:vertAlign w:val="superscript"/>
                      <w:lang w:val="pt-BR"/>
                    </w:rPr>
                    <w:t>3</w:t>
                  </w:r>
                  <w:r>
                    <w:rPr>
                      <w:color w:val="000000"/>
                      <w:szCs w:val="21"/>
                      <w:lang w:val="pt-BR"/>
                    </w:rPr>
                    <w:t>（无水物密度为1.42g/cm</w:t>
                  </w:r>
                  <w:r>
                    <w:rPr>
                      <w:color w:val="000000"/>
                      <w:szCs w:val="21"/>
                      <w:vertAlign w:val="superscript"/>
                      <w:lang w:val="pt-BR"/>
                    </w:rPr>
                    <w:t>3</w:t>
                  </w:r>
                  <w:r>
                    <w:rPr>
                      <w:color w:val="000000"/>
                      <w:szCs w:val="21"/>
                      <w:lang w:val="pt-BR"/>
                    </w:rPr>
                    <w:t>）。易溶于水，水溶液呈中性或弱酸性，80℃溶于结晶水中。外观与性状：无色单斜晶体，易潮解。熔点(℃)：80；相对密度（水=1）：1.4540；溶解性：溶于水、乙醇。在潮湿空气中易潮解，在硫酸保干器中易风化，加热至100℃时脱水。易溶于冷水和热水。0.1℃时在100mL水中溶解度为36.20g。55℃时在100mL水中溶解度为49.46g。溶于乙醇。</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64</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碘</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I</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碘（Iodine），非金属元素，元素符号I，元素周期表53号元素，在化学元素周期表中位于第5周期，系ⅦA族，卤族元素之一。单质碘呈紫黑色晶体，易升华，升华后易凝华，有毒性和腐蚀性。单质碘遇淀粉会变蓝紫色。主要用于制药物、染料、碘酒、试纸和碘化合物等。密度：4.93g/cm³；熔点：386.85</w:t>
                  </w:r>
                  <w:r>
                    <w:rPr>
                      <w:rFonts w:eastAsia="MS Mincho"/>
                      <w:color w:val="000000"/>
                      <w:szCs w:val="21"/>
                      <w:lang w:val="pt-BR"/>
                    </w:rPr>
                    <w:t> </w:t>
                  </w:r>
                  <w:r>
                    <w:rPr>
                      <w:color w:val="000000"/>
                      <w:szCs w:val="21"/>
                      <w:lang w:val="pt-BR"/>
                    </w:rPr>
                    <w:t>K(113.7</w:t>
                  </w:r>
                  <w:r>
                    <w:rPr>
                      <w:rFonts w:eastAsia="MS Mincho"/>
                      <w:color w:val="000000"/>
                      <w:szCs w:val="21"/>
                      <w:lang w:val="pt-BR"/>
                    </w:rPr>
                    <w:t> </w:t>
                  </w:r>
                  <w:r>
                    <w:rPr>
                      <w:color w:val="000000"/>
                      <w:szCs w:val="21"/>
                      <w:lang w:val="pt-BR"/>
                    </w:rPr>
                    <w:t>°C,236.66</w:t>
                  </w:r>
                  <w:r>
                    <w:rPr>
                      <w:rFonts w:eastAsia="MS Mincho"/>
                      <w:color w:val="000000"/>
                      <w:szCs w:val="21"/>
                      <w:lang w:val="pt-BR"/>
                    </w:rPr>
                    <w:t> </w:t>
                  </w:r>
                  <w:r>
                    <w:rPr>
                      <w:color w:val="000000"/>
                      <w:szCs w:val="21"/>
                      <w:lang w:val="pt-BR"/>
                    </w:rPr>
                    <w:t>°F)；沸点：457.4</w:t>
                  </w:r>
                  <w:r>
                    <w:rPr>
                      <w:rFonts w:eastAsia="MS Mincho"/>
                      <w:color w:val="000000"/>
                      <w:szCs w:val="21"/>
                      <w:lang w:val="pt-BR"/>
                    </w:rPr>
                    <w:t> </w:t>
                  </w:r>
                  <w:r>
                    <w:rPr>
                      <w:color w:val="000000"/>
                      <w:szCs w:val="21"/>
                      <w:lang w:val="pt-BR"/>
                    </w:rPr>
                    <w:t>K(184.3</w:t>
                  </w:r>
                  <w:r>
                    <w:rPr>
                      <w:rFonts w:eastAsia="MS Mincho"/>
                      <w:color w:val="000000"/>
                      <w:szCs w:val="21"/>
                      <w:lang w:val="pt-BR"/>
                    </w:rPr>
                    <w:t> </w:t>
                  </w:r>
                  <w:r>
                    <w:rPr>
                      <w:color w:val="000000"/>
                      <w:szCs w:val="21"/>
                      <w:lang w:val="pt-BR"/>
                    </w:rPr>
                    <w:t>°C,363.7</w:t>
                  </w:r>
                  <w:r>
                    <w:rPr>
                      <w:rFonts w:eastAsia="MS Mincho"/>
                      <w:color w:val="000000"/>
                      <w:szCs w:val="21"/>
                      <w:lang w:val="pt-BR"/>
                    </w:rPr>
                    <w:t> </w:t>
                  </w:r>
                  <w:r>
                    <w:rPr>
                      <w:color w:val="000000"/>
                      <w:szCs w:val="21"/>
                      <w:lang w:val="pt-BR"/>
                    </w:rPr>
                    <w:t>°F)；</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65</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硫酸铜</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CuSO₄</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一种无机化合物，化学式为CuSO₄，无水硫酸铜为为白色或灰白色粉末。外观与性状：无水硫酸铜为灰白色粉末，易吸水变蓝绿色的五水合硫酸铜。熔点：560℃；密度：3.606g/cm3（25ºC）；蒸气压：7.3mmHg（25ºC）；溶解性：溶于水、甲醇。不溶于乙醇。属中等毒性</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66</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硫酸钾</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K</w:t>
                  </w:r>
                  <w:r>
                    <w:rPr>
                      <w:color w:val="000000"/>
                      <w:szCs w:val="21"/>
                      <w:vertAlign w:val="subscript"/>
                      <w:lang w:val="pt-BR"/>
                    </w:rPr>
                    <w:t>2</w:t>
                  </w:r>
                  <w:r>
                    <w:rPr>
                      <w:color w:val="000000"/>
                      <w:szCs w:val="21"/>
                      <w:lang w:val="pt-BR"/>
                    </w:rPr>
                    <w:t>SO</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一种无机盐，化学式为K</w:t>
                  </w:r>
                  <w:r>
                    <w:rPr>
                      <w:color w:val="000000"/>
                      <w:szCs w:val="21"/>
                      <w:vertAlign w:val="subscript"/>
                      <w:lang w:val="pt-BR"/>
                    </w:rPr>
                    <w:t>2</w:t>
                  </w:r>
                  <w:r>
                    <w:rPr>
                      <w:color w:val="000000"/>
                      <w:szCs w:val="21"/>
                      <w:lang w:val="pt-BR"/>
                    </w:rPr>
                    <w:t>SO</w:t>
                  </w:r>
                  <w:r>
                    <w:rPr>
                      <w:color w:val="000000"/>
                      <w:szCs w:val="21"/>
                      <w:vertAlign w:val="subscript"/>
                      <w:lang w:val="pt-BR"/>
                    </w:rPr>
                    <w:t>4</w:t>
                  </w:r>
                  <w:r>
                    <w:rPr>
                      <w:color w:val="000000"/>
                      <w:szCs w:val="21"/>
                      <w:lang w:val="pt-BR"/>
                    </w:rPr>
                    <w:t>，分子量：174.26；呈白色结晶性粉末。外观多呈淡黄色，硫酸钾的吸湿性小，不易结块，物理性状良好；熔点：1067℃；沸点：1689℃；密度：2.66g/cm</w:t>
                  </w:r>
                  <w:r>
                    <w:rPr>
                      <w:color w:val="000000"/>
                      <w:szCs w:val="21"/>
                      <w:vertAlign w:val="superscript"/>
                      <w:lang w:val="pt-BR"/>
                    </w:rPr>
                    <w:t>3</w:t>
                  </w:r>
                  <w:r>
                    <w:rPr>
                      <w:color w:val="000000"/>
                      <w:szCs w:val="21"/>
                      <w:lang w:val="pt-BR"/>
                    </w:rPr>
                    <w:t>；外观：白色结晶性粉末。</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67</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亚铁氰化钾</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K</w:t>
                  </w:r>
                  <w:r>
                    <w:rPr>
                      <w:color w:val="000000"/>
                      <w:szCs w:val="21"/>
                      <w:vertAlign w:val="subscript"/>
                      <w:lang w:val="pt-BR"/>
                    </w:rPr>
                    <w:t>4</w:t>
                  </w:r>
                  <w:r>
                    <w:rPr>
                      <w:color w:val="000000"/>
                      <w:szCs w:val="21"/>
                      <w:lang w:val="pt-BR"/>
                    </w:rPr>
                    <w:t>Fe(CN)</w:t>
                  </w:r>
                  <w:r>
                    <w:rPr>
                      <w:color w:val="000000"/>
                      <w:szCs w:val="21"/>
                      <w:vertAlign w:val="subscript"/>
                      <w:lang w:val="pt-BR"/>
                    </w:rPr>
                    <w:t>6</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一种无机化合物，又名六氰铁(II)酸钾，分子式K</w:t>
                  </w:r>
                  <w:r>
                    <w:rPr>
                      <w:color w:val="000000"/>
                      <w:szCs w:val="21"/>
                      <w:vertAlign w:val="subscript"/>
                      <w:lang w:val="pt-BR"/>
                    </w:rPr>
                    <w:t>4</w:t>
                  </w:r>
                  <w:r>
                    <w:rPr>
                      <w:color w:val="000000"/>
                      <w:szCs w:val="21"/>
                      <w:lang w:val="pt-BR"/>
                    </w:rPr>
                    <w:t>Fe(CN)</w:t>
                  </w:r>
                  <w:r>
                    <w:rPr>
                      <w:color w:val="000000"/>
                      <w:szCs w:val="21"/>
                      <w:vertAlign w:val="subscript"/>
                      <w:lang w:val="pt-BR"/>
                    </w:rPr>
                    <w:t>6</w:t>
                  </w:r>
                  <w:r>
                    <w:rPr>
                      <w:color w:val="000000"/>
                      <w:szCs w:val="21"/>
                      <w:lang w:val="pt-BR"/>
                    </w:rPr>
                    <w:t>，分子量为368.343，呈黄色结晶性粉末。与稀硫酸加热生成氢氰酸、硫酸亚铁和硫酸钾，与浓硫酸加热生成硫酸亚铁、硫酸铵、硫酸钾，并放出一氧化碳。属低毒类，环境危害：对环境有严重危害。</w:t>
                  </w:r>
                </w:p>
                <w:p>
                  <w:pPr>
                    <w:adjustRightInd w:val="0"/>
                    <w:rPr>
                      <w:color w:val="000000"/>
                      <w:szCs w:val="21"/>
                    </w:rPr>
                  </w:pPr>
                  <w:r>
                    <w:rPr>
                      <w:color w:val="000000"/>
                      <w:szCs w:val="21"/>
                      <w:lang w:val="pt-BR"/>
                    </w:rPr>
                    <w:t>燃爆危险：该品不燃。</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68</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三氧化二砷</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As</w:t>
                  </w:r>
                  <w:r>
                    <w:rPr>
                      <w:color w:val="000000"/>
                      <w:szCs w:val="21"/>
                      <w:vertAlign w:val="subscript"/>
                      <w:lang w:val="pt-BR"/>
                    </w:rPr>
                    <w:t>2</w:t>
                  </w:r>
                  <w:r>
                    <w:rPr>
                      <w:color w:val="000000"/>
                      <w:szCs w:val="21"/>
                      <w:lang w:val="pt-BR"/>
                    </w:rPr>
                    <w:t>O</w:t>
                  </w:r>
                  <w:r>
                    <w:rPr>
                      <w:color w:val="000000"/>
                      <w:szCs w:val="21"/>
                      <w:vertAlign w:val="subscript"/>
                      <w:lang w:val="pt-BR"/>
                    </w:rPr>
                    <w:t>3</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俗称砒霜，是一种无机化合物，化学式为As</w:t>
                  </w:r>
                  <w:r>
                    <w:rPr>
                      <w:color w:val="000000"/>
                      <w:szCs w:val="21"/>
                      <w:vertAlign w:val="subscript"/>
                      <w:lang w:val="pt-BR"/>
                    </w:rPr>
                    <w:t>2</w:t>
                  </w:r>
                  <w:r>
                    <w:rPr>
                      <w:color w:val="000000"/>
                      <w:szCs w:val="21"/>
                      <w:lang w:val="pt-BR"/>
                    </w:rPr>
                    <w:t>O</w:t>
                  </w:r>
                  <w:r>
                    <w:rPr>
                      <w:color w:val="000000"/>
                      <w:szCs w:val="21"/>
                      <w:vertAlign w:val="subscript"/>
                      <w:lang w:val="pt-BR"/>
                    </w:rPr>
                    <w:t>3</w:t>
                  </w:r>
                  <w:r>
                    <w:rPr>
                      <w:color w:val="000000"/>
                      <w:szCs w:val="21"/>
                      <w:lang w:val="pt-BR"/>
                    </w:rPr>
                    <w:t>，分子量：197.84；沸点：465℃；水溶性：微溶；密度：3.74g/cm³；熔点：275-313℃；有剧毒，是最具商业价值的砷化合物。它也是最古老的毒物之一，无臭无味，为白色霜状粉末，故称砒霜。应用：防腐剂、杀虫剂、除草剂，对水生生物有极高毒性，可能在水生环境中造成长期不利影响。</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69</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酒石酸钾钠</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NaKC</w:t>
                  </w:r>
                  <w:r>
                    <w:rPr>
                      <w:color w:val="000000"/>
                      <w:szCs w:val="21"/>
                      <w:vertAlign w:val="subscript"/>
                      <w:lang w:val="pt-BR"/>
                    </w:rPr>
                    <w:t>4</w:t>
                  </w:r>
                  <w:r>
                    <w:rPr>
                      <w:color w:val="000000"/>
                      <w:szCs w:val="21"/>
                      <w:lang w:val="pt-BR"/>
                    </w:rPr>
                    <w:t>H</w:t>
                  </w:r>
                  <w:r>
                    <w:rPr>
                      <w:color w:val="000000"/>
                      <w:szCs w:val="21"/>
                      <w:vertAlign w:val="subscript"/>
                      <w:lang w:val="pt-BR"/>
                    </w:rPr>
                    <w:t>4</w:t>
                  </w:r>
                  <w:r>
                    <w:rPr>
                      <w:color w:val="000000"/>
                      <w:szCs w:val="21"/>
                      <w:lang w:val="pt-BR"/>
                    </w:rPr>
                    <w:t>O</w:t>
                  </w:r>
                  <w:r>
                    <w:rPr>
                      <w:color w:val="000000"/>
                      <w:szCs w:val="21"/>
                      <w:vertAlign w:val="subscript"/>
                      <w:lang w:val="pt-BR"/>
                    </w:rPr>
                    <w:t>6</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一种有机物，化学式为NaKC</w:t>
                  </w:r>
                  <w:r>
                    <w:rPr>
                      <w:color w:val="000000"/>
                      <w:szCs w:val="21"/>
                      <w:vertAlign w:val="subscript"/>
                      <w:lang w:val="pt-BR"/>
                    </w:rPr>
                    <w:t>4</w:t>
                  </w:r>
                  <w:r>
                    <w:rPr>
                      <w:color w:val="000000"/>
                      <w:szCs w:val="21"/>
                      <w:lang w:val="pt-BR"/>
                    </w:rPr>
                    <w:t>H</w:t>
                  </w:r>
                  <w:r>
                    <w:rPr>
                      <w:color w:val="000000"/>
                      <w:szCs w:val="21"/>
                      <w:vertAlign w:val="subscript"/>
                      <w:lang w:val="pt-BR"/>
                    </w:rPr>
                    <w:t>4</w:t>
                  </w:r>
                  <w:r>
                    <w:rPr>
                      <w:color w:val="000000"/>
                      <w:szCs w:val="21"/>
                      <w:lang w:val="pt-BR"/>
                    </w:rPr>
                    <w:t>O</w:t>
                  </w:r>
                  <w:r>
                    <w:rPr>
                      <w:color w:val="000000"/>
                      <w:szCs w:val="21"/>
                      <w:vertAlign w:val="subscript"/>
                      <w:lang w:val="pt-BR"/>
                    </w:rPr>
                    <w:t>6</w:t>
                  </w:r>
                  <w:r>
                    <w:rPr>
                      <w:color w:val="000000"/>
                      <w:szCs w:val="21"/>
                      <w:lang w:val="pt-BR"/>
                    </w:rPr>
                    <w:t>，分子量：210.23；密度1.79g/cm</w:t>
                  </w:r>
                  <w:r>
                    <w:rPr>
                      <w:color w:val="000000"/>
                      <w:szCs w:val="21"/>
                      <w:vertAlign w:val="superscript"/>
                      <w:lang w:val="pt-BR"/>
                    </w:rPr>
                    <w:t>3</w:t>
                  </w:r>
                  <w:r>
                    <w:rPr>
                      <w:color w:val="000000"/>
                      <w:szCs w:val="21"/>
                      <w:lang w:val="pt-BR"/>
                    </w:rPr>
                    <w:t>。熔点75℃。在热空气中有风化性，60℃失去部分结晶水，215℃失去全部结晶水。在水中的溶解度0℃时100ml为18.4g，10℃时100ml为40.6g，20℃时100ml为54.8g，30℃时100ml为76.4g。不溶于醇。具有络合性，能与铝、铍、镉、钴、钼、铌、铅、镍、钯、铂、铑、锑、锡、钽、钨、锌、（铜）及硒、碲等金属离子在碱性溶液中形成可溶性络合物。</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70</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硫代硫酸钠</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Na</w:t>
                  </w:r>
                  <w:r>
                    <w:rPr>
                      <w:color w:val="000000"/>
                      <w:szCs w:val="21"/>
                      <w:vertAlign w:val="subscript"/>
                      <w:lang w:val="pt-BR"/>
                    </w:rPr>
                    <w:t>2</w:t>
                  </w:r>
                  <w:r>
                    <w:rPr>
                      <w:color w:val="000000"/>
                      <w:szCs w:val="21"/>
                      <w:lang w:val="pt-BR"/>
                    </w:rPr>
                    <w:t>S</w:t>
                  </w:r>
                  <w:r>
                    <w:rPr>
                      <w:color w:val="000000"/>
                      <w:szCs w:val="21"/>
                      <w:vertAlign w:val="subscript"/>
                      <w:lang w:val="pt-BR"/>
                    </w:rPr>
                    <w:t>2</w:t>
                  </w:r>
                  <w:r>
                    <w:rPr>
                      <w:color w:val="000000"/>
                      <w:szCs w:val="21"/>
                      <w:lang w:val="pt-BR"/>
                    </w:rPr>
                    <w:t>O</w:t>
                  </w:r>
                  <w:r>
                    <w:rPr>
                      <w:color w:val="000000"/>
                      <w:szCs w:val="21"/>
                      <w:vertAlign w:val="subscript"/>
                      <w:lang w:val="pt-BR"/>
                    </w:rPr>
                    <w:t>3</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硫代硫酸钠，又名次亚硫酸钠、大苏打、海波，是常见的硫代硫酸盐，化学式为Na</w:t>
                  </w:r>
                  <w:r>
                    <w:rPr>
                      <w:color w:val="000000"/>
                      <w:szCs w:val="21"/>
                      <w:vertAlign w:val="subscript"/>
                      <w:lang w:val="pt-BR"/>
                    </w:rPr>
                    <w:t>2</w:t>
                  </w:r>
                  <w:r>
                    <w:rPr>
                      <w:color w:val="000000"/>
                      <w:szCs w:val="21"/>
                      <w:lang w:val="pt-BR"/>
                    </w:rPr>
                    <w:t>S</w:t>
                  </w:r>
                  <w:r>
                    <w:rPr>
                      <w:color w:val="000000"/>
                      <w:szCs w:val="21"/>
                      <w:vertAlign w:val="subscript"/>
                      <w:lang w:val="pt-BR"/>
                    </w:rPr>
                    <w:t>2</w:t>
                  </w:r>
                  <w:r>
                    <w:rPr>
                      <w:color w:val="000000"/>
                      <w:szCs w:val="21"/>
                      <w:lang w:val="pt-BR"/>
                    </w:rPr>
                    <w:t>O</w:t>
                  </w:r>
                  <w:r>
                    <w:rPr>
                      <w:color w:val="000000"/>
                      <w:szCs w:val="21"/>
                      <w:vertAlign w:val="subscript"/>
                      <w:lang w:val="pt-BR"/>
                    </w:rPr>
                    <w:t>3</w:t>
                  </w:r>
                  <w:r>
                    <w:rPr>
                      <w:color w:val="000000"/>
                      <w:szCs w:val="21"/>
                      <w:lang w:val="pt-BR"/>
                    </w:rPr>
                    <w:t>，分子量：158.108；熔点：48°C；沸点：100°C；密度：1.667g/cm</w:t>
                  </w:r>
                  <w:r>
                    <w:rPr>
                      <w:color w:val="000000"/>
                      <w:szCs w:val="21"/>
                      <w:vertAlign w:val="superscript"/>
                      <w:lang w:val="pt-BR"/>
                    </w:rPr>
                    <w:t>3</w:t>
                  </w:r>
                  <w:r>
                    <w:rPr>
                      <w:color w:val="000000"/>
                      <w:szCs w:val="21"/>
                      <w:lang w:val="pt-BR"/>
                    </w:rPr>
                    <w:t>；外观：无色或白色结晶性粉末；溶解性：溶于水和松节油，难溶于乙醇。该物质为无色、透明的结晶或结晶性细粒；无臭，味咸；在干燥空气中有风化性，在湿空气中有潮解性；水溶液显微弱的碱性反应。该物质在水中极易溶解，在乙醇中不溶。</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71</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硝酸亚汞</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szCs w:val="21"/>
                    </w:rPr>
                    <w:t>Hg</w:t>
                  </w:r>
                  <w:r>
                    <w:rPr>
                      <w:szCs w:val="21"/>
                      <w:vertAlign w:val="subscript"/>
                    </w:rPr>
                    <w:t>2</w:t>
                  </w:r>
                  <w:r>
                    <w:rPr>
                      <w:szCs w:val="21"/>
                    </w:rPr>
                    <w:t>(NO</w:t>
                  </w:r>
                  <w:r>
                    <w:rPr>
                      <w:szCs w:val="21"/>
                      <w:vertAlign w:val="subscript"/>
                    </w:rPr>
                    <w:t>3</w:t>
                  </w:r>
                  <w:r>
                    <w:rPr>
                      <w:szCs w:val="21"/>
                    </w:rPr>
                    <w:t>)·4H</w:t>
                  </w:r>
                  <w:r>
                    <w:rPr>
                      <w:szCs w:val="21"/>
                      <w:vertAlign w:val="subscript"/>
                    </w:rPr>
                    <w:t>2</w:t>
                  </w:r>
                  <w:r>
                    <w:rPr>
                      <w:szCs w:val="21"/>
                    </w:rPr>
                    <w:t>O</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szCs w:val="21"/>
                    </w:rPr>
                    <w:t>分子式</w:t>
                  </w:r>
                  <w:r>
                    <w:rPr>
                      <w:szCs w:val="21"/>
                      <w:lang w:val="pt-BR"/>
                    </w:rPr>
                    <w:t>：Hg</w:t>
                  </w:r>
                  <w:r>
                    <w:rPr>
                      <w:szCs w:val="21"/>
                      <w:vertAlign w:val="subscript"/>
                      <w:lang w:val="pt-BR"/>
                    </w:rPr>
                    <w:t>2</w:t>
                  </w:r>
                  <w:r>
                    <w:rPr>
                      <w:szCs w:val="21"/>
                      <w:lang w:val="pt-BR"/>
                    </w:rPr>
                    <w:t>(NO</w:t>
                  </w:r>
                  <w:r>
                    <w:rPr>
                      <w:szCs w:val="21"/>
                      <w:vertAlign w:val="subscript"/>
                      <w:lang w:val="pt-BR"/>
                    </w:rPr>
                    <w:t>3</w:t>
                  </w:r>
                  <w:r>
                    <w:rPr>
                      <w:szCs w:val="21"/>
                      <w:lang w:val="pt-BR"/>
                    </w:rPr>
                    <w:t>)·4H</w:t>
                  </w:r>
                  <w:r>
                    <w:rPr>
                      <w:szCs w:val="21"/>
                      <w:vertAlign w:val="subscript"/>
                      <w:lang w:val="pt-BR"/>
                    </w:rPr>
                    <w:t>2</w:t>
                  </w:r>
                  <w:r>
                    <w:rPr>
                      <w:szCs w:val="21"/>
                      <w:lang w:val="pt-BR"/>
                    </w:rPr>
                    <w:t>O，</w:t>
                  </w:r>
                  <w:r>
                    <w:rPr>
                      <w:szCs w:val="21"/>
                    </w:rPr>
                    <w:t>分子量</w:t>
                  </w:r>
                  <w:r>
                    <w:rPr>
                      <w:szCs w:val="21"/>
                      <w:lang w:val="pt-BR"/>
                    </w:rPr>
                    <w:t>：262.59500；</w:t>
                  </w:r>
                  <w:r>
                    <w:rPr>
                      <w:szCs w:val="21"/>
                    </w:rPr>
                    <w:t>熔点</w:t>
                  </w:r>
                  <w:r>
                    <w:rPr>
                      <w:szCs w:val="21"/>
                      <w:lang w:val="pt-BR"/>
                    </w:rPr>
                    <w:t>：70℃，</w:t>
                  </w:r>
                  <w:r>
                    <w:rPr>
                      <w:szCs w:val="21"/>
                    </w:rPr>
                    <w:t>溶解性</w:t>
                  </w:r>
                  <w:r>
                    <w:rPr>
                      <w:szCs w:val="21"/>
                      <w:lang w:val="pt-BR"/>
                    </w:rPr>
                    <w:t>：</w:t>
                  </w:r>
                  <w:r>
                    <w:rPr>
                      <w:szCs w:val="21"/>
                    </w:rPr>
                    <w:t>溶于水、稀硝酸、不溶于乙醇、乙醚。吸入、食入、经皮肤吸收毒性，性状：无色板状或棱柱状结晶；相对密度（3.9ºC）：4.785；熔点（ºC，分解）：70；溶解性：易溶于水、并水解。溶于稀硝酸。不溶于乙醇、乙醚。</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72</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硫脲</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CH</w:t>
                  </w:r>
                  <w:r>
                    <w:rPr>
                      <w:color w:val="000000"/>
                      <w:szCs w:val="21"/>
                      <w:vertAlign w:val="subscript"/>
                      <w:lang w:val="pt-BR"/>
                    </w:rPr>
                    <w:t>4</w:t>
                  </w:r>
                  <w:r>
                    <w:rPr>
                      <w:color w:val="000000"/>
                      <w:szCs w:val="21"/>
                      <w:lang w:val="pt-BR"/>
                    </w:rPr>
                    <w:t>N</w:t>
                  </w:r>
                  <w:r>
                    <w:rPr>
                      <w:color w:val="000000"/>
                      <w:szCs w:val="21"/>
                      <w:vertAlign w:val="subscript"/>
                      <w:lang w:val="pt-BR"/>
                    </w:rPr>
                    <w:t>2</w:t>
                  </w:r>
                  <w:r>
                    <w:rPr>
                      <w:color w:val="000000"/>
                      <w:szCs w:val="21"/>
                      <w:lang w:val="pt-BR"/>
                    </w:rPr>
                    <w:t>S</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是一种有机含硫化合物，化学式为CH</w:t>
                  </w:r>
                  <w:r>
                    <w:rPr>
                      <w:color w:val="000000"/>
                      <w:szCs w:val="21"/>
                      <w:vertAlign w:val="subscript"/>
                      <w:lang w:val="pt-BR"/>
                    </w:rPr>
                    <w:t>4</w:t>
                  </w:r>
                  <w:r>
                    <w:rPr>
                      <w:color w:val="000000"/>
                      <w:szCs w:val="21"/>
                      <w:lang w:val="pt-BR"/>
                    </w:rPr>
                    <w:t>N</w:t>
                  </w:r>
                  <w:r>
                    <w:rPr>
                      <w:color w:val="000000"/>
                      <w:szCs w:val="21"/>
                      <w:vertAlign w:val="subscript"/>
                      <w:lang w:val="pt-BR"/>
                    </w:rPr>
                    <w:t>2</w:t>
                  </w:r>
                  <w:r>
                    <w:rPr>
                      <w:color w:val="000000"/>
                      <w:szCs w:val="21"/>
                      <w:lang w:val="pt-BR"/>
                    </w:rPr>
                    <w:t>S，分子量：76.12；白色而有光泽的晶体，味苦，密度1.41g/cm³，熔点176～178℃。用于制造药物、染料、树脂、压塑粉等的原料，也用作橡胶的硫化促进剂、金属矿物的浮选剂等。由硫化氢与石灰浆作用成硫氢化钙，再与氰氨化钙作用而成。外观：白色有光泽晶体；溶解性：溶于冷水、乙醇，微溶于乙醚。</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73</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氧化镁</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MgO</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是一种无机物，化学式为MgO，是镁的氧化物，一种离子化合物。常温下为一种白色固体。氧化镁以方镁石形式存在于自然界中，是冶镁的原料。氧化镁有高度耐火绝缘性能。经1000℃以上高温灼烧可转变为晶体，升至1500-2000°C则成死烧氧化镁（镁砂）或烧结氧化镁。水溶性：6.2mg/L(0℃)；密度：3.58g/cm³；呈白色或灰白色粉末，无臭、无味、无毒，是典型的碱土金属氧化物，化学式MgO。熔点为2852℃，沸点为3600℃，密度为3.58g/cm3（25℃）。溶于酸和铵盐溶液，不溶于酒精。在水中溶解度为0.00062g/100mL(0°C)、0.0086g/100mL(30°C)；</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74</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硝酸镁</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Mg(NO</w:t>
                  </w:r>
                  <w:r>
                    <w:rPr>
                      <w:color w:val="000000"/>
                      <w:szCs w:val="21"/>
                      <w:vertAlign w:val="subscript"/>
                      <w:lang w:val="pt-BR"/>
                    </w:rPr>
                    <w:t>3</w:t>
                  </w:r>
                  <w:r>
                    <w:rPr>
                      <w:color w:val="000000"/>
                      <w:szCs w:val="21"/>
                      <w:lang w:val="pt-BR"/>
                    </w:rPr>
                    <w:t>)</w:t>
                  </w:r>
                  <w:r>
                    <w:rPr>
                      <w:color w:val="000000"/>
                      <w:szCs w:val="21"/>
                      <w:vertAlign w:val="sub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是一种无机化合物，化学式为Mg(NO</w:t>
                  </w:r>
                  <w:r>
                    <w:rPr>
                      <w:color w:val="000000"/>
                      <w:szCs w:val="21"/>
                      <w:vertAlign w:val="subscript"/>
                      <w:lang w:val="pt-BR"/>
                    </w:rPr>
                    <w:t>3</w:t>
                  </w:r>
                  <w:r>
                    <w:rPr>
                      <w:color w:val="000000"/>
                      <w:szCs w:val="21"/>
                      <w:lang w:val="pt-BR"/>
                    </w:rPr>
                    <w:t>)</w:t>
                  </w:r>
                  <w:r>
                    <w:rPr>
                      <w:color w:val="000000"/>
                      <w:szCs w:val="21"/>
                      <w:vertAlign w:val="subscript"/>
                      <w:lang w:val="pt-BR"/>
                    </w:rPr>
                    <w:t>2</w:t>
                  </w:r>
                  <w:r>
                    <w:rPr>
                      <w:color w:val="000000"/>
                      <w:szCs w:val="21"/>
                      <w:lang w:val="pt-BR"/>
                    </w:rPr>
                    <w:t>，分子量：148.315；为白色结晶性粉末，溶于水、甲醇、乙醇、液氨，其水溶液呈中性。可用作浓硝酸的脱水剂、催化剂和小麦灰化剂等。密度：0.889g/cm</w:t>
                  </w:r>
                  <w:r>
                    <w:rPr>
                      <w:color w:val="000000"/>
                      <w:szCs w:val="21"/>
                      <w:vertAlign w:val="superscript"/>
                      <w:lang w:val="pt-BR"/>
                    </w:rPr>
                    <w:t>3</w:t>
                  </w:r>
                  <w:r>
                    <w:rPr>
                      <w:color w:val="000000"/>
                      <w:szCs w:val="21"/>
                      <w:lang w:val="pt-BR"/>
                    </w:rPr>
                    <w:t>；熔点：648℃；沸点：1090℃；外观：白色结晶性粉末；溶解性：溶于水、甲醇、乙醇、液氨。被列入《易制爆危险化学品名录》，并按照《易制爆危险化学品治安管理办法》管控。</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75</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lang w:val="pt-BR"/>
                    </w:rPr>
                  </w:pPr>
                  <w:r>
                    <w:rPr>
                      <w:szCs w:val="21"/>
                      <w:lang w:val="pt-BR"/>
                    </w:rPr>
                    <w:t>抗坏血酸</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6</w:t>
                  </w:r>
                  <w:r>
                    <w:rPr>
                      <w:color w:val="000000"/>
                      <w:szCs w:val="21"/>
                      <w:lang w:val="pt-BR"/>
                    </w:rPr>
                    <w:t>H</w:t>
                  </w:r>
                  <w:r>
                    <w:rPr>
                      <w:color w:val="000000"/>
                      <w:szCs w:val="21"/>
                      <w:vertAlign w:val="subscript"/>
                      <w:lang w:val="pt-BR"/>
                    </w:rPr>
                    <w:t>8</w:t>
                  </w:r>
                  <w:r>
                    <w:rPr>
                      <w:color w:val="000000"/>
                      <w:szCs w:val="21"/>
                      <w:lang w:val="pt-BR"/>
                    </w:rPr>
                    <w:t>O</w:t>
                  </w:r>
                  <w:r>
                    <w:rPr>
                      <w:color w:val="000000"/>
                      <w:szCs w:val="21"/>
                      <w:vertAlign w:val="subscript"/>
                      <w:lang w:val="pt-BR"/>
                    </w:rPr>
                    <w:t>6</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抗坏血酸一般指维生素C，维生素C，又称维他命C，是一种多羟基化合物，化学式为C</w:t>
                  </w:r>
                  <w:r>
                    <w:rPr>
                      <w:color w:val="000000"/>
                      <w:szCs w:val="21"/>
                      <w:vertAlign w:val="subscript"/>
                      <w:lang w:val="pt-BR"/>
                    </w:rPr>
                    <w:t>6</w:t>
                  </w:r>
                  <w:r>
                    <w:rPr>
                      <w:color w:val="000000"/>
                      <w:szCs w:val="21"/>
                      <w:lang w:val="pt-BR"/>
                    </w:rPr>
                    <w:t>H</w:t>
                  </w:r>
                  <w:r>
                    <w:rPr>
                      <w:color w:val="000000"/>
                      <w:szCs w:val="21"/>
                      <w:vertAlign w:val="subscript"/>
                      <w:lang w:val="pt-BR"/>
                    </w:rPr>
                    <w:t>8</w:t>
                  </w:r>
                  <w:r>
                    <w:rPr>
                      <w:color w:val="000000"/>
                      <w:szCs w:val="21"/>
                      <w:lang w:val="pt-BR"/>
                    </w:rPr>
                    <w:t>O</w:t>
                  </w:r>
                  <w:r>
                    <w:rPr>
                      <w:color w:val="000000"/>
                      <w:szCs w:val="21"/>
                      <w:vertAlign w:val="subscript"/>
                      <w:lang w:val="pt-BR"/>
                    </w:rPr>
                    <w:t>6</w:t>
                  </w:r>
                  <w:r>
                    <w:rPr>
                      <w:color w:val="000000"/>
                      <w:szCs w:val="21"/>
                      <w:lang w:val="pt-BR"/>
                    </w:rPr>
                    <w:t>。分子量：176.13，结构类似葡萄糖，维生素C为白色结晶或结晶性粉末，无臭，味酸，久置色渐变微黄。在水中易溶，呈酸性，在乙醇中略溶，在三氯甲烷或乙醚中不溶。熔点：190-192℃；沸点：553℃；密度：1.694g/cm³；</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76</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lang w:val="pt-BR"/>
                    </w:rPr>
                  </w:pPr>
                  <w:r>
                    <w:rPr>
                      <w:szCs w:val="21"/>
                      <w:lang w:val="pt-BR"/>
                    </w:rPr>
                    <w:t>柠檬酸铵</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6</w:t>
                  </w:r>
                  <w:r>
                    <w:rPr>
                      <w:color w:val="000000"/>
                      <w:szCs w:val="21"/>
                      <w:lang w:val="pt-BR"/>
                    </w:rPr>
                    <w:t>H</w:t>
                  </w:r>
                  <w:r>
                    <w:rPr>
                      <w:color w:val="000000"/>
                      <w:szCs w:val="21"/>
                      <w:vertAlign w:val="subscript"/>
                      <w:lang w:val="pt-BR"/>
                    </w:rPr>
                    <w:t>5</w:t>
                  </w:r>
                  <w:r>
                    <w:rPr>
                      <w:color w:val="000000"/>
                      <w:szCs w:val="21"/>
                      <w:lang w:val="pt-BR"/>
                    </w:rPr>
                    <w:t>O</w:t>
                  </w:r>
                  <w:r>
                    <w:rPr>
                      <w:color w:val="000000"/>
                      <w:szCs w:val="21"/>
                      <w:vertAlign w:val="subscript"/>
                      <w:lang w:val="pt-BR"/>
                    </w:rPr>
                    <w:t>7</w:t>
                  </w:r>
                  <w:r>
                    <w:rPr>
                      <w:color w:val="000000"/>
                      <w:szCs w:val="21"/>
                      <w:lang w:val="pt-BR"/>
                    </w:rPr>
                    <w:t>(NH</w:t>
                  </w:r>
                  <w:r>
                    <w:rPr>
                      <w:color w:val="000000"/>
                      <w:szCs w:val="21"/>
                      <w:vertAlign w:val="subscript"/>
                      <w:lang w:val="pt-BR"/>
                    </w:rPr>
                    <w:t>4</w:t>
                  </w:r>
                  <w:r>
                    <w:rPr>
                      <w:color w:val="000000"/>
                      <w:szCs w:val="21"/>
                      <w:lang w:val="pt-BR"/>
                    </w:rPr>
                    <w:t>)</w:t>
                  </w:r>
                  <w:r>
                    <w:rPr>
                      <w:color w:val="000000"/>
                      <w:szCs w:val="21"/>
                      <w:vertAlign w:val="subscript"/>
                      <w:lang w:val="pt-BR"/>
                    </w:rPr>
                    <w:t>3</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柠檬酸铵（Ammoniumcitrate），分子式：C</w:t>
                  </w:r>
                  <w:r>
                    <w:rPr>
                      <w:color w:val="000000"/>
                      <w:szCs w:val="21"/>
                      <w:vertAlign w:val="subscript"/>
                      <w:lang w:val="pt-BR"/>
                    </w:rPr>
                    <w:t>6</w:t>
                  </w:r>
                  <w:r>
                    <w:rPr>
                      <w:color w:val="000000"/>
                      <w:szCs w:val="21"/>
                      <w:lang w:val="pt-BR"/>
                    </w:rPr>
                    <w:t>H</w:t>
                  </w:r>
                  <w:r>
                    <w:rPr>
                      <w:color w:val="000000"/>
                      <w:szCs w:val="21"/>
                      <w:vertAlign w:val="subscript"/>
                      <w:lang w:val="pt-BR"/>
                    </w:rPr>
                    <w:t>5</w:t>
                  </w:r>
                  <w:r>
                    <w:rPr>
                      <w:color w:val="000000"/>
                      <w:szCs w:val="21"/>
                      <w:lang w:val="pt-BR"/>
                    </w:rPr>
                    <w:t>O</w:t>
                  </w:r>
                  <w:r>
                    <w:rPr>
                      <w:color w:val="000000"/>
                      <w:szCs w:val="21"/>
                      <w:vertAlign w:val="subscript"/>
                      <w:lang w:val="pt-BR"/>
                    </w:rPr>
                    <w:t>7</w:t>
                  </w:r>
                  <w:r>
                    <w:rPr>
                      <w:color w:val="000000"/>
                      <w:szCs w:val="21"/>
                      <w:lang w:val="pt-BR"/>
                    </w:rPr>
                    <w:t>(NH</w:t>
                  </w:r>
                  <w:r>
                    <w:rPr>
                      <w:color w:val="000000"/>
                      <w:szCs w:val="21"/>
                      <w:vertAlign w:val="subscript"/>
                      <w:lang w:val="pt-BR"/>
                    </w:rPr>
                    <w:t>4</w:t>
                  </w:r>
                  <w:r>
                    <w:rPr>
                      <w:color w:val="000000"/>
                      <w:szCs w:val="21"/>
                      <w:lang w:val="pt-BR"/>
                    </w:rPr>
                    <w:t>)</w:t>
                  </w:r>
                  <w:r>
                    <w:rPr>
                      <w:color w:val="000000"/>
                      <w:szCs w:val="21"/>
                      <w:vertAlign w:val="subscript"/>
                      <w:lang w:val="pt-BR"/>
                    </w:rPr>
                    <w:t>3</w:t>
                  </w:r>
                  <w:r>
                    <w:rPr>
                      <w:color w:val="000000"/>
                      <w:szCs w:val="21"/>
                      <w:lang w:val="pt-BR"/>
                    </w:rPr>
                    <w:t>；分子量：243.22；也叫做柠檬酸三铵，白色潮解粉末或结晶。易溶于水。熔点时有分解。低毒。密度（g/mL,25/4℃）：1.22相对蒸汽密度（g/mL,空气=1）：1.8；熔点（oC）：185沸点（oC,常压）：100；溶解性：易溶解、溶于水和酸。</w:t>
                  </w:r>
                  <w:r>
                    <w:rPr>
                      <w:color w:val="333333"/>
                      <w:szCs w:val="21"/>
                      <w:shd w:val="clear" w:color="auto" w:fill="FFFFFF"/>
                    </w:rPr>
                    <w:t>易潮解,有刺激性。</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color w:val="000000"/>
                      <w:szCs w:val="21"/>
                      <w:lang w:val="pt-BR"/>
                    </w:rPr>
                    <w:t>77</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lang w:val="pt-BR"/>
                    </w:rPr>
                  </w:pPr>
                  <w:r>
                    <w:rPr>
                      <w:szCs w:val="21"/>
                      <w:lang w:val="pt-BR"/>
                    </w:rPr>
                    <w:t>硫酸铵</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(NH</w:t>
                  </w:r>
                  <w:r>
                    <w:rPr>
                      <w:color w:val="000000"/>
                      <w:szCs w:val="21"/>
                      <w:vertAlign w:val="subscript"/>
                      <w:lang w:val="pt-BR"/>
                    </w:rPr>
                    <w:t>4</w:t>
                  </w:r>
                  <w:r>
                    <w:rPr>
                      <w:color w:val="000000"/>
                      <w:szCs w:val="21"/>
                      <w:lang w:val="pt-BR"/>
                    </w:rPr>
                    <w:t>)</w:t>
                  </w:r>
                  <w:r>
                    <w:rPr>
                      <w:color w:val="000000"/>
                      <w:szCs w:val="21"/>
                      <w:vertAlign w:val="subscript"/>
                      <w:lang w:val="pt-BR"/>
                    </w:rPr>
                    <w:t>2</w:t>
                  </w:r>
                  <w:r>
                    <w:rPr>
                      <w:color w:val="000000"/>
                      <w:szCs w:val="21"/>
                      <w:lang w:val="pt-BR"/>
                    </w:rPr>
                    <w:t>SO</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一种无机物，化学式为(NH</w:t>
                  </w:r>
                  <w:r>
                    <w:rPr>
                      <w:color w:val="000000"/>
                      <w:szCs w:val="21"/>
                      <w:vertAlign w:val="subscript"/>
                      <w:lang w:val="pt-BR"/>
                    </w:rPr>
                    <w:t>4</w:t>
                  </w:r>
                  <w:r>
                    <w:rPr>
                      <w:color w:val="000000"/>
                      <w:szCs w:val="21"/>
                      <w:lang w:val="pt-BR"/>
                    </w:rPr>
                    <w:t>)</w:t>
                  </w:r>
                  <w:r>
                    <w:rPr>
                      <w:color w:val="000000"/>
                      <w:szCs w:val="21"/>
                      <w:vertAlign w:val="subscript"/>
                      <w:lang w:val="pt-BR"/>
                    </w:rPr>
                    <w:t>2</w:t>
                  </w:r>
                  <w:r>
                    <w:rPr>
                      <w:color w:val="000000"/>
                      <w:szCs w:val="21"/>
                      <w:lang w:val="pt-BR"/>
                    </w:rPr>
                    <w:t>SO</w:t>
                  </w:r>
                  <w:r>
                    <w:rPr>
                      <w:color w:val="000000"/>
                      <w:szCs w:val="21"/>
                      <w:vertAlign w:val="subscript"/>
                      <w:lang w:val="pt-BR"/>
                    </w:rPr>
                    <w:t>4</w:t>
                  </w:r>
                  <w:r>
                    <w:rPr>
                      <w:color w:val="000000"/>
                      <w:szCs w:val="21"/>
                      <w:lang w:val="pt-BR"/>
                    </w:rPr>
                    <w:t>，分子量：132.14；无色结晶或白色颗粒，无气味。280℃以上分解。水中溶解度：0℃时70.6g，100℃时103.8g。不溶于乙醇和丙酮。0.1mol/L水溶液的pH为5.5。相对密度：1.77g/cm</w:t>
                  </w:r>
                  <w:r>
                    <w:rPr>
                      <w:color w:val="000000"/>
                      <w:szCs w:val="21"/>
                      <w:vertAlign w:val="superscript"/>
                      <w:lang w:val="pt-BR"/>
                    </w:rPr>
                    <w:t>3</w:t>
                  </w:r>
                  <w:r>
                    <w:rPr>
                      <w:color w:val="000000"/>
                      <w:szCs w:val="21"/>
                      <w:lang w:val="pt-BR"/>
                    </w:rPr>
                    <w:t>；熔点：230-280℃，溶解度：0℃溶解70.6g。20℃溶解75.4g。30℃溶解78g。40℃溶解81g。有吸湿性，吸湿后固结成块。加热到513℃以上完全分解成氨气、氮气、二氧化硫及水。与碱类作用则放出氨气。与氯化钡溶液反应生成硫酸钡沉淀。也可以使蛋白质发生盐析。</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color w:val="000000"/>
                      <w:szCs w:val="21"/>
                      <w:lang w:val="pt-BR"/>
                    </w:rPr>
                  </w:pPr>
                  <w:r>
                    <w:rPr>
                      <w:szCs w:val="21"/>
                    </w:rPr>
                    <w:t>78</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lang w:val="pt-BR"/>
                    </w:rPr>
                  </w:pPr>
                  <w:r>
                    <w:rPr>
                      <w:szCs w:val="21"/>
                    </w:rPr>
                    <w:t>碘化钾</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KI</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碘化钾是一种无机化合物，化学式为KI，为无色或白色晶体，无臭，有浓苦咸味。药用作利尿剂，加适量于食盐中可防治甲状腺疾病。呈无色或白色结晶性粉末，密度3.13g/cm</w:t>
                  </w:r>
                  <w:r>
                    <w:rPr>
                      <w:color w:val="000000"/>
                      <w:szCs w:val="21"/>
                      <w:vertAlign w:val="superscript"/>
                      <w:lang w:val="pt-BR"/>
                    </w:rPr>
                    <w:t>3</w:t>
                  </w:r>
                  <w:r>
                    <w:rPr>
                      <w:color w:val="000000"/>
                      <w:szCs w:val="21"/>
                      <w:lang w:val="pt-BR"/>
                    </w:rPr>
                    <w:t>，熔点618℃，沸点1345℃，易溶于水和乙醇。水溶液见光变暗，并游离出碘。</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79</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盐酸羟胺</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NH</w:t>
                  </w:r>
                  <w:r>
                    <w:rPr>
                      <w:color w:val="000000"/>
                      <w:szCs w:val="21"/>
                      <w:vertAlign w:val="subscript"/>
                      <w:lang w:val="pt-BR"/>
                    </w:rPr>
                    <w:t>3</w:t>
                  </w:r>
                  <w:r>
                    <w:rPr>
                      <w:color w:val="000000"/>
                      <w:szCs w:val="21"/>
                      <w:lang w:val="pt-BR"/>
                    </w:rPr>
                    <w:t>OHCl</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盐酸羟胺是一种无机物，是一种无色结晶，易潮解，白色的化学物质，主要用作还原剂和显像剂，有机合成中用于制备肟，也用作合成抗癌药（羟基脲）、磺胺药（新诺明）和农药（灭多威）的原料。分子量：69.49；分子式：HONH</w:t>
                  </w:r>
                  <w:r>
                    <w:rPr>
                      <w:color w:val="000000"/>
                      <w:szCs w:val="21"/>
                      <w:vertAlign w:val="subscript"/>
                      <w:lang w:val="pt-BR"/>
                    </w:rPr>
                    <w:t>3</w:t>
                  </w:r>
                  <w:r>
                    <w:rPr>
                      <w:color w:val="000000"/>
                      <w:szCs w:val="21"/>
                      <w:lang w:val="pt-BR"/>
                    </w:rPr>
                    <w:t>Cl；NH</w:t>
                  </w:r>
                  <w:r>
                    <w:rPr>
                      <w:color w:val="000000"/>
                      <w:szCs w:val="21"/>
                      <w:vertAlign w:val="subscript"/>
                      <w:lang w:val="pt-BR"/>
                    </w:rPr>
                    <w:t>3</w:t>
                  </w:r>
                  <w:r>
                    <w:rPr>
                      <w:color w:val="000000"/>
                      <w:szCs w:val="21"/>
                      <w:lang w:val="pt-BR"/>
                    </w:rPr>
                    <w:t>OHCl；密度：1.67g/cm³；熔点：152℃；熔点：152℃（分解）。溶于水，乙醇、甘油，溶于冷乙醚。无色单斜晶系结晶体。密度1.67g/cm</w:t>
                  </w:r>
                  <w:r>
                    <w:rPr>
                      <w:color w:val="000000"/>
                      <w:szCs w:val="21"/>
                      <w:vertAlign w:val="superscript"/>
                      <w:lang w:val="pt-BR"/>
                    </w:rPr>
                    <w:t>3</w:t>
                  </w:r>
                  <w:r>
                    <w:rPr>
                      <w:color w:val="000000"/>
                      <w:szCs w:val="21"/>
                      <w:lang w:val="pt-BR"/>
                    </w:rPr>
                    <w:t>(17℃)；溶于热水、醇、丙三醇，不溶于醚。吸湿性强，受潮高于151℃则分解；毒性：本品有毒，对皮肤有刺激性。半数致死量（小鼠经口）408mg/kg；有腐蚀性。</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80</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二硫腙</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13</w:t>
                  </w:r>
                  <w:r>
                    <w:rPr>
                      <w:color w:val="000000"/>
                      <w:szCs w:val="21"/>
                      <w:lang w:val="pt-BR"/>
                    </w:rPr>
                    <w:t>H</w:t>
                  </w:r>
                  <w:r>
                    <w:rPr>
                      <w:color w:val="000000"/>
                      <w:szCs w:val="21"/>
                      <w:vertAlign w:val="subscript"/>
                      <w:lang w:val="pt-BR"/>
                    </w:rPr>
                    <w:t>12</w:t>
                  </w:r>
                  <w:r>
                    <w:rPr>
                      <w:color w:val="000000"/>
                      <w:szCs w:val="21"/>
                      <w:lang w:val="pt-BR"/>
                    </w:rPr>
                    <w:t>N</w:t>
                  </w:r>
                  <w:r>
                    <w:rPr>
                      <w:color w:val="000000"/>
                      <w:szCs w:val="21"/>
                      <w:vertAlign w:val="subscript"/>
                      <w:lang w:val="pt-BR"/>
                    </w:rPr>
                    <w:t>4</w:t>
                  </w:r>
                  <w:r>
                    <w:rPr>
                      <w:color w:val="000000"/>
                      <w:szCs w:val="21"/>
                      <w:lang w:val="pt-BR"/>
                    </w:rPr>
                    <w:t>S</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双硫腙俗称铅试剂，分子式：C</w:t>
                  </w:r>
                  <w:r>
                    <w:rPr>
                      <w:color w:val="000000"/>
                      <w:szCs w:val="21"/>
                      <w:vertAlign w:val="subscript"/>
                      <w:lang w:val="pt-BR"/>
                    </w:rPr>
                    <w:t>13</w:t>
                  </w:r>
                  <w:r>
                    <w:rPr>
                      <w:color w:val="000000"/>
                      <w:szCs w:val="21"/>
                      <w:lang w:val="pt-BR"/>
                    </w:rPr>
                    <w:t>H</w:t>
                  </w:r>
                  <w:r>
                    <w:rPr>
                      <w:color w:val="000000"/>
                      <w:szCs w:val="21"/>
                      <w:vertAlign w:val="subscript"/>
                      <w:lang w:val="pt-BR"/>
                    </w:rPr>
                    <w:t>12</w:t>
                  </w:r>
                  <w:r>
                    <w:rPr>
                      <w:color w:val="000000"/>
                      <w:szCs w:val="21"/>
                      <w:lang w:val="pt-BR"/>
                    </w:rPr>
                    <w:t>N</w:t>
                  </w:r>
                  <w:r>
                    <w:rPr>
                      <w:color w:val="000000"/>
                      <w:szCs w:val="21"/>
                      <w:vertAlign w:val="subscript"/>
                      <w:lang w:val="pt-BR"/>
                    </w:rPr>
                    <w:t>4</w:t>
                  </w:r>
                  <w:r>
                    <w:rPr>
                      <w:color w:val="000000"/>
                      <w:szCs w:val="21"/>
                      <w:lang w:val="pt-BR"/>
                    </w:rPr>
                    <w:t>S；分子量：256.32；熔点：167℃(分解)；沸点：351.1-401.1℃(预测)；密度：1.19-1.21g/cm³(20℃，760mmHg，预测)；是比色分析中应用最广泛的有机显色剂，可用于测定微量重金属离子，外观为紫黑色结晶状粉末。难溶于水及无机酸。可溶于氯仿及四氯化碳，其中在氯仿中溶解度更大，溶液都呈绿色。微溶于烃类溶剂。应用：有机显色剂；</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81</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三氧化二砷</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As</w:t>
                  </w:r>
                  <w:r>
                    <w:rPr>
                      <w:color w:val="000000"/>
                      <w:szCs w:val="21"/>
                      <w:vertAlign w:val="subscript"/>
                      <w:lang w:val="pt-BR"/>
                    </w:rPr>
                    <w:t>2</w:t>
                  </w:r>
                  <w:r>
                    <w:rPr>
                      <w:color w:val="000000"/>
                      <w:szCs w:val="21"/>
                      <w:lang w:val="pt-BR"/>
                    </w:rPr>
                    <w:t>O</w:t>
                  </w:r>
                  <w:r>
                    <w:rPr>
                      <w:color w:val="000000"/>
                      <w:szCs w:val="21"/>
                      <w:vertAlign w:val="subscript"/>
                      <w:lang w:val="pt-BR"/>
                    </w:rPr>
                    <w:t>3</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三氧化二砷，俗称砒霜，是一种无机化合物，化学式为As</w:t>
                  </w:r>
                  <w:r>
                    <w:rPr>
                      <w:color w:val="000000"/>
                      <w:szCs w:val="21"/>
                      <w:vertAlign w:val="subscript"/>
                      <w:lang w:val="pt-BR"/>
                    </w:rPr>
                    <w:t>2</w:t>
                  </w:r>
                  <w:r>
                    <w:rPr>
                      <w:color w:val="000000"/>
                      <w:szCs w:val="21"/>
                      <w:lang w:val="pt-BR"/>
                    </w:rPr>
                    <w:t>O</w:t>
                  </w:r>
                  <w:r>
                    <w:rPr>
                      <w:color w:val="000000"/>
                      <w:szCs w:val="21"/>
                      <w:vertAlign w:val="subscript"/>
                      <w:lang w:val="pt-BR"/>
                    </w:rPr>
                    <w:t>3</w:t>
                  </w:r>
                  <w:r>
                    <w:rPr>
                      <w:color w:val="000000"/>
                      <w:szCs w:val="21"/>
                      <w:lang w:val="pt-BR"/>
                    </w:rPr>
                    <w:t>，分子量：197.84；沸点：465℃；密度：3.74g/cm³；有剧毒；它也是最古老的毒物之一，无臭无味，为白色霜状粉末，故称砒霜。外观：白色霜状粉末；应用：防腐剂、杀虫剂、除草剂。熔点：275-313℃；</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82</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三氯化铁</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FeCl</w:t>
                  </w:r>
                  <w:r>
                    <w:rPr>
                      <w:color w:val="000000"/>
                      <w:szCs w:val="21"/>
                      <w:vertAlign w:val="subscript"/>
                      <w:lang w:val="pt-BR"/>
                    </w:rPr>
                    <w:t>3</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氯化铁是一种共价无机化合物，化学式FeCl</w:t>
                  </w:r>
                  <w:r>
                    <w:rPr>
                      <w:color w:val="000000"/>
                      <w:szCs w:val="21"/>
                      <w:vertAlign w:val="subscript"/>
                      <w:lang w:val="pt-BR"/>
                    </w:rPr>
                    <w:t>3</w:t>
                  </w:r>
                  <w:r>
                    <w:rPr>
                      <w:color w:val="000000"/>
                      <w:szCs w:val="21"/>
                      <w:lang w:val="pt-BR"/>
                    </w:rPr>
                    <w:t>。为黑棕色结晶，也有薄片状，熔点306℃、沸点316℃；密度：2.8g/cm</w:t>
                  </w:r>
                  <w:r>
                    <w:rPr>
                      <w:color w:val="000000"/>
                      <w:szCs w:val="21"/>
                      <w:vertAlign w:val="superscript"/>
                      <w:lang w:val="pt-BR"/>
                    </w:rPr>
                    <w:t>3</w:t>
                  </w:r>
                  <w:r>
                    <w:rPr>
                      <w:color w:val="000000"/>
                      <w:szCs w:val="21"/>
                      <w:lang w:val="pt-BR"/>
                    </w:rPr>
                    <w:t>；易溶于水并且有强烈的吸水性，能吸收空气里的水分而潮解。FeCl</w:t>
                  </w:r>
                  <w:r>
                    <w:rPr>
                      <w:color w:val="000000"/>
                      <w:szCs w:val="21"/>
                      <w:vertAlign w:val="subscript"/>
                      <w:lang w:val="pt-BR"/>
                    </w:rPr>
                    <w:t>3</w:t>
                  </w:r>
                  <w:r>
                    <w:rPr>
                      <w:color w:val="000000"/>
                      <w:szCs w:val="21"/>
                      <w:lang w:val="pt-BR"/>
                    </w:rPr>
                    <w:t>从水溶液析出时带六个结晶水为FeCl</w:t>
                  </w:r>
                  <w:r>
                    <w:rPr>
                      <w:color w:val="000000"/>
                      <w:szCs w:val="21"/>
                      <w:vertAlign w:val="subscript"/>
                      <w:lang w:val="pt-BR"/>
                    </w:rPr>
                    <w:t>3</w:t>
                  </w:r>
                  <w:r>
                    <w:rPr>
                      <w:color w:val="000000"/>
                      <w:szCs w:val="21"/>
                      <w:lang w:val="pt-BR"/>
                    </w:rPr>
                    <w:t>·6H</w:t>
                  </w:r>
                  <w:r>
                    <w:rPr>
                      <w:color w:val="000000"/>
                      <w:szCs w:val="21"/>
                      <w:vertAlign w:val="subscript"/>
                      <w:lang w:val="pt-BR"/>
                    </w:rPr>
                    <w:t>2</w:t>
                  </w:r>
                  <w:r>
                    <w:rPr>
                      <w:color w:val="000000"/>
                      <w:szCs w:val="21"/>
                      <w:lang w:val="pt-BR"/>
                    </w:rPr>
                    <w:t>O，六水合氯化铁是橘黄色的晶体。氯化铁是一种很重要的铁盐。溶解性：易溶于水，不溶于甘油，易溶于甲醇、乙醇、丙酮、乙醚。</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83</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硫酸亚铁</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szCs w:val="21"/>
                    </w:rPr>
                    <w:t>FeSO</w:t>
                  </w:r>
                  <w:r>
                    <w:rPr>
                      <w:szCs w:val="21"/>
                      <w:vertAlign w:val="subscript"/>
                    </w:rPr>
                    <w:t>4</w:t>
                  </w:r>
                  <w:r>
                    <w:rPr>
                      <w:szCs w:val="21"/>
                    </w:rPr>
                    <w:t>·7H</w:t>
                  </w:r>
                  <w:r>
                    <w:rPr>
                      <w:szCs w:val="21"/>
                      <w:vertAlign w:val="subscript"/>
                    </w:rPr>
                    <w:t>2</w:t>
                  </w:r>
                  <w:r>
                    <w:rPr>
                      <w:szCs w:val="21"/>
                    </w:rPr>
                    <w:t>O</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szCs w:val="21"/>
                    </w:rPr>
                    <w:t>一种无机物，化学式为FeSO</w:t>
                  </w:r>
                  <w:r>
                    <w:rPr>
                      <w:szCs w:val="21"/>
                      <w:vertAlign w:val="subscript"/>
                    </w:rPr>
                    <w:t>4</w:t>
                  </w:r>
                  <w:r>
                    <w:rPr>
                      <w:szCs w:val="21"/>
                    </w:rPr>
                    <w:t>，外观为白色粉末无气味。别名绿矾，铁矾，分子式：FeSO</w:t>
                  </w:r>
                  <w:r>
                    <w:rPr>
                      <w:szCs w:val="21"/>
                      <w:vertAlign w:val="subscript"/>
                    </w:rPr>
                    <w:t>4</w:t>
                  </w:r>
                  <w:r>
                    <w:rPr>
                      <w:szCs w:val="21"/>
                    </w:rPr>
                    <w:t>·7H</w:t>
                  </w:r>
                  <w:r>
                    <w:rPr>
                      <w:szCs w:val="21"/>
                      <w:vertAlign w:val="subscript"/>
                    </w:rPr>
                    <w:t>2</w:t>
                  </w:r>
                  <w:r>
                    <w:rPr>
                      <w:szCs w:val="21"/>
                    </w:rPr>
                    <w:t>O；外观为蓝绿色或淡黄绿色结晶，无臭无味，可溶于水和无水甲醇，有腐蚀性，易吸潮。其结晶水合物为在常温下为七水合物，俗称“绿矾”，浅绿色晶体，在干燥空气中风化，在潮湿空气中表面氧化成棕色的碱式硫酸铁，在56.6℃成为四水合物，在65℃时成为一水合物。硫酸亚铁可溶于水，几乎不溶于乙醇。其水溶液冷时在空气中缓慢氧化，在热时较快氧化。加入碱或露光能加速其氧化。相对密度(d15)1.897。有刺激性。硫酸亚铁可用于色谱分析试剂、点滴分析测定铂、硒、亚硝酸盐和硝酸盐。溶解性：溶于水、甘油，不溶于乙醇。硫酸亚铁可用作色谱分析试剂。环境危害：对环境有危害，对水体可造成污染。</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84</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柠檬酸铋铵</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6</w:t>
                  </w:r>
                  <w:r>
                    <w:rPr>
                      <w:color w:val="000000"/>
                      <w:szCs w:val="21"/>
                      <w:lang w:val="pt-BR"/>
                    </w:rPr>
                    <w:t>H</w:t>
                  </w:r>
                  <w:r>
                    <w:rPr>
                      <w:color w:val="000000"/>
                      <w:szCs w:val="21"/>
                      <w:vertAlign w:val="subscript"/>
                      <w:lang w:val="pt-BR"/>
                    </w:rPr>
                    <w:t>8</w:t>
                  </w:r>
                  <w:r>
                    <w:rPr>
                      <w:color w:val="000000"/>
                      <w:szCs w:val="21"/>
                      <w:lang w:val="pt-BR"/>
                    </w:rPr>
                    <w:t>BiNO</w:t>
                  </w:r>
                  <w:r>
                    <w:rPr>
                      <w:color w:val="000000"/>
                      <w:szCs w:val="21"/>
                      <w:vertAlign w:val="subscript"/>
                      <w:lang w:val="pt-BR"/>
                    </w:rPr>
                    <w:t>7</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分子式：C</w:t>
                  </w:r>
                  <w:r>
                    <w:rPr>
                      <w:color w:val="000000"/>
                      <w:szCs w:val="21"/>
                      <w:vertAlign w:val="subscript"/>
                      <w:lang w:val="pt-BR"/>
                    </w:rPr>
                    <w:t>6</w:t>
                  </w:r>
                  <w:r>
                    <w:rPr>
                      <w:color w:val="000000"/>
                      <w:szCs w:val="21"/>
                      <w:lang w:val="pt-BR"/>
                    </w:rPr>
                    <w:t>H</w:t>
                  </w:r>
                  <w:r>
                    <w:rPr>
                      <w:color w:val="000000"/>
                      <w:szCs w:val="21"/>
                      <w:vertAlign w:val="subscript"/>
                      <w:lang w:val="pt-BR"/>
                    </w:rPr>
                    <w:t>8</w:t>
                  </w:r>
                  <w:r>
                    <w:rPr>
                      <w:color w:val="000000"/>
                      <w:szCs w:val="21"/>
                      <w:lang w:val="pt-BR"/>
                    </w:rPr>
                    <w:t>BiNO</w:t>
                  </w:r>
                  <w:r>
                    <w:rPr>
                      <w:color w:val="000000"/>
                      <w:szCs w:val="21"/>
                      <w:vertAlign w:val="subscript"/>
                      <w:lang w:val="pt-BR"/>
                    </w:rPr>
                    <w:t>7</w:t>
                  </w:r>
                  <w:r>
                    <w:rPr>
                      <w:color w:val="000000"/>
                      <w:szCs w:val="21"/>
                      <w:lang w:val="pt-BR"/>
                    </w:rPr>
                    <w:t>，分子量：641.295，灰白色有光泽的透明片状或白色粉末。稍具酸性。溶于水，微溶于乙醇。</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85</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草酸钠</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Na</w:t>
                  </w:r>
                  <w:r>
                    <w:rPr>
                      <w:color w:val="000000"/>
                      <w:szCs w:val="21"/>
                      <w:vertAlign w:val="subscript"/>
                      <w:lang w:val="pt-BR"/>
                    </w:rPr>
                    <w:t>2</w:t>
                  </w:r>
                  <w:r>
                    <w:rPr>
                      <w:color w:val="000000"/>
                      <w:szCs w:val="21"/>
                      <w:lang w:val="pt-BR"/>
                    </w:rPr>
                    <w:t>C</w:t>
                  </w:r>
                  <w:r>
                    <w:rPr>
                      <w:color w:val="000000"/>
                      <w:szCs w:val="21"/>
                      <w:vertAlign w:val="subscript"/>
                      <w:lang w:val="pt-BR"/>
                    </w:rPr>
                    <w:t>2</w:t>
                  </w:r>
                  <w:r>
                    <w:rPr>
                      <w:color w:val="000000"/>
                      <w:szCs w:val="21"/>
                      <w:lang w:val="pt-BR"/>
                    </w:rPr>
                    <w:t>O</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草酸钠是一种有机物，化学式为Na</w:t>
                  </w:r>
                  <w:r>
                    <w:rPr>
                      <w:color w:val="000000"/>
                      <w:szCs w:val="21"/>
                      <w:vertAlign w:val="subscript"/>
                      <w:lang w:val="pt-BR"/>
                    </w:rPr>
                    <w:t>2</w:t>
                  </w:r>
                  <w:r>
                    <w:rPr>
                      <w:color w:val="000000"/>
                      <w:szCs w:val="21"/>
                      <w:lang w:val="pt-BR"/>
                    </w:rPr>
                    <w:t>C</w:t>
                  </w:r>
                  <w:r>
                    <w:rPr>
                      <w:color w:val="000000"/>
                      <w:szCs w:val="21"/>
                      <w:vertAlign w:val="subscript"/>
                      <w:lang w:val="pt-BR"/>
                    </w:rPr>
                    <w:t>2</w:t>
                  </w:r>
                  <w:r>
                    <w:rPr>
                      <w:color w:val="000000"/>
                      <w:szCs w:val="21"/>
                      <w:lang w:val="pt-BR"/>
                    </w:rPr>
                    <w:t>O</w:t>
                  </w:r>
                  <w:r>
                    <w:rPr>
                      <w:color w:val="000000"/>
                      <w:szCs w:val="21"/>
                      <w:vertAlign w:val="subscript"/>
                      <w:lang w:val="pt-BR"/>
                    </w:rPr>
                    <w:t>4</w:t>
                  </w:r>
                  <w:r>
                    <w:rPr>
                      <w:color w:val="000000"/>
                      <w:szCs w:val="21"/>
                      <w:lang w:val="pt-BR"/>
                    </w:rPr>
                    <w:t>，为草酸的钠盐，是一种还原剂，也常作为双齿配体。它是一种白色结晶性粉末，无气味，有吸湿性。溶于水，不溶于乙醇。灼烧则分解为碳酸钠和一氧化碳。密度：（g/mL，25/4℃）：2.34；熔点（℃）：250-257（分解）；有较强的还原性。灼烧则分解为碳酸钠和一氧化碳。加热至400℃以上时分解为碳酸钠，在100g水中的溶解度为3.4g(20℃)，6.33g（100℃），不溶于乙醇、乙醚。</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86</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亚硫酸钠</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Na</w:t>
                  </w:r>
                  <w:r>
                    <w:rPr>
                      <w:color w:val="000000"/>
                      <w:szCs w:val="21"/>
                      <w:vertAlign w:val="subscript"/>
                      <w:lang w:val="pt-BR"/>
                    </w:rPr>
                    <w:t>2</w:t>
                  </w:r>
                  <w:r>
                    <w:rPr>
                      <w:color w:val="000000"/>
                      <w:szCs w:val="21"/>
                      <w:lang w:val="pt-BR"/>
                    </w:rPr>
                    <w:t>SO</w:t>
                  </w:r>
                  <w:r>
                    <w:rPr>
                      <w:color w:val="000000"/>
                      <w:szCs w:val="21"/>
                      <w:vertAlign w:val="subscript"/>
                      <w:lang w:val="pt-BR"/>
                    </w:rPr>
                    <w:t>3</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亚硫酸钠是一种无机物，化学式Na</w:t>
                  </w:r>
                  <w:r>
                    <w:rPr>
                      <w:color w:val="000000"/>
                      <w:szCs w:val="21"/>
                      <w:vertAlign w:val="subscript"/>
                      <w:lang w:val="pt-BR"/>
                    </w:rPr>
                    <w:t>2</w:t>
                  </w:r>
                  <w:r>
                    <w:rPr>
                      <w:color w:val="000000"/>
                      <w:szCs w:val="21"/>
                      <w:lang w:val="pt-BR"/>
                    </w:rPr>
                    <w:t>SO</w:t>
                  </w:r>
                  <w:r>
                    <w:rPr>
                      <w:color w:val="000000"/>
                      <w:szCs w:val="21"/>
                      <w:vertAlign w:val="subscript"/>
                      <w:lang w:val="pt-BR"/>
                    </w:rPr>
                    <w:t>3</w:t>
                  </w:r>
                  <w:r>
                    <w:rPr>
                      <w:color w:val="000000"/>
                      <w:szCs w:val="21"/>
                      <w:lang w:val="pt-BR"/>
                    </w:rPr>
                    <w:t>，分子量：126.043；密度：2.63g/cm</w:t>
                  </w:r>
                  <w:r>
                    <w:rPr>
                      <w:color w:val="000000"/>
                      <w:szCs w:val="21"/>
                      <w:vertAlign w:val="superscript"/>
                      <w:lang w:val="pt-BR"/>
                    </w:rPr>
                    <w:t>3</w:t>
                  </w:r>
                  <w:r>
                    <w:rPr>
                      <w:color w:val="000000"/>
                      <w:szCs w:val="21"/>
                      <w:lang w:val="pt-BR"/>
                    </w:rPr>
                    <w:t>；折射率：1.484；溶解性：易溶于水；常见的亚硫酸盐。对眼睛、皮肤、粘膜有刺激作用，可污染水源。受高热分解产生有毒的硫化物烟气。工业上主要用于制亚硫酸纤维素酯、硫代硫酸钠、有机化学药品、漂白织物等，还用作还原剂、防腐剂、去氯剂等。外观与性状：白色晶体性粉末；</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87</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重铬酸钾</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K</w:t>
                  </w:r>
                  <w:r>
                    <w:rPr>
                      <w:color w:val="000000"/>
                      <w:szCs w:val="21"/>
                      <w:vertAlign w:val="subscript"/>
                      <w:lang w:val="pt-BR"/>
                    </w:rPr>
                    <w:t>2</w:t>
                  </w:r>
                  <w:r>
                    <w:rPr>
                      <w:color w:val="000000"/>
                      <w:szCs w:val="21"/>
                      <w:lang w:val="pt-BR"/>
                    </w:rPr>
                    <w:t>Cr</w:t>
                  </w:r>
                  <w:r>
                    <w:rPr>
                      <w:color w:val="000000"/>
                      <w:szCs w:val="21"/>
                      <w:vertAlign w:val="subscript"/>
                      <w:lang w:val="pt-BR"/>
                    </w:rPr>
                    <w:t>2</w:t>
                  </w:r>
                  <w:r>
                    <w:rPr>
                      <w:color w:val="000000"/>
                      <w:szCs w:val="21"/>
                      <w:lang w:val="pt-BR"/>
                    </w:rPr>
                    <w:t>O</w:t>
                  </w:r>
                  <w:r>
                    <w:rPr>
                      <w:color w:val="000000"/>
                      <w:szCs w:val="21"/>
                      <w:vertAlign w:val="subscript"/>
                      <w:lang w:val="pt-BR"/>
                    </w:rPr>
                    <w:t>7</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重铬酸钾（potassiumdichromate），是一种无机化合物，化学式为K</w:t>
                  </w:r>
                  <w:r>
                    <w:rPr>
                      <w:color w:val="000000"/>
                      <w:szCs w:val="21"/>
                      <w:vertAlign w:val="subscript"/>
                      <w:lang w:val="pt-BR"/>
                    </w:rPr>
                    <w:t>2</w:t>
                  </w:r>
                  <w:r>
                    <w:rPr>
                      <w:color w:val="000000"/>
                      <w:szCs w:val="21"/>
                      <w:lang w:val="pt-BR"/>
                    </w:rPr>
                    <w:t>Cr</w:t>
                  </w:r>
                  <w:r>
                    <w:rPr>
                      <w:color w:val="000000"/>
                      <w:szCs w:val="21"/>
                      <w:vertAlign w:val="subscript"/>
                      <w:lang w:val="pt-BR"/>
                    </w:rPr>
                    <w:t>2</w:t>
                  </w:r>
                  <w:r>
                    <w:rPr>
                      <w:color w:val="000000"/>
                      <w:szCs w:val="21"/>
                      <w:lang w:val="pt-BR"/>
                    </w:rPr>
                    <w:t>O</w:t>
                  </w:r>
                  <w:r>
                    <w:rPr>
                      <w:color w:val="000000"/>
                      <w:szCs w:val="21"/>
                      <w:vertAlign w:val="subscript"/>
                      <w:lang w:val="pt-BR"/>
                    </w:rPr>
                    <w:t>7</w:t>
                  </w:r>
                  <w:r>
                    <w:rPr>
                      <w:color w:val="000000"/>
                      <w:szCs w:val="21"/>
                      <w:lang w:val="pt-BR"/>
                    </w:rPr>
                    <w:t>，分子量：294.19；室温下为橘红色结晶性粉末，溶于水，不溶于乙醇。是一种有毒且有致癌性的强氧化剂，它被国际癌症研究机构划归为第一类致癌物质，而且是强氧化剂，在实验室和工业中都有很广泛的应用。用于制铬矾、火柴、铬颜料、并供鞣革、电镀、有机合成等。被列入《易制爆危险化学品名录》，并按照《易制爆危险化学品治安管理办法》管控，密度：2.676g/cm</w:t>
                  </w:r>
                  <w:r>
                    <w:rPr>
                      <w:color w:val="000000"/>
                      <w:szCs w:val="21"/>
                      <w:vertAlign w:val="superscript"/>
                      <w:lang w:val="pt-BR"/>
                    </w:rPr>
                    <w:t>3</w:t>
                  </w:r>
                  <w:r>
                    <w:rPr>
                      <w:color w:val="000000"/>
                      <w:szCs w:val="21"/>
                      <w:lang w:val="pt-BR"/>
                    </w:rPr>
                    <w:t>；熔点：398ºC；沸点：500ºC（分解）；外观：橘红色结晶性粉末；溶解性：溶于水，不溶于乙醇。</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88</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氯化亚硒</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SnCl</w:t>
                  </w:r>
                  <w:r>
                    <w:rPr>
                      <w:color w:val="000000"/>
                      <w:szCs w:val="21"/>
                      <w:vertAlign w:val="sub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氯化亚锡（stannouschloride），化学式SnCl</w:t>
                  </w:r>
                  <w:r>
                    <w:rPr>
                      <w:color w:val="000000"/>
                      <w:szCs w:val="21"/>
                      <w:vertAlign w:val="subscript"/>
                      <w:lang w:val="pt-BR"/>
                    </w:rPr>
                    <w:t>2</w:t>
                  </w:r>
                  <w:r>
                    <w:rPr>
                      <w:color w:val="000000"/>
                      <w:szCs w:val="21"/>
                      <w:lang w:val="pt-BR"/>
                    </w:rPr>
                    <w:t>，分子量：189.61；是一种无机化合物，为白色结晶性粉末。密度：3.95g/cm</w:t>
                  </w:r>
                  <w:r>
                    <w:rPr>
                      <w:color w:val="000000"/>
                      <w:szCs w:val="21"/>
                      <w:vertAlign w:val="superscript"/>
                      <w:lang w:val="pt-BR"/>
                    </w:rPr>
                    <w:t>3</w:t>
                  </w:r>
                  <w:r>
                    <w:rPr>
                      <w:color w:val="000000"/>
                      <w:szCs w:val="21"/>
                      <w:lang w:val="pt-BR"/>
                    </w:rPr>
                    <w:t>；熔点：247℃；沸点：623℃（分解）；溶解性：溶于醇，易溶于浓盐酸</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89</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过硫酸钾</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K</w:t>
                  </w:r>
                  <w:r>
                    <w:rPr>
                      <w:color w:val="000000"/>
                      <w:szCs w:val="21"/>
                      <w:vertAlign w:val="subscript"/>
                      <w:lang w:val="pt-BR"/>
                    </w:rPr>
                    <w:t>2</w:t>
                  </w:r>
                  <w:r>
                    <w:rPr>
                      <w:color w:val="000000"/>
                      <w:szCs w:val="21"/>
                      <w:lang w:val="pt-BR"/>
                    </w:rPr>
                    <w:t>S</w:t>
                  </w:r>
                  <w:r>
                    <w:rPr>
                      <w:color w:val="000000"/>
                      <w:szCs w:val="21"/>
                      <w:vertAlign w:val="subscript"/>
                      <w:lang w:val="pt-BR"/>
                    </w:rPr>
                    <w:t>2</w:t>
                  </w:r>
                  <w:r>
                    <w:rPr>
                      <w:color w:val="000000"/>
                      <w:szCs w:val="21"/>
                      <w:lang w:val="pt-BR"/>
                    </w:rPr>
                    <w:t>O</w:t>
                  </w:r>
                  <w:r>
                    <w:rPr>
                      <w:color w:val="000000"/>
                      <w:szCs w:val="21"/>
                      <w:vertAlign w:val="subscript"/>
                      <w:lang w:val="pt-BR"/>
                    </w:rPr>
                    <w:t>8</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过硫酸钾是一种无机化合物，化学式为K</w:t>
                  </w:r>
                  <w:r>
                    <w:rPr>
                      <w:color w:val="000000"/>
                      <w:szCs w:val="21"/>
                      <w:vertAlign w:val="subscript"/>
                      <w:lang w:val="pt-BR"/>
                    </w:rPr>
                    <w:t>2</w:t>
                  </w:r>
                  <w:r>
                    <w:rPr>
                      <w:color w:val="000000"/>
                      <w:szCs w:val="21"/>
                      <w:lang w:val="pt-BR"/>
                    </w:rPr>
                    <w:t>S</w:t>
                  </w:r>
                  <w:r>
                    <w:rPr>
                      <w:color w:val="000000"/>
                      <w:szCs w:val="21"/>
                      <w:vertAlign w:val="subscript"/>
                      <w:lang w:val="pt-BR"/>
                    </w:rPr>
                    <w:t>2</w:t>
                  </w:r>
                  <w:r>
                    <w:rPr>
                      <w:color w:val="000000"/>
                      <w:szCs w:val="21"/>
                      <w:lang w:val="pt-BR"/>
                    </w:rPr>
                    <w:t>O</w:t>
                  </w:r>
                  <w:r>
                    <w:rPr>
                      <w:color w:val="000000"/>
                      <w:szCs w:val="21"/>
                      <w:vertAlign w:val="subscript"/>
                      <w:lang w:val="pt-BR"/>
                    </w:rPr>
                    <w:t>8</w:t>
                  </w:r>
                  <w:r>
                    <w:rPr>
                      <w:color w:val="000000"/>
                      <w:szCs w:val="21"/>
                      <w:lang w:val="pt-BR"/>
                    </w:rPr>
                    <w:t>，分子量：270.322；是一种白色结晶性粉末，溶于水、不溶于乙醇，具有强氧化性，常用作漂白剂、氧化剂，也可用作聚合反应引发剂，几乎不吸潮，常温下稳定性好，熔点：1067℃；沸点：1689℃；密度：2.47g/cm</w:t>
                  </w:r>
                  <w:r>
                    <w:rPr>
                      <w:color w:val="000000"/>
                      <w:szCs w:val="21"/>
                      <w:vertAlign w:val="superscript"/>
                      <w:lang w:val="pt-BR"/>
                    </w:rPr>
                    <w:t>3</w:t>
                  </w:r>
                  <w:r>
                    <w:rPr>
                      <w:color w:val="000000"/>
                      <w:szCs w:val="21"/>
                      <w:lang w:val="pt-BR"/>
                    </w:rPr>
                    <w:t>；溶解性：溶于水，溶解速度比过硫酸铵慢，水溶液呈酸性，不溶于乙醇。</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90</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乙酸乙酯</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4</w:t>
                  </w:r>
                  <w:r>
                    <w:rPr>
                      <w:color w:val="000000"/>
                      <w:szCs w:val="21"/>
                      <w:lang w:val="pt-BR"/>
                    </w:rPr>
                    <w:t>H</w:t>
                  </w:r>
                  <w:r>
                    <w:rPr>
                      <w:color w:val="000000"/>
                      <w:szCs w:val="21"/>
                      <w:vertAlign w:val="subscript"/>
                      <w:lang w:val="pt-BR"/>
                    </w:rPr>
                    <w:t>8</w:t>
                  </w:r>
                  <w:r>
                    <w:rPr>
                      <w:color w:val="000000"/>
                      <w:szCs w:val="21"/>
                      <w:lang w:val="pt-BR"/>
                    </w:rPr>
                    <w:t>O</w:t>
                  </w:r>
                  <w:r>
                    <w:rPr>
                      <w:color w:val="000000"/>
                      <w:szCs w:val="21"/>
                      <w:vertAlign w:val="sub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乙酸乙酯（ethylacetate），又称醋酸乙酯，是一种有机化合物，化学式为C</w:t>
                  </w:r>
                  <w:r>
                    <w:rPr>
                      <w:color w:val="000000"/>
                      <w:szCs w:val="21"/>
                      <w:vertAlign w:val="subscript"/>
                      <w:lang w:val="pt-BR"/>
                    </w:rPr>
                    <w:t>4</w:t>
                  </w:r>
                  <w:r>
                    <w:rPr>
                      <w:color w:val="000000"/>
                      <w:szCs w:val="21"/>
                      <w:lang w:val="pt-BR"/>
                    </w:rPr>
                    <w:t>H</w:t>
                  </w:r>
                  <w:r>
                    <w:rPr>
                      <w:color w:val="000000"/>
                      <w:szCs w:val="21"/>
                      <w:vertAlign w:val="subscript"/>
                      <w:lang w:val="pt-BR"/>
                    </w:rPr>
                    <w:t>8</w:t>
                  </w:r>
                  <w:r>
                    <w:rPr>
                      <w:color w:val="000000"/>
                      <w:szCs w:val="21"/>
                      <w:lang w:val="pt-BR"/>
                    </w:rPr>
                    <w:t>O</w:t>
                  </w:r>
                  <w:r>
                    <w:rPr>
                      <w:color w:val="000000"/>
                      <w:szCs w:val="21"/>
                      <w:vertAlign w:val="subscript"/>
                      <w:lang w:val="pt-BR"/>
                    </w:rPr>
                    <w:t>2</w:t>
                  </w:r>
                  <w:r>
                    <w:rPr>
                      <w:color w:val="000000"/>
                      <w:szCs w:val="21"/>
                      <w:lang w:val="pt-BR"/>
                    </w:rPr>
                    <w:t>，分子量：88.105；密度：0.902g/cm</w:t>
                  </w:r>
                  <w:r>
                    <w:rPr>
                      <w:color w:val="000000"/>
                      <w:szCs w:val="21"/>
                      <w:vertAlign w:val="superscript"/>
                      <w:lang w:val="pt-BR"/>
                    </w:rPr>
                    <w:t>3</w:t>
                  </w:r>
                  <w:r>
                    <w:rPr>
                      <w:color w:val="000000"/>
                      <w:szCs w:val="21"/>
                      <w:lang w:val="pt-BR"/>
                    </w:rPr>
                    <w:t>；熔点：-84℃；沸点：76.6-77.5℃；闪点：-4℃（CC）；折射率：1.372（20℃）；是一种具有官能团-COOR的酯类（碳与氧之间是双键），能发生醇解、氨解、酯交换、还原等一般酯的共同反应，主要用作溶剂、食用香料、清洗去油剂。外观：无色液体；溶解性：微溶于水，溶于乙醇、丙酮、乙醚、氯仿、苯等多数有机溶剂。</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91</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硼酸钠</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Na</w:t>
                  </w:r>
                  <w:r>
                    <w:rPr>
                      <w:color w:val="000000"/>
                      <w:szCs w:val="21"/>
                      <w:vertAlign w:val="subscript"/>
                      <w:lang w:val="pt-BR"/>
                    </w:rPr>
                    <w:t>2</w:t>
                  </w:r>
                  <w:r>
                    <w:rPr>
                      <w:color w:val="000000"/>
                      <w:szCs w:val="21"/>
                      <w:lang w:val="pt-BR"/>
                    </w:rPr>
                    <w:t>B</w:t>
                  </w:r>
                  <w:r>
                    <w:rPr>
                      <w:color w:val="000000"/>
                      <w:szCs w:val="21"/>
                      <w:vertAlign w:val="subscript"/>
                      <w:lang w:val="pt-BR"/>
                    </w:rPr>
                    <w:t>4</w:t>
                  </w:r>
                  <w:r>
                    <w:rPr>
                      <w:color w:val="000000"/>
                      <w:szCs w:val="21"/>
                      <w:lang w:val="pt-BR"/>
                    </w:rPr>
                    <w:t>O</w:t>
                  </w:r>
                  <w:r>
                    <w:rPr>
                      <w:color w:val="000000"/>
                      <w:szCs w:val="21"/>
                      <w:vertAlign w:val="subscript"/>
                      <w:lang w:val="pt-BR"/>
                    </w:rPr>
                    <w:t>7</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四硼酸钠是一种无机化合物，分子式为Na</w:t>
                  </w:r>
                  <w:r>
                    <w:rPr>
                      <w:color w:val="000000"/>
                      <w:szCs w:val="21"/>
                      <w:vertAlign w:val="subscript"/>
                      <w:lang w:val="pt-BR"/>
                    </w:rPr>
                    <w:t>2</w:t>
                  </w:r>
                  <w:r>
                    <w:rPr>
                      <w:color w:val="000000"/>
                      <w:szCs w:val="21"/>
                      <w:lang w:val="pt-BR"/>
                    </w:rPr>
                    <w:t>B</w:t>
                  </w:r>
                  <w:r>
                    <w:rPr>
                      <w:color w:val="000000"/>
                      <w:szCs w:val="21"/>
                      <w:vertAlign w:val="subscript"/>
                      <w:lang w:val="pt-BR"/>
                    </w:rPr>
                    <w:t>4</w:t>
                  </w:r>
                  <w:r>
                    <w:rPr>
                      <w:color w:val="000000"/>
                      <w:szCs w:val="21"/>
                      <w:lang w:val="pt-BR"/>
                    </w:rPr>
                    <w:t>O</w:t>
                  </w:r>
                  <w:r>
                    <w:rPr>
                      <w:color w:val="000000"/>
                      <w:szCs w:val="21"/>
                      <w:vertAlign w:val="subscript"/>
                      <w:lang w:val="pt-BR"/>
                    </w:rPr>
                    <w:t>7</w:t>
                  </w:r>
                  <w:r>
                    <w:rPr>
                      <w:color w:val="000000"/>
                      <w:szCs w:val="21"/>
                      <w:lang w:val="pt-BR"/>
                    </w:rPr>
                    <w:t>，是重要的含硼矿物及硼化合物。四硼酸钠为无色或白色的结晶性粉末，溶于水。硼砂有广泛的用途，可用作清洁剂、化妆品、杀虫剂，也可用于配置缓冲溶液和制取其他硼化合物等。密度：2.367g/mLat25℃；熔点：741°C(lit.)；沸点：1575℃；溶解性：溶于水、甘油，不溶于乙醇。易风化。慢慢溶于甲醇，可形成浓度为13％～16％的溶液。</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92</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对氨基苯磺酸</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6</w:t>
                  </w:r>
                  <w:r>
                    <w:rPr>
                      <w:color w:val="000000"/>
                      <w:szCs w:val="21"/>
                      <w:lang w:val="pt-BR"/>
                    </w:rPr>
                    <w:t>H</w:t>
                  </w:r>
                  <w:r>
                    <w:rPr>
                      <w:color w:val="000000"/>
                      <w:szCs w:val="21"/>
                      <w:vertAlign w:val="subscript"/>
                      <w:lang w:val="pt-BR"/>
                    </w:rPr>
                    <w:t>7</w:t>
                  </w:r>
                  <w:r>
                    <w:rPr>
                      <w:color w:val="000000"/>
                      <w:szCs w:val="21"/>
                      <w:lang w:val="pt-BR"/>
                    </w:rPr>
                    <w:t>NO</w:t>
                  </w:r>
                  <w:r>
                    <w:rPr>
                      <w:color w:val="000000"/>
                      <w:szCs w:val="21"/>
                      <w:vertAlign w:val="subscript"/>
                      <w:lang w:val="pt-BR"/>
                    </w:rPr>
                    <w:t>3</w:t>
                  </w:r>
                  <w:r>
                    <w:rPr>
                      <w:color w:val="000000"/>
                      <w:szCs w:val="21"/>
                      <w:lang w:val="pt-BR"/>
                    </w:rPr>
                    <w:t>S</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4-苯胺磺酸，是一种有机化合物，化学式为C</w:t>
                  </w:r>
                  <w:r>
                    <w:rPr>
                      <w:color w:val="000000"/>
                      <w:szCs w:val="21"/>
                      <w:vertAlign w:val="subscript"/>
                      <w:lang w:val="pt-BR"/>
                    </w:rPr>
                    <w:t>6</w:t>
                  </w:r>
                  <w:r>
                    <w:rPr>
                      <w:color w:val="000000"/>
                      <w:szCs w:val="21"/>
                      <w:lang w:val="pt-BR"/>
                    </w:rPr>
                    <w:t>H</w:t>
                  </w:r>
                  <w:r>
                    <w:rPr>
                      <w:color w:val="000000"/>
                      <w:szCs w:val="21"/>
                      <w:vertAlign w:val="subscript"/>
                      <w:lang w:val="pt-BR"/>
                    </w:rPr>
                    <w:t>7</w:t>
                  </w:r>
                  <w:r>
                    <w:rPr>
                      <w:color w:val="000000"/>
                      <w:szCs w:val="21"/>
                      <w:lang w:val="pt-BR"/>
                    </w:rPr>
                    <w:t>NO</w:t>
                  </w:r>
                  <w:r>
                    <w:rPr>
                      <w:color w:val="000000"/>
                      <w:szCs w:val="21"/>
                      <w:vertAlign w:val="subscript"/>
                      <w:lang w:val="pt-BR"/>
                    </w:rPr>
                    <w:t>3</w:t>
                  </w:r>
                  <w:r>
                    <w:rPr>
                      <w:color w:val="000000"/>
                      <w:szCs w:val="21"/>
                      <w:lang w:val="pt-BR"/>
                    </w:rPr>
                    <w:t>S，分子量：173.19；是一种白色结晶性粉末，溶于水，不溶于乙醇、乙醚等有机溶剂；常用于制造偶氮染料等，用作基准试剂、实验试剂及色谱分析试剂。熔点：288℃；密度：1.485g/cm</w:t>
                  </w:r>
                  <w:r>
                    <w:rPr>
                      <w:color w:val="000000"/>
                      <w:szCs w:val="21"/>
                      <w:vertAlign w:val="superscript"/>
                      <w:lang w:val="pt-BR"/>
                    </w:rPr>
                    <w:t>3</w:t>
                  </w:r>
                  <w:r>
                    <w:rPr>
                      <w:color w:val="000000"/>
                      <w:szCs w:val="21"/>
                      <w:lang w:val="pt-BR"/>
                    </w:rPr>
                    <w:t>；外观：白色结晶性粉末；溶解性：溶于水，不溶于乙醇、乙醚等有机溶剂。</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93</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盐酸萘乙二胺</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12</w:t>
                  </w:r>
                  <w:r>
                    <w:rPr>
                      <w:color w:val="000000"/>
                      <w:szCs w:val="21"/>
                      <w:lang w:val="pt-BR"/>
                    </w:rPr>
                    <w:t>H</w:t>
                  </w:r>
                  <w:r>
                    <w:rPr>
                      <w:color w:val="000000"/>
                      <w:szCs w:val="21"/>
                      <w:vertAlign w:val="subscript"/>
                      <w:lang w:val="pt-BR"/>
                    </w:rPr>
                    <w:t>14</w:t>
                  </w:r>
                  <w:r>
                    <w:rPr>
                      <w:color w:val="000000"/>
                      <w:szCs w:val="21"/>
                      <w:lang w:val="pt-BR"/>
                    </w:rPr>
                    <w:t>N</w:t>
                  </w:r>
                  <w:r>
                    <w:rPr>
                      <w:color w:val="000000"/>
                      <w:szCs w:val="21"/>
                      <w:vertAlign w:val="subscript"/>
                      <w:lang w:val="pt-BR"/>
                    </w:rPr>
                    <w:t>2</w:t>
                  </w:r>
                  <w:r>
                    <w:rPr>
                      <w:color w:val="000000"/>
                      <w:szCs w:val="21"/>
                      <w:lang w:val="pt-BR"/>
                    </w:rPr>
                    <w:t>·2HCl</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盐酸萘乙二胺，别名萘乙二胺盐酸盐，盐酸-1-萘乙二胺，α-萘乙二胺盐酸盐，N-(1-萘基)乙二胺二盐酸盐，N-1-萘基乙二胺盐酸盐，二盐酸盐-1-萘乙二胺，1-萘乙二胺二盐酸盐。是一种有机物，分子式：C</w:t>
                  </w:r>
                  <w:r>
                    <w:rPr>
                      <w:color w:val="000000"/>
                      <w:szCs w:val="21"/>
                      <w:vertAlign w:val="subscript"/>
                      <w:lang w:val="pt-BR"/>
                    </w:rPr>
                    <w:t>12</w:t>
                  </w:r>
                  <w:r>
                    <w:rPr>
                      <w:color w:val="000000"/>
                      <w:szCs w:val="21"/>
                      <w:lang w:val="pt-BR"/>
                    </w:rPr>
                    <w:t>H</w:t>
                  </w:r>
                  <w:r>
                    <w:rPr>
                      <w:color w:val="000000"/>
                      <w:szCs w:val="21"/>
                      <w:vertAlign w:val="subscript"/>
                      <w:lang w:val="pt-BR"/>
                    </w:rPr>
                    <w:t>14</w:t>
                  </w:r>
                  <w:r>
                    <w:rPr>
                      <w:color w:val="000000"/>
                      <w:szCs w:val="21"/>
                      <w:lang w:val="pt-BR"/>
                    </w:rPr>
                    <w:t>N</w:t>
                  </w:r>
                  <w:r>
                    <w:rPr>
                      <w:color w:val="000000"/>
                      <w:szCs w:val="21"/>
                      <w:vertAlign w:val="subscript"/>
                      <w:lang w:val="pt-BR"/>
                    </w:rPr>
                    <w:t>2</w:t>
                  </w:r>
                  <w:r>
                    <w:rPr>
                      <w:color w:val="000000"/>
                      <w:szCs w:val="21"/>
                      <w:lang w:val="pt-BR"/>
                    </w:rPr>
                    <w:t>·2HCl，分子量：259.20，溶于水并微溶于乙醇。在300-330℃升华，但不熔融，溶于水并微溶于乙醇。</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94</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酒石酸</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4</w:t>
                  </w:r>
                  <w:r>
                    <w:rPr>
                      <w:color w:val="000000"/>
                      <w:szCs w:val="21"/>
                      <w:lang w:val="pt-BR"/>
                    </w:rPr>
                    <w:t>H</w:t>
                  </w:r>
                  <w:r>
                    <w:rPr>
                      <w:color w:val="000000"/>
                      <w:szCs w:val="21"/>
                      <w:vertAlign w:val="subscript"/>
                      <w:lang w:val="pt-BR"/>
                    </w:rPr>
                    <w:t>6</w:t>
                  </w:r>
                  <w:r>
                    <w:rPr>
                      <w:color w:val="000000"/>
                      <w:szCs w:val="21"/>
                      <w:lang w:val="pt-BR"/>
                    </w:rPr>
                    <w:t>O</w:t>
                  </w:r>
                  <w:r>
                    <w:rPr>
                      <w:color w:val="000000"/>
                      <w:szCs w:val="21"/>
                      <w:vertAlign w:val="subscript"/>
                      <w:lang w:val="pt-BR"/>
                    </w:rPr>
                    <w:t>6</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酒石酸，即2,3-二羟基丁二酸，是一种羧酸，化学式为C</w:t>
                  </w:r>
                  <w:r>
                    <w:rPr>
                      <w:color w:val="000000"/>
                      <w:szCs w:val="21"/>
                      <w:vertAlign w:val="subscript"/>
                      <w:lang w:val="pt-BR"/>
                    </w:rPr>
                    <w:t>4</w:t>
                  </w:r>
                  <w:r>
                    <w:rPr>
                      <w:color w:val="000000"/>
                      <w:szCs w:val="21"/>
                      <w:lang w:val="pt-BR"/>
                    </w:rPr>
                    <w:t>H</w:t>
                  </w:r>
                  <w:r>
                    <w:rPr>
                      <w:color w:val="000000"/>
                      <w:szCs w:val="21"/>
                      <w:vertAlign w:val="subscript"/>
                      <w:lang w:val="pt-BR"/>
                    </w:rPr>
                    <w:t>6</w:t>
                  </w:r>
                  <w:r>
                    <w:rPr>
                      <w:color w:val="000000"/>
                      <w:szCs w:val="21"/>
                      <w:lang w:val="pt-BR"/>
                    </w:rPr>
                    <w:t>O</w:t>
                  </w:r>
                  <w:r>
                    <w:rPr>
                      <w:color w:val="000000"/>
                      <w:szCs w:val="21"/>
                      <w:vertAlign w:val="subscript"/>
                      <w:lang w:val="pt-BR"/>
                    </w:rPr>
                    <w:t>6</w:t>
                  </w:r>
                  <w:r>
                    <w:rPr>
                      <w:color w:val="000000"/>
                      <w:szCs w:val="21"/>
                      <w:lang w:val="pt-BR"/>
                    </w:rPr>
                    <w:t>；分子量：150.09；存在于多种植物中﹐如葡萄和罗望子。也是葡萄酒中主要的有机酸之一。熔点：200-206℃；沸点：399.3℃；密度：1.886g/cm</w:t>
                  </w:r>
                  <w:r>
                    <w:rPr>
                      <w:color w:val="000000"/>
                      <w:szCs w:val="21"/>
                      <w:vertAlign w:val="superscript"/>
                      <w:lang w:val="pt-BR"/>
                    </w:rPr>
                    <w:t>3</w:t>
                  </w:r>
                  <w:r>
                    <w:rPr>
                      <w:color w:val="000000"/>
                      <w:szCs w:val="21"/>
                      <w:lang w:val="pt-BR"/>
                    </w:rPr>
                    <w:t>；闪点：210℃；溶解性：溶于水和乙醇，微溶于乙醚。外观：白色结晶性粉末；</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95</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硫酸镉</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CdSO</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一种无机化合物，化学式为CdSO</w:t>
                  </w:r>
                  <w:r>
                    <w:rPr>
                      <w:color w:val="000000"/>
                      <w:szCs w:val="21"/>
                      <w:vertAlign w:val="subscript"/>
                      <w:lang w:val="pt-BR"/>
                    </w:rPr>
                    <w:t>4</w:t>
                  </w:r>
                  <w:r>
                    <w:rPr>
                      <w:color w:val="000000"/>
                      <w:szCs w:val="21"/>
                      <w:lang w:val="pt-BR"/>
                    </w:rPr>
                    <w:t>，分子量：208.474；为白色结晶性粉末，溶于水，不溶于乙醇，醋酸和乙醚，主要用于制备镉电池和镉肥，也可用作消毒剂和收敛剂。密度：4.69g/cm</w:t>
                  </w:r>
                  <w:r>
                    <w:rPr>
                      <w:color w:val="000000"/>
                      <w:szCs w:val="21"/>
                      <w:vertAlign w:val="superscript"/>
                      <w:lang w:val="pt-BR"/>
                    </w:rPr>
                    <w:t>3</w:t>
                  </w:r>
                  <w:r>
                    <w:rPr>
                      <w:color w:val="000000"/>
                      <w:szCs w:val="21"/>
                      <w:lang w:val="pt-BR"/>
                    </w:rPr>
                    <w:t>；熔点：1000℃；外观：白色结晶性粉末；溶解性：溶于水，不溶于乙醇，醋酸和乙醚；危险特性：受高热分解产生有毒的硫化物烟气；有害燃烧产物：硫化物。</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96</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三正辛胺</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24</w:t>
                  </w:r>
                  <w:r>
                    <w:rPr>
                      <w:color w:val="000000"/>
                      <w:szCs w:val="21"/>
                      <w:lang w:val="pt-BR"/>
                    </w:rPr>
                    <w:t>H</w:t>
                  </w:r>
                  <w:r>
                    <w:rPr>
                      <w:color w:val="000000"/>
                      <w:szCs w:val="21"/>
                      <w:vertAlign w:val="subscript"/>
                      <w:lang w:val="pt-BR"/>
                    </w:rPr>
                    <w:t>51</w:t>
                  </w:r>
                  <w:r>
                    <w:rPr>
                      <w:color w:val="000000"/>
                      <w:szCs w:val="21"/>
                      <w:lang w:val="pt-BR"/>
                    </w:rPr>
                    <w:t>N</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三辛胺室温下为透明油状液体，有刺激性臭味，碱性。三辛胺，Triocylamine，分子式C</w:t>
                  </w:r>
                  <w:r>
                    <w:rPr>
                      <w:color w:val="000000"/>
                      <w:szCs w:val="21"/>
                      <w:vertAlign w:val="subscript"/>
                      <w:lang w:val="pt-BR"/>
                    </w:rPr>
                    <w:t>24</w:t>
                  </w:r>
                  <w:r>
                    <w:rPr>
                      <w:color w:val="000000"/>
                      <w:szCs w:val="21"/>
                      <w:lang w:val="pt-BR"/>
                    </w:rPr>
                    <w:t>H</w:t>
                  </w:r>
                  <w:r>
                    <w:rPr>
                      <w:color w:val="000000"/>
                      <w:szCs w:val="21"/>
                      <w:vertAlign w:val="subscript"/>
                      <w:lang w:val="pt-BR"/>
                    </w:rPr>
                    <w:t>51</w:t>
                  </w:r>
                  <w:r>
                    <w:rPr>
                      <w:color w:val="000000"/>
                      <w:szCs w:val="21"/>
                      <w:lang w:val="pt-BR"/>
                    </w:rPr>
                    <w:t>N，分子量353.67，CAS号：1116-76-3。对水是极其危害的，即使是小量的产品渗入地下也会对饮用水造成危险，若无政府许可，勿将材料排入周围环境。性状：无色油状液体，有氨的气味，呈碱性；密度（g/mL,20℃）：0.810；熔点（ºC）：34；沸点（ºC,0.7mmHg）：164-168；折射率（n20/D）：1.449；溶解性：熔于醇和醚，微溶于甲醇，易溶于非极性溶剂，极微溶于水。</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97</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异烟酸</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6</w:t>
                  </w:r>
                  <w:r>
                    <w:rPr>
                      <w:color w:val="000000"/>
                      <w:szCs w:val="21"/>
                      <w:lang w:val="pt-BR"/>
                    </w:rPr>
                    <w:t>H</w:t>
                  </w:r>
                  <w:r>
                    <w:rPr>
                      <w:color w:val="000000"/>
                      <w:szCs w:val="21"/>
                      <w:vertAlign w:val="subscript"/>
                      <w:lang w:val="pt-BR"/>
                    </w:rPr>
                    <w:t>5</w:t>
                  </w:r>
                  <w:r>
                    <w:rPr>
                      <w:color w:val="000000"/>
                      <w:szCs w:val="21"/>
                      <w:lang w:val="pt-BR"/>
                    </w:rPr>
                    <w:t>NO</w:t>
                  </w:r>
                  <w:r>
                    <w:rPr>
                      <w:color w:val="000000"/>
                      <w:szCs w:val="21"/>
                      <w:vertAlign w:val="sub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4-吡啶甲酸，中文别名为异烟酸；吡啶-4-甲酸；异尼克酸，一种化学物质；分子量：123.11；C</w:t>
                  </w:r>
                  <w:r>
                    <w:rPr>
                      <w:color w:val="000000"/>
                      <w:szCs w:val="21"/>
                      <w:vertAlign w:val="subscript"/>
                      <w:lang w:val="pt-BR"/>
                    </w:rPr>
                    <w:t>6</w:t>
                  </w:r>
                  <w:r>
                    <w:rPr>
                      <w:color w:val="000000"/>
                      <w:szCs w:val="21"/>
                      <w:lang w:val="pt-BR"/>
                    </w:rPr>
                    <w:t>H</w:t>
                  </w:r>
                  <w:r>
                    <w:rPr>
                      <w:color w:val="000000"/>
                      <w:szCs w:val="21"/>
                      <w:vertAlign w:val="subscript"/>
                      <w:lang w:val="pt-BR"/>
                    </w:rPr>
                    <w:t>5</w:t>
                  </w:r>
                  <w:r>
                    <w:rPr>
                      <w:color w:val="000000"/>
                      <w:szCs w:val="21"/>
                      <w:lang w:val="pt-BR"/>
                    </w:rPr>
                    <w:t>NO</w:t>
                  </w:r>
                  <w:r>
                    <w:rPr>
                      <w:color w:val="000000"/>
                      <w:szCs w:val="21"/>
                      <w:vertAlign w:val="subscript"/>
                      <w:lang w:val="pt-BR"/>
                    </w:rPr>
                    <w:t>2</w:t>
                  </w:r>
                  <w:r>
                    <w:rPr>
                      <w:color w:val="000000"/>
                      <w:szCs w:val="21"/>
                      <w:lang w:val="pt-BR"/>
                    </w:rPr>
                    <w:t>；纯度≥98%；性状：白色至类白色粉末；熔点：310-315℃；沸点：396°Cat760mmHg；闪点：193.3°C；蒸汽压：5.56E-07mmHgat25°C；25℃，一个大气压下饱和水溶液pH值为3.6；20℃以下，在100ml水可溶解0.25g异烟酸，热水中溶解度增加；溶解性：几乎不溶于苯、乙醚和乙醇。</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98</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吡唑啉酮</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11</w:t>
                  </w:r>
                  <w:r>
                    <w:rPr>
                      <w:color w:val="000000"/>
                      <w:szCs w:val="21"/>
                      <w:lang w:val="pt-BR"/>
                    </w:rPr>
                    <w:t>H</w:t>
                  </w:r>
                  <w:r>
                    <w:rPr>
                      <w:color w:val="000000"/>
                      <w:szCs w:val="21"/>
                      <w:vertAlign w:val="subscript"/>
                      <w:lang w:val="pt-BR"/>
                    </w:rPr>
                    <w:t>12</w:t>
                  </w:r>
                  <w:r>
                    <w:rPr>
                      <w:color w:val="000000"/>
                      <w:szCs w:val="21"/>
                      <w:lang w:val="pt-BR"/>
                    </w:rPr>
                    <w:t>N</w:t>
                  </w:r>
                  <w:r>
                    <w:rPr>
                      <w:color w:val="000000"/>
                      <w:szCs w:val="21"/>
                      <w:vertAlign w:val="subscript"/>
                      <w:lang w:val="pt-BR"/>
                    </w:rPr>
                    <w:t>2</w:t>
                  </w:r>
                  <w:r>
                    <w:rPr>
                      <w:color w:val="000000"/>
                      <w:szCs w:val="21"/>
                      <w:lang w:val="pt-BR"/>
                    </w:rPr>
                    <w:t>O</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分子式为C</w:t>
                  </w:r>
                  <w:r>
                    <w:rPr>
                      <w:color w:val="000000"/>
                      <w:szCs w:val="21"/>
                      <w:vertAlign w:val="subscript"/>
                      <w:lang w:val="pt-BR"/>
                    </w:rPr>
                    <w:t>11</w:t>
                  </w:r>
                  <w:r>
                    <w:rPr>
                      <w:color w:val="000000"/>
                      <w:szCs w:val="21"/>
                      <w:lang w:val="pt-BR"/>
                    </w:rPr>
                    <w:t>H</w:t>
                  </w:r>
                  <w:r>
                    <w:rPr>
                      <w:color w:val="000000"/>
                      <w:szCs w:val="21"/>
                      <w:vertAlign w:val="subscript"/>
                      <w:lang w:val="pt-BR"/>
                    </w:rPr>
                    <w:t>12</w:t>
                  </w:r>
                  <w:r>
                    <w:rPr>
                      <w:color w:val="000000"/>
                      <w:szCs w:val="21"/>
                      <w:lang w:val="pt-BR"/>
                    </w:rPr>
                    <w:t>N</w:t>
                  </w:r>
                  <w:r>
                    <w:rPr>
                      <w:color w:val="000000"/>
                      <w:szCs w:val="21"/>
                      <w:vertAlign w:val="subscript"/>
                      <w:lang w:val="pt-BR"/>
                    </w:rPr>
                    <w:t>2</w:t>
                  </w:r>
                  <w:r>
                    <w:rPr>
                      <w:color w:val="000000"/>
                      <w:szCs w:val="21"/>
                      <w:lang w:val="pt-BR"/>
                    </w:rPr>
                    <w:t>O，分子量为188.23，熔点：129℃；是一种微黄至黄色结晶性粉末，主要用途是用作染料、颜料、医药的中间体。</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99</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铬黑T</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20</w:t>
                  </w:r>
                  <w:r>
                    <w:rPr>
                      <w:color w:val="000000"/>
                      <w:szCs w:val="21"/>
                      <w:lang w:val="pt-BR"/>
                    </w:rPr>
                    <w:t>H</w:t>
                  </w:r>
                  <w:r>
                    <w:rPr>
                      <w:color w:val="000000"/>
                      <w:szCs w:val="21"/>
                      <w:vertAlign w:val="subscript"/>
                      <w:lang w:val="pt-BR"/>
                    </w:rPr>
                    <w:t>12</w:t>
                  </w:r>
                  <w:r>
                    <w:rPr>
                      <w:color w:val="000000"/>
                      <w:szCs w:val="21"/>
                      <w:lang w:val="pt-BR"/>
                    </w:rPr>
                    <w:t>N</w:t>
                  </w:r>
                  <w:r>
                    <w:rPr>
                      <w:color w:val="000000"/>
                      <w:szCs w:val="21"/>
                      <w:vertAlign w:val="subscript"/>
                      <w:lang w:val="pt-BR"/>
                    </w:rPr>
                    <w:t>3</w:t>
                  </w:r>
                  <w:r>
                    <w:rPr>
                      <w:color w:val="000000"/>
                      <w:szCs w:val="21"/>
                      <w:lang w:val="pt-BR"/>
                    </w:rPr>
                    <w:t>NaO</w:t>
                  </w:r>
                  <w:r>
                    <w:rPr>
                      <w:color w:val="000000"/>
                      <w:szCs w:val="21"/>
                      <w:vertAlign w:val="subscript"/>
                      <w:lang w:val="pt-BR"/>
                    </w:rPr>
                    <w:t>7</w:t>
                  </w:r>
                  <w:r>
                    <w:rPr>
                      <w:color w:val="000000"/>
                      <w:szCs w:val="21"/>
                      <w:lang w:val="pt-BR"/>
                    </w:rPr>
                    <w:t>S</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铬黑T，是一种有机化合物，分子式为C</w:t>
                  </w:r>
                  <w:r>
                    <w:rPr>
                      <w:color w:val="000000"/>
                      <w:szCs w:val="21"/>
                      <w:vertAlign w:val="subscript"/>
                      <w:lang w:val="pt-BR"/>
                    </w:rPr>
                    <w:t>20</w:t>
                  </w:r>
                  <w:r>
                    <w:rPr>
                      <w:color w:val="000000"/>
                      <w:szCs w:val="21"/>
                      <w:lang w:val="pt-BR"/>
                    </w:rPr>
                    <w:t>H</w:t>
                  </w:r>
                  <w:r>
                    <w:rPr>
                      <w:color w:val="000000"/>
                      <w:szCs w:val="21"/>
                      <w:vertAlign w:val="subscript"/>
                      <w:lang w:val="pt-BR"/>
                    </w:rPr>
                    <w:t>12</w:t>
                  </w:r>
                  <w:r>
                    <w:rPr>
                      <w:color w:val="000000"/>
                      <w:szCs w:val="21"/>
                      <w:lang w:val="pt-BR"/>
                    </w:rPr>
                    <w:t>N</w:t>
                  </w:r>
                  <w:r>
                    <w:rPr>
                      <w:color w:val="000000"/>
                      <w:szCs w:val="21"/>
                      <w:vertAlign w:val="subscript"/>
                      <w:lang w:val="pt-BR"/>
                    </w:rPr>
                    <w:t>3</w:t>
                  </w:r>
                  <w:r>
                    <w:rPr>
                      <w:color w:val="000000"/>
                      <w:szCs w:val="21"/>
                      <w:lang w:val="pt-BR"/>
                    </w:rPr>
                    <w:t>NaO</w:t>
                  </w:r>
                  <w:r>
                    <w:rPr>
                      <w:color w:val="000000"/>
                      <w:szCs w:val="21"/>
                      <w:vertAlign w:val="subscript"/>
                      <w:lang w:val="pt-BR"/>
                    </w:rPr>
                    <w:t>7</w:t>
                  </w:r>
                  <w:r>
                    <w:rPr>
                      <w:color w:val="000000"/>
                      <w:szCs w:val="21"/>
                      <w:lang w:val="pt-BR"/>
                    </w:rPr>
                    <w:t>S，分子量为461.38，黑色粉末，溶于水，并呈枣红至桨红色；稍溶于醇，并呈棕光品红色；微溶于丙酮。在浓硫酸中呈暗蓝色，稀释后呈浅红棕色；在浓硝酸中呈枯桔黄色。其水溶液，加浓盐酸无大变化；加氢氧化钠浓溶液转棕光品红色。水中溶解度（90℃）为25g/L。染色时遇铜、铁，色光影响较大。铬黑T是常用的金属指示剂，络合指示剂，测定钙、镁、钡、铟、锰、铅、钪、锶、锌和锆，例如测定水的硬度，Ca</w:t>
                  </w:r>
                  <w:r>
                    <w:rPr>
                      <w:color w:val="000000"/>
                      <w:szCs w:val="21"/>
                      <w:vertAlign w:val="superscript"/>
                      <w:lang w:val="pt-BR"/>
                    </w:rPr>
                    <w:t>2+</w:t>
                  </w:r>
                  <w:r>
                    <w:rPr>
                      <w:color w:val="000000"/>
                      <w:szCs w:val="21"/>
                      <w:lang w:val="pt-BR"/>
                    </w:rPr>
                    <w:t>、Mg</w:t>
                  </w:r>
                  <w:r>
                    <w:rPr>
                      <w:color w:val="000000"/>
                      <w:szCs w:val="21"/>
                      <w:vertAlign w:val="superscript"/>
                      <w:lang w:val="pt-BR"/>
                    </w:rPr>
                    <w:t>2+</w:t>
                  </w:r>
                  <w:r>
                    <w:rPr>
                      <w:color w:val="000000"/>
                      <w:szCs w:val="21"/>
                      <w:lang w:val="pt-BR"/>
                    </w:rPr>
                    <w:t>等金属离子的含量。</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100</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异烟酸</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6</w:t>
                  </w:r>
                  <w:r>
                    <w:rPr>
                      <w:color w:val="000000"/>
                      <w:szCs w:val="21"/>
                      <w:lang w:val="pt-BR"/>
                    </w:rPr>
                    <w:t>H</w:t>
                  </w:r>
                  <w:r>
                    <w:rPr>
                      <w:color w:val="000000"/>
                      <w:szCs w:val="21"/>
                      <w:vertAlign w:val="subscript"/>
                      <w:lang w:val="pt-BR"/>
                    </w:rPr>
                    <w:t>5</w:t>
                  </w:r>
                  <w:r>
                    <w:rPr>
                      <w:color w:val="000000"/>
                      <w:szCs w:val="21"/>
                      <w:lang w:val="pt-BR"/>
                    </w:rPr>
                    <w:t>NO</w:t>
                  </w:r>
                  <w:r>
                    <w:rPr>
                      <w:color w:val="000000"/>
                      <w:szCs w:val="21"/>
                      <w:vertAlign w:val="sub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4-吡啶甲酸又名异烟酸，无色针状晶体。</w:t>
                  </w:r>
                  <w:r>
                    <w:rPr>
                      <w:color w:val="000000"/>
                      <w:szCs w:val="21"/>
                      <w:lang w:val="pt-BR"/>
                    </w:rPr>
                    <w:tab/>
                  </w:r>
                  <w:r>
                    <w:rPr>
                      <w:color w:val="000000"/>
                      <w:szCs w:val="21"/>
                      <w:lang w:val="pt-BR"/>
                    </w:rPr>
                    <w:t>C</w:t>
                  </w:r>
                  <w:r>
                    <w:rPr>
                      <w:color w:val="000000"/>
                      <w:szCs w:val="21"/>
                      <w:vertAlign w:val="subscript"/>
                      <w:lang w:val="pt-BR"/>
                    </w:rPr>
                    <w:t>6</w:t>
                  </w:r>
                  <w:r>
                    <w:rPr>
                      <w:color w:val="000000"/>
                      <w:szCs w:val="21"/>
                      <w:lang w:val="pt-BR"/>
                    </w:rPr>
                    <w:t>H</w:t>
                  </w:r>
                  <w:r>
                    <w:rPr>
                      <w:color w:val="000000"/>
                      <w:szCs w:val="21"/>
                      <w:vertAlign w:val="subscript"/>
                      <w:lang w:val="pt-BR"/>
                    </w:rPr>
                    <w:t>5</w:t>
                  </w:r>
                  <w:r>
                    <w:rPr>
                      <w:color w:val="000000"/>
                      <w:szCs w:val="21"/>
                      <w:lang w:val="pt-BR"/>
                    </w:rPr>
                    <w:t>NO</w:t>
                  </w:r>
                  <w:r>
                    <w:rPr>
                      <w:color w:val="000000"/>
                      <w:szCs w:val="21"/>
                      <w:vertAlign w:val="subscript"/>
                      <w:lang w:val="pt-BR"/>
                    </w:rPr>
                    <w:t>2</w:t>
                  </w:r>
                  <w:r>
                    <w:rPr>
                      <w:color w:val="000000"/>
                      <w:szCs w:val="21"/>
                      <w:lang w:val="pt-BR"/>
                    </w:rPr>
                    <w:t>；分子量：123.11；熔点317℃，能升华。是两性化合物，既溶于酸，又溶于碱。溶于热水和乙醇，微溶于冷水和乙醚。对热和氧化稳定。无气味。能升华（260℃，2.00kPa）。微溶于冷水，较多溶于热水，几乎不溶于苯、乙醚、沸乙醇。饱和水溶液pH3.6。有机合成。本品为医药中间体，主要用于制备异烟肼（雷米封）；熔点：316℃；密度：1.354；</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101</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氯胺T</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7</w:t>
                  </w:r>
                  <w:r>
                    <w:rPr>
                      <w:color w:val="000000"/>
                      <w:szCs w:val="21"/>
                      <w:lang w:val="pt-BR"/>
                    </w:rPr>
                    <w:t>H</w:t>
                  </w:r>
                  <w:r>
                    <w:rPr>
                      <w:color w:val="000000"/>
                      <w:szCs w:val="21"/>
                      <w:vertAlign w:val="subscript"/>
                      <w:lang w:val="pt-BR"/>
                    </w:rPr>
                    <w:t>7</w:t>
                  </w:r>
                  <w:r>
                    <w:rPr>
                      <w:color w:val="000000"/>
                      <w:szCs w:val="21"/>
                      <w:lang w:val="pt-BR"/>
                    </w:rPr>
                    <w:t>ClNNaSO</w:t>
                  </w:r>
                  <w:r>
                    <w:rPr>
                      <w:color w:val="000000"/>
                      <w:szCs w:val="21"/>
                      <w:vertAlign w:val="sub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氯胺-T是一种有机化合物，分子式为C</w:t>
                  </w:r>
                  <w:r>
                    <w:rPr>
                      <w:color w:val="000000"/>
                      <w:szCs w:val="21"/>
                      <w:vertAlign w:val="subscript"/>
                      <w:lang w:val="pt-BR"/>
                    </w:rPr>
                    <w:t>7</w:t>
                  </w:r>
                  <w:r>
                    <w:rPr>
                      <w:color w:val="000000"/>
                      <w:szCs w:val="21"/>
                      <w:lang w:val="pt-BR"/>
                    </w:rPr>
                    <w:t>H</w:t>
                  </w:r>
                  <w:r>
                    <w:rPr>
                      <w:color w:val="000000"/>
                      <w:szCs w:val="21"/>
                      <w:vertAlign w:val="subscript"/>
                      <w:lang w:val="pt-BR"/>
                    </w:rPr>
                    <w:t>7</w:t>
                  </w:r>
                  <w:r>
                    <w:rPr>
                      <w:color w:val="000000"/>
                      <w:szCs w:val="21"/>
                      <w:lang w:val="pt-BR"/>
                    </w:rPr>
                    <w:t>ClNNaSO</w:t>
                  </w:r>
                  <w:r>
                    <w:rPr>
                      <w:color w:val="000000"/>
                      <w:szCs w:val="21"/>
                      <w:vertAlign w:val="subscript"/>
                      <w:lang w:val="pt-BR"/>
                    </w:rPr>
                    <w:t>2</w:t>
                  </w:r>
                  <w:r>
                    <w:rPr>
                      <w:color w:val="000000"/>
                      <w:szCs w:val="21"/>
                      <w:lang w:val="pt-BR"/>
                    </w:rPr>
                    <w:t>，分子量：227.64400；为白色或微黄色结晶性粉末，微有氯气臭味，不苦，露空气中缓缓分解，一年有效氯只减少0.1%，渐渐失去氯而变成黄色，易溶于水、乙醇，不溶于氯仿、乙醚或苯。它的水溶液对酚酞及石蕊试剂呈微碱性反应，pH值8～10。密度：1.36g/cm</w:t>
                  </w:r>
                  <w:r>
                    <w:rPr>
                      <w:color w:val="000000"/>
                      <w:szCs w:val="21"/>
                      <w:vertAlign w:val="superscript"/>
                      <w:lang w:val="pt-BR"/>
                    </w:rPr>
                    <w:t>3</w:t>
                  </w:r>
                  <w:r>
                    <w:rPr>
                      <w:color w:val="000000"/>
                      <w:szCs w:val="21"/>
                      <w:lang w:val="pt-BR"/>
                    </w:rPr>
                    <w:t>；熔点：167-170°C；沸点：314.3ºCat760mmHg；闪点：143.9ºC；储存条件：库房低温通风干燥，与酸类分开存放。</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102</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乙酸锌</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(CH</w:t>
                  </w:r>
                  <w:r>
                    <w:rPr>
                      <w:color w:val="000000"/>
                      <w:szCs w:val="21"/>
                      <w:vertAlign w:val="subscript"/>
                      <w:lang w:val="pt-BR"/>
                    </w:rPr>
                    <w:t>3</w:t>
                  </w:r>
                  <w:r>
                    <w:rPr>
                      <w:color w:val="000000"/>
                      <w:szCs w:val="21"/>
                      <w:lang w:val="pt-BR"/>
                    </w:rPr>
                    <w:t>COO)</w:t>
                  </w:r>
                  <w:r>
                    <w:rPr>
                      <w:color w:val="000000"/>
                      <w:szCs w:val="21"/>
                      <w:vertAlign w:val="subscript"/>
                      <w:lang w:val="pt-BR"/>
                    </w:rPr>
                    <w:t>2</w:t>
                  </w:r>
                  <w:r>
                    <w:rPr>
                      <w:color w:val="000000"/>
                      <w:szCs w:val="21"/>
                      <w:lang w:val="pt-BR"/>
                    </w:rPr>
                    <w:t>Zn</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乙酸锌是一种有机盐类，化学式为(CH</w:t>
                  </w:r>
                  <w:r>
                    <w:rPr>
                      <w:color w:val="000000"/>
                      <w:szCs w:val="21"/>
                      <w:vertAlign w:val="subscript"/>
                      <w:lang w:val="pt-BR"/>
                    </w:rPr>
                    <w:t>3</w:t>
                  </w:r>
                  <w:r>
                    <w:rPr>
                      <w:color w:val="000000"/>
                      <w:szCs w:val="21"/>
                      <w:lang w:val="pt-BR"/>
                    </w:rPr>
                    <w:t>COO)</w:t>
                  </w:r>
                  <w:r>
                    <w:rPr>
                      <w:color w:val="000000"/>
                      <w:szCs w:val="21"/>
                      <w:vertAlign w:val="subscript"/>
                      <w:lang w:val="pt-BR"/>
                    </w:rPr>
                    <w:t>2</w:t>
                  </w:r>
                  <w:r>
                    <w:rPr>
                      <w:color w:val="000000"/>
                      <w:szCs w:val="21"/>
                      <w:lang w:val="pt-BR"/>
                    </w:rPr>
                    <w:t>Zn，分子量：219.50；微有乙酸味，溶于水和乙醇，为有光泽的六面体鳞片或片晶体，有乙酸气味，由氧化锌与乙酸作用而得。一般用于制锌盐、也用作媒染剂、木材防腐剂、试剂等。有光泽的六面体鳞片或片晶体，有乙酸气味。溶于水和乙醇。在100℃失去结晶水，熔点237℃。用于制锌盐、也用作媒染剂、木材防腐剂、试剂等。</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103</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钼酸铵</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(NH</w:t>
                  </w:r>
                  <w:r>
                    <w:rPr>
                      <w:color w:val="000000"/>
                      <w:szCs w:val="21"/>
                      <w:vertAlign w:val="subscript"/>
                      <w:lang w:val="pt-BR"/>
                    </w:rPr>
                    <w:t>4</w:t>
                  </w:r>
                  <w:r>
                    <w:rPr>
                      <w:color w:val="000000"/>
                      <w:szCs w:val="21"/>
                      <w:lang w:val="pt-BR"/>
                    </w:rPr>
                    <w:t>)</w:t>
                  </w:r>
                  <w:r>
                    <w:rPr>
                      <w:color w:val="000000"/>
                      <w:szCs w:val="21"/>
                      <w:vertAlign w:val="subscript"/>
                      <w:lang w:val="pt-BR"/>
                    </w:rPr>
                    <w:t>2</w:t>
                  </w:r>
                  <w:r>
                    <w:rPr>
                      <w:color w:val="000000"/>
                      <w:szCs w:val="21"/>
                      <w:lang w:val="pt-BR"/>
                    </w:rPr>
                    <w:t>MoO</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钼酸铵，化学式为(NH</w:t>
                  </w:r>
                  <w:r>
                    <w:rPr>
                      <w:color w:val="000000"/>
                      <w:szCs w:val="21"/>
                      <w:vertAlign w:val="subscript"/>
                      <w:lang w:val="pt-BR"/>
                    </w:rPr>
                    <w:t>4</w:t>
                  </w:r>
                  <w:r>
                    <w:rPr>
                      <w:color w:val="000000"/>
                      <w:szCs w:val="21"/>
                      <w:lang w:val="pt-BR"/>
                    </w:rPr>
                    <w:t>)</w:t>
                  </w:r>
                  <w:r>
                    <w:rPr>
                      <w:color w:val="000000"/>
                      <w:szCs w:val="21"/>
                      <w:vertAlign w:val="subscript"/>
                      <w:lang w:val="pt-BR"/>
                    </w:rPr>
                    <w:t>2</w:t>
                  </w:r>
                  <w:r>
                    <w:rPr>
                      <w:color w:val="000000"/>
                      <w:szCs w:val="21"/>
                      <w:lang w:val="pt-BR"/>
                    </w:rPr>
                    <w:t>MoO</w:t>
                  </w:r>
                  <w:r>
                    <w:rPr>
                      <w:color w:val="000000"/>
                      <w:szCs w:val="21"/>
                      <w:vertAlign w:val="subscript"/>
                      <w:lang w:val="pt-BR"/>
                    </w:rPr>
                    <w:t>4</w:t>
                  </w:r>
                  <w:r>
                    <w:rPr>
                      <w:color w:val="000000"/>
                      <w:szCs w:val="21"/>
                      <w:lang w:val="pt-BR"/>
                    </w:rPr>
                    <w:t>，分子量：196.014；熔点：170℃（分解）；密度：2.496g/cm</w:t>
                  </w:r>
                  <w:r>
                    <w:rPr>
                      <w:color w:val="000000"/>
                      <w:szCs w:val="21"/>
                      <w:vertAlign w:val="superscript"/>
                      <w:lang w:val="pt-BR"/>
                    </w:rPr>
                    <w:t>3</w:t>
                  </w:r>
                  <w:r>
                    <w:rPr>
                      <w:color w:val="000000"/>
                      <w:szCs w:val="21"/>
                      <w:lang w:val="pt-BR"/>
                    </w:rPr>
                    <w:t>；是一种无机盐，是广泛用作生产高纯度钼制品、钼催化剂、钼颜料等的基本原料，危险特性：无特殊的燃烧爆炸特性，受高热分解放出有毒的气体。</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rPr>
                  </w:pPr>
                  <w:r>
                    <w:rPr>
                      <w:szCs w:val="21"/>
                    </w:rPr>
                    <w:t>104</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氯化亚锡</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SnCl</w:t>
                  </w:r>
                  <w:r>
                    <w:rPr>
                      <w:color w:val="000000"/>
                      <w:szCs w:val="21"/>
                      <w:vertAlign w:val="sub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氯化亚锡（stannouschloride），化学式SnCl</w:t>
                  </w:r>
                  <w:r>
                    <w:rPr>
                      <w:color w:val="000000"/>
                      <w:szCs w:val="21"/>
                      <w:vertAlign w:val="subscript"/>
                      <w:lang w:val="pt-BR"/>
                    </w:rPr>
                    <w:t>2</w:t>
                  </w:r>
                  <w:r>
                    <w:rPr>
                      <w:color w:val="000000"/>
                      <w:szCs w:val="21"/>
                      <w:lang w:val="pt-BR"/>
                    </w:rPr>
                    <w:t>，分子量：189.61；密度：3.95g/cm</w:t>
                  </w:r>
                  <w:r>
                    <w:rPr>
                      <w:color w:val="000000"/>
                      <w:szCs w:val="21"/>
                      <w:vertAlign w:val="superscript"/>
                      <w:lang w:val="pt-BR"/>
                    </w:rPr>
                    <w:t>3</w:t>
                  </w:r>
                  <w:r>
                    <w:rPr>
                      <w:color w:val="000000"/>
                      <w:szCs w:val="21"/>
                      <w:lang w:val="pt-BR"/>
                    </w:rPr>
                    <w:t>；熔点：247℃；沸点：623℃（分解）；是一种无机化合物，为白色结晶性粉末。溶解性：溶于醇，易溶于浓盐酸，</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105</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lang w:val="pt-BR"/>
                    </w:rPr>
                  </w:pPr>
                  <w:r>
                    <w:rPr>
                      <w:szCs w:val="21"/>
                    </w:rPr>
                    <w:t>铁氰化钾</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K</w:t>
                  </w:r>
                  <w:r>
                    <w:rPr>
                      <w:color w:val="000000"/>
                      <w:szCs w:val="21"/>
                      <w:vertAlign w:val="subscript"/>
                      <w:lang w:val="pt-BR"/>
                    </w:rPr>
                    <w:t>3</w:t>
                  </w:r>
                  <w:r>
                    <w:rPr>
                      <w:color w:val="000000"/>
                      <w:szCs w:val="21"/>
                      <w:lang w:val="pt-BR"/>
                    </w:rPr>
                    <w:t>[Fe(CN)</w:t>
                  </w:r>
                  <w:r>
                    <w:rPr>
                      <w:color w:val="000000"/>
                      <w:szCs w:val="21"/>
                      <w:vertAlign w:val="subscript"/>
                      <w:lang w:val="pt-BR"/>
                    </w:rPr>
                    <w:t>6</w:t>
                  </w:r>
                  <w:r>
                    <w:rPr>
                      <w:color w:val="000000"/>
                      <w:szCs w:val="21"/>
                      <w:lang w:val="pt-BR"/>
                    </w:rPr>
                    <w:t>]</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铁氰化钾是一种无机物，化学式K</w:t>
                  </w:r>
                  <w:r>
                    <w:rPr>
                      <w:color w:val="000000"/>
                      <w:szCs w:val="21"/>
                      <w:vertAlign w:val="subscript"/>
                      <w:lang w:val="pt-BR"/>
                    </w:rPr>
                    <w:t>3</w:t>
                  </w:r>
                  <w:r>
                    <w:rPr>
                      <w:color w:val="000000"/>
                      <w:szCs w:val="21"/>
                      <w:lang w:val="pt-BR"/>
                    </w:rPr>
                    <w:t>[Fe(CN)</w:t>
                  </w:r>
                  <w:r>
                    <w:rPr>
                      <w:color w:val="000000"/>
                      <w:szCs w:val="21"/>
                      <w:vertAlign w:val="subscript"/>
                      <w:lang w:val="pt-BR"/>
                    </w:rPr>
                    <w:t>6</w:t>
                  </w:r>
                  <w:r>
                    <w:rPr>
                      <w:color w:val="000000"/>
                      <w:szCs w:val="21"/>
                      <w:lang w:val="pt-BR"/>
                    </w:rPr>
                    <w:t>]，俗称赤血盐、赤血盐钾，分子量为329.24，为红色晶体，可溶于水，水溶液带有黄绿色荧光，熔点：300℃；可溶性：能溶于水、丙酮，微溶于乙醇，不溶于醋酸甲酯与液氮。溶解性（水）：36g/100mL（冷水），77.5g/100mL（热水）。遇亚铁盐则生成深蓝色沉淀。经灼烧可完全分解。能被酸分解，能被光及还原剂还原成亚铁氰化钾。经灼烧可完全分解，产生剧毒氰化钾和氰。对环境有危害，对水体可造成污染。有害燃烧产物：一氧化氮、氰化氢、氧化钾。</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106</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lang w:val="pt-BR"/>
                    </w:rPr>
                  </w:pPr>
                  <w:r>
                    <w:rPr>
                      <w:szCs w:val="21"/>
                    </w:rPr>
                    <w:t>硫酸肼</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w:t>
                  </w:r>
                  <w:r>
                    <w:rPr>
                      <w:color w:val="000000"/>
                      <w:szCs w:val="21"/>
                      <w:vertAlign w:val="subscript"/>
                      <w:lang w:val="pt-BR"/>
                    </w:rPr>
                    <w:t>2</w:t>
                  </w:r>
                  <w:r>
                    <w:rPr>
                      <w:color w:val="000000"/>
                      <w:szCs w:val="21"/>
                      <w:lang w:val="pt-BR"/>
                    </w:rPr>
                    <w:t>H</w:t>
                  </w:r>
                  <w:r>
                    <w:rPr>
                      <w:color w:val="000000"/>
                      <w:szCs w:val="21"/>
                      <w:vertAlign w:val="subscript"/>
                      <w:lang w:val="pt-BR"/>
                    </w:rPr>
                    <w:t>4</w:t>
                  </w:r>
                  <w:r>
                    <w:rPr>
                      <w:color w:val="000000"/>
                      <w:szCs w:val="21"/>
                      <w:lang w:val="pt-BR"/>
                    </w:rPr>
                    <w:t>·H</w:t>
                  </w:r>
                  <w:r>
                    <w:rPr>
                      <w:color w:val="000000"/>
                      <w:szCs w:val="21"/>
                      <w:vertAlign w:val="subscript"/>
                      <w:lang w:val="pt-BR"/>
                    </w:rPr>
                    <w:t>2</w:t>
                  </w:r>
                  <w:r>
                    <w:rPr>
                      <w:color w:val="000000"/>
                      <w:szCs w:val="21"/>
                      <w:lang w:val="pt-BR"/>
                    </w:rPr>
                    <w:t>SO</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硫酸肼是联氨与硫酸生成的盐类，分子式N</w:t>
                  </w:r>
                  <w:r>
                    <w:rPr>
                      <w:color w:val="000000"/>
                      <w:szCs w:val="21"/>
                      <w:vertAlign w:val="subscript"/>
                      <w:lang w:val="pt-BR"/>
                    </w:rPr>
                    <w:t>2</w:t>
                  </w:r>
                  <w:r>
                    <w:rPr>
                      <w:color w:val="000000"/>
                      <w:szCs w:val="21"/>
                      <w:lang w:val="pt-BR"/>
                    </w:rPr>
                    <w:t>H</w:t>
                  </w:r>
                  <w:r>
                    <w:rPr>
                      <w:color w:val="000000"/>
                      <w:szCs w:val="21"/>
                      <w:vertAlign w:val="subscript"/>
                      <w:lang w:val="pt-BR"/>
                    </w:rPr>
                    <w:t>4</w:t>
                  </w:r>
                  <w:r>
                    <w:rPr>
                      <w:color w:val="000000"/>
                      <w:szCs w:val="21"/>
                      <w:lang w:val="pt-BR"/>
                    </w:rPr>
                    <w:t>·H</w:t>
                  </w:r>
                  <w:r>
                    <w:rPr>
                      <w:color w:val="000000"/>
                      <w:szCs w:val="21"/>
                      <w:vertAlign w:val="subscript"/>
                      <w:lang w:val="pt-BR"/>
                    </w:rPr>
                    <w:t>2</w:t>
                  </w:r>
                  <w:r>
                    <w:rPr>
                      <w:color w:val="000000"/>
                      <w:szCs w:val="21"/>
                      <w:lang w:val="pt-BR"/>
                    </w:rPr>
                    <w:t>SO</w:t>
                  </w:r>
                  <w:r>
                    <w:rPr>
                      <w:color w:val="000000"/>
                      <w:szCs w:val="21"/>
                      <w:vertAlign w:val="subscript"/>
                      <w:lang w:val="pt-BR"/>
                    </w:rPr>
                    <w:t>4</w:t>
                  </w:r>
                  <w:r>
                    <w:rPr>
                      <w:color w:val="000000"/>
                      <w:szCs w:val="21"/>
                      <w:lang w:val="pt-BR"/>
                    </w:rPr>
                    <w:t>。它为无色无味鳞状结晶或斜方结晶。微溶于冷水，易溶于热水，水溶液呈酸性。不溶于醇。在空气中稳定，不易吸湿。为强还原剂。不可与碱类、氧化剂共存。有毒，有致癌性。无色或白色棱形结晶或粉末。易溶于热水，微溶于冷水，不溶于乙醇。0.2mol/L水溶液的pH为1.3。相对密度1.378。熔点254℃（分解）。有强烈的还原作用。遇氧化剂易引起爆炸。有毒。有致癌可能性。重量测定镍、钴和镉。测定氯酸盐、次氯酸、羰基化合物、砷和羟基。健康危害：对呼吸道有强烈刺激性，吸入引起咳嗽、头晕、恶心和呕吐。对环境有危害，对水体可造成严重污染，污染环境，水体。该品可燃，具刺激性。燃烧产物：氮氧化物、氧化硫。</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107</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lang w:val="pt-BR"/>
                    </w:rPr>
                  </w:pPr>
                  <w:r>
                    <w:rPr>
                      <w:szCs w:val="21"/>
                    </w:rPr>
                    <w:t>磷酸氢二铵</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(NH</w:t>
                  </w:r>
                  <w:r>
                    <w:rPr>
                      <w:color w:val="000000"/>
                      <w:szCs w:val="21"/>
                      <w:vertAlign w:val="subscript"/>
                      <w:lang w:val="pt-BR"/>
                    </w:rPr>
                    <w:t>4</w:t>
                  </w:r>
                  <w:r>
                    <w:rPr>
                      <w:color w:val="000000"/>
                      <w:szCs w:val="21"/>
                      <w:lang w:val="pt-BR"/>
                    </w:rPr>
                    <w:t>)</w:t>
                  </w:r>
                  <w:r>
                    <w:rPr>
                      <w:color w:val="000000"/>
                      <w:szCs w:val="21"/>
                      <w:vertAlign w:val="subscript"/>
                      <w:lang w:val="pt-BR"/>
                    </w:rPr>
                    <w:t>2</w:t>
                  </w:r>
                  <w:r>
                    <w:rPr>
                      <w:color w:val="000000"/>
                      <w:szCs w:val="21"/>
                      <w:lang w:val="pt-BR"/>
                    </w:rPr>
                    <w:t>HPO</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磷酸氢二铵，是一种无机物，分子式(NH</w:t>
                  </w:r>
                  <w:r>
                    <w:rPr>
                      <w:color w:val="000000"/>
                      <w:szCs w:val="21"/>
                      <w:vertAlign w:val="subscript"/>
                      <w:lang w:val="pt-BR"/>
                    </w:rPr>
                    <w:t>4</w:t>
                  </w:r>
                  <w:r>
                    <w:rPr>
                      <w:color w:val="000000"/>
                      <w:szCs w:val="21"/>
                      <w:lang w:val="pt-BR"/>
                    </w:rPr>
                    <w:t>)</w:t>
                  </w:r>
                  <w:r>
                    <w:rPr>
                      <w:color w:val="000000"/>
                      <w:szCs w:val="21"/>
                      <w:vertAlign w:val="subscript"/>
                      <w:lang w:val="pt-BR"/>
                    </w:rPr>
                    <w:t>2</w:t>
                  </w:r>
                  <w:r>
                    <w:rPr>
                      <w:color w:val="000000"/>
                      <w:szCs w:val="21"/>
                      <w:lang w:val="pt-BR"/>
                    </w:rPr>
                    <w:t>HPO</w:t>
                  </w:r>
                  <w:r>
                    <w:rPr>
                      <w:color w:val="000000"/>
                      <w:szCs w:val="21"/>
                      <w:vertAlign w:val="subscript"/>
                      <w:lang w:val="pt-BR"/>
                    </w:rPr>
                    <w:t>4</w:t>
                  </w:r>
                  <w:r>
                    <w:rPr>
                      <w:color w:val="000000"/>
                      <w:szCs w:val="21"/>
                      <w:lang w:val="pt-BR"/>
                    </w:rPr>
                    <w:t>，分子量为132.06，无色透明单斜晶体或白色粉末。性状无色透明单斜晶体或白色粉末。为增加耐储性，部分产品在生产过程中添加包裹剂，使产品外观呈褐色。密度：1.619g/cm</w:t>
                  </w:r>
                  <w:r>
                    <w:rPr>
                      <w:color w:val="000000"/>
                      <w:szCs w:val="21"/>
                      <w:vertAlign w:val="superscript"/>
                      <w:lang w:val="pt-BR"/>
                    </w:rPr>
                    <w:t>3</w:t>
                  </w:r>
                  <w:r>
                    <w:rPr>
                      <w:color w:val="000000"/>
                      <w:szCs w:val="21"/>
                      <w:lang w:val="pt-BR"/>
                    </w:rPr>
                    <w:t>，溶解性：易溶于水【58g/100mL(10℃)】，不溶于醇、丙酮、氨水。有毒物品；毒性分级微毒。</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rPr>
                    <w:t>108</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lang w:val="pt-BR"/>
                    </w:rPr>
                  </w:pPr>
                  <w:r>
                    <w:rPr>
                      <w:szCs w:val="21"/>
                    </w:rPr>
                    <w:t>间苯二酚</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6</w:t>
                  </w:r>
                  <w:r>
                    <w:rPr>
                      <w:color w:val="000000"/>
                      <w:szCs w:val="21"/>
                      <w:lang w:val="pt-BR"/>
                    </w:rPr>
                    <w:t>H</w:t>
                  </w:r>
                  <w:r>
                    <w:rPr>
                      <w:color w:val="000000"/>
                      <w:szCs w:val="21"/>
                      <w:vertAlign w:val="subscript"/>
                      <w:lang w:val="pt-BR"/>
                    </w:rPr>
                    <w:t>6</w:t>
                  </w:r>
                  <w:r>
                    <w:rPr>
                      <w:color w:val="000000"/>
                      <w:szCs w:val="21"/>
                      <w:lang w:val="pt-BR"/>
                    </w:rPr>
                    <w:t>O</w:t>
                  </w:r>
                  <w:r>
                    <w:rPr>
                      <w:color w:val="000000"/>
                      <w:szCs w:val="21"/>
                      <w:vertAlign w:val="sub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间苯二酚，又名1,3-苯二酚，是一种有机化合物，化学式为C</w:t>
                  </w:r>
                  <w:r>
                    <w:rPr>
                      <w:color w:val="000000"/>
                      <w:szCs w:val="21"/>
                      <w:vertAlign w:val="subscript"/>
                      <w:lang w:val="pt-BR"/>
                    </w:rPr>
                    <w:t>6</w:t>
                  </w:r>
                  <w:r>
                    <w:rPr>
                      <w:color w:val="000000"/>
                      <w:szCs w:val="21"/>
                      <w:lang w:val="pt-BR"/>
                    </w:rPr>
                    <w:t>H</w:t>
                  </w:r>
                  <w:r>
                    <w:rPr>
                      <w:color w:val="000000"/>
                      <w:szCs w:val="21"/>
                      <w:vertAlign w:val="subscript"/>
                      <w:lang w:val="pt-BR"/>
                    </w:rPr>
                    <w:t>6</w:t>
                  </w:r>
                  <w:r>
                    <w:rPr>
                      <w:color w:val="000000"/>
                      <w:szCs w:val="21"/>
                      <w:lang w:val="pt-BR"/>
                    </w:rPr>
                    <w:t>O</w:t>
                  </w:r>
                  <w:r>
                    <w:rPr>
                      <w:color w:val="000000"/>
                      <w:szCs w:val="21"/>
                      <w:vertAlign w:val="subscript"/>
                      <w:lang w:val="pt-BR"/>
                    </w:rPr>
                    <w:t>2</w:t>
                  </w:r>
                  <w:r>
                    <w:rPr>
                      <w:color w:val="000000"/>
                      <w:szCs w:val="21"/>
                      <w:lang w:val="pt-BR"/>
                    </w:rPr>
                    <w:t>；分子量：110.111，密度：1.27g/cm</w:t>
                  </w:r>
                  <w:r>
                    <w:rPr>
                      <w:color w:val="000000"/>
                      <w:szCs w:val="21"/>
                      <w:vertAlign w:val="superscript"/>
                      <w:lang w:val="pt-BR"/>
                    </w:rPr>
                    <w:t>3</w:t>
                  </w:r>
                  <w:r>
                    <w:rPr>
                      <w:color w:val="000000"/>
                      <w:szCs w:val="21"/>
                      <w:lang w:val="pt-BR"/>
                    </w:rPr>
                    <w:t>；熔点：109-111℃</w:t>
                  </w:r>
                </w:p>
                <w:p>
                  <w:pPr>
                    <w:adjustRightInd w:val="0"/>
                    <w:rPr>
                      <w:color w:val="000000"/>
                      <w:szCs w:val="21"/>
                      <w:lang w:val="pt-BR"/>
                    </w:rPr>
                  </w:pPr>
                  <w:r>
                    <w:rPr>
                      <w:color w:val="000000"/>
                      <w:szCs w:val="21"/>
                      <w:lang w:val="pt-BR"/>
                    </w:rPr>
                    <w:t>沸点：281℃；闪点：127℃；logP：0.76；外观：白色结晶性粉末；溶解性：易溶于水、乙醇、乙醚，微溶于氯仿乙醇、乙醚，溶于氯仿、四氯化碳，不溶于苯。间苯二酚的化学性质与二元酸相似，与氢氧化钠、氨水等发生反应生成盐；</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109</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lang w:val="pt-BR"/>
                    </w:rPr>
                  </w:pPr>
                  <w:r>
                    <w:rPr>
                      <w:szCs w:val="21"/>
                    </w:rPr>
                    <w:t>乙酸酐</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4</w:t>
                  </w:r>
                  <w:r>
                    <w:rPr>
                      <w:color w:val="000000"/>
                      <w:szCs w:val="21"/>
                      <w:lang w:val="pt-BR"/>
                    </w:rPr>
                    <w:t>H</w:t>
                  </w:r>
                  <w:r>
                    <w:rPr>
                      <w:color w:val="000000"/>
                      <w:szCs w:val="21"/>
                      <w:vertAlign w:val="subscript"/>
                      <w:lang w:val="pt-BR"/>
                    </w:rPr>
                    <w:t>6</w:t>
                  </w:r>
                  <w:r>
                    <w:rPr>
                      <w:color w:val="000000"/>
                      <w:szCs w:val="21"/>
                      <w:lang w:val="pt-BR"/>
                    </w:rPr>
                    <w:t>O</w:t>
                  </w:r>
                  <w:r>
                    <w:rPr>
                      <w:color w:val="000000"/>
                      <w:szCs w:val="21"/>
                      <w:vertAlign w:val="subscript"/>
                      <w:lang w:val="pt-BR"/>
                    </w:rPr>
                    <w:t>3</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乙酸酐，是一种有机物，化学式为C</w:t>
                  </w:r>
                  <w:r>
                    <w:rPr>
                      <w:color w:val="000000"/>
                      <w:szCs w:val="21"/>
                      <w:vertAlign w:val="subscript"/>
                      <w:lang w:val="pt-BR"/>
                    </w:rPr>
                    <w:t>4</w:t>
                  </w:r>
                  <w:r>
                    <w:rPr>
                      <w:color w:val="000000"/>
                      <w:szCs w:val="21"/>
                      <w:lang w:val="pt-BR"/>
                    </w:rPr>
                    <w:t>H</w:t>
                  </w:r>
                  <w:r>
                    <w:rPr>
                      <w:color w:val="000000"/>
                      <w:szCs w:val="21"/>
                      <w:vertAlign w:val="subscript"/>
                      <w:lang w:val="pt-BR"/>
                    </w:rPr>
                    <w:t>6</w:t>
                  </w:r>
                  <w:r>
                    <w:rPr>
                      <w:color w:val="000000"/>
                      <w:szCs w:val="21"/>
                      <w:lang w:val="pt-BR"/>
                    </w:rPr>
                    <w:t>O</w:t>
                  </w:r>
                  <w:r>
                    <w:rPr>
                      <w:color w:val="000000"/>
                      <w:szCs w:val="21"/>
                      <w:vertAlign w:val="subscript"/>
                      <w:lang w:val="pt-BR"/>
                    </w:rPr>
                    <w:t>3</w:t>
                  </w:r>
                  <w:r>
                    <w:rPr>
                      <w:color w:val="000000"/>
                      <w:szCs w:val="21"/>
                      <w:lang w:val="pt-BR"/>
                    </w:rPr>
                    <w:t>，分子量：102.089；为无色透明液体，有强烈的乙酸气味，味酸，有吸湿性，溶于氯仿和乙醚，缓慢地溶于水形成乙酸，与乙醇作用形成乙酸乙酯。易燃，有腐蚀性，有催泪性。熔点：-73℃；沸点：140℃；密度：1.087g/cm</w:t>
                  </w:r>
                  <w:r>
                    <w:rPr>
                      <w:color w:val="000000"/>
                      <w:szCs w:val="21"/>
                      <w:vertAlign w:val="superscript"/>
                      <w:lang w:val="pt-BR"/>
                    </w:rPr>
                    <w:t>3</w:t>
                  </w:r>
                  <w:r>
                    <w:rPr>
                      <w:color w:val="000000"/>
                      <w:szCs w:val="21"/>
                      <w:lang w:val="pt-BR"/>
                    </w:rPr>
                    <w:t>；饱和蒸汽压：1.33kPa（36℃）；临界温度：326℃；临界压力：4.36Mpa；闪点：49℃（OC）。外观：无色透明液体，有刺激气味；溶解性：溶于乙醇、乙醚、苯。易燃，其蒸气与空气可形成爆炸性混合物，遇明火、高热能引起燃烧爆炸。</w:t>
                  </w:r>
                  <w:r>
                    <w:rPr>
                      <w:color w:val="333333"/>
                      <w:szCs w:val="21"/>
                      <w:shd w:val="clear" w:color="auto" w:fill="FFFFFF"/>
                    </w:rPr>
                    <w:t>属低毒类，属于国家监管的易制毒化学品中的第二类。</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110</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lang w:val="pt-BR"/>
                    </w:rPr>
                  </w:pPr>
                  <w:r>
                    <w:rPr>
                      <w:szCs w:val="21"/>
                    </w:rPr>
                    <w:t>氯化铁</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FeCl</w:t>
                  </w:r>
                  <w:r>
                    <w:rPr>
                      <w:color w:val="000000"/>
                      <w:szCs w:val="21"/>
                      <w:vertAlign w:val="subscript"/>
                      <w:lang w:val="pt-BR"/>
                    </w:rPr>
                    <w:t>3</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一种共价无机化合物，化学式FeCl</w:t>
                  </w:r>
                  <w:r>
                    <w:rPr>
                      <w:color w:val="000000"/>
                      <w:szCs w:val="21"/>
                      <w:vertAlign w:val="subscript"/>
                      <w:lang w:val="pt-BR"/>
                    </w:rPr>
                    <w:t>3</w:t>
                  </w:r>
                  <w:r>
                    <w:rPr>
                      <w:color w:val="000000"/>
                      <w:szCs w:val="21"/>
                      <w:lang w:val="pt-BR"/>
                    </w:rPr>
                    <w:t>。分子量：162.204；为黑棕色结晶，也有薄片状，熔点306℃、沸点316℃，密度：2.8g/cm</w:t>
                  </w:r>
                  <w:r>
                    <w:rPr>
                      <w:color w:val="000000"/>
                      <w:szCs w:val="21"/>
                      <w:vertAlign w:val="superscript"/>
                      <w:lang w:val="pt-BR"/>
                    </w:rPr>
                    <w:t>3</w:t>
                  </w:r>
                  <w:r>
                    <w:rPr>
                      <w:color w:val="000000"/>
                      <w:szCs w:val="21"/>
                      <w:lang w:val="pt-BR"/>
                    </w:rPr>
                    <w:t>；易溶于水并且有强烈的吸水性，能吸收空气里的水分而潮解。FeCl</w:t>
                  </w:r>
                  <w:r>
                    <w:rPr>
                      <w:color w:val="000000"/>
                      <w:szCs w:val="21"/>
                      <w:vertAlign w:val="subscript"/>
                      <w:lang w:val="pt-BR"/>
                    </w:rPr>
                    <w:t>3</w:t>
                  </w:r>
                  <w:r>
                    <w:rPr>
                      <w:color w:val="000000"/>
                      <w:szCs w:val="21"/>
                      <w:lang w:val="pt-BR"/>
                    </w:rPr>
                    <w:t>从水溶液析出时带六个结晶水为FeCl</w:t>
                  </w:r>
                  <w:r>
                    <w:rPr>
                      <w:color w:val="000000"/>
                      <w:szCs w:val="21"/>
                      <w:vertAlign w:val="subscript"/>
                      <w:lang w:val="pt-BR"/>
                    </w:rPr>
                    <w:t>3</w:t>
                  </w:r>
                  <w:r>
                    <w:rPr>
                      <w:color w:val="000000"/>
                      <w:szCs w:val="21"/>
                      <w:lang w:val="pt-BR"/>
                    </w:rPr>
                    <w:t>·6H</w:t>
                  </w:r>
                  <w:r>
                    <w:rPr>
                      <w:color w:val="000000"/>
                      <w:szCs w:val="21"/>
                      <w:vertAlign w:val="subscript"/>
                      <w:lang w:val="pt-BR"/>
                    </w:rPr>
                    <w:t>2</w:t>
                  </w:r>
                  <w:r>
                    <w:rPr>
                      <w:color w:val="000000"/>
                      <w:szCs w:val="21"/>
                      <w:lang w:val="pt-BR"/>
                    </w:rPr>
                    <w:t>O，六水合氯化铁是橘黄色的晶体。氯化铁是一种很重要的铁盐。外观：黑棕色结晶性粉末；溶解性：易溶于水，不溶于甘油，易溶于甲醇、乙醇、丙酮、乙醚；氯化铁的另外一个重要用途就是五金蚀刻。</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111</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lang w:val="pt-BR"/>
                    </w:rPr>
                  </w:pPr>
                  <w:r>
                    <w:rPr>
                      <w:szCs w:val="21"/>
                    </w:rPr>
                    <w:t>硫酸氢钠</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NaHSO</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硫酸氢钠，也称酸式硫酸钠，是一种无机化合物，化学式为NaHSO</w:t>
                  </w:r>
                  <w:r>
                    <w:rPr>
                      <w:color w:val="000000"/>
                      <w:szCs w:val="21"/>
                      <w:vertAlign w:val="subscript"/>
                      <w:lang w:val="pt-BR"/>
                    </w:rPr>
                    <w:t>4</w:t>
                  </w:r>
                  <w:r>
                    <w:rPr>
                      <w:color w:val="000000"/>
                      <w:szCs w:val="21"/>
                      <w:lang w:val="pt-BR"/>
                    </w:rPr>
                    <w:t>，呈白色单斜晶体，有吸湿性，水溶液显酸性，0.1mol/L硫酸氢钠溶液的pH大约为1.4。分子量：120.06；密度：2.1g/cm</w:t>
                  </w:r>
                  <w:r>
                    <w:rPr>
                      <w:color w:val="000000"/>
                      <w:szCs w:val="21"/>
                      <w:vertAlign w:val="superscript"/>
                      <w:lang w:val="pt-BR"/>
                    </w:rPr>
                    <w:t>3</w:t>
                  </w:r>
                  <w:r>
                    <w:rPr>
                      <w:color w:val="000000"/>
                      <w:szCs w:val="21"/>
                      <w:lang w:val="pt-BR"/>
                    </w:rPr>
                    <w:t>；熔点：315°C（分解）；外观：白色单斜晶体；溶解性：溶于水，不溶于液氨。主要用作助熔剂和消毒剂，并用于制硫酸盐和钠矾等，也用作矿物分解助熔剂、酸性染料助染剂以及制取硫酸盐和钠钒等，也用于制造厕所清洁剂、除臭剂、消毒剂。</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rPr>
                    <w:t>112</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lang w:val="pt-BR"/>
                    </w:rPr>
                  </w:pPr>
                  <w:r>
                    <w:rPr>
                      <w:szCs w:val="21"/>
                    </w:rPr>
                    <w:t>三氯乙酸</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2</w:t>
                  </w:r>
                  <w:r>
                    <w:rPr>
                      <w:color w:val="000000"/>
                      <w:szCs w:val="21"/>
                      <w:lang w:val="pt-BR"/>
                    </w:rPr>
                    <w:t>HCl</w:t>
                  </w:r>
                  <w:r>
                    <w:rPr>
                      <w:color w:val="000000"/>
                      <w:szCs w:val="21"/>
                      <w:vertAlign w:val="subscript"/>
                      <w:lang w:val="pt-BR"/>
                    </w:rPr>
                    <w:t>3</w:t>
                  </w:r>
                  <w:r>
                    <w:rPr>
                      <w:color w:val="000000"/>
                      <w:szCs w:val="21"/>
                      <w:lang w:val="pt-BR"/>
                    </w:rPr>
                    <w:t>O</w:t>
                  </w:r>
                  <w:r>
                    <w:rPr>
                      <w:color w:val="000000"/>
                      <w:szCs w:val="21"/>
                      <w:vertAlign w:val="sub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三氯乙酸，又名三氯醋酸，是一种有机化合物，化学式为C</w:t>
                  </w:r>
                  <w:r>
                    <w:rPr>
                      <w:color w:val="000000"/>
                      <w:szCs w:val="21"/>
                      <w:vertAlign w:val="subscript"/>
                      <w:lang w:val="pt-BR"/>
                    </w:rPr>
                    <w:t>2</w:t>
                  </w:r>
                  <w:r>
                    <w:rPr>
                      <w:color w:val="000000"/>
                      <w:szCs w:val="21"/>
                      <w:lang w:val="pt-BR"/>
                    </w:rPr>
                    <w:t>HCl</w:t>
                  </w:r>
                  <w:r>
                    <w:rPr>
                      <w:color w:val="000000"/>
                      <w:szCs w:val="21"/>
                      <w:vertAlign w:val="subscript"/>
                      <w:lang w:val="pt-BR"/>
                    </w:rPr>
                    <w:t>3</w:t>
                  </w:r>
                  <w:r>
                    <w:rPr>
                      <w:color w:val="000000"/>
                      <w:szCs w:val="21"/>
                      <w:lang w:val="pt-BR"/>
                    </w:rPr>
                    <w:t>O</w:t>
                  </w:r>
                  <w:r>
                    <w:rPr>
                      <w:color w:val="000000"/>
                      <w:szCs w:val="21"/>
                      <w:vertAlign w:val="subscript"/>
                      <w:lang w:val="pt-BR"/>
                    </w:rPr>
                    <w:t>2</w:t>
                  </w:r>
                  <w:r>
                    <w:rPr>
                      <w:color w:val="000000"/>
                      <w:szCs w:val="21"/>
                      <w:lang w:val="pt-BR"/>
                    </w:rPr>
                    <w:t>，分子量：163.387；密度：1.62g/cm</w:t>
                  </w:r>
                  <w:r>
                    <w:rPr>
                      <w:color w:val="000000"/>
                      <w:szCs w:val="21"/>
                      <w:vertAlign w:val="superscript"/>
                      <w:lang w:val="pt-BR"/>
                    </w:rPr>
                    <w:t>3</w:t>
                  </w:r>
                  <w:r>
                    <w:rPr>
                      <w:color w:val="000000"/>
                      <w:szCs w:val="21"/>
                      <w:lang w:val="pt-BR"/>
                    </w:rPr>
                    <w:t>；熔点：54-58℃；沸点：196℃；外观：无色晶体；溶解性：溶于水、乙醇、乙醚，微溶于四氯化碳有刺激性气味，易潮解，溶于水、乙醇、乙醚。主要用于有机合成和制备医药、也可用作化学试剂、杀虫剂。</w:t>
                  </w:r>
                  <w:r>
                    <w:rPr>
                      <w:color w:val="333333"/>
                      <w:szCs w:val="21"/>
                      <w:shd w:val="clear" w:color="auto" w:fill="FFFFFF"/>
                    </w:rPr>
                    <w:t>世界卫生组织国际癌症研究机构公布的致癌物清单，三氯乙酸在2B类致癌物清单中。</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113</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lang w:val="pt-BR"/>
                    </w:rPr>
                  </w:pPr>
                  <w:r>
                    <w:rPr>
                      <w:szCs w:val="21"/>
                    </w:rPr>
                    <w:t>对硝基苯酚</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6</w:t>
                  </w:r>
                  <w:r>
                    <w:rPr>
                      <w:color w:val="000000"/>
                      <w:szCs w:val="21"/>
                      <w:lang w:val="pt-BR"/>
                    </w:rPr>
                    <w:t>H</w:t>
                  </w:r>
                  <w:r>
                    <w:rPr>
                      <w:color w:val="000000"/>
                      <w:szCs w:val="21"/>
                      <w:vertAlign w:val="subscript"/>
                      <w:lang w:val="pt-BR"/>
                    </w:rPr>
                    <w:t>5</w:t>
                  </w:r>
                  <w:r>
                    <w:rPr>
                      <w:color w:val="000000"/>
                      <w:szCs w:val="21"/>
                      <w:lang w:val="pt-BR"/>
                    </w:rPr>
                    <w:t>NO</w:t>
                  </w:r>
                  <w:r>
                    <w:rPr>
                      <w:color w:val="000000"/>
                      <w:szCs w:val="21"/>
                      <w:vertAlign w:val="subscript"/>
                      <w:lang w:val="pt-BR"/>
                    </w:rPr>
                    <w:t>3</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对硝基酚，又名4-硝基苯酚，是一种有机化合物，化学式为C</w:t>
                  </w:r>
                  <w:r>
                    <w:rPr>
                      <w:color w:val="000000"/>
                      <w:szCs w:val="21"/>
                      <w:vertAlign w:val="subscript"/>
                      <w:lang w:val="pt-BR"/>
                    </w:rPr>
                    <w:t>6</w:t>
                  </w:r>
                  <w:r>
                    <w:rPr>
                      <w:color w:val="000000"/>
                      <w:szCs w:val="21"/>
                      <w:lang w:val="pt-BR"/>
                    </w:rPr>
                    <w:t>H</w:t>
                  </w:r>
                  <w:r>
                    <w:rPr>
                      <w:color w:val="000000"/>
                      <w:szCs w:val="21"/>
                      <w:vertAlign w:val="subscript"/>
                      <w:lang w:val="pt-BR"/>
                    </w:rPr>
                    <w:t>5</w:t>
                  </w:r>
                  <w:r>
                    <w:rPr>
                      <w:color w:val="000000"/>
                      <w:szCs w:val="21"/>
                      <w:lang w:val="pt-BR"/>
                    </w:rPr>
                    <w:t>NO</w:t>
                  </w:r>
                  <w:r>
                    <w:rPr>
                      <w:color w:val="000000"/>
                      <w:szCs w:val="21"/>
                      <w:vertAlign w:val="subscript"/>
                      <w:lang w:val="pt-BR"/>
                    </w:rPr>
                    <w:t>3</w:t>
                  </w:r>
                  <w:r>
                    <w:rPr>
                      <w:color w:val="000000"/>
                      <w:szCs w:val="21"/>
                      <w:lang w:val="pt-BR"/>
                    </w:rPr>
                    <w:t>，分子量：139.110；密度：1.27g/cm</w:t>
                  </w:r>
                  <w:r>
                    <w:rPr>
                      <w:color w:val="000000"/>
                      <w:szCs w:val="21"/>
                      <w:vertAlign w:val="superscript"/>
                      <w:lang w:val="pt-BR"/>
                    </w:rPr>
                    <w:t>3</w:t>
                  </w:r>
                  <w:r>
                    <w:rPr>
                      <w:color w:val="000000"/>
                      <w:szCs w:val="21"/>
                      <w:lang w:val="pt-BR"/>
                    </w:rPr>
                    <w:t>；熔点：112℃；沸点：279℃；闪点：169℃；为无色至淡黄色结晶性粉末，溶于热水、乙醇、乙醚、氯仿，主要用作农药、医药、染料等精细化学品的中间体。外观：无色至淡黄色结晶性粉末；溶解性：溶于热水、乙醇、乙醚、氯仿，吸入、与皮肤接触和吞食是有害的。</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114</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lang w:val="pt-BR"/>
                    </w:rPr>
                  </w:pPr>
                  <w:r>
                    <w:rPr>
                      <w:szCs w:val="21"/>
                    </w:rPr>
                    <w:t>乙二胺</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2</w:t>
                  </w:r>
                  <w:r>
                    <w:rPr>
                      <w:color w:val="000000"/>
                      <w:szCs w:val="21"/>
                      <w:lang w:val="pt-BR"/>
                    </w:rPr>
                    <w:t>H</w:t>
                  </w:r>
                  <w:r>
                    <w:rPr>
                      <w:color w:val="000000"/>
                      <w:szCs w:val="21"/>
                      <w:vertAlign w:val="subscript"/>
                      <w:lang w:val="pt-BR"/>
                    </w:rPr>
                    <w:t>8</w:t>
                  </w:r>
                  <w:r>
                    <w:rPr>
                      <w:color w:val="000000"/>
                      <w:szCs w:val="21"/>
                      <w:lang w:val="pt-BR"/>
                    </w:rPr>
                    <w:t>N</w:t>
                  </w:r>
                  <w:r>
                    <w:rPr>
                      <w:color w:val="000000"/>
                      <w:szCs w:val="21"/>
                      <w:vertAlign w:val="sub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乙二胺（Ethylenediamine），简称EDA，化学式为C</w:t>
                  </w:r>
                  <w:r>
                    <w:rPr>
                      <w:color w:val="000000"/>
                      <w:szCs w:val="21"/>
                      <w:vertAlign w:val="subscript"/>
                      <w:lang w:val="pt-BR"/>
                    </w:rPr>
                    <w:t>2</w:t>
                  </w:r>
                  <w:r>
                    <w:rPr>
                      <w:color w:val="000000"/>
                      <w:szCs w:val="21"/>
                      <w:lang w:val="pt-BR"/>
                    </w:rPr>
                    <w:t>H</w:t>
                  </w:r>
                  <w:r>
                    <w:rPr>
                      <w:color w:val="000000"/>
                      <w:szCs w:val="21"/>
                      <w:vertAlign w:val="subscript"/>
                      <w:lang w:val="pt-BR"/>
                    </w:rPr>
                    <w:t>8</w:t>
                  </w:r>
                  <w:r>
                    <w:rPr>
                      <w:color w:val="000000"/>
                      <w:szCs w:val="21"/>
                      <w:lang w:val="pt-BR"/>
                    </w:rPr>
                    <w:t>N</w:t>
                  </w:r>
                  <w:r>
                    <w:rPr>
                      <w:color w:val="000000"/>
                      <w:szCs w:val="21"/>
                      <w:vertAlign w:val="subscript"/>
                      <w:lang w:val="pt-BR"/>
                    </w:rPr>
                    <w:t>2</w:t>
                  </w:r>
                  <w:r>
                    <w:rPr>
                      <w:color w:val="000000"/>
                      <w:szCs w:val="21"/>
                      <w:lang w:val="pt-BR"/>
                    </w:rPr>
                    <w:t>，分子量：60.10；是一种典型的脂肪二胺，为无色或微黄色油状或水样透明液体，在空气中产生烟雾，有类似氨的气味，有吸湿性。分子量60.10，密度：0.899g/cm</w:t>
                  </w:r>
                  <w:r>
                    <w:rPr>
                      <w:color w:val="000000"/>
                      <w:szCs w:val="21"/>
                      <w:vertAlign w:val="superscript"/>
                      <w:lang w:val="pt-BR"/>
                    </w:rPr>
                    <w:t>3</w:t>
                  </w:r>
                  <w:r>
                    <w:rPr>
                      <w:color w:val="000000"/>
                      <w:szCs w:val="21"/>
                      <w:lang w:val="pt-BR"/>
                    </w:rPr>
                    <w:t>；熔点8.5℃，自燃点385℃。属于碱性物质，沸点：116-117.3℃；易溶于水、乙醇，微溶于乙醚，除非绝对干燥，否则不溶于苯，可与水、正丁醇、甲苯形成共沸混合物。遇热、明火、氧化剂易燃，燃烧危险性中等。可高压或过滤灭菌。乙二胺可经消化道、呼吸道和皮肤吸收，蒸气对皮肤黏膜、鼻黏膜有强刺激作用，液体有腐蚀作用，并有致敏作用。</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115</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lang w:val="pt-BR"/>
                    </w:rPr>
                  </w:pPr>
                  <w:r>
                    <w:rPr>
                      <w:szCs w:val="21"/>
                    </w:rPr>
                    <w:t>铬天青S</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23</w:t>
                  </w:r>
                  <w:r>
                    <w:rPr>
                      <w:color w:val="000000"/>
                      <w:szCs w:val="21"/>
                      <w:lang w:val="pt-BR"/>
                    </w:rPr>
                    <w:t>H</w:t>
                  </w:r>
                  <w:r>
                    <w:rPr>
                      <w:color w:val="000000"/>
                      <w:szCs w:val="21"/>
                      <w:vertAlign w:val="subscript"/>
                      <w:lang w:val="pt-BR"/>
                    </w:rPr>
                    <w:t>13</w:t>
                  </w:r>
                  <w:r>
                    <w:rPr>
                      <w:color w:val="000000"/>
                      <w:szCs w:val="21"/>
                      <w:lang w:val="pt-BR"/>
                    </w:rPr>
                    <w:t>C</w:t>
                  </w:r>
                  <w:r>
                    <w:rPr>
                      <w:color w:val="000000"/>
                      <w:szCs w:val="21"/>
                      <w:vertAlign w:val="subscript"/>
                      <w:lang w:val="pt-BR"/>
                    </w:rPr>
                    <w:t>l2</w:t>
                  </w:r>
                  <w:r>
                    <w:rPr>
                      <w:color w:val="000000"/>
                      <w:szCs w:val="21"/>
                      <w:lang w:val="pt-BR"/>
                    </w:rPr>
                    <w:t>Na</w:t>
                  </w:r>
                  <w:r>
                    <w:rPr>
                      <w:color w:val="000000"/>
                      <w:szCs w:val="21"/>
                      <w:vertAlign w:val="subscript"/>
                      <w:lang w:val="pt-BR"/>
                    </w:rPr>
                    <w:t>3</w:t>
                  </w:r>
                  <w:r>
                    <w:rPr>
                      <w:color w:val="000000"/>
                      <w:szCs w:val="21"/>
                      <w:lang w:val="pt-BR"/>
                    </w:rPr>
                    <w:t>O</w:t>
                  </w:r>
                  <w:r>
                    <w:rPr>
                      <w:color w:val="000000"/>
                      <w:szCs w:val="21"/>
                      <w:vertAlign w:val="subscript"/>
                      <w:lang w:val="pt-BR"/>
                    </w:rPr>
                    <w:t>9</w:t>
                  </w:r>
                  <w:r>
                    <w:rPr>
                      <w:color w:val="000000"/>
                      <w:szCs w:val="21"/>
                      <w:lang w:val="pt-BR"/>
                    </w:rPr>
                    <w:t>S</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分子式为C</w:t>
                  </w:r>
                  <w:r>
                    <w:rPr>
                      <w:color w:val="000000"/>
                      <w:szCs w:val="21"/>
                      <w:vertAlign w:val="subscript"/>
                      <w:lang w:val="pt-BR"/>
                    </w:rPr>
                    <w:t>23</w:t>
                  </w:r>
                  <w:r>
                    <w:rPr>
                      <w:color w:val="000000"/>
                      <w:szCs w:val="21"/>
                      <w:lang w:val="pt-BR"/>
                    </w:rPr>
                    <w:t>H</w:t>
                  </w:r>
                  <w:r>
                    <w:rPr>
                      <w:color w:val="000000"/>
                      <w:szCs w:val="21"/>
                      <w:vertAlign w:val="subscript"/>
                      <w:lang w:val="pt-BR"/>
                    </w:rPr>
                    <w:t>13</w:t>
                  </w:r>
                  <w:r>
                    <w:rPr>
                      <w:color w:val="000000"/>
                      <w:szCs w:val="21"/>
                      <w:lang w:val="pt-BR"/>
                    </w:rPr>
                    <w:t>C</w:t>
                  </w:r>
                  <w:r>
                    <w:rPr>
                      <w:color w:val="000000"/>
                      <w:szCs w:val="21"/>
                      <w:vertAlign w:val="subscript"/>
                      <w:lang w:val="pt-BR"/>
                    </w:rPr>
                    <w:t>l2</w:t>
                  </w:r>
                  <w:r>
                    <w:rPr>
                      <w:color w:val="000000"/>
                      <w:szCs w:val="21"/>
                      <w:lang w:val="pt-BR"/>
                    </w:rPr>
                    <w:t>Na</w:t>
                  </w:r>
                  <w:r>
                    <w:rPr>
                      <w:color w:val="000000"/>
                      <w:szCs w:val="21"/>
                      <w:vertAlign w:val="subscript"/>
                      <w:lang w:val="pt-BR"/>
                    </w:rPr>
                    <w:t>3</w:t>
                  </w:r>
                  <w:r>
                    <w:rPr>
                      <w:color w:val="000000"/>
                      <w:szCs w:val="21"/>
                      <w:lang w:val="pt-BR"/>
                    </w:rPr>
                    <w:t>O</w:t>
                  </w:r>
                  <w:r>
                    <w:rPr>
                      <w:color w:val="000000"/>
                      <w:szCs w:val="21"/>
                      <w:vertAlign w:val="subscript"/>
                      <w:lang w:val="pt-BR"/>
                    </w:rPr>
                    <w:t>9</w:t>
                  </w:r>
                  <w:r>
                    <w:rPr>
                      <w:color w:val="000000"/>
                      <w:szCs w:val="21"/>
                      <w:lang w:val="pt-BR"/>
                    </w:rPr>
                    <w:t>S，铬媒染天青S；阿贝龙；铝铍试剂，分子量：605.28，红棕色粉末，溶于水为棕黄色溶液，微溶于乙醇呈红棕色；以酸性媒介染料用发烟酸磺化，除杂纯化而成。指示剂，用以螯合滴定铝、钙、铁、镍和钍；分光光度测定铝、铍、铈、钴、铬、铜、铁、镓、铪、铟、镧、锰、钼、镍、钯、铑、钪、钍、钛、钒、钇、锌、锆等金属离子和氟化物。</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116</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lang w:val="pt-BR"/>
                    </w:rPr>
                  </w:pPr>
                  <w:r>
                    <w:rPr>
                      <w:szCs w:val="21"/>
                    </w:rPr>
                    <w:t>钨酸钠</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Na</w:t>
                  </w:r>
                  <w:r>
                    <w:rPr>
                      <w:color w:val="000000"/>
                      <w:szCs w:val="21"/>
                      <w:vertAlign w:val="subscript"/>
                      <w:lang w:val="pt-BR"/>
                    </w:rPr>
                    <w:t>2</w:t>
                  </w:r>
                  <w:r>
                    <w:rPr>
                      <w:color w:val="000000"/>
                      <w:szCs w:val="21"/>
                      <w:lang w:val="pt-BR"/>
                    </w:rPr>
                    <w:t>WO</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钨酸钠是一种无机物，化学式为Na</w:t>
                  </w:r>
                  <w:r>
                    <w:rPr>
                      <w:color w:val="000000"/>
                      <w:szCs w:val="21"/>
                      <w:vertAlign w:val="subscript"/>
                      <w:lang w:val="pt-BR"/>
                    </w:rPr>
                    <w:t>2</w:t>
                  </w:r>
                  <w:r>
                    <w:rPr>
                      <w:color w:val="000000"/>
                      <w:szCs w:val="21"/>
                      <w:lang w:val="pt-BR"/>
                    </w:rPr>
                    <w:t>WO</w:t>
                  </w:r>
                  <w:r>
                    <w:rPr>
                      <w:color w:val="000000"/>
                      <w:szCs w:val="21"/>
                      <w:vertAlign w:val="subscript"/>
                      <w:lang w:val="pt-BR"/>
                    </w:rPr>
                    <w:t>4</w:t>
                  </w:r>
                  <w:r>
                    <w:rPr>
                      <w:color w:val="000000"/>
                      <w:szCs w:val="21"/>
                      <w:lang w:val="pt-BR"/>
                    </w:rPr>
                    <w:t>，分子量：293.83；为无色结晶或白色结晶性粉末，在干燥空气中风化，100℃时失去结晶水，溶于水，不溶于乙醇，相对密度3.23～3.25，熔点698℃（无水品）；密度：3.25g/cm</w:t>
                  </w:r>
                  <w:r>
                    <w:rPr>
                      <w:color w:val="000000"/>
                      <w:szCs w:val="21"/>
                      <w:vertAlign w:val="superscript"/>
                      <w:lang w:val="pt-BR"/>
                    </w:rPr>
                    <w:t>3</w:t>
                  </w:r>
                  <w:r>
                    <w:rPr>
                      <w:color w:val="000000"/>
                      <w:szCs w:val="21"/>
                      <w:lang w:val="pt-BR"/>
                    </w:rPr>
                    <w:t>；应用：用于制造金属钨、钨酸、钨酸盐等，危险性描述：避免接触皮肤和眼睛。保持容器密闭。避免食入和吸入。用于分析化学实验中做指示剂，</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117</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lang w:val="pt-BR"/>
                    </w:rPr>
                  </w:pPr>
                  <w:r>
                    <w:rPr>
                      <w:szCs w:val="21"/>
                      <w:lang w:val="pt-BR"/>
                    </w:rPr>
                    <w:t>碘化汞</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HgI</w:t>
                  </w:r>
                  <w:r>
                    <w:rPr>
                      <w:color w:val="000000"/>
                      <w:szCs w:val="21"/>
                      <w:vertAlign w:val="sub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是一种无机化合物，化学式为HgI</w:t>
                  </w:r>
                  <w:r>
                    <w:rPr>
                      <w:color w:val="000000"/>
                      <w:szCs w:val="21"/>
                      <w:vertAlign w:val="subscript"/>
                      <w:lang w:val="pt-BR"/>
                    </w:rPr>
                    <w:t>2</w:t>
                  </w:r>
                  <w:r>
                    <w:rPr>
                      <w:color w:val="000000"/>
                      <w:szCs w:val="21"/>
                      <w:lang w:val="pt-BR"/>
                    </w:rPr>
                    <w:t>。分子量：454.399，有两种变体，一种是红色碘化汞，四角晶体，密度6.36g/cm</w:t>
                  </w:r>
                  <w:r>
                    <w:rPr>
                      <w:color w:val="000000"/>
                      <w:szCs w:val="21"/>
                      <w:vertAlign w:val="superscript"/>
                      <w:lang w:val="pt-BR"/>
                    </w:rPr>
                    <w:t>3</w:t>
                  </w:r>
                  <w:r>
                    <w:rPr>
                      <w:color w:val="000000"/>
                      <w:szCs w:val="21"/>
                      <w:lang w:val="pt-BR"/>
                    </w:rPr>
                    <w:t>（25℃）。在127℃转变为黄色，冷却时再变为红色。一种是黄色碘化汞，正交晶体，密度6.094g/cm</w:t>
                  </w:r>
                  <w:r>
                    <w:rPr>
                      <w:color w:val="000000"/>
                      <w:szCs w:val="21"/>
                      <w:vertAlign w:val="superscript"/>
                      <w:lang w:val="pt-BR"/>
                    </w:rPr>
                    <w:t>3</w:t>
                  </w:r>
                  <w:r>
                    <w:rPr>
                      <w:color w:val="000000"/>
                      <w:szCs w:val="21"/>
                      <w:lang w:val="pt-BR"/>
                    </w:rPr>
                    <w:t>（127℃），熔点259℃，沸点354℃，在室温下不稳定，经过几小时后就转变为稳定的红色变体。不溶于水，溶于甲醇、乙醇、乙醚、氯仿、甘油、丙酮、二硫化碳、硫代硫酸钠溶液。用于医药，并用作化学试剂。碘化汞在自然界中以极其罕见的碘汞矿（Coccinite）的形式存在，熔点：259℃；沸点：354℃；外观：黄色或红色结晶性粉末；溶解性：不溶于水，溶于甲醇、乙醇、乙醚、氯仿、甘油、丙酮、二硫化碳。见光分解，长期光照下会变棕色，对蓝光尤其灵敏，500℃分解成Hg和I</w:t>
                  </w:r>
                  <w:r>
                    <w:rPr>
                      <w:color w:val="000000"/>
                      <w:szCs w:val="21"/>
                      <w:vertAlign w:val="subscript"/>
                      <w:lang w:val="pt-BR"/>
                    </w:rPr>
                    <w:t>2</w:t>
                  </w:r>
                  <w:r>
                    <w:rPr>
                      <w:color w:val="000000"/>
                      <w:szCs w:val="21"/>
                      <w:lang w:val="pt-BR"/>
                    </w:rPr>
                    <w:t>。与碘化钾溶液反应可生成碘化汞钾；加热到130℃变成黄色，冷时仍变成红色。吸入、与皮肤接触和吞食有极高毒性，对水生生物有极高毒性，可能在水生环境中造成长期不利影响。</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118</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lang w:val="pt-BR"/>
                    </w:rPr>
                  </w:pPr>
                  <w:r>
                    <w:rPr>
                      <w:szCs w:val="21"/>
                    </w:rPr>
                    <w:t>葡萄糖</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6</w:t>
                  </w:r>
                  <w:r>
                    <w:rPr>
                      <w:color w:val="000000"/>
                      <w:szCs w:val="21"/>
                      <w:lang w:val="pt-BR"/>
                    </w:rPr>
                    <w:t>H</w:t>
                  </w:r>
                  <w:r>
                    <w:rPr>
                      <w:color w:val="000000"/>
                      <w:szCs w:val="21"/>
                      <w:vertAlign w:val="subscript"/>
                      <w:lang w:val="pt-BR"/>
                    </w:rPr>
                    <w:t>12</w:t>
                  </w:r>
                  <w:r>
                    <w:rPr>
                      <w:color w:val="000000"/>
                      <w:szCs w:val="21"/>
                      <w:lang w:val="pt-BR"/>
                    </w:rPr>
                    <w:t>O</w:t>
                  </w:r>
                  <w:r>
                    <w:rPr>
                      <w:color w:val="000000"/>
                      <w:szCs w:val="21"/>
                      <w:vertAlign w:val="subscript"/>
                      <w:lang w:val="pt-BR"/>
                    </w:rPr>
                    <w:t>6</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有机化合物，分子式C</w:t>
                  </w:r>
                  <w:r>
                    <w:rPr>
                      <w:color w:val="000000"/>
                      <w:szCs w:val="21"/>
                      <w:vertAlign w:val="subscript"/>
                      <w:lang w:val="pt-BR"/>
                    </w:rPr>
                    <w:t>6</w:t>
                  </w:r>
                  <w:r>
                    <w:rPr>
                      <w:color w:val="000000"/>
                      <w:szCs w:val="21"/>
                      <w:lang w:val="pt-BR"/>
                    </w:rPr>
                    <w:t>H</w:t>
                  </w:r>
                  <w:r>
                    <w:rPr>
                      <w:color w:val="000000"/>
                      <w:szCs w:val="21"/>
                      <w:vertAlign w:val="subscript"/>
                      <w:lang w:val="pt-BR"/>
                    </w:rPr>
                    <w:t>12</w:t>
                  </w:r>
                  <w:r>
                    <w:rPr>
                      <w:color w:val="000000"/>
                      <w:szCs w:val="21"/>
                      <w:lang w:val="pt-BR"/>
                    </w:rPr>
                    <w:t>O</w:t>
                  </w:r>
                  <w:r>
                    <w:rPr>
                      <w:color w:val="000000"/>
                      <w:szCs w:val="21"/>
                      <w:vertAlign w:val="subscript"/>
                      <w:lang w:val="pt-BR"/>
                    </w:rPr>
                    <w:t>6</w:t>
                  </w:r>
                  <w:r>
                    <w:rPr>
                      <w:color w:val="000000"/>
                      <w:szCs w:val="21"/>
                      <w:lang w:val="pt-BR"/>
                    </w:rPr>
                    <w:t>。分子量：180.16；是自然界分布最广且最为重要的一种单糖，它是一种多羟基醛。纯净的葡萄糖为无色晶体，有甜味但甜味不如蔗糖，易溶于水，微溶于乙醇，不溶于乙醚。天然葡萄糖水溶液旋光向右，故属于“右旋糖”。</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119</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lang w:val="pt-BR"/>
                    </w:rPr>
                  </w:pPr>
                  <w:r>
                    <w:rPr>
                      <w:szCs w:val="21"/>
                    </w:rPr>
                    <w:t>氯化钠</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NaCl</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是一种无机离子化合物，化学式NaCl，无色立方结晶或细小结晶粉末，味咸。外观是白色晶体状，其来源主要是海水，是食盐的主要成分。易溶于水、甘油，微溶于乙醇（酒精）、液氨；不溶于浓盐酸。不纯的氯化钠在空气中有潮解性。氯化钠是白色无臭结晶粉末。熔点801℃，沸点1465℃，微溶于乙醇、丙醇、丁烷，在和丁烷互溶后变为等离子体，易溶于水，水中溶解度为35.9g（室温）。无臭味咸，易潮解。易溶于水，溶于甘油，几乎不溶于乙醚。密度：2.165g/cm³(（25℃）)；分子量：58.4428；熔点：801℃；沸点：1465℃；</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120</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lang w:val="pt-BR"/>
                    </w:rPr>
                  </w:pPr>
                  <w:r>
                    <w:rPr>
                      <w:szCs w:val="21"/>
                    </w:rPr>
                    <w:t>氯化钾</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KCl</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一种无机化合物，化学式为KCl，分子量：74.55；外观与性状：白色晶体，味极咸，无臭无毒性。易溶于水、醚、甘油及碱类，微溶于乙醇；外观如同食盐，无臭、味咸。常用于低钠盐、矿物质水的添加剂。水溶解性：342g/L(20ºC)</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121</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lang w:val="pt-BR"/>
                    </w:rPr>
                  </w:pPr>
                  <w:r>
                    <w:rPr>
                      <w:color w:val="000000"/>
                      <w:szCs w:val="21"/>
                      <w:lang w:val="pt-BR"/>
                    </w:rPr>
                    <w:t>磷酸氢二钠</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Na</w:t>
                  </w:r>
                  <w:r>
                    <w:rPr>
                      <w:color w:val="000000"/>
                      <w:szCs w:val="21"/>
                      <w:vertAlign w:val="subscript"/>
                      <w:lang w:val="pt-BR"/>
                    </w:rPr>
                    <w:t>2</w:t>
                  </w:r>
                  <w:r>
                    <w:rPr>
                      <w:color w:val="000000"/>
                      <w:szCs w:val="21"/>
                      <w:lang w:val="pt-BR"/>
                    </w:rPr>
                    <w:t>HPO</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磷酸氢二钠，又名磷酸一氢钠，化学式为Na</w:t>
                  </w:r>
                  <w:r>
                    <w:rPr>
                      <w:color w:val="000000"/>
                      <w:szCs w:val="21"/>
                      <w:vertAlign w:val="subscript"/>
                      <w:lang w:val="pt-BR"/>
                    </w:rPr>
                    <w:t>2</w:t>
                  </w:r>
                  <w:r>
                    <w:rPr>
                      <w:color w:val="000000"/>
                      <w:szCs w:val="21"/>
                      <w:lang w:val="pt-BR"/>
                    </w:rPr>
                    <w:t>HPO</w:t>
                  </w:r>
                  <w:r>
                    <w:rPr>
                      <w:color w:val="000000"/>
                      <w:szCs w:val="21"/>
                      <w:vertAlign w:val="subscript"/>
                      <w:lang w:val="pt-BR"/>
                    </w:rPr>
                    <w:t>4</w:t>
                  </w:r>
                  <w:r>
                    <w:rPr>
                      <w:color w:val="000000"/>
                      <w:szCs w:val="21"/>
                      <w:lang w:val="pt-BR"/>
                    </w:rPr>
                    <w:t>，分子量：141.96；是磷酸生成的钠盐酸式盐之一。它为易潮解的白色粉末，可溶于水，水溶液呈弱碱性。外观性状：白色粉末；熔点：243-245℃；密度：1.064g/cm</w:t>
                  </w:r>
                  <w:r>
                    <w:rPr>
                      <w:color w:val="000000"/>
                      <w:szCs w:val="21"/>
                      <w:vertAlign w:val="superscript"/>
                      <w:lang w:val="pt-BR"/>
                    </w:rPr>
                    <w:t>3</w:t>
                  </w:r>
                  <w:r>
                    <w:rPr>
                      <w:color w:val="000000"/>
                      <w:szCs w:val="21"/>
                      <w:lang w:val="pt-BR"/>
                    </w:rPr>
                    <w:t>；溶解性：易溶于水，水溶液呈碱性；不溶于醇。</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122</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lang w:val="pt-BR"/>
                    </w:rPr>
                  </w:pPr>
                  <w:r>
                    <w:rPr>
                      <w:color w:val="000000"/>
                      <w:szCs w:val="21"/>
                      <w:lang w:val="pt-BR"/>
                    </w:rPr>
                    <w:t>磷酸二氢钾</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KH</w:t>
                  </w:r>
                  <w:r>
                    <w:rPr>
                      <w:color w:val="000000"/>
                      <w:szCs w:val="21"/>
                      <w:vertAlign w:val="subscript"/>
                      <w:lang w:val="pt-BR"/>
                    </w:rPr>
                    <w:t>2</w:t>
                  </w:r>
                  <w:r>
                    <w:rPr>
                      <w:color w:val="000000"/>
                      <w:szCs w:val="21"/>
                      <w:lang w:val="pt-BR"/>
                    </w:rPr>
                    <w:t>PO</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磷酸二氢钾是一种化学品，化学式为KH</w:t>
                  </w:r>
                  <w:r>
                    <w:rPr>
                      <w:color w:val="000000"/>
                      <w:szCs w:val="21"/>
                      <w:vertAlign w:val="subscript"/>
                      <w:lang w:val="pt-BR"/>
                    </w:rPr>
                    <w:t>2</w:t>
                  </w:r>
                  <w:r>
                    <w:rPr>
                      <w:color w:val="000000"/>
                      <w:szCs w:val="21"/>
                      <w:lang w:val="pt-BR"/>
                    </w:rPr>
                    <w:t>PO</w:t>
                  </w:r>
                  <w:r>
                    <w:rPr>
                      <w:color w:val="000000"/>
                      <w:szCs w:val="21"/>
                      <w:vertAlign w:val="subscript"/>
                      <w:lang w:val="pt-BR"/>
                    </w:rPr>
                    <w:t>4</w:t>
                  </w:r>
                  <w:r>
                    <w:rPr>
                      <w:color w:val="000000"/>
                      <w:szCs w:val="21"/>
                      <w:lang w:val="pt-BR"/>
                    </w:rPr>
                    <w:t>。分子量136.09；有潮解性。加热至400℃时熔化而成透明的液体，冷却后固化为不透明的玻璃状偏磷酸钾。在空气中稳定，溶于水，不溶于乙醇。外观与性状：白色粉末；密度：2.238g/cm</w:t>
                  </w:r>
                  <w:r>
                    <w:rPr>
                      <w:color w:val="000000"/>
                      <w:szCs w:val="21"/>
                      <w:vertAlign w:val="superscript"/>
                      <w:lang w:val="pt-BR"/>
                    </w:rPr>
                    <w:t>3</w:t>
                  </w:r>
                  <w:r>
                    <w:rPr>
                      <w:color w:val="000000"/>
                      <w:szCs w:val="21"/>
                      <w:lang w:val="pt-BR"/>
                    </w:rPr>
                    <w:t>；熔点：257.6ºC；对水是稍微危害；有潮解性。加热至400℃时熔化而成透明的液体，冷却后固化为不透明的玻璃状偏磷酸钾。在空气中稳定，溶于水，不溶于乙醇。配制缓冲液，测定砷、锑、磷、铝和铁，配制磷标准液，配制培养基。无色结晶或白色颗粒状粉末。</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123</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szCs w:val="21"/>
                      <w:lang w:val="pt-BR"/>
                    </w:rPr>
                  </w:pPr>
                  <w:r>
                    <w:rPr>
                      <w:color w:val="000000"/>
                      <w:szCs w:val="21"/>
                      <w:lang w:val="pt-BR"/>
                    </w:rPr>
                    <w:t>无水碳酸钠</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Na</w:t>
                  </w:r>
                  <w:r>
                    <w:rPr>
                      <w:color w:val="000000"/>
                      <w:szCs w:val="21"/>
                      <w:vertAlign w:val="subscript"/>
                      <w:lang w:val="pt-BR"/>
                    </w:rPr>
                    <w:t>2</w:t>
                  </w:r>
                  <w:r>
                    <w:rPr>
                      <w:color w:val="000000"/>
                      <w:szCs w:val="21"/>
                      <w:lang w:val="pt-BR"/>
                    </w:rPr>
                    <w:t>CO</w:t>
                  </w:r>
                  <w:r>
                    <w:rPr>
                      <w:color w:val="000000"/>
                      <w:szCs w:val="21"/>
                      <w:vertAlign w:val="subscript"/>
                      <w:lang w:val="pt-BR"/>
                    </w:rPr>
                    <w:t>3</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碳酸钠(SodiumCarbonate)，是一种无机化合物，化学式为Na</w:t>
                  </w:r>
                  <w:r>
                    <w:rPr>
                      <w:color w:val="000000"/>
                      <w:szCs w:val="21"/>
                      <w:vertAlign w:val="subscript"/>
                      <w:lang w:val="pt-BR"/>
                    </w:rPr>
                    <w:t>2</w:t>
                  </w:r>
                  <w:r>
                    <w:rPr>
                      <w:color w:val="000000"/>
                      <w:szCs w:val="21"/>
                      <w:lang w:val="pt-BR"/>
                    </w:rPr>
                    <w:t>CO</w:t>
                  </w:r>
                  <w:r>
                    <w:rPr>
                      <w:color w:val="000000"/>
                      <w:szCs w:val="21"/>
                      <w:vertAlign w:val="subscript"/>
                      <w:lang w:val="pt-BR"/>
                    </w:rPr>
                    <w:t>3</w:t>
                  </w:r>
                  <w:r>
                    <w:rPr>
                      <w:color w:val="000000"/>
                      <w:szCs w:val="21"/>
                      <w:lang w:val="pt-BR"/>
                    </w:rPr>
                    <w:t>，分子量105.99，又叫纯碱，但分类属于盐，不属于碱。国际贸易中又名苏打或碱灰。碳酸钠常温下为白色无气味的粉末或颗粒。有吸水性，露置空气中逐渐吸收1mol/L水分（约=15%）。其水合物有Na</w:t>
                  </w:r>
                  <w:r>
                    <w:rPr>
                      <w:color w:val="000000"/>
                      <w:szCs w:val="21"/>
                      <w:vertAlign w:val="subscript"/>
                      <w:lang w:val="pt-BR"/>
                    </w:rPr>
                    <w:t>2</w:t>
                  </w:r>
                  <w:r>
                    <w:rPr>
                      <w:color w:val="000000"/>
                      <w:szCs w:val="21"/>
                      <w:lang w:val="pt-BR"/>
                    </w:rPr>
                    <w:t>CO</w:t>
                  </w:r>
                  <w:r>
                    <w:rPr>
                      <w:color w:val="000000"/>
                      <w:szCs w:val="21"/>
                      <w:vertAlign w:val="subscript"/>
                      <w:lang w:val="pt-BR"/>
                    </w:rPr>
                    <w:t>3</w:t>
                  </w:r>
                  <w:r>
                    <w:rPr>
                      <w:color w:val="000000"/>
                      <w:szCs w:val="21"/>
                      <w:lang w:val="pt-BR"/>
                    </w:rPr>
                    <w:t>·H</w:t>
                  </w:r>
                  <w:r>
                    <w:rPr>
                      <w:color w:val="000000"/>
                      <w:szCs w:val="21"/>
                      <w:vertAlign w:val="subscript"/>
                      <w:lang w:val="pt-BR"/>
                    </w:rPr>
                    <w:t>2</w:t>
                  </w:r>
                  <w:r>
                    <w:rPr>
                      <w:color w:val="000000"/>
                      <w:szCs w:val="21"/>
                      <w:lang w:val="pt-BR"/>
                    </w:rPr>
                    <w:t>O，Na</w:t>
                  </w:r>
                  <w:r>
                    <w:rPr>
                      <w:color w:val="000000"/>
                      <w:szCs w:val="21"/>
                      <w:vertAlign w:val="subscript"/>
                      <w:lang w:val="pt-BR"/>
                    </w:rPr>
                    <w:t>2</w:t>
                  </w:r>
                  <w:r>
                    <w:rPr>
                      <w:color w:val="000000"/>
                      <w:szCs w:val="21"/>
                      <w:lang w:val="pt-BR"/>
                    </w:rPr>
                    <w:t>CO</w:t>
                  </w:r>
                  <w:r>
                    <w:rPr>
                      <w:color w:val="000000"/>
                      <w:szCs w:val="21"/>
                      <w:vertAlign w:val="subscript"/>
                      <w:lang w:val="pt-BR"/>
                    </w:rPr>
                    <w:t>3</w:t>
                  </w:r>
                  <w:r>
                    <w:rPr>
                      <w:color w:val="000000"/>
                      <w:szCs w:val="21"/>
                      <w:lang w:val="pt-BR"/>
                    </w:rPr>
                    <w:t>·7H</w:t>
                  </w:r>
                  <w:r>
                    <w:rPr>
                      <w:color w:val="000000"/>
                      <w:szCs w:val="21"/>
                      <w:vertAlign w:val="subscript"/>
                      <w:lang w:val="pt-BR"/>
                    </w:rPr>
                    <w:t>2</w:t>
                  </w:r>
                  <w:r>
                    <w:rPr>
                      <w:color w:val="000000"/>
                      <w:szCs w:val="21"/>
                      <w:lang w:val="pt-BR"/>
                    </w:rPr>
                    <w:t>O和Na</w:t>
                  </w:r>
                  <w:r>
                    <w:rPr>
                      <w:color w:val="000000"/>
                      <w:szCs w:val="21"/>
                      <w:vertAlign w:val="subscript"/>
                      <w:lang w:val="pt-BR"/>
                    </w:rPr>
                    <w:t>2</w:t>
                  </w:r>
                  <w:r>
                    <w:rPr>
                      <w:color w:val="000000"/>
                      <w:szCs w:val="21"/>
                      <w:lang w:val="pt-BR"/>
                    </w:rPr>
                    <w:t>CO</w:t>
                  </w:r>
                  <w:r>
                    <w:rPr>
                      <w:color w:val="000000"/>
                      <w:szCs w:val="21"/>
                      <w:vertAlign w:val="subscript"/>
                      <w:lang w:val="pt-BR"/>
                    </w:rPr>
                    <w:t>3</w:t>
                  </w:r>
                  <w:r>
                    <w:rPr>
                      <w:color w:val="000000"/>
                      <w:szCs w:val="21"/>
                      <w:lang w:val="pt-BR"/>
                    </w:rPr>
                    <w:t>·10H</w:t>
                  </w:r>
                  <w:r>
                    <w:rPr>
                      <w:color w:val="000000"/>
                      <w:szCs w:val="21"/>
                      <w:vertAlign w:val="subscript"/>
                      <w:lang w:val="pt-BR"/>
                    </w:rPr>
                    <w:t>2</w:t>
                  </w:r>
                  <w:r>
                    <w:rPr>
                      <w:color w:val="000000"/>
                      <w:szCs w:val="21"/>
                      <w:lang w:val="pt-BR"/>
                    </w:rPr>
                    <w:t>O。碳酸钠易溶于水和甘油。20℃时每一百克水能溶解20克碳酸钠，35.4℃时溶解度最大，100克水中可溶解49.7克碳酸钠，微溶于无水乙醇，难溶于丙醇。定量分析中标定酸液的基准。测定铝、硫、铜、铅和锌。检验尿液和全血葡萄糖。分析水泥中二氧化硅的助溶剂。金属金相分析等。</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124</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邻苯二甲酸氢钾</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8</w:t>
                  </w:r>
                  <w:r>
                    <w:rPr>
                      <w:color w:val="000000"/>
                      <w:szCs w:val="21"/>
                      <w:lang w:val="pt-BR"/>
                    </w:rPr>
                    <w:t>H</w:t>
                  </w:r>
                  <w:r>
                    <w:rPr>
                      <w:color w:val="000000"/>
                      <w:szCs w:val="21"/>
                      <w:vertAlign w:val="subscript"/>
                      <w:lang w:val="pt-BR"/>
                    </w:rPr>
                    <w:t>5</w:t>
                  </w:r>
                  <w:r>
                    <w:rPr>
                      <w:color w:val="000000"/>
                      <w:szCs w:val="21"/>
                      <w:lang w:val="pt-BR"/>
                    </w:rPr>
                    <w:t>O</w:t>
                  </w:r>
                  <w:r>
                    <w:rPr>
                      <w:color w:val="000000"/>
                      <w:szCs w:val="21"/>
                      <w:vertAlign w:val="subscript"/>
                      <w:lang w:val="pt-BR"/>
                    </w:rPr>
                    <w:t>4</w:t>
                  </w:r>
                  <w:r>
                    <w:rPr>
                      <w:color w:val="000000"/>
                      <w:szCs w:val="21"/>
                      <w:lang w:val="pt-BR"/>
                    </w:rPr>
                    <w:t>K</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邻苯二甲酸氢钾是一种有机化合物，分子式是C</w:t>
                  </w:r>
                  <w:r>
                    <w:rPr>
                      <w:color w:val="000000"/>
                      <w:szCs w:val="21"/>
                      <w:vertAlign w:val="subscript"/>
                      <w:lang w:val="pt-BR"/>
                    </w:rPr>
                    <w:t>8</w:t>
                  </w:r>
                  <w:r>
                    <w:rPr>
                      <w:color w:val="000000"/>
                      <w:szCs w:val="21"/>
                      <w:lang w:val="pt-BR"/>
                    </w:rPr>
                    <w:t>H</w:t>
                  </w:r>
                  <w:r>
                    <w:rPr>
                      <w:color w:val="000000"/>
                      <w:szCs w:val="21"/>
                      <w:vertAlign w:val="subscript"/>
                      <w:lang w:val="pt-BR"/>
                    </w:rPr>
                    <w:t>5</w:t>
                  </w:r>
                  <w:r>
                    <w:rPr>
                      <w:color w:val="000000"/>
                      <w:szCs w:val="21"/>
                      <w:lang w:val="pt-BR"/>
                    </w:rPr>
                    <w:t>O</w:t>
                  </w:r>
                  <w:r>
                    <w:rPr>
                      <w:color w:val="000000"/>
                      <w:szCs w:val="21"/>
                      <w:vertAlign w:val="subscript"/>
                      <w:lang w:val="pt-BR"/>
                    </w:rPr>
                    <w:t>4</w:t>
                  </w:r>
                  <w:r>
                    <w:rPr>
                      <w:color w:val="000000"/>
                      <w:szCs w:val="21"/>
                      <w:lang w:val="pt-BR"/>
                    </w:rPr>
                    <w:t>K。分子量：204.22；呈白色结晶粉末，在空气中稳定，能溶于水，微溶于醇，用作pH测定的缓冲剂、分析基准物质。熔点：295-300°C；沸点：378.3ºC；密度：1.006g/cm</w:t>
                  </w:r>
                  <w:r>
                    <w:rPr>
                      <w:color w:val="000000"/>
                      <w:szCs w:val="21"/>
                      <w:vertAlign w:val="superscript"/>
                      <w:lang w:val="pt-BR"/>
                    </w:rPr>
                    <w:t>3</w:t>
                  </w:r>
                  <w:r>
                    <w:rPr>
                      <w:color w:val="000000"/>
                      <w:szCs w:val="21"/>
                      <w:lang w:val="pt-BR"/>
                    </w:rPr>
                    <w:t>；闪点：196.7℃；外观：白色结晶性粉末；溶解性：可溶于水、微溶于乙醇。</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125</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重铬酸钾</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K</w:t>
                  </w:r>
                  <w:r>
                    <w:rPr>
                      <w:color w:val="000000"/>
                      <w:szCs w:val="21"/>
                      <w:vertAlign w:val="subscript"/>
                      <w:lang w:val="pt-BR"/>
                    </w:rPr>
                    <w:t>2</w:t>
                  </w:r>
                  <w:r>
                    <w:rPr>
                      <w:color w:val="000000"/>
                      <w:szCs w:val="21"/>
                      <w:lang w:val="pt-BR"/>
                    </w:rPr>
                    <w:t>Cr</w:t>
                  </w:r>
                  <w:r>
                    <w:rPr>
                      <w:color w:val="000000"/>
                      <w:szCs w:val="21"/>
                      <w:vertAlign w:val="subscript"/>
                      <w:lang w:val="pt-BR"/>
                    </w:rPr>
                    <w:t>2</w:t>
                  </w:r>
                  <w:r>
                    <w:rPr>
                      <w:color w:val="000000"/>
                      <w:szCs w:val="21"/>
                      <w:lang w:val="pt-BR"/>
                    </w:rPr>
                    <w:t>O</w:t>
                  </w:r>
                  <w:r>
                    <w:rPr>
                      <w:color w:val="000000"/>
                      <w:szCs w:val="21"/>
                      <w:vertAlign w:val="subscript"/>
                      <w:lang w:val="pt-BR"/>
                    </w:rPr>
                    <w:t>7</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是一种无机化合物，化学式为K</w:t>
                  </w:r>
                  <w:r>
                    <w:rPr>
                      <w:color w:val="000000"/>
                      <w:szCs w:val="21"/>
                      <w:vertAlign w:val="subscript"/>
                      <w:lang w:val="pt-BR"/>
                    </w:rPr>
                    <w:t>2</w:t>
                  </w:r>
                  <w:r>
                    <w:rPr>
                      <w:color w:val="000000"/>
                      <w:szCs w:val="21"/>
                      <w:lang w:val="pt-BR"/>
                    </w:rPr>
                    <w:t>Cr</w:t>
                  </w:r>
                  <w:r>
                    <w:rPr>
                      <w:color w:val="000000"/>
                      <w:szCs w:val="21"/>
                      <w:vertAlign w:val="subscript"/>
                      <w:lang w:val="pt-BR"/>
                    </w:rPr>
                    <w:t>2</w:t>
                  </w:r>
                  <w:r>
                    <w:rPr>
                      <w:color w:val="000000"/>
                      <w:szCs w:val="21"/>
                      <w:lang w:val="pt-BR"/>
                    </w:rPr>
                    <w:t>O</w:t>
                  </w:r>
                  <w:r>
                    <w:rPr>
                      <w:color w:val="000000"/>
                      <w:szCs w:val="21"/>
                      <w:vertAlign w:val="subscript"/>
                      <w:lang w:val="pt-BR"/>
                    </w:rPr>
                    <w:t>7</w:t>
                  </w:r>
                  <w:r>
                    <w:rPr>
                      <w:color w:val="000000"/>
                      <w:szCs w:val="21"/>
                      <w:lang w:val="pt-BR"/>
                    </w:rPr>
                    <w:t>，室温下为橘红色结晶性粉末，溶于水，不溶于乙醇。重铬酸钾是一种有毒且有致癌性的强氧化剂，它被国际癌症研究机构划归为第一类致癌物质，而且是强氧化剂，在实验室和工业中都有很广泛的应用。被列入《易制爆危险化学品名录》；分子量：294.19；密度：2.676g/cm</w:t>
                  </w:r>
                  <w:r>
                    <w:rPr>
                      <w:color w:val="000000"/>
                      <w:szCs w:val="21"/>
                      <w:vertAlign w:val="superscript"/>
                      <w:lang w:val="pt-BR"/>
                    </w:rPr>
                    <w:t>3</w:t>
                  </w:r>
                  <w:r>
                    <w:rPr>
                      <w:color w:val="000000"/>
                      <w:szCs w:val="21"/>
                      <w:lang w:val="pt-BR"/>
                    </w:rPr>
                    <w:t>；熔点：398ºC；沸点：500ºC（分解）；外观：橘红色结晶性粉末；溶解性：溶于水，不溶于乙醇。</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126</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草酸钠</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Na</w:t>
                  </w:r>
                  <w:r>
                    <w:rPr>
                      <w:color w:val="000000"/>
                      <w:szCs w:val="21"/>
                      <w:vertAlign w:val="subscript"/>
                      <w:lang w:val="pt-BR"/>
                    </w:rPr>
                    <w:t>2</w:t>
                  </w:r>
                  <w:r>
                    <w:rPr>
                      <w:color w:val="000000"/>
                      <w:szCs w:val="21"/>
                      <w:lang w:val="pt-BR"/>
                    </w:rPr>
                    <w:t>C</w:t>
                  </w:r>
                  <w:r>
                    <w:rPr>
                      <w:color w:val="000000"/>
                      <w:szCs w:val="21"/>
                      <w:vertAlign w:val="subscript"/>
                      <w:lang w:val="pt-BR"/>
                    </w:rPr>
                    <w:t>2</w:t>
                  </w:r>
                  <w:r>
                    <w:rPr>
                      <w:color w:val="000000"/>
                      <w:szCs w:val="21"/>
                      <w:lang w:val="pt-BR"/>
                    </w:rPr>
                    <w:t>O</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草酸钠是一种有机物，化学式为Na</w:t>
                  </w:r>
                  <w:r>
                    <w:rPr>
                      <w:color w:val="000000"/>
                      <w:szCs w:val="21"/>
                      <w:vertAlign w:val="subscript"/>
                      <w:lang w:val="pt-BR"/>
                    </w:rPr>
                    <w:t>2</w:t>
                  </w:r>
                  <w:r>
                    <w:rPr>
                      <w:color w:val="000000"/>
                      <w:szCs w:val="21"/>
                      <w:lang w:val="pt-BR"/>
                    </w:rPr>
                    <w:t>C</w:t>
                  </w:r>
                  <w:r>
                    <w:rPr>
                      <w:color w:val="000000"/>
                      <w:szCs w:val="21"/>
                      <w:vertAlign w:val="subscript"/>
                      <w:lang w:val="pt-BR"/>
                    </w:rPr>
                    <w:t>2</w:t>
                  </w:r>
                  <w:r>
                    <w:rPr>
                      <w:color w:val="000000"/>
                      <w:szCs w:val="21"/>
                      <w:lang w:val="pt-BR"/>
                    </w:rPr>
                    <w:t>O</w:t>
                  </w:r>
                  <w:r>
                    <w:rPr>
                      <w:color w:val="000000"/>
                      <w:szCs w:val="21"/>
                      <w:vertAlign w:val="subscript"/>
                      <w:lang w:val="pt-BR"/>
                    </w:rPr>
                    <w:t>4</w:t>
                  </w:r>
                  <w:r>
                    <w:rPr>
                      <w:color w:val="000000"/>
                      <w:szCs w:val="21"/>
                      <w:lang w:val="pt-BR"/>
                    </w:rPr>
                    <w:t>，分子量：133.9985；为草酸的钠盐，是一种还原剂，也常作为双齿配体。它是一种白色结晶性粉末，无气味，有吸湿性。溶于水，不溶于乙醇。灼烧则分解为碳酸钠和一氧化碳。性状：白色结晶性粉末。无气味。有吸湿性；密度：（g/mL，25/4℃）：2.34；</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127</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氧化锌</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ZnO</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氧化锌是一种无机物，化学式为ZnO，是锌的一种氧化物。难溶于水，可溶于酸和强碱。外观和性状：白色粉末或六角晶系结晶体。无嗅无味，无砂性。受热变为黄色，冷却后重又变为白色加热至1800℃时升华。溶解性：溶于酸、浓氢氧化碱、氨水和铵盐溶液，不溶于水、乙醇。氧化锌是一种著名的白色的颜料，俗名叫锌白。</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128</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氯化钠</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NaCl</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氯化钠(Sodiumchloride)，是一种无机离子化合物，化学式NaCl，分子量：58.4428；密度：2.165g/cm³(（25℃）)；无色立方结晶或细小结晶粉末，味咸。外观是白色晶体状，其来源主要是海水，是食盐的主要成分。易溶于水、甘油，微溶于乙醇（酒精）、液氨；不溶于浓盐酸。易溶于水，水中溶解度35.9g（室温）；熔点801℃，沸点1465℃，</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129</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镉</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Cd</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镉，重有色金属元素，化学符号Cd，原子序数48，1817年发现。单质为银白色金属，是一种吸收中子的优良金属，制成棒条可在核反应堆内减缓链式裂变反应速率，而且在锌-镉电池中颇为有用。它的硫化物颜色鲜明，用来制成镉黄颜料。2019年7月23日，镉及镉化合物被列入有毒有害水污染物名录（第一批）。镉是银白色有光泽的金属，熔点320.9℃，沸点765℃，密度8650kg/m</w:t>
                  </w:r>
                  <w:r>
                    <w:rPr>
                      <w:color w:val="000000"/>
                      <w:szCs w:val="21"/>
                      <w:vertAlign w:val="superscript"/>
                      <w:lang w:val="pt-BR"/>
                    </w:rPr>
                    <w:t>3</w:t>
                  </w:r>
                  <w:r>
                    <w:rPr>
                      <w:color w:val="000000"/>
                      <w:szCs w:val="21"/>
                      <w:lang w:val="pt-BR"/>
                    </w:rPr>
                    <w:t>。有韧性和延展性。镉的毒性较大，被镉污染的空气和食物对人体危害严重，且在人体内代谢较慢，日本因镉中毒曾出现“痛痛病”。</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130</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铬</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Cr</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铬（Chromium），化学符号Cr，原子序数为24，在元素周期表中属ⅥB族。元素名来自于希腊文，原意为“颜色”，因为铬的化合物都有颜色。单质为钢灰色金属，是自然界硬度最大的金属。铬是银白色有光泽的金属，纯铬有延展性，含杂质的铬硬而脆。密度7.20g/cm</w:t>
                  </w:r>
                  <w:r>
                    <w:rPr>
                      <w:color w:val="000000"/>
                      <w:szCs w:val="21"/>
                      <w:vertAlign w:val="superscript"/>
                      <w:lang w:val="pt-BR"/>
                    </w:rPr>
                    <w:t>3</w:t>
                  </w:r>
                  <w:r>
                    <w:rPr>
                      <w:color w:val="000000"/>
                      <w:szCs w:val="21"/>
                      <w:lang w:val="pt-BR"/>
                    </w:rPr>
                    <w:t>。可溶于强碱溶液。铬具有很高的耐腐蚀性，在空气中，即便是在赤热的状态下，氧化也很慢。不溶于水。镀在金属上可起保护作用。</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131</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铝</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Al</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铝（Aluminium）是一种金属元素，元素符号为Al，原子序数为13。其单质是一种银白色轻金属。有延展性。在潮湿空气中能形成一层防止金属腐蚀的氧化膜。铝粉在空气中加热能猛烈燃烧，并发出眩目的白色火焰。易溶于稀硫酸、硝酸、盐酸、氢氧化钠和氢氧化钾溶液，难溶于水。相对密度2.70。熔点660℃。沸点2327℃。铝元素在地壳中的含量仅次于氧和硅，居第三位，是地壳中含量最丰富的金属元素。铝的粉末与空气混合则极易燃烧；熔融的铝能与水猛烈反应；铝是两性的，极易溶于强碱，也能溶于稀酸。</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132</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硒</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Se</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硒（Selenium）是一种非金属元素，化学符号是Se，相对原子质量：78.96；硒单质是红色或灰色粉末，带灰色金属光泽的准金属。硒在自然界的存在方式分为两种：无机硒和植物活性硒。无机硒一般指亚硒酸钠和硒酸钠，从金属矿藏的副产品中获得；后者是硒通过生物转化与氨基酸结合而成，一般以硒代蛋氨酸的形式存在。红色、黑色的两种无定形玻璃状的硒。前者性脆，密度4.26g/cm</w:t>
                  </w:r>
                  <w:r>
                    <w:rPr>
                      <w:color w:val="000000"/>
                      <w:szCs w:val="21"/>
                      <w:vertAlign w:val="superscript"/>
                      <w:lang w:val="pt-BR"/>
                    </w:rPr>
                    <w:t>3</w:t>
                  </w:r>
                  <w:r>
                    <w:rPr>
                      <w:color w:val="000000"/>
                      <w:szCs w:val="21"/>
                      <w:lang w:val="pt-BR"/>
                    </w:rPr>
                    <w:t>；后者密度4.28g/cm</w:t>
                  </w:r>
                  <w:r>
                    <w:rPr>
                      <w:color w:val="000000"/>
                      <w:szCs w:val="21"/>
                      <w:vertAlign w:val="superscript"/>
                      <w:lang w:val="pt-BR"/>
                    </w:rPr>
                    <w:t>3</w:t>
                  </w:r>
                  <w:r>
                    <w:rPr>
                      <w:color w:val="000000"/>
                      <w:szCs w:val="21"/>
                      <w:lang w:val="pt-BR"/>
                    </w:rPr>
                    <w:t>，另外一种是胶状硒。性脆，有毒。溶于二硫化碳、苯、喹啉。能导电，且其导电性随光照强度急剧变化。可制半导体和光敏材料；熔点：217℃；沸点：684.9℃。</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133</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铁</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Fe</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铁（Ferrum）是一种金属元素，原子序数为26，铁单质化学式：Fe，英文名：iron。平均相对原子质量为55.845。纯铁是白色或者银白色的，有金属光泽。熔点1538℃、沸点2750℃，能溶于强酸和中强酸，不溶于水。</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134</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砷</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As</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砷（Arsenic），俗称砒，元素符号As，是一种非金属元素，其化合物三氧化二砷被称为砒霜，是种毒性很强的物质。原子量74.92，比重5.73（14℃），熔点814℃，615℃时升华。不溶于水，溶于硝酸和王水。在潮湿空气中易被氧化。主要以硫化物矿的形式（如雄黄As</w:t>
                  </w:r>
                  <w:r>
                    <w:rPr>
                      <w:color w:val="000000"/>
                      <w:szCs w:val="21"/>
                      <w:vertAlign w:val="subscript"/>
                      <w:lang w:val="pt-BR"/>
                    </w:rPr>
                    <w:t>4</w:t>
                  </w:r>
                  <w:r>
                    <w:rPr>
                      <w:color w:val="000000"/>
                      <w:szCs w:val="21"/>
                      <w:lang w:val="pt-BR"/>
                    </w:rPr>
                    <w:t>S</w:t>
                  </w:r>
                  <w:r>
                    <w:rPr>
                      <w:color w:val="000000"/>
                      <w:szCs w:val="21"/>
                      <w:vertAlign w:val="subscript"/>
                      <w:lang w:val="pt-BR"/>
                    </w:rPr>
                    <w:t>4</w:t>
                  </w:r>
                  <w:r>
                    <w:rPr>
                      <w:color w:val="000000"/>
                      <w:szCs w:val="21"/>
                      <w:lang w:val="pt-BR"/>
                    </w:rPr>
                    <w:t>，雌黄As</w:t>
                  </w:r>
                  <w:r>
                    <w:rPr>
                      <w:color w:val="000000"/>
                      <w:szCs w:val="21"/>
                      <w:vertAlign w:val="subscript"/>
                      <w:lang w:val="pt-BR"/>
                    </w:rPr>
                    <w:t>2</w:t>
                  </w:r>
                  <w:r>
                    <w:rPr>
                      <w:color w:val="000000"/>
                      <w:szCs w:val="21"/>
                      <w:lang w:val="pt-BR"/>
                    </w:rPr>
                    <w:t>S</w:t>
                  </w:r>
                  <w:r>
                    <w:rPr>
                      <w:color w:val="000000"/>
                      <w:szCs w:val="21"/>
                      <w:vertAlign w:val="subscript"/>
                      <w:lang w:val="pt-BR"/>
                    </w:rPr>
                    <w:t>3</w:t>
                  </w:r>
                  <w:r>
                    <w:rPr>
                      <w:color w:val="000000"/>
                      <w:szCs w:val="21"/>
                      <w:lang w:val="pt-BR"/>
                    </w:rPr>
                    <w:t>等）存在于自然界。银灰色发亮的块状固体，质硬而脆。</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135</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铅</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Pb</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铅是一种金属化学元素，元素符号Pb，原子序数为82，原子量为207.2，是原子量最大的非放射性元素。金属铅为面心立方晶体；金属铅是一种耐蚀的重有色金属材料，铅具有熔点低、耐蚀性高；2019年7月23日，铅被列入有毒有害水污染物名录（第一批）。熔点：327.46℃；沸点：1740℃；密度：11.3437g/cm³；外观：蓝灰色金属</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136</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铜</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Cu</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铜（Cuprum）是一种金属元素，也是一种过渡元素，化学符号Cu，英文copper，原子序数29。纯铜是柔软的金属，表面刚切开时为红橙色带金属光泽，单质呈紫红色。延展性好，导热性和导电性高，</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137</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锌</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Zn</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锌（Zinc）是一种化学元素，它的化学符号是Zn，它的原子序数是30，在化学元素周期表中位于第4周期、第ⅡB族。锌是一种浅灰色的过渡金属，也是第四"常见"的金属。在现代工业中，锌是电池制造上不可替代、相当重要的金属。锌是一种银白色略带淡蓝色金属，密度为7.14g/cm</w:t>
                  </w:r>
                  <w:r>
                    <w:rPr>
                      <w:color w:val="000000"/>
                      <w:szCs w:val="21"/>
                      <w:vertAlign w:val="superscript"/>
                      <w:lang w:val="pt-BR"/>
                    </w:rPr>
                    <w:t>3</w:t>
                  </w:r>
                  <w:r>
                    <w:rPr>
                      <w:color w:val="000000"/>
                      <w:szCs w:val="21"/>
                      <w:lang w:val="pt-BR"/>
                    </w:rPr>
                    <w:t>，熔点为419.5℃。在室温下，性较脆；100～150℃时，变软；超过200℃后，又变干。锌的化学性质活泼，在常温下的空气中，表面生成一层薄而致密的碱式碳酸锌膜，可阻止进一步氧化。当温度达到225℃后，锌剧烈氧化。管制信息：锌粉别名锌粒、高纯锌、无砷锌等属于易制爆物品，根据《危险化学品安全管理条例》受公安部门管制。</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138</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锡</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Sn</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锡（Stannum）英文名：tin,元素符号为Sn。是一种金属元素，无机物，普通形态的白锡是一种有银白色光泽的的低熔点金属，在化合物中是二价或四价，常温下不会被空气氧化，金属锡柔软，易弯曲，熔点231.89℃，沸点2260℃。密度7.28g/cm</w:t>
                  </w:r>
                  <w:r>
                    <w:rPr>
                      <w:color w:val="000000"/>
                      <w:szCs w:val="21"/>
                      <w:vertAlign w:val="superscript"/>
                      <w:lang w:val="pt-BR"/>
                    </w:rPr>
                    <w:t>3</w:t>
                  </w:r>
                  <w:r>
                    <w:rPr>
                      <w:color w:val="000000"/>
                      <w:szCs w:val="21"/>
                      <w:lang w:val="pt-BR"/>
                    </w:rPr>
                    <w:t>，硬度2，延展性好。</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139</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锑</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Sb</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锑（antimony），金属元素，元素符号Sb，原子序数51，银白色有光泽硬而脆的金属（常制成棒、块、粉等多种形状）。有鳞片状晶体结构。在潮湿空气中逐渐失去光泽，强热则燃烧成白色锑的氧化物。易溶于王水，溶于浓硫酸。相对密度6.68，熔点630℃，沸点1635℃，锑是一种带有银色光泽的灰色金属，其莫氏硬度为3。锑是全球性污染物，是国际上最为关注的有毒金属元素之一</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140</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镍</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Ni</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镍是银白色金属，Ni，原子量58.69；具有磁性和良好的可塑性。有好的耐腐蚀性，镍近似银白色、硬而有延展性并具有铁磁性的金属元素，它能够高度磨光和抗腐蚀。溶于硝酸后，呈绿色。密度：8.902g/cm</w:t>
                  </w:r>
                  <w:r>
                    <w:rPr>
                      <w:color w:val="000000"/>
                      <w:szCs w:val="21"/>
                      <w:vertAlign w:val="superscript"/>
                      <w:lang w:val="pt-BR"/>
                    </w:rPr>
                    <w:t>3</w:t>
                  </w:r>
                  <w:r>
                    <w:rPr>
                      <w:color w:val="000000"/>
                      <w:szCs w:val="21"/>
                      <w:lang w:val="pt-BR"/>
                    </w:rPr>
                    <w:t>；熔点：1453℃；沸点：2732℃，因为镍的抗腐蚀性佳，常被用在电镀上。</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141</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镁</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Mg</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是一种金属化学元素，元素符号是Mg。英国戴维于1808年用钾还原氧化镁制得金属镁。它是一种银白色的轻质碱土金属，化学性质活泼，能与酸反应生成氢气，具有一定的延展性和热消散性。镁元素在自然界广泛分布，是人体的必需元素之一。不溶于水、碱液，溶于酸。熔点：651℃；沸点：1107℃；密度：1.74g/cm³；具有比较强的还原性，能与沸水反应放出氢气，燃烧时能产生眩目的白光，危险特性：易燃，燃烧时产生强烈的白光并放出高热。有害燃烧产物：氧化镁。</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142</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锰</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Mn</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锰（Manganese），化学元素，元素符号Mn，原子序数25，单质是一种灰白色、硬脆、有光泽的过渡金属。纯净的金属锰是比铁稍软的金属，含少量杂质的锰坚而脆，潮湿处会氧化。银白色金属，质坚而脆。属于VIIB族元素。密度7.44g/cm</w:t>
                  </w:r>
                  <w:r>
                    <w:rPr>
                      <w:color w:val="000000"/>
                      <w:szCs w:val="21"/>
                      <w:vertAlign w:val="superscript"/>
                      <w:lang w:val="pt-BR"/>
                    </w:rPr>
                    <w:t>3</w:t>
                  </w:r>
                  <w:r>
                    <w:rPr>
                      <w:color w:val="000000"/>
                      <w:szCs w:val="21"/>
                      <w:lang w:val="pt-BR"/>
                    </w:rPr>
                    <w:t>。熔点1244℃。</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143</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kern w:val="0"/>
                      <w:szCs w:val="21"/>
                    </w:rPr>
                    <w:t>钾</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K</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元素符号K，原子序数为19，位于元素周期表第四周期IA族，属于碱金属元素。单质是一种银白色的软质金属，蜡状，可用小刀切割，熔沸点低，密度比水小，化学性质极度活泼（比钠还活泼），钾的密度0.862g/cm</w:t>
                  </w:r>
                  <w:r>
                    <w:rPr>
                      <w:color w:val="000000"/>
                      <w:szCs w:val="21"/>
                      <w:vertAlign w:val="superscript"/>
                      <w:lang w:val="pt-BR"/>
                    </w:rPr>
                    <w:t>3</w:t>
                  </w:r>
                  <w:r>
                    <w:rPr>
                      <w:color w:val="000000"/>
                      <w:szCs w:val="21"/>
                      <w:lang w:val="pt-BR"/>
                    </w:rPr>
                    <w:t>（293K），熔点336K（63℃），沸点1032K（759℃）。原子量：39.0983，</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144</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kern w:val="0"/>
                      <w:szCs w:val="21"/>
                    </w:rPr>
                    <w:t>钠</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Na</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钠（Natrium）是一种金属元素，元素符号是Na，英文名sodium。是碱金属元素的代表，质地柔软，能与水反应生成氢氧化钠，放出氢气，化学性质较活泼。钠为银白色立方体结构金属，质软而轻可用小刀切割，密度比水小，为0.968g/cm</w:t>
                  </w:r>
                  <w:r>
                    <w:rPr>
                      <w:color w:val="000000"/>
                      <w:szCs w:val="21"/>
                      <w:vertAlign w:val="superscript"/>
                      <w:lang w:val="pt-BR"/>
                    </w:rPr>
                    <w:t>3</w:t>
                  </w:r>
                  <w:r>
                    <w:rPr>
                      <w:color w:val="000000"/>
                      <w:szCs w:val="21"/>
                      <w:lang w:val="pt-BR"/>
                    </w:rPr>
                    <w:t>，熔点97.72℃，沸点883℃。新切面有银白色光泽，在空气中氧化转变为暗灰色，具有抗腐蚀性。</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145</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kern w:val="0"/>
                      <w:szCs w:val="21"/>
                    </w:rPr>
                    <w:t>钙</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Ca</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钙是一种金属元素，原子序数为20，符号Ca，在元素周期表中位于第4周期、第IIA族。钙单质常温下为银白色固体，化学性质活泼，因此在自然界多以离子状态或化合物形式存在。银白色稍软的金属，有光泽。不溶于苯，微溶于醇，溶于酸、液氨。熔点：842℃；沸点:1484℃;密度：1.55g/cm³；原子量：40.078；</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146</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银</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Ag</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银（Argentum）为过渡金属的一种，化学符号Ag。银是古代就已知并加以利用的金属之一，是一种重要的贵金属。银的理化性质均较为稳定，导热、导电性能很好，质软，富延展性，其反光率极高，可达99%以上，有许多重要用途。熔点：961.93℃；沸点：2212℃；密度：10.49g/cm³；</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147</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kern w:val="0"/>
                      <w:szCs w:val="21"/>
                    </w:rPr>
                    <w:t>钡</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Ba</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钡（Barium），碱土金属元素，化学元素符号Ba，在周期表中位于第六周期ⅡA族，是一种柔软的有银白色光泽的碱土金属，是碱土金属中最活泼的元素。钡是银白色金属，熔点725°C，沸点1846°C，密度3.51g/cm</w:t>
                  </w:r>
                  <w:r>
                    <w:rPr>
                      <w:color w:val="000000"/>
                      <w:szCs w:val="21"/>
                      <w:vertAlign w:val="superscript"/>
                      <w:lang w:val="pt-BR"/>
                    </w:rPr>
                    <w:t>3</w:t>
                  </w:r>
                  <w:r>
                    <w:rPr>
                      <w:color w:val="000000"/>
                      <w:szCs w:val="21"/>
                      <w:lang w:val="pt-BR"/>
                    </w:rPr>
                    <w:t>，有延展性。钡的主要矿石是重晶石和毒重石。</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148</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kern w:val="0"/>
                      <w:szCs w:val="21"/>
                    </w:rPr>
                    <w:t>锂</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Li</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锂（Lithium）是一种金属元素，元素符号为Li，对应的单质为银白色质软金属，也是密度最小的金属。用于原子反应堆、制轻合金及电池等，银白色金属。质较软，可用刀切割。是最轻的金属，密度比所有的油和液态烃都小，故应存放于固体石蜡或者白凡士林中(在液体石蜡中锂也会浮起)。锂的密度非常小，仅有0.534g/cm³，为非气态单质中最小的一个。氢化锂遇水发生猛烈的化学反应，产生大量的氢气。熔点：180ºC；沸点：1340ºC；密度：0.534g/cm³；</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149</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钼</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Mo</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钼（Molybdenum），化学符号Mo，原子序数为42，是一种过渡金属元素，为人体及动植物必须的微量元素。钼单质为银白色金属，硬而坚韧。人体各种组织都含钼，在人体内总量约为9mg，肝、肾中含量最高。熔点：2620℃；沸点：5560℃；密度：10.2g/cm³；</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150</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锶</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Sr</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锶（Strontium）是一种化学元素，元素符号是Sr；锶是一种银白色带黄色光泽的碱土金属。熔点：769℃；沸点：1384℃；密度：2.54g/cm³；锶，银白色金属，属立方晶系。[3]是一种质软的，银白色的，有光泽的，容易传热导电的金属。在空气中加热到熔点时立即燃烧，火焰呈红色。</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151</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kern w:val="0"/>
                      <w:szCs w:val="21"/>
                    </w:rPr>
                    <w:t>钛</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Ti</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钛（Titanium）是一种金属化学元素，化学符号Ti，是一种银白色的过渡金属，其特征为重量轻、强度高、具金属光泽，耐湿氯气腐蚀。钛被认为是一种稀有金属，钛具有金属光泽，有延展性；密度：4.506g/cm³；熔点：1668℃；沸点：3287℃；</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152</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rPr>
                  </w:pPr>
                  <w:r>
                    <w:rPr>
                      <w:color w:val="000000"/>
                      <w:kern w:val="0"/>
                      <w:szCs w:val="21"/>
                    </w:rPr>
                    <w:t>汞</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Hg</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汞（Hydrargyrum）是化学元素，元素符号Hg，元素周期表第80位；是常温常压下唯一以液态存在的金属；汞是银白色闪亮的重质液体，化学性质稳定，不溶于酸也不溶于碱。汞常温下即可蒸发，汞蒸气和汞的化合物多有剧毒（慢性）。汞及汞化合物被列入有毒有害水污染物名录（第一批）。熔点：-38.86℃(101325Pa大气压)；沸点：356.72℃(101325Pa大气压)；是在常温、常压下唯一以液态存在的金属。熔点-38.87℃，沸点356.6℃，密度13.59g/cm</w:t>
                  </w:r>
                  <w:r>
                    <w:rPr>
                      <w:color w:val="000000"/>
                      <w:szCs w:val="21"/>
                      <w:vertAlign w:val="superscript"/>
                      <w:lang w:val="pt-BR"/>
                    </w:rPr>
                    <w:t>3</w:t>
                  </w:r>
                  <w:r>
                    <w:rPr>
                      <w:color w:val="000000"/>
                      <w:szCs w:val="21"/>
                      <w:lang w:val="pt-BR"/>
                    </w:rPr>
                    <w:t>。</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153</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rPr>
                  </w:pPr>
                  <w:r>
                    <w:rPr>
                      <w:color w:val="000000"/>
                      <w:kern w:val="0"/>
                      <w:szCs w:val="21"/>
                    </w:rPr>
                    <w:t>钒</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V</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钒（Vanadium）是一种金属元素，元素符号为V，银灰色金属，钒的熔点很高，为难熔金属，有延展性，质坚硬，无磁性。具有耐盐酸和硫酸的本领，并且在耐气、耐盐、耐水腐蚀的性能要比大多数不锈钢好。熔点：1890℃；沸点：3380℃；密度：6.0g/cm³；它的沸点3380℃，纯钒质坚硬，无磁性，具有延展性，但是若含有少量的杂质，尤其是氮，氧，氢等，能显著降低其可塑性。</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154</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rPr>
                  </w:pPr>
                  <w:r>
                    <w:rPr>
                      <w:color w:val="000000"/>
                      <w:kern w:val="0"/>
                      <w:szCs w:val="21"/>
                    </w:rPr>
                    <w:t>铀</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U</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铀(Uranium)是原子序数为92的元素，其元素符号是U，是自然界中能够找到的最重元素。铀化合物早期用于瓷器的着色，在核裂变现象被发现后用作为核燃料，在自然界中存在三种同位素，均带有放射性，铀是放射性金属元素，可作为核反应的燃料。铀是银白色金属，几乎与钢一样硬，密度高（相对密度约18.95），熔点1135℃，沸点4134℃。</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155</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rPr>
                  </w:pPr>
                  <w:r>
                    <w:rPr>
                      <w:color w:val="000000"/>
                      <w:kern w:val="0"/>
                      <w:szCs w:val="21"/>
                    </w:rPr>
                    <w:t>铊</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Tl</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铊（Thallium），化学符号Tl，原子序数为81，在自然环境中含量很低，是一种伴生元素。铊在盐酸和稀硫酸中溶解缓慢，在硝酸中溶解迅速。保存在水中或石蜡中较空气中稳定。熔点：303.5℃；沸点：1457℃；水溶性：溶于热水；密度：11.85g/cm³；银白色金属。</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156</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rPr>
                  </w:pPr>
                  <w:r>
                    <w:rPr>
                      <w:color w:val="000000"/>
                      <w:szCs w:val="21"/>
                      <w:lang w:val="pt-BR"/>
                    </w:rPr>
                    <w:t>硼</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B</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硼（Boron）是一种化学元素，元素符号是B，硼为黑色或银灰色固体。晶体硼为黑色，硬度仅次于金刚石，质地较脆。单质硼为黑色或深棕色粉末，熔点2076℃。沸点3927℃。单质硼有多种同素异形体，无定形硼为棕色粉末，晶体硼呈灰黑色。晶态硼较惰性，无定形硼则比较活泼。单质硼的硬度近似于金刚石，</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157</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rPr>
                  </w:pPr>
                  <w:r>
                    <w:rPr>
                      <w:color w:val="000000"/>
                      <w:kern w:val="0"/>
                      <w:szCs w:val="21"/>
                    </w:rPr>
                    <w:t>锗</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Ge</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锗（Germanium）是一种化学元素，元素符号Ge，原子序数32，原子量72.64，在化学元素周期表中位于第4周期、第IVA族。锗单质是一种灰白色准金属，有光泽，质硬，属于碳族，化学性质与同族的锡与硅相近，不溶于水、盐酸、稀苛性碱溶液，溶于王水、浓硝酸或硫酸，具有两性，故溶于熔融的碱、过氧化碱、碱金属硝酸盐或碳酸盐，在空气中较稳定。熔点：937℃；沸点：2830℃；密度：5.35g/cm³；银灰色晶体，锗粉末状呈暗蓝色，结晶状，为银白色脆金属，是一种稀有金属，重要的半导体材料，不溶于水。</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158</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rPr>
                  </w:pPr>
                  <w:r>
                    <w:rPr>
                      <w:color w:val="000000"/>
                      <w:kern w:val="0"/>
                      <w:szCs w:val="21"/>
                    </w:rPr>
                    <w:t>苯甲酸</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7</w:t>
                  </w:r>
                  <w:r>
                    <w:rPr>
                      <w:color w:val="000000"/>
                      <w:szCs w:val="21"/>
                      <w:lang w:val="pt-BR"/>
                    </w:rPr>
                    <w:t>H</w:t>
                  </w:r>
                  <w:r>
                    <w:rPr>
                      <w:color w:val="000000"/>
                      <w:szCs w:val="21"/>
                      <w:vertAlign w:val="subscript"/>
                      <w:lang w:val="pt-BR"/>
                    </w:rPr>
                    <w:t>6</w:t>
                  </w:r>
                  <w:r>
                    <w:rPr>
                      <w:color w:val="000000"/>
                      <w:szCs w:val="21"/>
                      <w:lang w:val="pt-BR"/>
                    </w:rPr>
                    <w:t>O</w:t>
                  </w:r>
                  <w:r>
                    <w:rPr>
                      <w:color w:val="000000"/>
                      <w:szCs w:val="21"/>
                      <w:vertAlign w:val="sub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苯甲酸(Benzoicacid)一种芳香酸类有机化合物，也是最简单的芳香酸，分子式为C</w:t>
                  </w:r>
                  <w:r>
                    <w:rPr>
                      <w:color w:val="000000"/>
                      <w:szCs w:val="21"/>
                      <w:vertAlign w:val="subscript"/>
                      <w:lang w:val="pt-BR"/>
                    </w:rPr>
                    <w:t>7</w:t>
                  </w:r>
                  <w:r>
                    <w:rPr>
                      <w:color w:val="000000"/>
                      <w:szCs w:val="21"/>
                      <w:lang w:val="pt-BR"/>
                    </w:rPr>
                    <w:t>H</w:t>
                  </w:r>
                  <w:r>
                    <w:rPr>
                      <w:color w:val="000000"/>
                      <w:szCs w:val="21"/>
                      <w:vertAlign w:val="subscript"/>
                      <w:lang w:val="pt-BR"/>
                    </w:rPr>
                    <w:t>6</w:t>
                  </w:r>
                  <w:r>
                    <w:rPr>
                      <w:color w:val="000000"/>
                      <w:szCs w:val="21"/>
                      <w:lang w:val="pt-BR"/>
                    </w:rPr>
                    <w:t>O</w:t>
                  </w:r>
                  <w:r>
                    <w:rPr>
                      <w:color w:val="000000"/>
                      <w:szCs w:val="21"/>
                      <w:vertAlign w:val="subscript"/>
                      <w:lang w:val="pt-BR"/>
                    </w:rPr>
                    <w:t>2</w:t>
                  </w:r>
                  <w:r>
                    <w:rPr>
                      <w:color w:val="000000"/>
                      <w:szCs w:val="21"/>
                      <w:lang w:val="pt-BR"/>
                    </w:rPr>
                    <w:t>。最初由安息香胶制得，故称安息香酸。熔点122.13℃，沸点249.2℃，相对密度(15/4℃)1.2659。外观为白色针状或鳞片状结晶。100℃以上时会升华。微溶于冷水、己烷，溶于热水、乙醇、乙醚、氯仿、苯、二硫化碳和松节油等，苯甲酸是有光泽的、白色的、单斜品薄片状或针状结品。质轻，无气味或微有类似安息香或苯甲醛的气味。它的蒸气有很强的刺激性，吸入后易引起咳嗽。</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159</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rPr>
                  </w:pPr>
                  <w:r>
                    <w:rPr>
                      <w:color w:val="000000"/>
                      <w:kern w:val="0"/>
                      <w:szCs w:val="21"/>
                    </w:rPr>
                    <w:t>山梨酸</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6</w:t>
                  </w:r>
                  <w:r>
                    <w:rPr>
                      <w:color w:val="000000"/>
                      <w:szCs w:val="21"/>
                      <w:lang w:val="pt-BR"/>
                    </w:rPr>
                    <w:t>H</w:t>
                  </w:r>
                  <w:r>
                    <w:rPr>
                      <w:color w:val="000000"/>
                      <w:szCs w:val="21"/>
                      <w:vertAlign w:val="subscript"/>
                      <w:lang w:val="pt-BR"/>
                    </w:rPr>
                    <w:t>8</w:t>
                  </w:r>
                  <w:r>
                    <w:rPr>
                      <w:color w:val="000000"/>
                      <w:szCs w:val="21"/>
                      <w:lang w:val="pt-BR"/>
                    </w:rPr>
                    <w:t>O</w:t>
                  </w:r>
                  <w:r>
                    <w:rPr>
                      <w:color w:val="000000"/>
                      <w:szCs w:val="21"/>
                      <w:vertAlign w:val="sub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山梨酸（Sorbicacid），又称为清凉茶酸、2,4-己二烯酸、2-丙烯基丙烯酸，分子式为C</w:t>
                  </w:r>
                  <w:r>
                    <w:rPr>
                      <w:color w:val="000000"/>
                      <w:szCs w:val="21"/>
                      <w:vertAlign w:val="subscript"/>
                      <w:lang w:val="pt-BR"/>
                    </w:rPr>
                    <w:t>6</w:t>
                  </w:r>
                  <w:r>
                    <w:rPr>
                      <w:color w:val="000000"/>
                      <w:szCs w:val="21"/>
                      <w:lang w:val="pt-BR"/>
                    </w:rPr>
                    <w:t>H</w:t>
                  </w:r>
                  <w:r>
                    <w:rPr>
                      <w:color w:val="000000"/>
                      <w:szCs w:val="21"/>
                      <w:vertAlign w:val="subscript"/>
                      <w:lang w:val="pt-BR"/>
                    </w:rPr>
                    <w:t>8</w:t>
                  </w:r>
                  <w:r>
                    <w:rPr>
                      <w:color w:val="000000"/>
                      <w:szCs w:val="21"/>
                      <w:lang w:val="pt-BR"/>
                    </w:rPr>
                    <w:t>O</w:t>
                  </w:r>
                  <w:r>
                    <w:rPr>
                      <w:color w:val="000000"/>
                      <w:szCs w:val="21"/>
                      <w:vertAlign w:val="subscript"/>
                      <w:lang w:val="pt-BR"/>
                    </w:rPr>
                    <w:t>2</w:t>
                  </w:r>
                  <w:r>
                    <w:rPr>
                      <w:color w:val="000000"/>
                      <w:szCs w:val="21"/>
                      <w:lang w:val="pt-BR"/>
                    </w:rPr>
                    <w:t>，分子量：112.13；熔点：132-135℃；是一种食品添加剂，对酵母、霉菌等许多真菌都具有抑制作用。还用于动物饲料、化妆品、药品、包装材料和橡胶助剂等。密度：1.204g/cm³(19℃)；沸点：228℃；水溶性：溶于水（1:1000）；溶解性：微溶于水，溶于丙二醇，无水乙醇和甲醇，冰乙酸，丙酮，苯，四氯化碳，环己烷，二氧六环，甘油，异丙醇，异丙醚，乙酸甲酯，甲苯。该物质对水体有轻微的危害。白色结晶粉末。</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160</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rPr>
                  </w:pPr>
                  <w:r>
                    <w:rPr>
                      <w:color w:val="000000"/>
                      <w:kern w:val="0"/>
                      <w:szCs w:val="21"/>
                    </w:rPr>
                    <w:t>糖精钠</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7</w:t>
                  </w:r>
                  <w:r>
                    <w:rPr>
                      <w:color w:val="000000"/>
                      <w:szCs w:val="21"/>
                      <w:lang w:val="pt-BR"/>
                    </w:rPr>
                    <w:t>H</w:t>
                  </w:r>
                  <w:r>
                    <w:rPr>
                      <w:color w:val="000000"/>
                      <w:szCs w:val="21"/>
                      <w:vertAlign w:val="subscript"/>
                      <w:lang w:val="pt-BR"/>
                    </w:rPr>
                    <w:t>4</w:t>
                  </w:r>
                  <w:r>
                    <w:rPr>
                      <w:color w:val="000000"/>
                      <w:szCs w:val="21"/>
                      <w:lang w:val="pt-BR"/>
                    </w:rPr>
                    <w:t>NO</w:t>
                  </w:r>
                  <w:r>
                    <w:rPr>
                      <w:color w:val="000000"/>
                      <w:szCs w:val="21"/>
                      <w:vertAlign w:val="subscript"/>
                      <w:lang w:val="pt-BR"/>
                    </w:rPr>
                    <w:t>3</w:t>
                  </w:r>
                  <w:r>
                    <w:rPr>
                      <w:color w:val="000000"/>
                      <w:szCs w:val="21"/>
                      <w:lang w:val="pt-BR"/>
                    </w:rPr>
                    <w:t>SNa</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糖精钠（SaccharinSodium）是有机化合物，化学式为C</w:t>
                  </w:r>
                  <w:r>
                    <w:rPr>
                      <w:color w:val="000000"/>
                      <w:szCs w:val="21"/>
                      <w:vertAlign w:val="subscript"/>
                      <w:lang w:val="pt-BR"/>
                    </w:rPr>
                    <w:t>7</w:t>
                  </w:r>
                  <w:r>
                    <w:rPr>
                      <w:color w:val="000000"/>
                      <w:szCs w:val="21"/>
                      <w:lang w:val="pt-BR"/>
                    </w:rPr>
                    <w:t>H</w:t>
                  </w:r>
                  <w:r>
                    <w:rPr>
                      <w:color w:val="000000"/>
                      <w:szCs w:val="21"/>
                      <w:vertAlign w:val="subscript"/>
                      <w:lang w:val="pt-BR"/>
                    </w:rPr>
                    <w:t>4</w:t>
                  </w:r>
                  <w:r>
                    <w:rPr>
                      <w:color w:val="000000"/>
                      <w:szCs w:val="21"/>
                      <w:lang w:val="pt-BR"/>
                    </w:rPr>
                    <w:t>NO</w:t>
                  </w:r>
                  <w:r>
                    <w:rPr>
                      <w:color w:val="000000"/>
                      <w:szCs w:val="21"/>
                      <w:vertAlign w:val="subscript"/>
                      <w:lang w:val="pt-BR"/>
                    </w:rPr>
                    <w:t>3</w:t>
                  </w:r>
                  <w:r>
                    <w:rPr>
                      <w:color w:val="000000"/>
                      <w:szCs w:val="21"/>
                      <w:lang w:val="pt-BR"/>
                    </w:rPr>
                    <w:t>SNa，分子量：205.166；是食品添加剂，沸点：438.9℃；白色结晶性粉末，闪点：219.3℃；易溶于水，略溶于乙醇，水溶液呈微碱性。</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161</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环己基氨基磺酸钠</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6</w:t>
                  </w:r>
                  <w:r>
                    <w:rPr>
                      <w:color w:val="000000"/>
                      <w:szCs w:val="21"/>
                      <w:lang w:val="pt-BR"/>
                    </w:rPr>
                    <w:t>H</w:t>
                  </w:r>
                  <w:r>
                    <w:rPr>
                      <w:color w:val="000000"/>
                      <w:szCs w:val="21"/>
                      <w:vertAlign w:val="subscript"/>
                      <w:lang w:val="pt-BR"/>
                    </w:rPr>
                    <w:t>12</w:t>
                  </w:r>
                  <w:r>
                    <w:rPr>
                      <w:color w:val="000000"/>
                      <w:szCs w:val="21"/>
                      <w:lang w:val="pt-BR"/>
                    </w:rPr>
                    <w:t>NNaO</w:t>
                  </w:r>
                  <w:r>
                    <w:rPr>
                      <w:color w:val="000000"/>
                      <w:szCs w:val="21"/>
                      <w:vertAlign w:val="subscript"/>
                      <w:lang w:val="pt-BR"/>
                    </w:rPr>
                    <w:t>3</w:t>
                  </w:r>
                  <w:r>
                    <w:rPr>
                      <w:color w:val="000000"/>
                      <w:szCs w:val="21"/>
                      <w:lang w:val="pt-BR"/>
                    </w:rPr>
                    <w:t>S</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甜蜜素，其化学名称为环己基氨基磺酸钠，是食品生产中常用的添加剂。甜蜜素是一种常用甜味剂，其甜度是蔗糖的30～40倍，分子式C</w:t>
                  </w:r>
                  <w:r>
                    <w:rPr>
                      <w:color w:val="000000"/>
                      <w:szCs w:val="21"/>
                      <w:vertAlign w:val="subscript"/>
                      <w:lang w:val="pt-BR"/>
                    </w:rPr>
                    <w:t>6</w:t>
                  </w:r>
                  <w:r>
                    <w:rPr>
                      <w:color w:val="000000"/>
                      <w:szCs w:val="21"/>
                      <w:lang w:val="pt-BR"/>
                    </w:rPr>
                    <w:t>H</w:t>
                  </w:r>
                  <w:r>
                    <w:rPr>
                      <w:color w:val="000000"/>
                      <w:szCs w:val="21"/>
                      <w:vertAlign w:val="subscript"/>
                      <w:lang w:val="pt-BR"/>
                    </w:rPr>
                    <w:t>12</w:t>
                  </w:r>
                  <w:r>
                    <w:rPr>
                      <w:color w:val="000000"/>
                      <w:szCs w:val="21"/>
                      <w:lang w:val="pt-BR"/>
                    </w:rPr>
                    <w:t>NNaO</w:t>
                  </w:r>
                  <w:r>
                    <w:rPr>
                      <w:color w:val="000000"/>
                      <w:szCs w:val="21"/>
                      <w:vertAlign w:val="subscript"/>
                      <w:lang w:val="pt-BR"/>
                    </w:rPr>
                    <w:t>3</w:t>
                  </w:r>
                  <w:r>
                    <w:rPr>
                      <w:color w:val="000000"/>
                      <w:szCs w:val="21"/>
                      <w:lang w:val="pt-BR"/>
                    </w:rPr>
                    <w:t>S，分子量201.2。白色结晶或白色结晶粉末，无臭，味甜，易溶于水，难溶于乙醇，不溶于氯仿和乙醚。在酸性条件下略有分解，在碱性条件下稳定。</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162</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lang w:val="pt-BR"/>
                    </w:rPr>
                    <w:t>叔丁基羟基茴香醚(BHA)</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11</w:t>
                  </w:r>
                  <w:r>
                    <w:rPr>
                      <w:color w:val="000000"/>
                      <w:szCs w:val="21"/>
                      <w:lang w:val="pt-BR"/>
                    </w:rPr>
                    <w:t>H</w:t>
                  </w:r>
                  <w:r>
                    <w:rPr>
                      <w:color w:val="000000"/>
                      <w:szCs w:val="21"/>
                      <w:vertAlign w:val="subscript"/>
                      <w:lang w:val="pt-BR"/>
                    </w:rPr>
                    <w:t>16</w:t>
                  </w:r>
                  <w:r>
                    <w:rPr>
                      <w:color w:val="000000"/>
                      <w:szCs w:val="21"/>
                      <w:lang w:val="pt-BR"/>
                    </w:rPr>
                    <w:t>O</w:t>
                  </w:r>
                  <w:r>
                    <w:rPr>
                      <w:color w:val="000000"/>
                      <w:szCs w:val="21"/>
                      <w:vertAlign w:val="sub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丁基羟基茴香醚，又名叔丁基-4-羟基茴香醚、丁基大茴香醚，简称BHA，为两种成分（3-BHA和2-BHA）的混合物。分子式为C</w:t>
                  </w:r>
                  <w:r>
                    <w:rPr>
                      <w:color w:val="000000"/>
                      <w:szCs w:val="21"/>
                      <w:vertAlign w:val="subscript"/>
                      <w:lang w:val="pt-BR"/>
                    </w:rPr>
                    <w:t>11</w:t>
                  </w:r>
                  <w:r>
                    <w:rPr>
                      <w:color w:val="000000"/>
                      <w:szCs w:val="21"/>
                      <w:lang w:val="pt-BR"/>
                    </w:rPr>
                    <w:t>H</w:t>
                  </w:r>
                  <w:r>
                    <w:rPr>
                      <w:color w:val="000000"/>
                      <w:szCs w:val="21"/>
                      <w:vertAlign w:val="subscript"/>
                      <w:lang w:val="pt-BR"/>
                    </w:rPr>
                    <w:t>16</w:t>
                  </w:r>
                  <w:r>
                    <w:rPr>
                      <w:color w:val="000000"/>
                      <w:szCs w:val="21"/>
                      <w:lang w:val="pt-BR"/>
                    </w:rPr>
                    <w:t>O</w:t>
                  </w:r>
                  <w:r>
                    <w:rPr>
                      <w:color w:val="000000"/>
                      <w:szCs w:val="21"/>
                      <w:vertAlign w:val="subscript"/>
                      <w:lang w:val="pt-BR"/>
                    </w:rPr>
                    <w:t>2</w:t>
                  </w:r>
                  <w:r>
                    <w:rPr>
                      <w:color w:val="000000"/>
                      <w:szCs w:val="21"/>
                      <w:lang w:val="pt-BR"/>
                    </w:rPr>
                    <w:t>，相对分子质量为180.25。带有酚类的特异臭气和有刺激性的气味，密度：1.014g/cm</w:t>
                  </w:r>
                  <w:r>
                    <w:rPr>
                      <w:color w:val="000000"/>
                      <w:szCs w:val="21"/>
                      <w:vertAlign w:val="superscript"/>
                      <w:lang w:val="pt-BR"/>
                    </w:rPr>
                    <w:t>3</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163</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lang w:val="pt-BR"/>
                    </w:rPr>
                    <w:t>2,6二叔丁基对甲酚(BHT)</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15</w:t>
                  </w:r>
                  <w:r>
                    <w:rPr>
                      <w:color w:val="000000"/>
                      <w:szCs w:val="21"/>
                      <w:lang w:val="pt-BR"/>
                    </w:rPr>
                    <w:t>H</w:t>
                  </w:r>
                  <w:r>
                    <w:rPr>
                      <w:color w:val="000000"/>
                      <w:szCs w:val="21"/>
                      <w:vertAlign w:val="subscript"/>
                      <w:lang w:val="pt-BR"/>
                    </w:rPr>
                    <w:t>24</w:t>
                  </w:r>
                  <w:r>
                    <w:rPr>
                      <w:color w:val="000000"/>
                      <w:szCs w:val="21"/>
                      <w:lang w:val="pt-BR"/>
                    </w:rPr>
                    <w:t>O</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2,6-二叔丁基对甲酚，是一种有机化合物，分子式为C</w:t>
                  </w:r>
                  <w:r>
                    <w:rPr>
                      <w:color w:val="000000"/>
                      <w:szCs w:val="21"/>
                      <w:vertAlign w:val="subscript"/>
                      <w:lang w:val="pt-BR"/>
                    </w:rPr>
                    <w:t>15</w:t>
                  </w:r>
                  <w:r>
                    <w:rPr>
                      <w:color w:val="000000"/>
                      <w:szCs w:val="21"/>
                      <w:lang w:val="pt-BR"/>
                    </w:rPr>
                    <w:t>H</w:t>
                  </w:r>
                  <w:r>
                    <w:rPr>
                      <w:color w:val="000000"/>
                      <w:szCs w:val="21"/>
                      <w:vertAlign w:val="subscript"/>
                      <w:lang w:val="pt-BR"/>
                    </w:rPr>
                    <w:t>24</w:t>
                  </w:r>
                  <w:r>
                    <w:rPr>
                      <w:color w:val="000000"/>
                      <w:szCs w:val="21"/>
                      <w:lang w:val="pt-BR"/>
                    </w:rPr>
                    <w:t>O，分子量：220.35；熔点：69-71℃；沸点：265℃；闪点127℃；为白色结晶性粉末，遇光颜色变黄，并逐渐变深。也是一种抗氧化剂，广泛用于食品和食品相关产品中。密度：1.048g/cm³；溶解性：易溶于乙醇、丙酮、苯、大豆油、棉籽油、猪油，不溶于水、甘油、丙二醇。</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164</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亚硝酸盐</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NO</w:t>
                  </w:r>
                  <w:r>
                    <w:rPr>
                      <w:color w:val="000000"/>
                      <w:szCs w:val="21"/>
                      <w:vertAlign w:val="super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亚硝酸盐，是含有亚硝酸根阴离子(NO</w:t>
                  </w:r>
                  <w:r>
                    <w:rPr>
                      <w:color w:val="000000"/>
                      <w:szCs w:val="21"/>
                      <w:vertAlign w:val="superscript"/>
                      <w:lang w:val="pt-BR"/>
                    </w:rPr>
                    <w:t>2−</w:t>
                  </w:r>
                  <w:r>
                    <w:rPr>
                      <w:color w:val="000000"/>
                      <w:szCs w:val="21"/>
                      <w:lang w:val="pt-BR"/>
                    </w:rPr>
                    <w:t>)的盐。最常见的是亚硝酸钠，亚硝酸钠为白色至淡黄色粉末或颗粒状，味微咸，易溶于水。硝酸盐和亚硝酸盐广泛存在于人类环境中，是自然界中最普遍的含氮化合物，食入0.3～0.5克的亚硝酸盐即可引起中毒，3克导致死亡，</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165</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硝酸盐</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NO</w:t>
                  </w:r>
                  <w:r>
                    <w:rPr>
                      <w:color w:val="000000"/>
                      <w:szCs w:val="21"/>
                      <w:vertAlign w:val="subscript"/>
                      <w:lang w:val="pt-BR"/>
                    </w:rPr>
                    <w:t>3</w:t>
                  </w:r>
                  <w:r>
                    <w:rPr>
                      <w:color w:val="000000"/>
                      <w:szCs w:val="21"/>
                      <w:vertAlign w:val="superscript"/>
                      <w:lang w:val="pt-BR"/>
                    </w:rPr>
                    <w:t>1−</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硝酸盐，是硝酸HNO</w:t>
                  </w:r>
                  <w:r>
                    <w:rPr>
                      <w:color w:val="000000"/>
                      <w:szCs w:val="21"/>
                      <w:vertAlign w:val="subscript"/>
                      <w:lang w:val="pt-BR"/>
                    </w:rPr>
                    <w:t>3</w:t>
                  </w:r>
                  <w:r>
                    <w:rPr>
                      <w:color w:val="000000"/>
                      <w:szCs w:val="21"/>
                      <w:lang w:val="pt-BR"/>
                    </w:rPr>
                    <w:t>与金属反应形成的盐类。由金属离子（或铵离子）和硝酸根离子组成。常见的硝酸盐有硝酸钠、硝酸钾、硝酸铵、硝酸钙、硝酸铅、硝酸铈等。是供植物吸收的氮肥，氮元素不仅是氨基酸与蛋白质的主要成分，还可以合成叶绿素，促进光合作用，所以如果植物缺氮就会叶子枯黄。硝酸钠和硝酸钙是很好的氮肥。硝酸钾是制黑色火药的原料。硝酸铵可作肥料，也可制炸药。</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166</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亚硫酸盐</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SO</w:t>
                  </w:r>
                  <w:r>
                    <w:rPr>
                      <w:color w:val="000000"/>
                      <w:szCs w:val="21"/>
                      <w:vertAlign w:val="subscript"/>
                      <w:lang w:val="pt-BR"/>
                    </w:rPr>
                    <w:t>3</w:t>
                  </w:r>
                  <w:r>
                    <w:rPr>
                      <w:color w:val="000000"/>
                      <w:szCs w:val="21"/>
                      <w:vertAlign w:val="super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亚硫酸钠是亚硫酸盐存在的最常见的形式，是优良的还原剂，用来清除氧，亚硫酸盐是一种含氧酸盐，分子式为Na</w:t>
                  </w:r>
                  <w:r>
                    <w:rPr>
                      <w:color w:val="000000"/>
                      <w:szCs w:val="21"/>
                      <w:vertAlign w:val="subscript"/>
                      <w:lang w:val="pt-BR"/>
                    </w:rPr>
                    <w:t>2</w:t>
                  </w:r>
                  <w:r>
                    <w:rPr>
                      <w:color w:val="000000"/>
                      <w:szCs w:val="21"/>
                      <w:lang w:val="pt-BR"/>
                    </w:rPr>
                    <w:t>SO</w:t>
                  </w:r>
                  <w:r>
                    <w:rPr>
                      <w:color w:val="000000"/>
                      <w:szCs w:val="21"/>
                      <w:vertAlign w:val="subscript"/>
                      <w:lang w:val="pt-BR"/>
                    </w:rPr>
                    <w:t>3</w:t>
                  </w:r>
                  <w:r>
                    <w:rPr>
                      <w:color w:val="000000"/>
                      <w:szCs w:val="21"/>
                      <w:lang w:val="pt-BR"/>
                    </w:rPr>
                    <w:t>其酸根为亚硫酸根SO</w:t>
                  </w:r>
                  <w:r>
                    <w:rPr>
                      <w:color w:val="000000"/>
                      <w:szCs w:val="21"/>
                      <w:vertAlign w:val="subscript"/>
                      <w:lang w:val="pt-BR"/>
                    </w:rPr>
                    <w:t>3</w:t>
                  </w:r>
                  <w:r>
                    <w:rPr>
                      <w:color w:val="000000"/>
                      <w:szCs w:val="21"/>
                      <w:vertAlign w:val="superscript"/>
                      <w:lang w:val="pt-BR"/>
                    </w:rPr>
                    <w:t>2-</w:t>
                  </w:r>
                  <w:r>
                    <w:rPr>
                      <w:color w:val="000000"/>
                      <w:szCs w:val="21"/>
                      <w:lang w:val="pt-BR"/>
                    </w:rPr>
                    <w:t>。其酸酐为二氧化硫SO</w:t>
                  </w:r>
                  <w:r>
                    <w:rPr>
                      <w:color w:val="000000"/>
                      <w:szCs w:val="21"/>
                      <w:vertAlign w:val="subscript"/>
                      <w:lang w:val="pt-BR"/>
                    </w:rPr>
                    <w:t>2</w:t>
                  </w:r>
                  <w:r>
                    <w:rPr>
                      <w:color w:val="000000"/>
                      <w:szCs w:val="21"/>
                      <w:lang w:val="pt-BR"/>
                    </w:rPr>
                    <w:t>，在地表水中通常不存在亚硫酸盐。如果亚硫酸盐排放到出水中来源于市政污水,那么它就很容易氧化成硫酸盐。可作为食品漂白剂，防腐剂，</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167</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lang w:val="pt-BR"/>
                    </w:rPr>
                    <w:t>合成着色剂</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食品合成着色剂，也称为食品合成染料,是用人工合成方法所制得的有机着色剂，合成着色剂的着色力强、色泽鲜艳、不易褪色、稳定性好、易溶解、易调色、成本低。</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168</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咖啡因</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8</w:t>
                  </w:r>
                  <w:r>
                    <w:rPr>
                      <w:color w:val="000000"/>
                      <w:szCs w:val="21"/>
                      <w:lang w:val="pt-BR"/>
                    </w:rPr>
                    <w:t>H</w:t>
                  </w:r>
                  <w:r>
                    <w:rPr>
                      <w:color w:val="000000"/>
                      <w:szCs w:val="21"/>
                      <w:vertAlign w:val="subscript"/>
                      <w:lang w:val="pt-BR"/>
                    </w:rPr>
                    <w:t>10</w:t>
                  </w:r>
                  <w:r>
                    <w:rPr>
                      <w:color w:val="000000"/>
                      <w:szCs w:val="21"/>
                      <w:lang w:val="pt-BR"/>
                    </w:rPr>
                    <w:t>N</w:t>
                  </w:r>
                  <w:r>
                    <w:rPr>
                      <w:color w:val="000000"/>
                      <w:szCs w:val="21"/>
                      <w:vertAlign w:val="subscript"/>
                      <w:lang w:val="pt-BR"/>
                    </w:rPr>
                    <w:t>4</w:t>
                  </w:r>
                  <w:r>
                    <w:rPr>
                      <w:color w:val="000000"/>
                      <w:szCs w:val="21"/>
                      <w:lang w:val="pt-BR"/>
                    </w:rPr>
                    <w:t>O</w:t>
                  </w:r>
                  <w:r>
                    <w:rPr>
                      <w:color w:val="000000"/>
                      <w:szCs w:val="21"/>
                      <w:vertAlign w:val="sub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咖啡因，化学式为C</w:t>
                  </w:r>
                  <w:r>
                    <w:rPr>
                      <w:color w:val="000000"/>
                      <w:szCs w:val="21"/>
                      <w:vertAlign w:val="subscript"/>
                      <w:lang w:val="pt-BR"/>
                    </w:rPr>
                    <w:t>8</w:t>
                  </w:r>
                  <w:r>
                    <w:rPr>
                      <w:color w:val="000000"/>
                      <w:szCs w:val="21"/>
                      <w:lang w:val="pt-BR"/>
                    </w:rPr>
                    <w:t>H</w:t>
                  </w:r>
                  <w:r>
                    <w:rPr>
                      <w:color w:val="000000"/>
                      <w:szCs w:val="21"/>
                      <w:vertAlign w:val="subscript"/>
                      <w:lang w:val="pt-BR"/>
                    </w:rPr>
                    <w:t>10</w:t>
                  </w:r>
                  <w:r>
                    <w:rPr>
                      <w:color w:val="000000"/>
                      <w:szCs w:val="21"/>
                      <w:lang w:val="pt-BR"/>
                    </w:rPr>
                    <w:t>N</w:t>
                  </w:r>
                  <w:r>
                    <w:rPr>
                      <w:color w:val="000000"/>
                      <w:szCs w:val="21"/>
                      <w:vertAlign w:val="subscript"/>
                      <w:lang w:val="pt-BR"/>
                    </w:rPr>
                    <w:t>4</w:t>
                  </w:r>
                  <w:r>
                    <w:rPr>
                      <w:color w:val="000000"/>
                      <w:szCs w:val="21"/>
                      <w:lang w:val="pt-BR"/>
                    </w:rPr>
                    <w:t>O</w:t>
                  </w:r>
                  <w:r>
                    <w:rPr>
                      <w:color w:val="000000"/>
                      <w:szCs w:val="21"/>
                      <w:vertAlign w:val="subscript"/>
                      <w:lang w:val="pt-BR"/>
                    </w:rPr>
                    <w:t>2</w:t>
                  </w:r>
                  <w:r>
                    <w:rPr>
                      <w:color w:val="000000"/>
                      <w:szCs w:val="21"/>
                      <w:lang w:val="pt-BR"/>
                    </w:rPr>
                    <w:t>，分子量：194.19；熔点：235-238℃；密度：1.23g/cm³；白色结晶性粉末，是一种黄嘌呤生物碱化合物，是一种中枢神经兴奋剂，能够暂时的驱走睡意并恢复精力，临床上用于昏迷复苏。溶解性：溶于氯仿、水、乙醇，易溶于稀酸，微溶于乙醚。</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169</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游离棉酚</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30</w:t>
                  </w:r>
                  <w:r>
                    <w:rPr>
                      <w:color w:val="000000"/>
                      <w:szCs w:val="21"/>
                      <w:lang w:val="pt-BR"/>
                    </w:rPr>
                    <w:t>H</w:t>
                  </w:r>
                  <w:r>
                    <w:rPr>
                      <w:color w:val="000000"/>
                      <w:szCs w:val="21"/>
                      <w:vertAlign w:val="subscript"/>
                      <w:lang w:val="pt-BR"/>
                    </w:rPr>
                    <w:t>30</w:t>
                  </w:r>
                  <w:r>
                    <w:rPr>
                      <w:color w:val="000000"/>
                      <w:szCs w:val="21"/>
                      <w:lang w:val="pt-BR"/>
                    </w:rPr>
                    <w:t>O</w:t>
                  </w:r>
                  <w:r>
                    <w:rPr>
                      <w:color w:val="000000"/>
                      <w:szCs w:val="21"/>
                      <w:vertAlign w:val="subscript"/>
                      <w:lang w:val="pt-BR"/>
                    </w:rPr>
                    <w:t>8</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游离棉酚是指在棉仁组织中呈游离状态存在的棉酚，棉酚是一种多酚类化合物，分子量：518.54；分子式C</w:t>
                  </w:r>
                  <w:r>
                    <w:rPr>
                      <w:color w:val="000000"/>
                      <w:szCs w:val="21"/>
                      <w:vertAlign w:val="subscript"/>
                      <w:lang w:val="pt-BR"/>
                    </w:rPr>
                    <w:t>30</w:t>
                  </w:r>
                  <w:r>
                    <w:rPr>
                      <w:color w:val="000000"/>
                      <w:szCs w:val="21"/>
                      <w:lang w:val="pt-BR"/>
                    </w:rPr>
                    <w:t>H</w:t>
                  </w:r>
                  <w:r>
                    <w:rPr>
                      <w:color w:val="000000"/>
                      <w:szCs w:val="21"/>
                      <w:vertAlign w:val="subscript"/>
                      <w:lang w:val="pt-BR"/>
                    </w:rPr>
                    <w:t>30</w:t>
                  </w:r>
                  <w:r>
                    <w:rPr>
                      <w:color w:val="000000"/>
                      <w:szCs w:val="21"/>
                      <w:lang w:val="pt-BR"/>
                    </w:rPr>
                    <w:t>O</w:t>
                  </w:r>
                  <w:r>
                    <w:rPr>
                      <w:color w:val="000000"/>
                      <w:szCs w:val="21"/>
                      <w:vertAlign w:val="subscript"/>
                      <w:lang w:val="pt-BR"/>
                    </w:rPr>
                    <w:t>8</w:t>
                  </w:r>
                  <w:r>
                    <w:rPr>
                      <w:color w:val="000000"/>
                      <w:szCs w:val="21"/>
                      <w:lang w:val="pt-BR"/>
                    </w:rPr>
                    <w:t>；作为毒素物质的棉酚，己经被证实有着独特的具有抗生育、抗肿瘤等医药用途，还是一种良好的天然抗氧化剂。棉酚易溶于有机溶剂，如丙酮、乙醇、乙醚、甲醇、乙腈、氯仿等，可用于棉酚的提取，难溶于己烷和高沸点的石油醚，不溶于水和低沸点的石油醚。棉酚及其某些衍生物具有抗氧化剂的性质，因此，可用作氧化抑制剂。</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170</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六六六</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6</w:t>
                  </w:r>
                  <w:r>
                    <w:rPr>
                      <w:color w:val="000000"/>
                      <w:szCs w:val="21"/>
                      <w:lang w:val="pt-BR"/>
                    </w:rPr>
                    <w:t>H</w:t>
                  </w:r>
                  <w:r>
                    <w:rPr>
                      <w:color w:val="000000"/>
                      <w:szCs w:val="21"/>
                      <w:vertAlign w:val="subscript"/>
                      <w:lang w:val="pt-BR"/>
                    </w:rPr>
                    <w:t>6</w:t>
                  </w:r>
                  <w:r>
                    <w:rPr>
                      <w:color w:val="000000"/>
                      <w:szCs w:val="21"/>
                      <w:lang w:val="pt-BR"/>
                    </w:rPr>
                    <w:t>Cl</w:t>
                  </w:r>
                  <w:r>
                    <w:rPr>
                      <w:color w:val="000000"/>
                      <w:szCs w:val="21"/>
                      <w:vertAlign w:val="subscript"/>
                      <w:lang w:val="pt-BR"/>
                    </w:rPr>
                    <w:t>6</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六氯环己烷是一种有机化合物，分子式为C</w:t>
                  </w:r>
                  <w:r>
                    <w:rPr>
                      <w:color w:val="000000"/>
                      <w:szCs w:val="21"/>
                      <w:vertAlign w:val="subscript"/>
                      <w:lang w:val="pt-BR"/>
                    </w:rPr>
                    <w:t>6</w:t>
                  </w:r>
                  <w:r>
                    <w:rPr>
                      <w:color w:val="000000"/>
                      <w:szCs w:val="21"/>
                      <w:lang w:val="pt-BR"/>
                    </w:rPr>
                    <w:t>H</w:t>
                  </w:r>
                  <w:r>
                    <w:rPr>
                      <w:color w:val="000000"/>
                      <w:szCs w:val="21"/>
                      <w:vertAlign w:val="subscript"/>
                      <w:lang w:val="pt-BR"/>
                    </w:rPr>
                    <w:t>6</w:t>
                  </w:r>
                  <w:r>
                    <w:rPr>
                      <w:color w:val="000000"/>
                      <w:szCs w:val="21"/>
                      <w:lang w:val="pt-BR"/>
                    </w:rPr>
                    <w:t>Cl</w:t>
                  </w:r>
                  <w:r>
                    <w:rPr>
                      <w:color w:val="000000"/>
                      <w:szCs w:val="21"/>
                      <w:vertAlign w:val="subscript"/>
                      <w:lang w:val="pt-BR"/>
                    </w:rPr>
                    <w:t>6</w:t>
                  </w:r>
                  <w:r>
                    <w:rPr>
                      <w:color w:val="000000"/>
                      <w:szCs w:val="21"/>
                      <w:lang w:val="pt-BR"/>
                    </w:rPr>
                    <w:t>，分子量290.83；熔点：141.5℃；沸点：288℃；密度：1.89g/cm³；白色晶体，有8种同分异构体，对昆虫有触杀、熏杀和胃毒作用，六氯环己烷在2B类致癌物清单中，溶于苯，微溶于氯仿，不溶于水，本品应密封保存。该物质对环境可能有危害，对水体应给予特别注意，保持干燥。六六六稳定性强，不易分解，大量使用直接造成对农作物的污染，同时农药残留在水和土中。</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171</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滴滴涕</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14</w:t>
                  </w:r>
                  <w:r>
                    <w:rPr>
                      <w:color w:val="000000"/>
                      <w:szCs w:val="21"/>
                      <w:lang w:val="pt-BR"/>
                    </w:rPr>
                    <w:t>H</w:t>
                  </w:r>
                  <w:r>
                    <w:rPr>
                      <w:color w:val="000000"/>
                      <w:szCs w:val="21"/>
                      <w:vertAlign w:val="subscript"/>
                      <w:lang w:val="pt-BR"/>
                    </w:rPr>
                    <w:t>9</w:t>
                  </w:r>
                  <w:r>
                    <w:rPr>
                      <w:color w:val="000000"/>
                      <w:szCs w:val="21"/>
                      <w:lang w:val="pt-BR"/>
                    </w:rPr>
                    <w:t>C</w:t>
                  </w:r>
                  <w:r>
                    <w:rPr>
                      <w:color w:val="000000"/>
                      <w:szCs w:val="21"/>
                      <w:vertAlign w:val="subscript"/>
                      <w:lang w:val="pt-BR"/>
                    </w:rPr>
                    <w:t>l5</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DDT，又叫滴滴涕，化学名为双对氯苯基三氯乙烷，是有机氯类杀虫剂，化学式为C</w:t>
                  </w:r>
                  <w:r>
                    <w:rPr>
                      <w:color w:val="000000"/>
                      <w:szCs w:val="21"/>
                      <w:vertAlign w:val="subscript"/>
                      <w:lang w:val="pt-BR"/>
                    </w:rPr>
                    <w:t>14</w:t>
                  </w:r>
                  <w:r>
                    <w:rPr>
                      <w:color w:val="000000"/>
                      <w:szCs w:val="21"/>
                      <w:lang w:val="pt-BR"/>
                    </w:rPr>
                    <w:t>H</w:t>
                  </w:r>
                  <w:r>
                    <w:rPr>
                      <w:color w:val="000000"/>
                      <w:szCs w:val="21"/>
                      <w:vertAlign w:val="subscript"/>
                      <w:lang w:val="pt-BR"/>
                    </w:rPr>
                    <w:t>9</w:t>
                  </w:r>
                  <w:r>
                    <w:rPr>
                      <w:color w:val="000000"/>
                      <w:szCs w:val="21"/>
                      <w:lang w:val="pt-BR"/>
                    </w:rPr>
                    <w:t>C</w:t>
                  </w:r>
                  <w:r>
                    <w:rPr>
                      <w:color w:val="000000"/>
                      <w:szCs w:val="21"/>
                      <w:vertAlign w:val="subscript"/>
                      <w:lang w:val="pt-BR"/>
                    </w:rPr>
                    <w:t>l5</w:t>
                  </w:r>
                  <w:r>
                    <w:rPr>
                      <w:color w:val="000000"/>
                      <w:szCs w:val="21"/>
                      <w:lang w:val="pt-BR"/>
                    </w:rPr>
                    <w:t>，分子量：354.486；密度：1.451g/cm</w:t>
                  </w:r>
                  <w:r>
                    <w:rPr>
                      <w:color w:val="000000"/>
                      <w:szCs w:val="21"/>
                      <w:vertAlign w:val="superscript"/>
                      <w:lang w:val="pt-BR"/>
                    </w:rPr>
                    <w:t>3</w:t>
                  </w:r>
                  <w:r>
                    <w:rPr>
                      <w:color w:val="000000"/>
                      <w:szCs w:val="21"/>
                      <w:lang w:val="pt-BR"/>
                    </w:rPr>
                    <w:t>；熔点：107～110℃；沸点：260℃；为白色晶体，不溶于水，溶于煤油，可制成乳剂，是有效的杀虫剂。世界卫生组织国际癌症研究机构公布的致癌物清单初步整理参考，4,4'-二氯二苯三氯乙烷（滴滴涕）在2A类致癌物清单中。</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172</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lang w:val="pt-BR"/>
                    </w:rPr>
                    <w:t>六号溶剂</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6号抽提溶剂油在食品工业上，主要用于天然香料、色素、油脂和其它脂溶性物质的浸出抽提工艺，在工业产品中，主要应用于万能胶、橡胶合成过程中的溶剂，某些防火材料中也有部分应用。外观为无色透明液体，是各种低级烷烃的混合物。产品馏份范围较工业己烷宽，具有工业己烷类似的性质。能与除蓖麻油以外的多数液态油脂混溶，可溶解低级脂肪酸。存放于阴凉通风处，注意防火、防爆、防静电。燃烧爆炸危险性及毒性：易挥发、易燃、易爆。大量吸入有麻醉性，其中所含少量芳烃及硫化物杂质有较大毒性。主要侵入途径是吸入或皮肤接触。</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173</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阿斯巴甜</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rPr>
                    <w:t>阿斯巴甜化学名称为L-天冬氨酰-L-苯丙氨酸甲基酯(APM)又称甜味素、蛋白糖、天冬甜母、天冬甜精、天苯糖等，是一种食品添加剂。对酸、热的稳定性较差，在强酸强碱中或在高温加热时易水解生成苦味的二嗦呱酮，不适宜制作温度&gt;150℃的面包、饼干、蛋糕等焙烤食品和高酸食品。白色粉末状固体。</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174</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阿力甜</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14</w:t>
                  </w:r>
                  <w:r>
                    <w:rPr>
                      <w:color w:val="000000"/>
                      <w:szCs w:val="21"/>
                      <w:lang w:val="pt-BR"/>
                    </w:rPr>
                    <w:t>H</w:t>
                  </w:r>
                  <w:r>
                    <w:rPr>
                      <w:color w:val="000000"/>
                      <w:szCs w:val="21"/>
                      <w:vertAlign w:val="subscript"/>
                      <w:lang w:val="pt-BR"/>
                    </w:rPr>
                    <w:t>25</w:t>
                  </w:r>
                  <w:r>
                    <w:rPr>
                      <w:color w:val="000000"/>
                      <w:szCs w:val="21"/>
                      <w:lang w:val="pt-BR"/>
                    </w:rPr>
                    <w:t>N</w:t>
                  </w:r>
                  <w:r>
                    <w:rPr>
                      <w:color w:val="000000"/>
                      <w:szCs w:val="21"/>
                      <w:vertAlign w:val="subscript"/>
                      <w:lang w:val="pt-BR"/>
                    </w:rPr>
                    <w:t>3</w:t>
                  </w:r>
                  <w:r>
                    <w:rPr>
                      <w:color w:val="000000"/>
                      <w:szCs w:val="21"/>
                      <w:lang w:val="pt-BR"/>
                    </w:rPr>
                    <w:t>O</w:t>
                  </w:r>
                  <w:r>
                    <w:rPr>
                      <w:color w:val="000000"/>
                      <w:szCs w:val="21"/>
                      <w:vertAlign w:val="subscript"/>
                      <w:lang w:val="pt-BR"/>
                    </w:rPr>
                    <w:t>4</w:t>
                  </w:r>
                  <w:r>
                    <w:rPr>
                      <w:color w:val="000000"/>
                      <w:szCs w:val="21"/>
                      <w:lang w:val="pt-BR"/>
                    </w:rPr>
                    <w:t>S</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阿力甜是一种以天冬氨酸和丙氨酸为原料合成的二肽类甜味剂，分子式C</w:t>
                  </w:r>
                  <w:r>
                    <w:rPr>
                      <w:color w:val="000000"/>
                      <w:szCs w:val="21"/>
                      <w:vertAlign w:val="subscript"/>
                      <w:lang w:val="pt-BR"/>
                    </w:rPr>
                    <w:t>14</w:t>
                  </w:r>
                  <w:r>
                    <w:rPr>
                      <w:color w:val="000000"/>
                      <w:szCs w:val="21"/>
                      <w:lang w:val="pt-BR"/>
                    </w:rPr>
                    <w:t>H</w:t>
                  </w:r>
                  <w:r>
                    <w:rPr>
                      <w:color w:val="000000"/>
                      <w:szCs w:val="21"/>
                      <w:vertAlign w:val="subscript"/>
                      <w:lang w:val="pt-BR"/>
                    </w:rPr>
                    <w:t>25</w:t>
                  </w:r>
                  <w:r>
                    <w:rPr>
                      <w:color w:val="000000"/>
                      <w:szCs w:val="21"/>
                      <w:lang w:val="pt-BR"/>
                    </w:rPr>
                    <w:t>N</w:t>
                  </w:r>
                  <w:r>
                    <w:rPr>
                      <w:color w:val="000000"/>
                      <w:szCs w:val="21"/>
                      <w:vertAlign w:val="subscript"/>
                      <w:lang w:val="pt-BR"/>
                    </w:rPr>
                    <w:t>3</w:t>
                  </w:r>
                  <w:r>
                    <w:rPr>
                      <w:color w:val="000000"/>
                      <w:szCs w:val="21"/>
                      <w:lang w:val="pt-BR"/>
                    </w:rPr>
                    <w:t>O</w:t>
                  </w:r>
                  <w:r>
                    <w:rPr>
                      <w:color w:val="000000"/>
                      <w:szCs w:val="21"/>
                      <w:vertAlign w:val="subscript"/>
                      <w:lang w:val="pt-BR"/>
                    </w:rPr>
                    <w:t>4</w:t>
                  </w:r>
                  <w:r>
                    <w:rPr>
                      <w:color w:val="000000"/>
                      <w:szCs w:val="21"/>
                      <w:lang w:val="pt-BR"/>
                    </w:rPr>
                    <w:t>S，分子量：331.43；其甜度为蔗糖的2000倍以上，具有安全性好、甜度高和热量低的优点，是蔗糖的替代品之一，性质稳定，溶解性易溶于水、乙醇；白色、无臭、结晶性粉末。阿力甜是一种白色、无臭的结晶性粉末，带有强力甜味。其熔融点为100℃（慢速加热），再凝固点为102℃；熔融分解温度则是136-137℃。溶解性大，易溶于水（130g/L）、乙醇（610g/L），其5%水溶液pH约为5.6。</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175</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双乙酸钠</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4</w:t>
                  </w:r>
                  <w:r>
                    <w:rPr>
                      <w:color w:val="000000"/>
                      <w:szCs w:val="21"/>
                      <w:lang w:val="pt-BR"/>
                    </w:rPr>
                    <w:t>H</w:t>
                  </w:r>
                  <w:r>
                    <w:rPr>
                      <w:color w:val="000000"/>
                      <w:szCs w:val="21"/>
                      <w:vertAlign w:val="subscript"/>
                      <w:lang w:val="pt-BR"/>
                    </w:rPr>
                    <w:t>7</w:t>
                  </w:r>
                  <w:r>
                    <w:rPr>
                      <w:color w:val="000000"/>
                      <w:szCs w:val="21"/>
                      <w:lang w:val="pt-BR"/>
                    </w:rPr>
                    <w:t>NaO</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双乙酸钠，分子式为C</w:t>
                  </w:r>
                  <w:r>
                    <w:rPr>
                      <w:color w:val="000000"/>
                      <w:szCs w:val="21"/>
                      <w:vertAlign w:val="subscript"/>
                      <w:lang w:val="pt-BR"/>
                    </w:rPr>
                    <w:t>4</w:t>
                  </w:r>
                  <w:r>
                    <w:rPr>
                      <w:color w:val="000000"/>
                      <w:szCs w:val="21"/>
                      <w:lang w:val="pt-BR"/>
                    </w:rPr>
                    <w:t>H</w:t>
                  </w:r>
                  <w:r>
                    <w:rPr>
                      <w:color w:val="000000"/>
                      <w:szCs w:val="21"/>
                      <w:vertAlign w:val="subscript"/>
                      <w:lang w:val="pt-BR"/>
                    </w:rPr>
                    <w:t>7</w:t>
                  </w:r>
                  <w:r>
                    <w:rPr>
                      <w:color w:val="000000"/>
                      <w:szCs w:val="21"/>
                      <w:lang w:val="pt-BR"/>
                    </w:rPr>
                    <w:t>NaO</w:t>
                  </w:r>
                  <w:r>
                    <w:rPr>
                      <w:color w:val="000000"/>
                      <w:szCs w:val="21"/>
                      <w:vertAlign w:val="subscript"/>
                      <w:lang w:val="pt-BR"/>
                    </w:rPr>
                    <w:t>4</w:t>
                  </w:r>
                  <w:r>
                    <w:rPr>
                      <w:color w:val="000000"/>
                      <w:szCs w:val="21"/>
                      <w:lang w:val="pt-BR"/>
                    </w:rPr>
                    <w:t>，又称二乙酸钠、双醋酸钠，商品名为Vita-crop（维他可乐波）是一种性质稳定、价格低廉的新型食品饲料防霉剂、酸味剂和改良剂，被美国食品和药品管理局定为安全物质，具有高效防霉、防腐、保鲜，提高适口性，增加营养价值，双乙酸钠为白色结晶，带有醋酸气味，易吸湿，极易溶于水，加热至150℃以上分解，具有可燃性，在阴凉干燥条件下性质稳定。双乙酸钠为乙酸钠和乙酸的分子复合物，白色吸湿性结晶状固体，具乙酸臭。加热至150℃以上分解，可燃。lg乙酸钠可溶于约lmL水中，10%水溶液的pH为4.5~5.0。</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176</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乙二胺四乙酸二钠</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10</w:t>
                  </w:r>
                  <w:r>
                    <w:rPr>
                      <w:color w:val="000000"/>
                      <w:szCs w:val="21"/>
                      <w:lang w:val="pt-BR"/>
                    </w:rPr>
                    <w:t>H</w:t>
                  </w:r>
                  <w:r>
                    <w:rPr>
                      <w:color w:val="000000"/>
                      <w:szCs w:val="21"/>
                      <w:vertAlign w:val="subscript"/>
                      <w:lang w:val="pt-BR"/>
                    </w:rPr>
                    <w:t>14</w:t>
                  </w:r>
                  <w:r>
                    <w:rPr>
                      <w:color w:val="000000"/>
                      <w:szCs w:val="21"/>
                      <w:lang w:val="pt-BR"/>
                    </w:rPr>
                    <w:t>N</w:t>
                  </w:r>
                  <w:r>
                    <w:rPr>
                      <w:color w:val="000000"/>
                      <w:szCs w:val="21"/>
                      <w:vertAlign w:val="subscript"/>
                      <w:lang w:val="pt-BR"/>
                    </w:rPr>
                    <w:t>2</w:t>
                  </w:r>
                  <w:r>
                    <w:rPr>
                      <w:color w:val="000000"/>
                      <w:szCs w:val="21"/>
                      <w:lang w:val="pt-BR"/>
                    </w:rPr>
                    <w:t>Na</w:t>
                  </w:r>
                  <w:r>
                    <w:rPr>
                      <w:color w:val="000000"/>
                      <w:szCs w:val="21"/>
                      <w:vertAlign w:val="subscript"/>
                      <w:lang w:val="pt-BR"/>
                    </w:rPr>
                    <w:t>2</w:t>
                  </w:r>
                  <w:r>
                    <w:rPr>
                      <w:color w:val="000000"/>
                      <w:szCs w:val="21"/>
                      <w:lang w:val="pt-BR"/>
                    </w:rPr>
                    <w:t>O</w:t>
                  </w:r>
                  <w:r>
                    <w:rPr>
                      <w:color w:val="000000"/>
                      <w:szCs w:val="21"/>
                      <w:vertAlign w:val="subscript"/>
                      <w:lang w:val="pt-BR"/>
                    </w:rPr>
                    <w:t>8</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乙二胺四乙酸二钠，又叫做EDTA-2Na，是化学中一种良好的配合剂。化学式为C</w:t>
                  </w:r>
                  <w:r>
                    <w:rPr>
                      <w:color w:val="000000"/>
                      <w:szCs w:val="21"/>
                      <w:vertAlign w:val="subscript"/>
                      <w:lang w:val="pt-BR"/>
                    </w:rPr>
                    <w:t>10</w:t>
                  </w:r>
                  <w:r>
                    <w:rPr>
                      <w:color w:val="000000"/>
                      <w:szCs w:val="21"/>
                      <w:lang w:val="pt-BR"/>
                    </w:rPr>
                    <w:t>H</w:t>
                  </w:r>
                  <w:r>
                    <w:rPr>
                      <w:color w:val="000000"/>
                      <w:szCs w:val="21"/>
                      <w:vertAlign w:val="subscript"/>
                      <w:lang w:val="pt-BR"/>
                    </w:rPr>
                    <w:t>14</w:t>
                  </w:r>
                  <w:r>
                    <w:rPr>
                      <w:color w:val="000000"/>
                      <w:szCs w:val="21"/>
                      <w:lang w:val="pt-BR"/>
                    </w:rPr>
                    <w:t>N</w:t>
                  </w:r>
                  <w:r>
                    <w:rPr>
                      <w:color w:val="000000"/>
                      <w:szCs w:val="21"/>
                      <w:vertAlign w:val="subscript"/>
                      <w:lang w:val="pt-BR"/>
                    </w:rPr>
                    <w:t>2</w:t>
                  </w:r>
                  <w:r>
                    <w:rPr>
                      <w:color w:val="000000"/>
                      <w:szCs w:val="21"/>
                      <w:lang w:val="pt-BR"/>
                    </w:rPr>
                    <w:t>Na</w:t>
                  </w:r>
                  <w:r>
                    <w:rPr>
                      <w:color w:val="000000"/>
                      <w:szCs w:val="21"/>
                      <w:vertAlign w:val="subscript"/>
                      <w:lang w:val="pt-BR"/>
                    </w:rPr>
                    <w:t>2</w:t>
                  </w:r>
                  <w:r>
                    <w:rPr>
                      <w:color w:val="000000"/>
                      <w:szCs w:val="21"/>
                      <w:lang w:val="pt-BR"/>
                    </w:rPr>
                    <w:t>O</w:t>
                  </w:r>
                  <w:r>
                    <w:rPr>
                      <w:color w:val="000000"/>
                      <w:szCs w:val="21"/>
                      <w:vertAlign w:val="subscript"/>
                      <w:lang w:val="pt-BR"/>
                    </w:rPr>
                    <w:t>8</w:t>
                  </w:r>
                  <w:r>
                    <w:rPr>
                      <w:color w:val="000000"/>
                      <w:szCs w:val="21"/>
                      <w:lang w:val="pt-BR"/>
                    </w:rPr>
                    <w:t>，分子量为336.206，它有六个配位原子，形成的配合物叫做螯合物，EDTA在配位滴定中经常用到，一般是测定金属离子的含量。乙二胺四乙酸二钠为无味无臭或微咸的白色或乳白色结晶或颗粒状粉末，无臭、无味。它能溶于水，极难溶于乙醇。受高热分解产生有毒的腐蚀性烟气。有害燃烧产物：一氧化碳、二氧化碳、氮氧化物。防止金属引起的变色、变质、变浊和维生素C的氧化损失。</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177</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对硫磷</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10</w:t>
                  </w:r>
                  <w:r>
                    <w:rPr>
                      <w:color w:val="000000"/>
                      <w:szCs w:val="21"/>
                      <w:lang w:val="pt-BR"/>
                    </w:rPr>
                    <w:t>H</w:t>
                  </w:r>
                  <w:r>
                    <w:rPr>
                      <w:color w:val="000000"/>
                      <w:szCs w:val="21"/>
                      <w:vertAlign w:val="subscript"/>
                      <w:lang w:val="pt-BR"/>
                    </w:rPr>
                    <w:t>14</w:t>
                  </w:r>
                  <w:r>
                    <w:rPr>
                      <w:color w:val="000000"/>
                      <w:szCs w:val="21"/>
                      <w:lang w:val="pt-BR"/>
                    </w:rPr>
                    <w:t>NO</w:t>
                  </w:r>
                  <w:r>
                    <w:rPr>
                      <w:color w:val="000000"/>
                      <w:szCs w:val="21"/>
                      <w:vertAlign w:val="subscript"/>
                      <w:lang w:val="pt-BR"/>
                    </w:rPr>
                    <w:t>5</w:t>
                  </w:r>
                  <w:r>
                    <w:rPr>
                      <w:color w:val="000000"/>
                      <w:szCs w:val="21"/>
                      <w:lang w:val="pt-BR"/>
                    </w:rPr>
                    <w:t>PS</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对硫磷，化学名称为O,O-二乙基-O-(4-硝基苯基)硫代磷酸酯，是一种有机化合物，化学式为C</w:t>
                  </w:r>
                  <w:r>
                    <w:rPr>
                      <w:color w:val="000000"/>
                      <w:szCs w:val="21"/>
                      <w:vertAlign w:val="subscript"/>
                      <w:lang w:val="pt-BR"/>
                    </w:rPr>
                    <w:t>10</w:t>
                  </w:r>
                  <w:r>
                    <w:rPr>
                      <w:color w:val="000000"/>
                      <w:szCs w:val="21"/>
                      <w:lang w:val="pt-BR"/>
                    </w:rPr>
                    <w:t>H</w:t>
                  </w:r>
                  <w:r>
                    <w:rPr>
                      <w:color w:val="000000"/>
                      <w:szCs w:val="21"/>
                      <w:vertAlign w:val="subscript"/>
                      <w:lang w:val="pt-BR"/>
                    </w:rPr>
                    <w:t>14</w:t>
                  </w:r>
                  <w:r>
                    <w:rPr>
                      <w:color w:val="000000"/>
                      <w:szCs w:val="21"/>
                      <w:lang w:val="pt-BR"/>
                    </w:rPr>
                    <w:t>NO</w:t>
                  </w:r>
                  <w:r>
                    <w:rPr>
                      <w:color w:val="000000"/>
                      <w:szCs w:val="21"/>
                      <w:vertAlign w:val="subscript"/>
                      <w:lang w:val="pt-BR"/>
                    </w:rPr>
                    <w:t>5</w:t>
                  </w:r>
                  <w:r>
                    <w:rPr>
                      <w:color w:val="000000"/>
                      <w:szCs w:val="21"/>
                      <w:lang w:val="pt-BR"/>
                    </w:rPr>
                    <w:t>PS，分子量：291.261；有剧毒，是一种有机磷杀虫剂，在中国禁止生产、销售、使用，对硫磷在2B类致癌物清单中。密度：1.27g/cm</w:t>
                  </w:r>
                  <w:r>
                    <w:rPr>
                      <w:color w:val="000000"/>
                      <w:szCs w:val="21"/>
                      <w:vertAlign w:val="superscript"/>
                      <w:lang w:val="pt-BR"/>
                    </w:rPr>
                    <w:t>3</w:t>
                  </w:r>
                  <w:r>
                    <w:rPr>
                      <w:color w:val="000000"/>
                      <w:szCs w:val="21"/>
                      <w:lang w:val="pt-BR"/>
                    </w:rPr>
                    <w:t>；熔点：6℃；沸点：375℃；外观：无色液体；溶解性：不溶于水，溶于醇类、醚类、酯类、酮类、芳烃等有机溶剂，不溶于石油醚、煤油。</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178</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四氯化碳</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CCl</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四氯化碳，是一种有机化合物，化学式CCl</w:t>
                  </w:r>
                  <w:r>
                    <w:rPr>
                      <w:color w:val="000000"/>
                      <w:szCs w:val="21"/>
                      <w:vertAlign w:val="subscript"/>
                      <w:lang w:val="pt-BR"/>
                    </w:rPr>
                    <w:t>4</w:t>
                  </w:r>
                  <w:r>
                    <w:rPr>
                      <w:color w:val="000000"/>
                      <w:szCs w:val="21"/>
                      <w:lang w:val="pt-BR"/>
                    </w:rPr>
                    <w:t>，分子量：153.823；主要用作优良的溶剂、干洗剂、灭火剂、制冷剂、香料的浸出剂以及农药等，也可用于有机合成。密度：1.594g/cm</w:t>
                  </w:r>
                  <w:r>
                    <w:rPr>
                      <w:color w:val="000000"/>
                      <w:szCs w:val="21"/>
                      <w:vertAlign w:val="superscript"/>
                      <w:lang w:val="pt-BR"/>
                    </w:rPr>
                    <w:t>3</w:t>
                  </w:r>
                  <w:r>
                    <w:rPr>
                      <w:color w:val="000000"/>
                      <w:szCs w:val="21"/>
                      <w:lang w:val="pt-BR"/>
                    </w:rPr>
                    <w:t>；熔点：-23℃；沸点：76-77℃；外观：无色透明液体。</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179</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三氯甲烷</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CHCl</w:t>
                  </w:r>
                  <w:r>
                    <w:rPr>
                      <w:color w:val="000000"/>
                      <w:szCs w:val="21"/>
                      <w:vertAlign w:val="subscript"/>
                      <w:lang w:val="pt-BR"/>
                    </w:rPr>
                    <w:t>3</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三氯甲烷，是一种有机化合物，化学式为CHCl</w:t>
                  </w:r>
                  <w:r>
                    <w:rPr>
                      <w:color w:val="000000"/>
                      <w:szCs w:val="21"/>
                      <w:vertAlign w:val="subscript"/>
                      <w:lang w:val="pt-BR"/>
                    </w:rPr>
                    <w:t>3</w:t>
                  </w:r>
                  <w:r>
                    <w:rPr>
                      <w:color w:val="000000"/>
                      <w:szCs w:val="21"/>
                      <w:lang w:val="pt-BR"/>
                    </w:rPr>
                    <w:t>，分子量：119.38；为无色透明液体，有特殊气味，味甜，高折光，不燃，质重，易挥发。对光敏感，遇光照会与空气中的氧作用，逐渐分解而生成剧毒的光气（碳酰氯）和氯化氢。可加入0.6%～1%的乙醇作稳定剂。能与乙醇、苯、乙醚、石油醚、四氯化碳、二硫化碳和油类等混溶、25℃时1mL溶于200mL水。三氯甲烷被列入有毒有害水污染物名录（第一批）。熔点：-63.5℃；密度：1.48g/cm</w:t>
                  </w:r>
                  <w:r>
                    <w:rPr>
                      <w:color w:val="000000"/>
                      <w:szCs w:val="21"/>
                      <w:vertAlign w:val="superscript"/>
                      <w:lang w:val="pt-BR"/>
                    </w:rPr>
                    <w:t>3</w:t>
                  </w:r>
                  <w:r>
                    <w:rPr>
                      <w:color w:val="000000"/>
                      <w:szCs w:val="21"/>
                      <w:lang w:val="pt-BR"/>
                    </w:rPr>
                    <w:t>；沸点：61.3℃；溶解性：不溶于水，溶于醇、醚、苯。无色透明重质液体，极易挥发，有特殊气味。</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180</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一氯二溴甲烷</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CHBr</w:t>
                  </w:r>
                  <w:r>
                    <w:rPr>
                      <w:color w:val="000000"/>
                      <w:szCs w:val="21"/>
                      <w:vertAlign w:val="subscript"/>
                      <w:lang w:val="pt-BR"/>
                    </w:rPr>
                    <w:t>2</w:t>
                  </w:r>
                  <w:r>
                    <w:rPr>
                      <w:color w:val="000000"/>
                      <w:szCs w:val="21"/>
                      <w:lang w:val="pt-BR"/>
                    </w:rPr>
                    <w:t>Cl</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二溴一氯甲烷（Dibromo-monochloro-methane）的分子式是CHBr</w:t>
                  </w:r>
                  <w:r>
                    <w:rPr>
                      <w:color w:val="000000"/>
                      <w:szCs w:val="21"/>
                      <w:vertAlign w:val="subscript"/>
                      <w:lang w:val="pt-BR"/>
                    </w:rPr>
                    <w:t>2</w:t>
                  </w:r>
                  <w:r>
                    <w:rPr>
                      <w:color w:val="000000"/>
                      <w:szCs w:val="21"/>
                      <w:lang w:val="pt-BR"/>
                    </w:rPr>
                    <w:t>Cl，分子量208.3，难溶于水，溶于醇、苯醚等有机溶剂。沸点116～122℃；熔点22℃左右；溶解性难溶于水，溶于醇、苯醚等有机溶剂；密度2.445(20/4℃)稳定性。外观与性状无色液体。</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181</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二氯一溴甲烷</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BrCHCl</w:t>
                  </w:r>
                  <w:r>
                    <w:rPr>
                      <w:color w:val="000000"/>
                      <w:szCs w:val="21"/>
                      <w:vertAlign w:val="sub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分子式CHBrCl</w:t>
                  </w:r>
                  <w:r>
                    <w:rPr>
                      <w:color w:val="000000"/>
                      <w:szCs w:val="21"/>
                      <w:vertAlign w:val="subscript"/>
                      <w:lang w:val="pt-BR"/>
                    </w:rPr>
                    <w:t>2</w:t>
                  </w:r>
                  <w:r>
                    <w:rPr>
                      <w:color w:val="000000"/>
                      <w:szCs w:val="21"/>
                      <w:lang w:val="pt-BR"/>
                    </w:rPr>
                    <w:t>；BrCHCl</w:t>
                  </w:r>
                  <w:r>
                    <w:rPr>
                      <w:color w:val="000000"/>
                      <w:szCs w:val="21"/>
                      <w:vertAlign w:val="subscript"/>
                      <w:lang w:val="pt-BR"/>
                    </w:rPr>
                    <w:t>2</w:t>
                  </w:r>
                  <w:r>
                    <w:rPr>
                      <w:color w:val="000000"/>
                      <w:szCs w:val="21"/>
                      <w:lang w:val="pt-BR"/>
                    </w:rPr>
                    <w:t>；无色液体。分子量163.82；溶于乙醇、乙醚、丙酮、苯、氯仿，微溶于水。服有害。对眼睛、呼吸系统及皮肤有刺激性。用作溶剂、有机合成中间体。毒性分级中毒。性状：无色液体。相对密度（g/mL,20/4℃）：1.980，熔点（ºC）：-55；沸点（ºC,常压）：87；口服有害。对眼睛、呼吸系统及皮肤有刺激性。</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182</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三溴甲烷</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CHBr</w:t>
                  </w:r>
                  <w:r>
                    <w:rPr>
                      <w:color w:val="000000"/>
                      <w:szCs w:val="21"/>
                      <w:vertAlign w:val="subscript"/>
                      <w:lang w:val="pt-BR"/>
                    </w:rPr>
                    <w:t>3</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三溴甲烷，又称溴仿，是一种有机化合物，化学式为CHBr</w:t>
                  </w:r>
                  <w:r>
                    <w:rPr>
                      <w:color w:val="000000"/>
                      <w:szCs w:val="21"/>
                      <w:vertAlign w:val="subscript"/>
                      <w:lang w:val="pt-BR"/>
                    </w:rPr>
                    <w:t>3</w:t>
                  </w:r>
                  <w:r>
                    <w:rPr>
                      <w:color w:val="000000"/>
                      <w:szCs w:val="21"/>
                      <w:lang w:val="pt-BR"/>
                    </w:rPr>
                    <w:t>，分子量：252.731；主要用作染料中间体、消毒剂、镇痛剂、麻醉剂、制冷剂、选矿剂、沉淀剂、溶剂和抗爆液组分等。三溴甲烷在3类致癌物清单中，熔点：8℃；沸点：150℃；密度：2.89g/cm</w:t>
                  </w:r>
                  <w:r>
                    <w:rPr>
                      <w:color w:val="000000"/>
                      <w:szCs w:val="21"/>
                      <w:vertAlign w:val="superscript"/>
                      <w:lang w:val="pt-BR"/>
                    </w:rPr>
                    <w:t>3</w:t>
                  </w:r>
                  <w:r>
                    <w:rPr>
                      <w:color w:val="000000"/>
                      <w:szCs w:val="21"/>
                      <w:lang w:val="pt-BR"/>
                    </w:rPr>
                    <w:t>；外观：无色至黄色液体；溶解性：微溶于水，溶于乙醇、乙醚、氯仿、苯等；对水生生物有毒，可能在水生环境中造成长期不利影响。</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183</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三氯乙烯</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2</w:t>
                  </w:r>
                  <w:r>
                    <w:rPr>
                      <w:color w:val="000000"/>
                      <w:szCs w:val="21"/>
                      <w:lang w:val="pt-BR"/>
                    </w:rPr>
                    <w:t>HCl</w:t>
                  </w:r>
                  <w:r>
                    <w:rPr>
                      <w:color w:val="000000"/>
                      <w:szCs w:val="21"/>
                      <w:vertAlign w:val="subscript"/>
                      <w:lang w:val="pt-BR"/>
                    </w:rPr>
                    <w:t>3</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三氯乙烯，是一种有机化合物，化学式为C</w:t>
                  </w:r>
                  <w:r>
                    <w:rPr>
                      <w:color w:val="000000"/>
                      <w:szCs w:val="21"/>
                      <w:vertAlign w:val="subscript"/>
                      <w:lang w:val="pt-BR"/>
                    </w:rPr>
                    <w:t>2</w:t>
                  </w:r>
                  <w:r>
                    <w:rPr>
                      <w:color w:val="000000"/>
                      <w:szCs w:val="21"/>
                      <w:lang w:val="pt-BR"/>
                    </w:rPr>
                    <w:t>HCl</w:t>
                  </w:r>
                  <w:r>
                    <w:rPr>
                      <w:color w:val="000000"/>
                      <w:szCs w:val="21"/>
                      <w:vertAlign w:val="subscript"/>
                      <w:lang w:val="pt-BR"/>
                    </w:rPr>
                    <w:t>3</w:t>
                  </w:r>
                  <w:r>
                    <w:rPr>
                      <w:color w:val="000000"/>
                      <w:szCs w:val="21"/>
                      <w:lang w:val="pt-BR"/>
                    </w:rPr>
                    <w:t>，是乙烯分子中3个氢原子被氯取代而生成的化合物，为无色透明液体，不溶于水，溶于乙醇、乙醚，可混溶于多数有机溶剂，主要用作溶剂，也可用于脱脂、冷冻、农药、香料、橡胶工业、洗涤织物等。密度：1.463g/cm</w:t>
                  </w:r>
                  <w:r>
                    <w:rPr>
                      <w:color w:val="000000"/>
                      <w:szCs w:val="21"/>
                      <w:vertAlign w:val="superscript"/>
                      <w:lang w:val="pt-BR"/>
                    </w:rPr>
                    <w:t>3</w:t>
                  </w:r>
                  <w:r>
                    <w:rPr>
                      <w:color w:val="000000"/>
                      <w:szCs w:val="21"/>
                      <w:lang w:val="pt-BR"/>
                    </w:rPr>
                    <w:t>。</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184</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rPr>
                  </w:pPr>
                  <w:r>
                    <w:rPr>
                      <w:color w:val="000000"/>
                      <w:kern w:val="0"/>
                      <w:szCs w:val="21"/>
                    </w:rPr>
                    <w:t>四氯乙烯</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2</w:t>
                  </w:r>
                  <w:r>
                    <w:rPr>
                      <w:color w:val="000000"/>
                      <w:szCs w:val="21"/>
                      <w:lang w:val="pt-BR"/>
                    </w:rPr>
                    <w:t>Cl</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四氯乙烯，又名全氯乙烯，是一种有机化合物，化学式为C</w:t>
                  </w:r>
                  <w:r>
                    <w:rPr>
                      <w:color w:val="000000"/>
                      <w:szCs w:val="21"/>
                      <w:vertAlign w:val="subscript"/>
                      <w:lang w:val="pt-BR"/>
                    </w:rPr>
                    <w:t>2</w:t>
                  </w:r>
                  <w:r>
                    <w:rPr>
                      <w:color w:val="000000"/>
                      <w:szCs w:val="21"/>
                      <w:lang w:val="pt-BR"/>
                    </w:rPr>
                    <w:t>Cl</w:t>
                  </w:r>
                  <w:r>
                    <w:rPr>
                      <w:color w:val="000000"/>
                      <w:szCs w:val="21"/>
                      <w:vertAlign w:val="subscript"/>
                      <w:lang w:val="pt-BR"/>
                    </w:rPr>
                    <w:t>4</w:t>
                  </w:r>
                  <w:r>
                    <w:rPr>
                      <w:color w:val="000000"/>
                      <w:szCs w:val="21"/>
                      <w:lang w:val="pt-BR"/>
                    </w:rPr>
                    <w:t>，分子量：165.833；为无色液体，不溶于水，可混溶于乙醇、乙醚、氯仿等多数有机溶剂，主要用作有机溶剂、干洗剂，2019年7月23日，四氯乙烯（全氯乙烯）被列入有毒有害水污染物名录（第一批），密度：1.622g/cm</w:t>
                  </w:r>
                  <w:r>
                    <w:rPr>
                      <w:color w:val="000000"/>
                      <w:szCs w:val="21"/>
                      <w:vertAlign w:val="superscript"/>
                      <w:lang w:val="pt-BR"/>
                    </w:rPr>
                    <w:t>3</w:t>
                  </w:r>
                  <w:r>
                    <w:rPr>
                      <w:color w:val="000000"/>
                      <w:szCs w:val="21"/>
                      <w:lang w:val="pt-BR"/>
                    </w:rPr>
                    <w:t>；熔点：-22℃；沸点：121℃；外观：无色液体；溶解性：不溶于水，可混溶于乙醇、乙醚、氯仿等多数有机溶剂。</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185</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rPr>
                  </w:pPr>
                  <w:r>
                    <w:rPr>
                      <w:color w:val="000000"/>
                      <w:kern w:val="0"/>
                      <w:szCs w:val="21"/>
                    </w:rPr>
                    <w:t>1,1,1-三氯乙烷</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2</w:t>
                  </w:r>
                  <w:r>
                    <w:rPr>
                      <w:color w:val="000000"/>
                      <w:szCs w:val="21"/>
                      <w:lang w:val="pt-BR"/>
                    </w:rPr>
                    <w:t>H</w:t>
                  </w:r>
                  <w:r>
                    <w:rPr>
                      <w:color w:val="000000"/>
                      <w:szCs w:val="21"/>
                      <w:vertAlign w:val="subscript"/>
                      <w:lang w:val="pt-BR"/>
                    </w:rPr>
                    <w:t>3</w:t>
                  </w:r>
                  <w:r>
                    <w:rPr>
                      <w:color w:val="000000"/>
                      <w:szCs w:val="21"/>
                      <w:lang w:val="pt-BR"/>
                    </w:rPr>
                    <w:t>Cl</w:t>
                  </w:r>
                  <w:r>
                    <w:rPr>
                      <w:color w:val="000000"/>
                      <w:szCs w:val="21"/>
                      <w:vertAlign w:val="subscript"/>
                      <w:lang w:val="pt-BR"/>
                    </w:rPr>
                    <w:t>3</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1,1,1-三氯乙烷，又名甲基氯仿，是一种有机化合物，化学式为C</w:t>
                  </w:r>
                  <w:r>
                    <w:rPr>
                      <w:color w:val="000000"/>
                      <w:szCs w:val="21"/>
                      <w:vertAlign w:val="subscript"/>
                      <w:lang w:val="pt-BR"/>
                    </w:rPr>
                    <w:t>2</w:t>
                  </w:r>
                  <w:r>
                    <w:rPr>
                      <w:color w:val="000000"/>
                      <w:szCs w:val="21"/>
                      <w:lang w:val="pt-BR"/>
                    </w:rPr>
                    <w:t>H</w:t>
                  </w:r>
                  <w:r>
                    <w:rPr>
                      <w:color w:val="000000"/>
                      <w:szCs w:val="21"/>
                      <w:vertAlign w:val="subscript"/>
                      <w:lang w:val="pt-BR"/>
                    </w:rPr>
                    <w:t>3</w:t>
                  </w:r>
                  <w:r>
                    <w:rPr>
                      <w:color w:val="000000"/>
                      <w:szCs w:val="21"/>
                      <w:lang w:val="pt-BR"/>
                    </w:rPr>
                    <w:t>Cl</w:t>
                  </w:r>
                  <w:r>
                    <w:rPr>
                      <w:color w:val="000000"/>
                      <w:szCs w:val="21"/>
                      <w:vertAlign w:val="subscript"/>
                      <w:lang w:val="pt-BR"/>
                    </w:rPr>
                    <w:t>3</w:t>
                  </w:r>
                  <w:r>
                    <w:rPr>
                      <w:color w:val="000000"/>
                      <w:szCs w:val="21"/>
                      <w:lang w:val="pt-BR"/>
                    </w:rPr>
                    <w:t>，分子量：133.404；为无色液体，不溶于水，溶于乙醇、乙醚、丙酮、苯、甲醇、氯仿等，主要用作溶剂、金属清洁剂。1,1,1-三氯乙烷在3类致癌物清单中，密度：1.336g/cm</w:t>
                  </w:r>
                  <w:r>
                    <w:rPr>
                      <w:color w:val="000000"/>
                      <w:szCs w:val="21"/>
                      <w:vertAlign w:val="superscript"/>
                      <w:lang w:val="pt-BR"/>
                    </w:rPr>
                    <w:t>3</w:t>
                  </w:r>
                  <w:r>
                    <w:rPr>
                      <w:color w:val="000000"/>
                      <w:szCs w:val="21"/>
                      <w:lang w:val="pt-BR"/>
                    </w:rPr>
                    <w:t>；熔点：-35℃；沸点：74-76℃；外观：无色液体；溶解性：不溶于水，溶于乙醇、乙醚、丙酮、苯、甲醇、氯仿等。主要用作溶剂、金属清洁剂。</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186</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1，1-二氯乙烯</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2</w:t>
                  </w:r>
                  <w:r>
                    <w:rPr>
                      <w:color w:val="000000"/>
                      <w:szCs w:val="21"/>
                      <w:lang w:val="pt-BR"/>
                    </w:rPr>
                    <w:t>H</w:t>
                  </w:r>
                  <w:r>
                    <w:rPr>
                      <w:color w:val="000000"/>
                      <w:szCs w:val="21"/>
                      <w:vertAlign w:val="subscript"/>
                      <w:lang w:val="pt-BR"/>
                    </w:rPr>
                    <w:t>2</w:t>
                  </w:r>
                  <w:r>
                    <w:rPr>
                      <w:color w:val="000000"/>
                      <w:szCs w:val="21"/>
                      <w:lang w:val="pt-BR"/>
                    </w:rPr>
                    <w:t>Cl</w:t>
                  </w:r>
                  <w:r>
                    <w:rPr>
                      <w:color w:val="000000"/>
                      <w:szCs w:val="21"/>
                      <w:vertAlign w:val="sub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偏二氯乙烯，又名1,1-二氯乙烯，是一种有机化合物，化学式为C2H2Cl2，为无色液体，用于制造各种共聚物、合成纤维、黏合剂和用于有机合成，偏二氯乙烯在2B类致癌物清单中。分子量：96.943，密度：1.218g/cm</w:t>
                  </w:r>
                  <w:r>
                    <w:rPr>
                      <w:color w:val="000000"/>
                      <w:szCs w:val="21"/>
                      <w:vertAlign w:val="superscript"/>
                      <w:lang w:val="pt-BR"/>
                    </w:rPr>
                    <w:t>3</w:t>
                  </w:r>
                  <w:r>
                    <w:rPr>
                      <w:color w:val="000000"/>
                      <w:szCs w:val="21"/>
                      <w:lang w:val="pt-BR"/>
                    </w:rPr>
                    <w:t>；熔点：-122℃；沸点：31.2℃；外观：无色液体；溶解性：不溶于水；</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187</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lang w:val="pt-BR"/>
                    </w:rPr>
                    <w:t>1，2-二氯乙烯</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2</w:t>
                  </w:r>
                  <w:r>
                    <w:rPr>
                      <w:color w:val="000000"/>
                      <w:szCs w:val="21"/>
                      <w:lang w:val="pt-BR"/>
                    </w:rPr>
                    <w:t>H</w:t>
                  </w:r>
                  <w:r>
                    <w:rPr>
                      <w:color w:val="000000"/>
                      <w:szCs w:val="21"/>
                      <w:vertAlign w:val="subscript"/>
                      <w:lang w:val="pt-BR"/>
                    </w:rPr>
                    <w:t>2</w:t>
                  </w:r>
                  <w:r>
                    <w:rPr>
                      <w:color w:val="000000"/>
                      <w:szCs w:val="21"/>
                      <w:lang w:val="pt-BR"/>
                    </w:rPr>
                    <w:t>Cl</w:t>
                  </w:r>
                  <w:r>
                    <w:rPr>
                      <w:color w:val="000000"/>
                      <w:szCs w:val="21"/>
                      <w:vertAlign w:val="subscript"/>
                      <w:lang w:val="pt-BR"/>
                    </w:rPr>
                    <w:t>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1,2-二氯乙烯，是一种有机化合物，化学式是C</w:t>
                  </w:r>
                  <w:r>
                    <w:rPr>
                      <w:color w:val="000000"/>
                      <w:szCs w:val="21"/>
                      <w:vertAlign w:val="subscript"/>
                      <w:lang w:val="pt-BR"/>
                    </w:rPr>
                    <w:t>2</w:t>
                  </w:r>
                  <w:r>
                    <w:rPr>
                      <w:color w:val="000000"/>
                      <w:szCs w:val="21"/>
                      <w:lang w:val="pt-BR"/>
                    </w:rPr>
                    <w:t>H</w:t>
                  </w:r>
                  <w:r>
                    <w:rPr>
                      <w:color w:val="000000"/>
                      <w:szCs w:val="21"/>
                      <w:vertAlign w:val="subscript"/>
                      <w:lang w:val="pt-BR"/>
                    </w:rPr>
                    <w:t>2</w:t>
                  </w:r>
                  <w:r>
                    <w:rPr>
                      <w:color w:val="000000"/>
                      <w:szCs w:val="21"/>
                      <w:lang w:val="pt-BR"/>
                    </w:rPr>
                    <w:t>Cl</w:t>
                  </w:r>
                  <w:r>
                    <w:rPr>
                      <w:color w:val="000000"/>
                      <w:szCs w:val="21"/>
                      <w:vertAlign w:val="subscript"/>
                      <w:lang w:val="pt-BR"/>
                    </w:rPr>
                    <w:t>2</w:t>
                  </w:r>
                  <w:r>
                    <w:rPr>
                      <w:color w:val="000000"/>
                      <w:szCs w:val="21"/>
                      <w:lang w:val="pt-BR"/>
                    </w:rPr>
                    <w:t>，分子量：96.943；熔点：-57℃；沸点：48-60℃；有顺反两种异构体，但一般会用这两种异构物的混合物，为无色透明液体，不溶于水，溶于乙醇、乙醚等多数有机溶剂，用作萃取剂、冷冻剂，也用作溶剂，用于制造塑料和有机合成。外观：无色透明液体；溶解性：不溶于水，溶于乙醇、乙醚等多数有机溶剂；用作萃取剂、冷冻剂，也用作溶剂，用于制造塑料和有机合成，对水生生物有害，可能在水生环境中造成长期不利影响。密度：1.243g/cm</w:t>
                  </w:r>
                  <w:r>
                    <w:rPr>
                      <w:color w:val="000000"/>
                      <w:szCs w:val="21"/>
                      <w:vertAlign w:val="superscript"/>
                      <w:lang w:val="pt-BR"/>
                    </w:rPr>
                    <w:t>3</w:t>
                  </w:r>
                  <w:r>
                    <w:rPr>
                      <w:color w:val="000000"/>
                      <w:szCs w:val="21"/>
                      <w:lang w:val="pt-BR"/>
                    </w:rPr>
                    <w:t>。</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188</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苯并（a）芘</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20</w:t>
                  </w:r>
                  <w:r>
                    <w:rPr>
                      <w:color w:val="000000"/>
                      <w:szCs w:val="21"/>
                      <w:lang w:val="pt-BR"/>
                    </w:rPr>
                    <w:t>H</w:t>
                  </w:r>
                  <w:r>
                    <w:rPr>
                      <w:color w:val="000000"/>
                      <w:szCs w:val="21"/>
                      <w:vertAlign w:val="subscript"/>
                      <w:lang w:val="pt-BR"/>
                    </w:rPr>
                    <w:t>12</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苯并芘（Benzopyrene），是含苯环的稠环芳烃。化学式：C</w:t>
                  </w:r>
                  <w:r>
                    <w:rPr>
                      <w:color w:val="000000"/>
                      <w:szCs w:val="21"/>
                      <w:vertAlign w:val="subscript"/>
                      <w:lang w:val="pt-BR"/>
                    </w:rPr>
                    <w:t>20</w:t>
                  </w:r>
                  <w:r>
                    <w:rPr>
                      <w:color w:val="000000"/>
                      <w:szCs w:val="21"/>
                      <w:lang w:val="pt-BR"/>
                    </w:rPr>
                    <w:t>H</w:t>
                  </w:r>
                  <w:r>
                    <w:rPr>
                      <w:color w:val="000000"/>
                      <w:szCs w:val="21"/>
                      <w:vertAlign w:val="subscript"/>
                      <w:lang w:val="pt-BR"/>
                    </w:rPr>
                    <w:t>12</w:t>
                  </w:r>
                  <w:r>
                    <w:rPr>
                      <w:color w:val="000000"/>
                      <w:szCs w:val="21"/>
                      <w:lang w:val="pt-BR"/>
                    </w:rPr>
                    <w:t>；分子量：252.309；根据苯环的稠合位置不同，苯并芘有多种异构体，常见的有两种是，一种是苯并[a]芘，CAS号为50-32-8，有致癌性；另一种苯并[e]芘，CAS号：192-97-2，有强致癌性。苯并芘难溶于甲醇、乙醇，不溶于水，易溶于苯、甲苯、二甲苯、丙酮、乙醚、氯仿、二甲基亚砜等有机溶剂。最初由煤焦油中分离得到，从煤烟、焦油、沥青、香烟烟雾中都可以查出，有强烈的致癌作用，可以诱发肺癌。熔点：177-180℃；沸点：495℃；闪点：228.6℃；密度：1.24g/cm</w:t>
                  </w:r>
                  <w:r>
                    <w:rPr>
                      <w:color w:val="000000"/>
                      <w:szCs w:val="21"/>
                      <w:vertAlign w:val="superscript"/>
                      <w:lang w:val="pt-BR"/>
                    </w:rPr>
                    <w:t>3</w:t>
                  </w:r>
                  <w:r>
                    <w:rPr>
                      <w:color w:val="000000"/>
                      <w:szCs w:val="21"/>
                      <w:lang w:val="pt-BR"/>
                    </w:rPr>
                    <w:t>；淡黄色片状或针状结晶，</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189</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丙烯酰胺</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3</w:t>
                  </w:r>
                  <w:r>
                    <w:rPr>
                      <w:color w:val="000000"/>
                      <w:szCs w:val="21"/>
                      <w:lang w:val="pt-BR"/>
                    </w:rPr>
                    <w:t>H</w:t>
                  </w:r>
                  <w:r>
                    <w:rPr>
                      <w:color w:val="000000"/>
                      <w:szCs w:val="21"/>
                      <w:vertAlign w:val="subscript"/>
                      <w:lang w:val="pt-BR"/>
                    </w:rPr>
                    <w:t>5</w:t>
                  </w:r>
                  <w:r>
                    <w:rPr>
                      <w:color w:val="000000"/>
                      <w:szCs w:val="21"/>
                      <w:lang w:val="pt-BR"/>
                    </w:rPr>
                    <w:t>NO</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丙烯酰胺，是一种有机化合物，丙烯酰胺具有一定致癌性，化学式为C</w:t>
                  </w:r>
                  <w:r>
                    <w:rPr>
                      <w:color w:val="000000"/>
                      <w:szCs w:val="21"/>
                      <w:vertAlign w:val="subscript"/>
                      <w:lang w:val="pt-BR"/>
                    </w:rPr>
                    <w:t>3</w:t>
                  </w:r>
                  <w:r>
                    <w:rPr>
                      <w:color w:val="000000"/>
                      <w:szCs w:val="21"/>
                      <w:lang w:val="pt-BR"/>
                    </w:rPr>
                    <w:t>H</w:t>
                  </w:r>
                  <w:r>
                    <w:rPr>
                      <w:color w:val="000000"/>
                      <w:szCs w:val="21"/>
                      <w:vertAlign w:val="subscript"/>
                      <w:lang w:val="pt-BR"/>
                    </w:rPr>
                    <w:t>5</w:t>
                  </w:r>
                  <w:r>
                    <w:rPr>
                      <w:color w:val="000000"/>
                      <w:szCs w:val="21"/>
                      <w:lang w:val="pt-BR"/>
                    </w:rPr>
                    <w:t>NO，分子量：71.078；为白色结晶性粉末，溶于水、乙醇、乙醚、丙酮，不溶于苯、己烷。密度：1.322g/cm</w:t>
                  </w:r>
                  <w:r>
                    <w:rPr>
                      <w:color w:val="000000"/>
                      <w:szCs w:val="21"/>
                      <w:vertAlign w:val="superscript"/>
                      <w:lang w:val="pt-BR"/>
                    </w:rPr>
                    <w:t>3</w:t>
                  </w:r>
                  <w:r>
                    <w:rPr>
                      <w:color w:val="000000"/>
                      <w:szCs w:val="21"/>
                      <w:lang w:val="pt-BR"/>
                    </w:rPr>
                    <w:t>；熔点：82-86℃；沸点：125℃；闪点：138℃；外观：白色结晶性粉末；溶解性：溶于水、乙醇、乙醚、丙酮，不溶于苯、己烷。丙烯酰胺为丙烯酰胺系中最重要及最简单的一种，用途十分广泛，用作有机合成的原料及高分子材料的原料。</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190</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邻苯二甲酸二酯</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10</w:t>
                  </w:r>
                  <w:r>
                    <w:rPr>
                      <w:color w:val="000000"/>
                      <w:szCs w:val="21"/>
                      <w:lang w:val="pt-BR"/>
                    </w:rPr>
                    <w:t>H</w:t>
                  </w:r>
                  <w:r>
                    <w:rPr>
                      <w:color w:val="000000"/>
                      <w:szCs w:val="21"/>
                      <w:vertAlign w:val="subscript"/>
                      <w:lang w:val="pt-BR"/>
                    </w:rPr>
                    <w:t>10</w:t>
                  </w:r>
                  <w:r>
                    <w:rPr>
                      <w:color w:val="000000"/>
                      <w:szCs w:val="21"/>
                      <w:lang w:val="pt-BR"/>
                    </w:rPr>
                    <w:t>O</w:t>
                  </w:r>
                  <w:r>
                    <w:rPr>
                      <w:color w:val="000000"/>
                      <w:szCs w:val="21"/>
                      <w:vertAlign w:val="subscript"/>
                      <w:lang w:val="pt-BR"/>
                    </w:rPr>
                    <w:t>4</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邻苯二甲酸二甲酯（Dimethylphthalate），是一种有机物，分子式为C</w:t>
                  </w:r>
                  <w:r>
                    <w:rPr>
                      <w:color w:val="000000"/>
                      <w:szCs w:val="21"/>
                      <w:vertAlign w:val="subscript"/>
                      <w:lang w:val="pt-BR"/>
                    </w:rPr>
                    <w:t>10</w:t>
                  </w:r>
                  <w:r>
                    <w:rPr>
                      <w:color w:val="000000"/>
                      <w:szCs w:val="21"/>
                      <w:lang w:val="pt-BR"/>
                    </w:rPr>
                    <w:t>H</w:t>
                  </w:r>
                  <w:r>
                    <w:rPr>
                      <w:color w:val="000000"/>
                      <w:szCs w:val="21"/>
                      <w:vertAlign w:val="subscript"/>
                      <w:lang w:val="pt-BR"/>
                    </w:rPr>
                    <w:t>10</w:t>
                  </w:r>
                  <w:r>
                    <w:rPr>
                      <w:color w:val="000000"/>
                      <w:szCs w:val="21"/>
                      <w:lang w:val="pt-BR"/>
                    </w:rPr>
                    <w:t>O</w:t>
                  </w:r>
                  <w:r>
                    <w:rPr>
                      <w:color w:val="000000"/>
                      <w:szCs w:val="21"/>
                      <w:vertAlign w:val="subscript"/>
                      <w:lang w:val="pt-BR"/>
                    </w:rPr>
                    <w:t>4</w:t>
                  </w:r>
                  <w:r>
                    <w:rPr>
                      <w:color w:val="000000"/>
                      <w:szCs w:val="21"/>
                      <w:lang w:val="pt-BR"/>
                    </w:rPr>
                    <w:t>，分子量为194.19，无色透明微黄色油状液体，稍有芳香味，能与乙醇、乙醚等一般有机溶剂混溶，不溶于水和石油醚。用作气相色谱固定液；本品是一种多种树脂都有很强溶解力的增塑剂，沸点：282.68℃；密度1.175g/cm</w:t>
                  </w:r>
                  <w:r>
                    <w:rPr>
                      <w:color w:val="000000"/>
                      <w:szCs w:val="21"/>
                      <w:vertAlign w:val="superscript"/>
                      <w:lang w:val="pt-BR"/>
                    </w:rPr>
                    <w:t>3</w:t>
                  </w:r>
                  <w:r>
                    <w:rPr>
                      <w:color w:val="000000"/>
                      <w:szCs w:val="21"/>
                      <w:lang w:val="pt-BR"/>
                    </w:rPr>
                    <w:t>；分子量194.184；易燃液体；毒性分级低毒；本品为无色透明微黄色油状液体，稍有芳香味，沸点为283.7°C。能与乙醇、乙醚等一般有机溶剂混溶，不溶于水和石油醚。外观无色透明油状液体。毒性：属低毒类。无皮肤刺激和过敏发生。易燃液体，吸入、皮肤接触及吞食有毒。本品为无色透明微黄色油状液体，稍有芳香味，沸点为283.7°C。能与乙醇、乙醚等一般有机溶剂混溶，不溶于水和石油醚。</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191</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333333"/>
                      <w:szCs w:val="21"/>
                      <w:shd w:val="clear" w:color="auto" w:fill="FFFFFF"/>
                    </w:rPr>
                    <w:t>苯</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6</w:t>
                  </w:r>
                  <w:r>
                    <w:rPr>
                      <w:color w:val="000000"/>
                      <w:szCs w:val="21"/>
                      <w:lang w:val="pt-BR"/>
                    </w:rPr>
                    <w:t>H</w:t>
                  </w:r>
                  <w:r>
                    <w:rPr>
                      <w:color w:val="000000"/>
                      <w:szCs w:val="21"/>
                      <w:vertAlign w:val="subscript"/>
                      <w:lang w:val="pt-BR"/>
                    </w:rPr>
                    <w:t>6</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苯（Benzene），是一种有机化合物，是最简单的芳烃，化学式是C</w:t>
                  </w:r>
                  <w:r>
                    <w:rPr>
                      <w:color w:val="000000"/>
                      <w:szCs w:val="21"/>
                      <w:vertAlign w:val="subscript"/>
                      <w:lang w:val="pt-BR"/>
                    </w:rPr>
                    <w:t>6</w:t>
                  </w:r>
                  <w:r>
                    <w:rPr>
                      <w:color w:val="000000"/>
                      <w:szCs w:val="21"/>
                      <w:lang w:val="pt-BR"/>
                    </w:rPr>
                    <w:t>H</w:t>
                  </w:r>
                  <w:r>
                    <w:rPr>
                      <w:color w:val="000000"/>
                      <w:szCs w:val="21"/>
                      <w:vertAlign w:val="subscript"/>
                      <w:lang w:val="pt-BR"/>
                    </w:rPr>
                    <w:t>6</w:t>
                  </w:r>
                  <w:r>
                    <w:rPr>
                      <w:color w:val="000000"/>
                      <w:szCs w:val="21"/>
                      <w:lang w:val="pt-BR"/>
                    </w:rPr>
                    <w:t>，在常温下是甜味、可燃、有致癌毒性的无色透明液体，并带有强烈的芳香气味。它难溶于水，易溶于有机溶剂，本身也可作为有机溶剂。苯在1类致癌物清单中；苯在常温下为一种无色、有甜味的透明液体，其密度小于水，具有强烈的芳香气味。苯的沸点为80.1℃，熔点为5.5℃。苯比水密度低，密度为0.88g/cm</w:t>
                  </w:r>
                  <w:r>
                    <w:rPr>
                      <w:color w:val="000000"/>
                      <w:szCs w:val="21"/>
                      <w:vertAlign w:val="superscript"/>
                      <w:lang w:val="pt-BR"/>
                    </w:rPr>
                    <w:t>3</w:t>
                  </w:r>
                  <w:r>
                    <w:rPr>
                      <w:color w:val="000000"/>
                      <w:szCs w:val="21"/>
                      <w:lang w:val="pt-BR"/>
                    </w:rPr>
                    <w:t>，但其分子量比水重。苯能与水生成恒沸物，沸点为69.25℃，含苯91.2%。气相色谱法和高效液相色谱法可以检测各种产品中苯的含量。苯的纯度的测定一般使用冰点法。</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192</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乙苯</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8</w:t>
                  </w:r>
                  <w:r>
                    <w:rPr>
                      <w:color w:val="000000"/>
                      <w:szCs w:val="21"/>
                      <w:lang w:val="pt-BR"/>
                    </w:rPr>
                    <w:t>H</w:t>
                  </w:r>
                  <w:r>
                    <w:rPr>
                      <w:color w:val="000000"/>
                      <w:szCs w:val="21"/>
                      <w:vertAlign w:val="subscript"/>
                      <w:lang w:val="pt-BR"/>
                    </w:rPr>
                    <w:t>10</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乙苯（ethylbenzene），是一种芳香烃，化学式为C</w:t>
                  </w:r>
                  <w:r>
                    <w:rPr>
                      <w:color w:val="000000"/>
                      <w:szCs w:val="21"/>
                      <w:vertAlign w:val="subscript"/>
                      <w:lang w:val="pt-BR"/>
                    </w:rPr>
                    <w:t>8</w:t>
                  </w:r>
                  <w:r>
                    <w:rPr>
                      <w:color w:val="000000"/>
                      <w:szCs w:val="21"/>
                      <w:lang w:val="pt-BR"/>
                    </w:rPr>
                    <w:t>H</w:t>
                  </w:r>
                  <w:r>
                    <w:rPr>
                      <w:color w:val="000000"/>
                      <w:szCs w:val="21"/>
                      <w:vertAlign w:val="subscript"/>
                      <w:lang w:val="pt-BR"/>
                    </w:rPr>
                    <w:t>10</w:t>
                  </w:r>
                  <w:r>
                    <w:rPr>
                      <w:color w:val="000000"/>
                      <w:szCs w:val="21"/>
                      <w:lang w:val="pt-BR"/>
                    </w:rPr>
                    <w:t>，分子量：106.165；主要用于生产苯乙烯，进而生产苯乙烯均聚物以及以苯乙烯为主要成分的共聚物（ABS，AS等）。乙苯少量用于有机合成工业。在医药上用作合霉素和氯霉素的中间体，也用于香料。熔点：-95℃；沸点：136.2℃；闪点：22.2℃；密度：0.867g/cm</w:t>
                  </w:r>
                  <w:r>
                    <w:rPr>
                      <w:color w:val="000000"/>
                      <w:szCs w:val="21"/>
                      <w:vertAlign w:val="superscript"/>
                      <w:lang w:val="pt-BR"/>
                    </w:rPr>
                    <w:t>3</w:t>
                  </w:r>
                  <w:r>
                    <w:rPr>
                      <w:color w:val="000000"/>
                      <w:szCs w:val="21"/>
                      <w:lang w:val="pt-BR"/>
                    </w:rPr>
                    <w:t>；外观：无色液体，有芳香气味；溶解性：不溶于水，可混溶于乙醇、醚等多数有机溶剂。</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193</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二甲苯</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8</w:t>
                  </w:r>
                  <w:r>
                    <w:rPr>
                      <w:color w:val="000000"/>
                      <w:szCs w:val="21"/>
                      <w:lang w:val="pt-BR"/>
                    </w:rPr>
                    <w:t>H</w:t>
                  </w:r>
                  <w:r>
                    <w:rPr>
                      <w:color w:val="000000"/>
                      <w:szCs w:val="21"/>
                      <w:vertAlign w:val="subscript"/>
                      <w:lang w:val="pt-BR"/>
                    </w:rPr>
                    <w:t>10</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二甲苯（dimethylbenzene）是一种有机化合物，分子式为C</w:t>
                  </w:r>
                  <w:r>
                    <w:rPr>
                      <w:color w:val="000000"/>
                      <w:szCs w:val="21"/>
                      <w:vertAlign w:val="subscript"/>
                      <w:lang w:val="pt-BR"/>
                    </w:rPr>
                    <w:t>8</w:t>
                  </w:r>
                  <w:r>
                    <w:rPr>
                      <w:color w:val="000000"/>
                      <w:szCs w:val="21"/>
                      <w:lang w:val="pt-BR"/>
                    </w:rPr>
                    <w:t>H</w:t>
                  </w:r>
                  <w:r>
                    <w:rPr>
                      <w:color w:val="000000"/>
                      <w:szCs w:val="21"/>
                      <w:vertAlign w:val="subscript"/>
                      <w:lang w:val="pt-BR"/>
                    </w:rPr>
                    <w:t>10</w:t>
                  </w:r>
                  <w:r>
                    <w:rPr>
                      <w:color w:val="000000"/>
                      <w:szCs w:val="21"/>
                      <w:lang w:val="pt-BR"/>
                    </w:rPr>
                    <w:t>，分子量106.165；为无色透明液体，是苯环上两个氢被甲基取代的产物，存在邻、间、对三种异构体，在工业上，二甲苯即指上述异构体的混合物，二甲苯在3类致癌物清单中。无色透明液体。有芳香烃的特殊气味。系由45%～70%的间二甲苯、15%～25%的对二甲苯和10%～15%邻二甲苯三种异构体所组成的混合物，易流动，能与无水乙醇、乙醚和其他许多有机溶剂混溶。二甲苯具刺激性气味、易燃，与乙醇、氯仿或乙醚能任意混合，在水中不溶。沸点为137～140℃。相对密度：0.89679。熔点-25.2℃。沸点144.4℃。</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194</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甲苯</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7</w:t>
                  </w:r>
                  <w:r>
                    <w:rPr>
                      <w:color w:val="000000"/>
                      <w:szCs w:val="21"/>
                      <w:lang w:val="pt-BR"/>
                    </w:rPr>
                    <w:t>H</w:t>
                  </w:r>
                  <w:r>
                    <w:rPr>
                      <w:color w:val="000000"/>
                      <w:szCs w:val="21"/>
                      <w:vertAlign w:val="subscript"/>
                      <w:lang w:val="pt-BR"/>
                    </w:rPr>
                    <w:t>8</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甲苯，是一种有机化合物，化学式为C</w:t>
                  </w:r>
                  <w:r>
                    <w:rPr>
                      <w:color w:val="000000"/>
                      <w:szCs w:val="21"/>
                      <w:vertAlign w:val="subscript"/>
                      <w:lang w:val="pt-BR"/>
                    </w:rPr>
                    <w:t>7</w:t>
                  </w:r>
                  <w:r>
                    <w:rPr>
                      <w:color w:val="000000"/>
                      <w:szCs w:val="21"/>
                      <w:lang w:val="pt-BR"/>
                    </w:rPr>
                    <w:t>H</w:t>
                  </w:r>
                  <w:r>
                    <w:rPr>
                      <w:color w:val="000000"/>
                      <w:szCs w:val="21"/>
                      <w:vertAlign w:val="subscript"/>
                      <w:lang w:val="pt-BR"/>
                    </w:rPr>
                    <w:t>8</w:t>
                  </w:r>
                  <w:r>
                    <w:rPr>
                      <w:color w:val="000000"/>
                      <w:szCs w:val="21"/>
                      <w:lang w:val="pt-BR"/>
                    </w:rPr>
                    <w:t>，分子量：92.14；是一种无色、带特殊芳香味的易挥发液体。有强折光性。能与乙醇、乙醚、丙酮、氯仿、二硫化碳和冰乙酸混溶，极微溶于水。易燃，蒸气能与空气形成爆炸性混合物，混合物的体积浓度在较低范围时即可发生爆炸。低毒，半数致死量（大鼠，经口）5000mg/kg。高浓度气体有麻醉性，有刺激性。外观与性状：无色透明液体，有类似苯的芳香气味。熔点：-94.9℃；；沸点：110.6℃；密度：0.872g/cm</w:t>
                  </w:r>
                  <w:r>
                    <w:rPr>
                      <w:color w:val="000000"/>
                      <w:szCs w:val="21"/>
                      <w:vertAlign w:val="superscript"/>
                      <w:lang w:val="pt-BR"/>
                    </w:rPr>
                    <w:t>3</w:t>
                  </w:r>
                  <w:r>
                    <w:rPr>
                      <w:color w:val="000000"/>
                      <w:szCs w:val="21"/>
                      <w:lang w:val="pt-BR"/>
                    </w:rPr>
                    <w:t>；溶解性：不溶于水，可混溶于苯、乙醇、乙醚、氯仿等多数有机溶剂。</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195</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苯乙烯</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8</w:t>
                  </w:r>
                  <w:r>
                    <w:rPr>
                      <w:color w:val="000000"/>
                      <w:szCs w:val="21"/>
                      <w:lang w:val="pt-BR"/>
                    </w:rPr>
                    <w:t>H</w:t>
                  </w:r>
                  <w:r>
                    <w:rPr>
                      <w:color w:val="000000"/>
                      <w:szCs w:val="21"/>
                      <w:vertAlign w:val="subscript"/>
                      <w:lang w:val="pt-BR"/>
                    </w:rPr>
                    <w:t>8</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rPr>
                  </w:pPr>
                  <w:r>
                    <w:rPr>
                      <w:color w:val="000000"/>
                      <w:szCs w:val="21"/>
                      <w:lang w:val="pt-BR"/>
                    </w:rPr>
                    <w:t>苯乙烯，是一种有机化合物，化学式为C</w:t>
                  </w:r>
                  <w:r>
                    <w:rPr>
                      <w:color w:val="000000"/>
                      <w:szCs w:val="21"/>
                      <w:vertAlign w:val="subscript"/>
                      <w:lang w:val="pt-BR"/>
                    </w:rPr>
                    <w:t>8</w:t>
                  </w:r>
                  <w:r>
                    <w:rPr>
                      <w:color w:val="000000"/>
                      <w:szCs w:val="21"/>
                      <w:lang w:val="pt-BR"/>
                    </w:rPr>
                    <w:t>H</w:t>
                  </w:r>
                  <w:r>
                    <w:rPr>
                      <w:color w:val="000000"/>
                      <w:szCs w:val="21"/>
                      <w:vertAlign w:val="subscript"/>
                      <w:lang w:val="pt-BR"/>
                    </w:rPr>
                    <w:t>8</w:t>
                  </w:r>
                  <w:r>
                    <w:rPr>
                      <w:color w:val="000000"/>
                      <w:szCs w:val="21"/>
                      <w:lang w:val="pt-BR"/>
                    </w:rPr>
                    <w:t>，分子量：104.15；乙烯基的电子与苯环共轭，不溶于水，溶于乙醇、乙醚等多数有机溶剂，是合成树脂、离子交换树脂及合成橡胶等的重要单体。密度：0.902g/cm</w:t>
                  </w:r>
                  <w:r>
                    <w:rPr>
                      <w:color w:val="000000"/>
                      <w:szCs w:val="21"/>
                      <w:vertAlign w:val="superscript"/>
                      <w:lang w:val="pt-BR"/>
                    </w:rPr>
                    <w:t>3</w:t>
                  </w:r>
                  <w:r>
                    <w:rPr>
                      <w:color w:val="000000"/>
                      <w:szCs w:val="21"/>
                      <w:lang w:val="pt-BR"/>
                    </w:rPr>
                    <w:t>；熔点：-30.6℃；沸点：145.2℃；外观：无色透明油状液体；溶解性：不溶于水，溶于乙醇、乙醚等多数有机溶剂；该物质对环境有严重危害，应特别注意对地表水、土壤、大气和饮用水的污染。</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196</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氯苯</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6</w:t>
                  </w:r>
                  <w:r>
                    <w:rPr>
                      <w:color w:val="000000"/>
                      <w:szCs w:val="21"/>
                      <w:lang w:val="pt-BR"/>
                    </w:rPr>
                    <w:t>H</w:t>
                  </w:r>
                  <w:r>
                    <w:rPr>
                      <w:color w:val="000000"/>
                      <w:szCs w:val="21"/>
                      <w:vertAlign w:val="subscript"/>
                      <w:lang w:val="pt-BR"/>
                    </w:rPr>
                    <w:t>5</w:t>
                  </w:r>
                  <w:r>
                    <w:rPr>
                      <w:color w:val="000000"/>
                      <w:szCs w:val="21"/>
                      <w:lang w:val="pt-BR"/>
                    </w:rPr>
                    <w:t>Cl</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氯苯，是一种有机化合物，化学式为C</w:t>
                  </w:r>
                  <w:r>
                    <w:rPr>
                      <w:color w:val="000000"/>
                      <w:szCs w:val="21"/>
                      <w:vertAlign w:val="subscript"/>
                      <w:lang w:val="pt-BR"/>
                    </w:rPr>
                    <w:t>6</w:t>
                  </w:r>
                  <w:r>
                    <w:rPr>
                      <w:color w:val="000000"/>
                      <w:szCs w:val="21"/>
                      <w:lang w:val="pt-BR"/>
                    </w:rPr>
                    <w:t>H</w:t>
                  </w:r>
                  <w:r>
                    <w:rPr>
                      <w:color w:val="000000"/>
                      <w:szCs w:val="21"/>
                      <w:vertAlign w:val="subscript"/>
                      <w:lang w:val="pt-BR"/>
                    </w:rPr>
                    <w:t>5</w:t>
                  </w:r>
                  <w:r>
                    <w:rPr>
                      <w:color w:val="000000"/>
                      <w:szCs w:val="21"/>
                      <w:lang w:val="pt-BR"/>
                    </w:rPr>
                    <w:t>Cl，为无色透明液体，有苦杏仁味，不溶于水，溶于乙醇、乙醚、氯仿、二硫化碳、苯等多数有机溶剂，主要用作染料、医药、农药、有机合成的中间体，还可用作溶剂，气相色谱参比物。相对密度1.1004；1.0995；(d20)1.1058。沸点132.2℃。凝固点-45.6℃。</w:t>
                  </w:r>
                </w:p>
              </w:tc>
            </w:tr>
            <w:tr>
              <w:tblPrEx>
                <w:tblBorders>
                  <w:top w:val="single" w:color="auto" w:sz="8" w:space="0"/>
                  <w:left w:val="none" w:color="auto" w:sz="0" w:space="0"/>
                  <w:bottom w:val="single" w:color="auto" w:sz="6"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tcBorders>
                    <w:top w:val="single" w:color="auto" w:sz="4" w:space="0"/>
                    <w:left w:val="nil"/>
                    <w:bottom w:val="single" w:color="auto" w:sz="4" w:space="0"/>
                    <w:right w:val="single" w:color="auto" w:sz="4" w:space="0"/>
                  </w:tcBorders>
                  <w:vAlign w:val="center"/>
                </w:tcPr>
                <w:p>
                  <w:pPr>
                    <w:jc w:val="center"/>
                    <w:textAlignment w:val="baseline"/>
                    <w:rPr>
                      <w:szCs w:val="21"/>
                      <w:lang w:val="pt-BR"/>
                    </w:rPr>
                  </w:pPr>
                  <w:r>
                    <w:rPr>
                      <w:szCs w:val="21"/>
                      <w:lang w:val="pt-BR"/>
                    </w:rPr>
                    <w:t>197</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color w:val="000000"/>
                      <w:kern w:val="0"/>
                      <w:szCs w:val="21"/>
                      <w:lang w:val="pt-BR"/>
                    </w:rPr>
                  </w:pPr>
                  <w:r>
                    <w:rPr>
                      <w:color w:val="000000"/>
                      <w:kern w:val="0"/>
                      <w:szCs w:val="21"/>
                    </w:rPr>
                    <w:t>三氯苯</w:t>
                  </w:r>
                </w:p>
              </w:tc>
              <w:tc>
                <w:tcPr>
                  <w:tcW w:w="446" w:type="pct"/>
                  <w:tcBorders>
                    <w:top w:val="single" w:color="auto" w:sz="4" w:space="0"/>
                    <w:left w:val="single" w:color="auto" w:sz="4" w:space="0"/>
                    <w:bottom w:val="single" w:color="auto" w:sz="4" w:space="0"/>
                    <w:right w:val="single" w:color="auto" w:sz="4" w:space="0"/>
                  </w:tcBorders>
                  <w:vAlign w:val="center"/>
                </w:tcPr>
                <w:p>
                  <w:pPr>
                    <w:jc w:val="center"/>
                    <w:rPr>
                      <w:color w:val="000000"/>
                      <w:szCs w:val="21"/>
                      <w:lang w:val="pt-BR"/>
                    </w:rPr>
                  </w:pPr>
                  <w:r>
                    <w:rPr>
                      <w:color w:val="000000"/>
                      <w:szCs w:val="21"/>
                      <w:lang w:val="pt-BR"/>
                    </w:rPr>
                    <w:t>C</w:t>
                  </w:r>
                  <w:r>
                    <w:rPr>
                      <w:color w:val="000000"/>
                      <w:szCs w:val="21"/>
                      <w:vertAlign w:val="subscript"/>
                      <w:lang w:val="pt-BR"/>
                    </w:rPr>
                    <w:t>6</w:t>
                  </w:r>
                  <w:r>
                    <w:rPr>
                      <w:color w:val="000000"/>
                      <w:szCs w:val="21"/>
                      <w:lang w:val="pt-BR"/>
                    </w:rPr>
                    <w:t>H</w:t>
                  </w:r>
                  <w:r>
                    <w:rPr>
                      <w:color w:val="000000"/>
                      <w:szCs w:val="21"/>
                      <w:vertAlign w:val="subscript"/>
                      <w:lang w:val="pt-BR"/>
                    </w:rPr>
                    <w:t>3</w:t>
                  </w:r>
                  <w:r>
                    <w:rPr>
                      <w:color w:val="000000"/>
                      <w:szCs w:val="21"/>
                      <w:lang w:val="pt-BR"/>
                    </w:rPr>
                    <w:t>Cl</w:t>
                  </w:r>
                  <w:r>
                    <w:rPr>
                      <w:color w:val="000000"/>
                      <w:szCs w:val="21"/>
                      <w:vertAlign w:val="subscript"/>
                      <w:lang w:val="pt-BR"/>
                    </w:rPr>
                    <w:t>3</w:t>
                  </w:r>
                </w:p>
              </w:tc>
              <w:tc>
                <w:tcPr>
                  <w:tcW w:w="3648" w:type="pct"/>
                  <w:tcBorders>
                    <w:top w:val="single" w:color="auto" w:sz="4" w:space="0"/>
                    <w:left w:val="single" w:color="auto" w:sz="4" w:space="0"/>
                    <w:bottom w:val="single" w:color="auto" w:sz="4" w:space="0"/>
                    <w:right w:val="nil"/>
                  </w:tcBorders>
                  <w:vAlign w:val="center"/>
                </w:tcPr>
                <w:p>
                  <w:pPr>
                    <w:adjustRightInd w:val="0"/>
                    <w:rPr>
                      <w:color w:val="000000"/>
                      <w:szCs w:val="21"/>
                      <w:lang w:val="pt-BR"/>
                    </w:rPr>
                  </w:pPr>
                  <w:r>
                    <w:rPr>
                      <w:color w:val="000000"/>
                      <w:szCs w:val="21"/>
                      <w:lang w:val="pt-BR"/>
                    </w:rPr>
                    <w:t>1,3,5-三氯苯，又名均三氯苯，是一种有机化合物，化学式为C</w:t>
                  </w:r>
                  <w:r>
                    <w:rPr>
                      <w:color w:val="000000"/>
                      <w:szCs w:val="21"/>
                      <w:vertAlign w:val="subscript"/>
                      <w:lang w:val="pt-BR"/>
                    </w:rPr>
                    <w:t>6</w:t>
                  </w:r>
                  <w:r>
                    <w:rPr>
                      <w:color w:val="000000"/>
                      <w:szCs w:val="21"/>
                      <w:lang w:val="pt-BR"/>
                    </w:rPr>
                    <w:t>H</w:t>
                  </w:r>
                  <w:r>
                    <w:rPr>
                      <w:color w:val="000000"/>
                      <w:szCs w:val="21"/>
                      <w:vertAlign w:val="subscript"/>
                      <w:lang w:val="pt-BR"/>
                    </w:rPr>
                    <w:t>3</w:t>
                  </w:r>
                  <w:r>
                    <w:rPr>
                      <w:color w:val="000000"/>
                      <w:szCs w:val="21"/>
                      <w:lang w:val="pt-BR"/>
                    </w:rPr>
                    <w:t>Cl</w:t>
                  </w:r>
                  <w:r>
                    <w:rPr>
                      <w:color w:val="000000"/>
                      <w:szCs w:val="21"/>
                      <w:vertAlign w:val="subscript"/>
                      <w:lang w:val="pt-BR"/>
                    </w:rPr>
                    <w:t>3</w:t>
                  </w:r>
                  <w:r>
                    <w:rPr>
                      <w:color w:val="000000"/>
                      <w:szCs w:val="21"/>
                      <w:lang w:val="pt-BR"/>
                    </w:rPr>
                    <w:t>，为白色结晶性粉末，不溶于水，微溶于乙醇，易溶于乙醚、苯，主要用作溶剂，也可用于制备农药、染料、医药、电解液、润滑油等。；分子量：181.447；密度：1.448g/cm</w:t>
                  </w:r>
                  <w:r>
                    <w:rPr>
                      <w:color w:val="000000"/>
                      <w:szCs w:val="21"/>
                      <w:vertAlign w:val="superscript"/>
                      <w:lang w:val="pt-BR"/>
                    </w:rPr>
                    <w:t>3</w:t>
                  </w:r>
                  <w:r>
                    <w:rPr>
                      <w:color w:val="000000"/>
                      <w:szCs w:val="21"/>
                      <w:lang w:val="pt-BR"/>
                    </w:rPr>
                    <w:t>；熔点：63℃；沸点：208℃；外观：白色结晶性粉末；溶解性：不溶于水，微溶于乙醇，易溶于乙醚、苯。</w:t>
                  </w:r>
                </w:p>
              </w:tc>
            </w:tr>
          </w:tbl>
          <w:p>
            <w:pPr>
              <w:spacing w:line="460" w:lineRule="exact"/>
              <w:ind w:firstLine="482" w:firstLineChars="200"/>
              <w:rPr>
                <w:b/>
                <w:color w:val="000000"/>
                <w:sz w:val="24"/>
              </w:rPr>
            </w:pPr>
            <w:r>
              <w:rPr>
                <w:b/>
                <w:color w:val="000000"/>
                <w:sz w:val="24"/>
              </w:rPr>
              <w:t>6、项目水平衡图</w:t>
            </w:r>
          </w:p>
          <w:p>
            <w:pPr>
              <w:jc w:val="center"/>
              <w:rPr>
                <w:b/>
                <w:color w:val="000000"/>
                <w:sz w:val="24"/>
              </w:rPr>
            </w:pPr>
            <w:r>
              <w:object>
                <v:shape id="_x0000_i1025" o:spt="75" type="#_x0000_t75" style="height:188.7pt;width:400.95pt;" o:ole="t" filled="f" o:preferrelative="t" stroked="f" coordsize="21600,21600">
                  <v:path/>
                  <v:fill on="f" focussize="0,0"/>
                  <v:stroke on="f" joinstyle="miter"/>
                  <v:imagedata r:id="rId20" o:title=""/>
                  <o:lock v:ext="edit" aspectratio="t"/>
                  <w10:wrap type="none"/>
                  <w10:anchorlock/>
                </v:shape>
                <o:OLEObject Type="Embed" ProgID="Visio.Drawing.11" ShapeID="_x0000_i1025" DrawAspect="Content" ObjectID="_1468075725" r:id="rId19">
                  <o:LockedField>false</o:LockedField>
                </o:OLEObject>
              </w:object>
            </w:r>
          </w:p>
          <w:p>
            <w:pPr>
              <w:jc w:val="center"/>
              <w:rPr>
                <w:b/>
                <w:color w:val="000000"/>
                <w:sz w:val="24"/>
              </w:rPr>
            </w:pPr>
            <w:r>
              <w:rPr>
                <w:rFonts w:eastAsia="黑体"/>
                <w:bCs/>
                <w:color w:val="000000"/>
                <w:sz w:val="24"/>
              </w:rPr>
              <w:t>图3                本项目水平衡图</w:t>
            </w:r>
            <w:r>
              <w:rPr>
                <w:rFonts w:hint="eastAsia" w:eastAsia="黑体"/>
                <w:bCs/>
                <w:color w:val="000000"/>
                <w:sz w:val="24"/>
              </w:rPr>
              <w:t xml:space="preserve"> </w:t>
            </w:r>
            <w:r>
              <w:rPr>
                <w:rFonts w:eastAsia="黑体"/>
                <w:bCs/>
                <w:color w:val="000000"/>
                <w:sz w:val="24"/>
              </w:rPr>
              <w:t xml:space="preserve">            单位：m</w:t>
            </w:r>
            <w:r>
              <w:rPr>
                <w:rFonts w:eastAsia="黑体"/>
                <w:bCs/>
                <w:color w:val="000000"/>
                <w:sz w:val="24"/>
                <w:vertAlign w:val="superscript"/>
              </w:rPr>
              <w:t>3</w:t>
            </w:r>
            <w:r>
              <w:rPr>
                <w:rFonts w:eastAsia="黑体"/>
                <w:bCs/>
                <w:color w:val="000000"/>
                <w:sz w:val="24"/>
              </w:rPr>
              <w:t>/d</w:t>
            </w:r>
          </w:p>
          <w:p>
            <w:pPr>
              <w:spacing w:line="460" w:lineRule="exact"/>
              <w:ind w:firstLine="482" w:firstLineChars="200"/>
              <w:rPr>
                <w:b/>
                <w:color w:val="000000"/>
                <w:sz w:val="24"/>
              </w:rPr>
            </w:pPr>
            <w:r>
              <w:rPr>
                <w:b/>
                <w:color w:val="000000"/>
                <w:sz w:val="24"/>
              </w:rPr>
              <w:t>7、厂区平面布置简述</w:t>
            </w:r>
          </w:p>
          <w:p>
            <w:pPr>
              <w:spacing w:line="460" w:lineRule="exact"/>
              <w:ind w:firstLine="480" w:firstLineChars="200"/>
              <w:rPr>
                <w:bCs/>
                <w:szCs w:val="21"/>
                <w:highlight w:val="yellow"/>
              </w:rPr>
            </w:pPr>
            <w:r>
              <w:rPr>
                <w:color w:val="000000"/>
                <w:sz w:val="24"/>
              </w:rPr>
              <w:t>本项目选址位于新乡经济开发区107国道与胡韦线交汇处A3地块，建设单位利用印海智谷产业园现有空厂房进行检验检测实验室的建设。根据建设单位提供的本项目总平面图（详见附图3），实验室的平面布置较为合理，主要体现为：</w:t>
            </w:r>
          </w:p>
          <w:p>
            <w:pPr>
              <w:spacing w:line="460" w:lineRule="exact"/>
              <w:ind w:firstLine="480" w:firstLineChars="200"/>
              <w:rPr>
                <w:bCs/>
                <w:sz w:val="24"/>
              </w:rPr>
            </w:pPr>
            <w:r>
              <w:rPr>
                <w:bCs/>
                <w:sz w:val="24"/>
              </w:rPr>
              <w:t>本项目检验检测仪器设备均位于实验室内，实验室按检测项目划分区域，产生污染物的检测工序集中，便于废气收集。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823" w:type="dxa"/>
            <w:vAlign w:val="center"/>
          </w:tcPr>
          <w:p>
            <w:pPr>
              <w:pStyle w:val="17"/>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工艺流程和产排污环节</w:t>
            </w:r>
          </w:p>
        </w:tc>
        <w:tc>
          <w:tcPr>
            <w:tcW w:w="8161" w:type="dxa"/>
          </w:tcPr>
          <w:p>
            <w:pPr>
              <w:spacing w:line="460" w:lineRule="exact"/>
              <w:rPr>
                <w:rFonts w:eastAsia="黑体"/>
                <w:color w:val="000000"/>
                <w:sz w:val="24"/>
                <w:szCs w:val="20"/>
              </w:rPr>
            </w:pPr>
            <w:r>
              <w:rPr>
                <w:rFonts w:eastAsia="黑体"/>
                <w:color w:val="000000"/>
                <w:sz w:val="24"/>
                <w:szCs w:val="20"/>
              </w:rPr>
              <w:t>一、工艺流程简述（图示）：</w:t>
            </w:r>
          </w:p>
          <w:p>
            <w:pPr>
              <w:adjustRightInd w:val="0"/>
              <w:snapToGrid w:val="0"/>
              <w:spacing w:line="460" w:lineRule="exact"/>
              <w:ind w:firstLine="480" w:firstLineChars="200"/>
              <w:rPr>
                <w:rFonts w:eastAsia="黑体"/>
                <w:color w:val="000000"/>
                <w:sz w:val="24"/>
              </w:rPr>
            </w:pPr>
            <w:r>
              <w:rPr>
                <w:rFonts w:hint="eastAsia" w:eastAsia="黑体"/>
                <w:color w:val="000000"/>
                <w:sz w:val="24"/>
              </w:rPr>
              <w:t>（一）</w:t>
            </w:r>
            <w:r>
              <w:rPr>
                <w:rFonts w:eastAsia="黑体"/>
                <w:color w:val="000000"/>
                <w:sz w:val="24"/>
              </w:rPr>
              <w:t>本项目工作流程图如下：</w:t>
            </w:r>
          </w:p>
          <w:p>
            <w:pPr>
              <w:adjustRightInd w:val="0"/>
              <w:snapToGrid w:val="0"/>
              <w:rPr>
                <w:rFonts w:eastAsia="黑体"/>
                <w:color w:val="000000"/>
                <w:sz w:val="24"/>
              </w:rPr>
            </w:pPr>
            <w:r>
              <w:object>
                <v:shape id="_x0000_i1026" o:spt="75" type="#_x0000_t75" style="height:316.55pt;width:396pt;" o:ole="t" filled="f" o:preferrelative="t" stroked="f" coordsize="21600,21600">
                  <v:path/>
                  <v:fill on="f" focussize="0,0"/>
                  <v:stroke on="f" joinstyle="miter"/>
                  <v:imagedata r:id="rId22" o:title=""/>
                  <o:lock v:ext="edit" aspectratio="t"/>
                  <w10:wrap type="none"/>
                  <w10:anchorlock/>
                </v:shape>
                <o:OLEObject Type="Embed" ProgID="Visio.Drawing.11" ShapeID="_x0000_i1026" DrawAspect="Content" ObjectID="_1468075726" r:id="rId21">
                  <o:LockedField>false</o:LockedField>
                </o:OLEObject>
              </w:object>
            </w:r>
          </w:p>
          <w:p>
            <w:pPr>
              <w:pStyle w:val="59"/>
              <w:tabs>
                <w:tab w:val="left" w:pos="4063"/>
              </w:tabs>
              <w:spacing w:line="240" w:lineRule="auto"/>
              <w:ind w:firstLine="0"/>
              <w:rPr>
                <w:rFonts w:eastAsia="黑体"/>
                <w:color w:val="000000"/>
                <w:sz w:val="24"/>
              </w:rPr>
            </w:pPr>
            <w:r>
              <w:rPr>
                <w:color w:val="000000"/>
                <w:sz w:val="24"/>
              </w:rPr>
              <w:t>注：G：废气；W：废水；N：噪声；S：固废</w:t>
            </w:r>
          </w:p>
          <w:p>
            <w:pPr>
              <w:adjustRightInd w:val="0"/>
              <w:snapToGrid w:val="0"/>
              <w:spacing w:line="460" w:lineRule="exact"/>
              <w:ind w:firstLine="1680" w:firstLineChars="700"/>
              <w:jc w:val="left"/>
              <w:rPr>
                <w:rFonts w:eastAsia="黑体"/>
                <w:color w:val="000000"/>
                <w:sz w:val="24"/>
              </w:rPr>
            </w:pPr>
            <w:r>
              <w:rPr>
                <w:rFonts w:eastAsia="黑体"/>
                <w:color w:val="000000"/>
                <w:sz w:val="24"/>
              </w:rPr>
              <w:t xml:space="preserve">图4        </w:t>
            </w:r>
            <w:r>
              <w:rPr>
                <w:rFonts w:hint="eastAsia" w:eastAsia="黑体"/>
                <w:color w:val="000000"/>
                <w:sz w:val="24"/>
              </w:rPr>
              <w:t>实验室</w:t>
            </w:r>
            <w:r>
              <w:rPr>
                <w:rFonts w:hint="eastAsia" w:eastAsia="黑体"/>
                <w:color w:val="000000"/>
                <w:sz w:val="24"/>
                <w:szCs w:val="20"/>
              </w:rPr>
              <w:t>工作流程</w:t>
            </w:r>
            <w:r>
              <w:rPr>
                <w:rFonts w:eastAsia="黑体"/>
                <w:color w:val="000000"/>
                <w:sz w:val="24"/>
                <w:szCs w:val="20"/>
              </w:rPr>
              <w:t>及产污环节图</w:t>
            </w:r>
          </w:p>
          <w:p>
            <w:pPr>
              <w:adjustRightInd w:val="0"/>
              <w:snapToGrid w:val="0"/>
              <w:spacing w:line="460" w:lineRule="exact"/>
              <w:ind w:firstLine="480" w:firstLineChars="200"/>
              <w:rPr>
                <w:color w:val="000000"/>
                <w:sz w:val="24"/>
              </w:rPr>
            </w:pPr>
            <w:r>
              <w:rPr>
                <w:color w:val="000000"/>
                <w:sz w:val="24"/>
              </w:rPr>
              <w:t>工作流程说明如下：</w:t>
            </w:r>
          </w:p>
          <w:p>
            <w:pPr>
              <w:adjustRightInd w:val="0"/>
              <w:snapToGrid w:val="0"/>
              <w:spacing w:line="460" w:lineRule="exact"/>
              <w:ind w:firstLine="480" w:firstLineChars="200"/>
              <w:rPr>
                <w:color w:val="000000"/>
                <w:sz w:val="24"/>
              </w:rPr>
            </w:pPr>
            <w:r>
              <w:rPr>
                <w:color w:val="000000"/>
                <w:sz w:val="24"/>
              </w:rPr>
              <w:t>1、客户委托：客户根据自身需求委托本检验检测中心开展</w:t>
            </w:r>
            <w:r>
              <w:rPr>
                <w:rFonts w:hint="eastAsia"/>
                <w:color w:val="000000"/>
                <w:sz w:val="24"/>
              </w:rPr>
              <w:t>食品及饮用水类、</w:t>
            </w:r>
            <w:r>
              <w:rPr>
                <w:color w:val="000000"/>
                <w:sz w:val="24"/>
              </w:rPr>
              <w:t>化工成品油类、计量检定(校准)类检验检测数据分析。</w:t>
            </w:r>
          </w:p>
          <w:p>
            <w:pPr>
              <w:adjustRightInd w:val="0"/>
              <w:snapToGrid w:val="0"/>
              <w:spacing w:line="460" w:lineRule="exact"/>
              <w:ind w:firstLine="480" w:firstLineChars="200"/>
              <w:rPr>
                <w:color w:val="000000"/>
                <w:sz w:val="24"/>
              </w:rPr>
            </w:pPr>
            <w:r>
              <w:rPr>
                <w:color w:val="000000"/>
                <w:sz w:val="24"/>
              </w:rPr>
              <w:t>2、现场采样：检测中心接受客户委托后，委派现场采样人员到指定地点采集样品或抽样。</w:t>
            </w:r>
          </w:p>
          <w:p>
            <w:pPr>
              <w:adjustRightInd w:val="0"/>
              <w:snapToGrid w:val="0"/>
              <w:spacing w:line="460" w:lineRule="exact"/>
              <w:ind w:firstLine="480" w:firstLineChars="200"/>
              <w:rPr>
                <w:color w:val="000000"/>
                <w:sz w:val="24"/>
              </w:rPr>
            </w:pPr>
            <w:r>
              <w:rPr>
                <w:color w:val="000000"/>
                <w:sz w:val="24"/>
              </w:rPr>
              <w:t>3、样品交接与保存：现场采样人员将带回的样品，交由实验室检测人员，接收样品时，应记录样品的状态、接收时间、接收数量等信息，将样品存放至</w:t>
            </w:r>
            <w:r>
              <w:rPr>
                <w:rFonts w:hint="eastAsia"/>
                <w:color w:val="000000"/>
                <w:sz w:val="24"/>
              </w:rPr>
              <w:t>实验室</w:t>
            </w:r>
            <w:r>
              <w:rPr>
                <w:color w:val="000000"/>
                <w:sz w:val="24"/>
              </w:rPr>
              <w:t>样品存放区。</w:t>
            </w:r>
          </w:p>
          <w:p>
            <w:pPr>
              <w:adjustRightInd w:val="0"/>
              <w:snapToGrid w:val="0"/>
              <w:spacing w:line="460" w:lineRule="exact"/>
              <w:ind w:firstLine="480" w:firstLineChars="200"/>
              <w:rPr>
                <w:color w:val="000000"/>
                <w:sz w:val="24"/>
              </w:rPr>
            </w:pPr>
            <w:r>
              <w:rPr>
                <w:color w:val="000000"/>
                <w:sz w:val="24"/>
              </w:rPr>
              <w:t>4、纯水制备：本项目各个中心实验台都需要接入纯化水，实验室采用“PP棉滤芯+颗粒活性炭滤芯+烧结活性炭滤芯+RO反渗透膜+抛光树脂纯化柱工艺”的一台纯水机制备所需纯水，纯水机出水的水质标准达到《分析实验室用水规格和试验方法》（GB/T6682-2008）。纯水通过专用PPR管道直接输送到各实验室用水点。纯水制备过程中会产生废水、废PP棉滤芯、废活性炭、废RO反渗透膜、废树脂。</w:t>
            </w:r>
          </w:p>
          <w:p>
            <w:pPr>
              <w:adjustRightInd w:val="0"/>
              <w:snapToGrid w:val="0"/>
              <w:spacing w:line="460" w:lineRule="exact"/>
              <w:ind w:firstLine="480" w:firstLineChars="200"/>
              <w:rPr>
                <w:color w:val="000000"/>
                <w:sz w:val="24"/>
              </w:rPr>
            </w:pPr>
            <w:r>
              <w:rPr>
                <w:color w:val="000000"/>
                <w:sz w:val="24"/>
              </w:rPr>
              <w:t>5、配置试剂：使用制备的纯水和外购的试剂，按照各类分析方法，配置不同比例的试剂。该过程会产生配置废气、废水以及废试剂瓶、未使用完的废试剂等危险固废。</w:t>
            </w:r>
          </w:p>
          <w:p>
            <w:pPr>
              <w:adjustRightInd w:val="0"/>
              <w:snapToGrid w:val="0"/>
              <w:spacing w:line="460" w:lineRule="exact"/>
              <w:ind w:firstLine="480" w:firstLineChars="200"/>
              <w:rPr>
                <w:color w:val="000000"/>
                <w:sz w:val="24"/>
              </w:rPr>
            </w:pPr>
            <w:r>
              <w:rPr>
                <w:color w:val="000000"/>
                <w:sz w:val="24"/>
              </w:rPr>
              <w:t>6、样品预处理：实验室接收到的样品，根据检测项目指标和对应国家及行业检测标准要求，对样品采取吸收、蒸馏、提取、消解或萃取等方法进行预处理，提取样品中的待测物质，获取样品中的目标成分</w:t>
            </w:r>
            <w:r>
              <w:rPr>
                <w:rFonts w:hint="eastAsia"/>
                <w:color w:val="000000"/>
                <w:sz w:val="24"/>
              </w:rPr>
              <w:t>，该过程会产生废气和废实验样品</w:t>
            </w:r>
            <w:r>
              <w:rPr>
                <w:color w:val="000000"/>
                <w:sz w:val="24"/>
              </w:rPr>
              <w:t>。</w:t>
            </w:r>
          </w:p>
          <w:p>
            <w:pPr>
              <w:adjustRightInd w:val="0"/>
              <w:snapToGrid w:val="0"/>
              <w:spacing w:line="460" w:lineRule="exact"/>
              <w:ind w:firstLine="480" w:firstLineChars="200"/>
              <w:rPr>
                <w:color w:val="000000"/>
                <w:sz w:val="24"/>
              </w:rPr>
            </w:pPr>
            <w:r>
              <w:rPr>
                <w:color w:val="000000"/>
                <w:sz w:val="24"/>
              </w:rPr>
              <w:t>7、实验分析：预处理后的样品转移至特定的容器中，根据检测指标形态和对应检测方法标准要求，定容后的样品放入相应的测试设备中或采取人工滴定法对样品中的成分进行分析检测，记录数据</w:t>
            </w:r>
            <w:r>
              <w:rPr>
                <w:rFonts w:hint="eastAsia"/>
                <w:color w:val="000000"/>
                <w:sz w:val="24"/>
              </w:rPr>
              <w:t>，该过程会产生废气</w:t>
            </w:r>
            <w:r>
              <w:rPr>
                <w:color w:val="000000"/>
                <w:sz w:val="24"/>
              </w:rPr>
              <w:t>。</w:t>
            </w:r>
          </w:p>
          <w:p>
            <w:pPr>
              <w:adjustRightInd w:val="0"/>
              <w:snapToGrid w:val="0"/>
              <w:spacing w:line="460" w:lineRule="exact"/>
              <w:ind w:firstLine="480" w:firstLineChars="200"/>
              <w:rPr>
                <w:color w:val="000000"/>
                <w:sz w:val="24"/>
              </w:rPr>
            </w:pPr>
            <w:r>
              <w:rPr>
                <w:color w:val="000000"/>
                <w:sz w:val="24"/>
              </w:rPr>
              <w:t>8、清洗保洁：实验分析结束后，所用试剂配制容器、器皿以及仪器设备需进行清洗</w:t>
            </w:r>
            <w:r>
              <w:rPr>
                <w:rFonts w:hint="eastAsia"/>
                <w:color w:val="000000"/>
                <w:sz w:val="24"/>
              </w:rPr>
              <w:t>，该过程会产生废气、清洗废水、废试剂溶剂等固废</w:t>
            </w:r>
            <w:r>
              <w:rPr>
                <w:color w:val="000000"/>
                <w:sz w:val="24"/>
              </w:rPr>
              <w:t>。</w:t>
            </w:r>
          </w:p>
          <w:p>
            <w:pPr>
              <w:adjustRightInd w:val="0"/>
              <w:snapToGrid w:val="0"/>
              <w:spacing w:line="460" w:lineRule="exact"/>
              <w:ind w:firstLine="480" w:firstLineChars="200"/>
              <w:rPr>
                <w:color w:val="000000"/>
                <w:sz w:val="24"/>
              </w:rPr>
            </w:pPr>
            <w:r>
              <w:rPr>
                <w:color w:val="000000"/>
                <w:sz w:val="24"/>
              </w:rPr>
              <w:t>9、结果分析：根据检测结果，对检测数据进行整理分析。</w:t>
            </w:r>
          </w:p>
          <w:p>
            <w:pPr>
              <w:adjustRightInd w:val="0"/>
              <w:snapToGrid w:val="0"/>
              <w:spacing w:line="460" w:lineRule="exact"/>
              <w:ind w:firstLine="480" w:firstLineChars="200"/>
              <w:rPr>
                <w:color w:val="000000"/>
                <w:sz w:val="24"/>
              </w:rPr>
            </w:pPr>
            <w:r>
              <w:rPr>
                <w:color w:val="000000"/>
                <w:sz w:val="24"/>
              </w:rPr>
              <w:t>10、编制报告：整理分析的实验数据，按照检测报告编制规范标准格式汇编成检测报告。</w:t>
            </w:r>
          </w:p>
          <w:p>
            <w:pPr>
              <w:adjustRightInd w:val="0"/>
              <w:snapToGrid w:val="0"/>
              <w:spacing w:line="460" w:lineRule="exact"/>
              <w:ind w:firstLine="480" w:firstLineChars="200"/>
              <w:rPr>
                <w:color w:val="000000"/>
                <w:sz w:val="24"/>
              </w:rPr>
            </w:pPr>
            <w:r>
              <w:rPr>
                <w:color w:val="000000"/>
                <w:sz w:val="24"/>
              </w:rPr>
              <w:t>11、审核发送：审核出具的检测报告数据，确认无误后发送给委托单位。</w:t>
            </w:r>
          </w:p>
          <w:p>
            <w:pPr>
              <w:adjustRightInd w:val="0"/>
              <w:snapToGrid w:val="0"/>
              <w:spacing w:line="460" w:lineRule="exact"/>
              <w:ind w:firstLine="480" w:firstLineChars="200"/>
              <w:rPr>
                <w:color w:val="000000"/>
                <w:sz w:val="24"/>
              </w:rPr>
            </w:pPr>
            <w:r>
              <w:rPr>
                <w:color w:val="000000"/>
                <w:sz w:val="24"/>
              </w:rPr>
              <w:t>（二）本项目建成后可开展食品饮用水类、化工成品油类、计量检定(校准)类检验检测</w:t>
            </w:r>
            <w:r>
              <w:rPr>
                <w:rFonts w:hint="eastAsia"/>
                <w:color w:val="000000"/>
                <w:sz w:val="24"/>
              </w:rPr>
              <w:t>。</w:t>
            </w: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color w:val="000000"/>
                <w:sz w:val="24"/>
              </w:rPr>
            </w:pPr>
          </w:p>
          <w:p>
            <w:pPr>
              <w:adjustRightInd w:val="0"/>
              <w:snapToGrid w:val="0"/>
              <w:spacing w:line="460" w:lineRule="exact"/>
              <w:ind w:firstLine="480" w:firstLineChars="200"/>
              <w:rPr>
                <w:rFonts w:eastAsia="黑体"/>
                <w:color w:val="000000"/>
                <w:sz w:val="24"/>
              </w:rPr>
            </w:pPr>
            <w:r>
              <w:rPr>
                <w:rFonts w:hint="eastAsia" w:eastAsia="黑体"/>
                <w:color w:val="000000"/>
                <w:sz w:val="24"/>
              </w:rPr>
              <w:t>（</w:t>
            </w:r>
            <w:r>
              <w:rPr>
                <w:rFonts w:eastAsia="黑体"/>
                <w:color w:val="000000"/>
                <w:sz w:val="24"/>
              </w:rPr>
              <w:t>1</w:t>
            </w:r>
            <w:r>
              <w:rPr>
                <w:rFonts w:hint="eastAsia" w:eastAsia="黑体"/>
                <w:color w:val="000000"/>
                <w:sz w:val="24"/>
              </w:rPr>
              <w:t>）、</w:t>
            </w:r>
            <w:r>
              <w:rPr>
                <w:rFonts w:eastAsia="黑体"/>
                <w:color w:val="000000"/>
                <w:sz w:val="24"/>
              </w:rPr>
              <w:t>食品饮用水类实验分析</w:t>
            </w:r>
            <w:r>
              <w:rPr>
                <w:rFonts w:hint="eastAsia" w:eastAsia="黑体"/>
                <w:color w:val="000000"/>
                <w:sz w:val="24"/>
              </w:rPr>
              <w:t>工作</w:t>
            </w:r>
            <w:r>
              <w:rPr>
                <w:rFonts w:eastAsia="黑体"/>
                <w:color w:val="000000"/>
                <w:sz w:val="24"/>
              </w:rPr>
              <w:t>流程图：</w:t>
            </w:r>
          </w:p>
          <w:p>
            <w:pPr>
              <w:adjustRightInd w:val="0"/>
              <w:snapToGrid w:val="0"/>
              <w:rPr>
                <w:rFonts w:eastAsia="黑体"/>
                <w:color w:val="000000"/>
                <w:sz w:val="24"/>
              </w:rPr>
            </w:pPr>
            <w:r>
              <w:object>
                <v:shape id="_x0000_i1027" o:spt="75" type="#_x0000_t75" style="height:382.35pt;width:396pt;" o:ole="t" filled="f" o:preferrelative="t" stroked="f" coordsize="21600,21600">
                  <v:path/>
                  <v:fill on="f" focussize="0,0"/>
                  <v:stroke on="f" joinstyle="miter"/>
                  <v:imagedata r:id="rId24" o:title=""/>
                  <o:lock v:ext="edit" aspectratio="t"/>
                  <w10:wrap type="none"/>
                  <w10:anchorlock/>
                </v:shape>
                <o:OLEObject Type="Embed" ProgID="Visio.Drawing.11" ShapeID="_x0000_i1027" DrawAspect="Content" ObjectID="_1468075727" r:id="rId23">
                  <o:LockedField>false</o:LockedField>
                </o:OLEObject>
              </w:object>
            </w:r>
          </w:p>
          <w:p>
            <w:pPr>
              <w:pStyle w:val="59"/>
              <w:tabs>
                <w:tab w:val="left" w:pos="4063"/>
              </w:tabs>
              <w:spacing w:line="240" w:lineRule="auto"/>
              <w:ind w:firstLine="0"/>
              <w:rPr>
                <w:rFonts w:eastAsia="黑体"/>
                <w:color w:val="000000"/>
                <w:sz w:val="24"/>
              </w:rPr>
            </w:pPr>
            <w:r>
              <w:rPr>
                <w:color w:val="000000"/>
                <w:sz w:val="24"/>
              </w:rPr>
              <w:t>注：G：废气；W：废水；N：噪声；S：固废</w:t>
            </w:r>
          </w:p>
          <w:p>
            <w:pPr>
              <w:adjustRightInd w:val="0"/>
              <w:snapToGrid w:val="0"/>
              <w:spacing w:line="460" w:lineRule="exact"/>
              <w:jc w:val="center"/>
              <w:rPr>
                <w:rFonts w:eastAsia="黑体"/>
                <w:color w:val="000000"/>
                <w:sz w:val="24"/>
              </w:rPr>
            </w:pPr>
            <w:r>
              <w:rPr>
                <w:rFonts w:eastAsia="黑体"/>
                <w:color w:val="000000"/>
                <w:sz w:val="24"/>
              </w:rPr>
              <w:t xml:space="preserve">图5   </w:t>
            </w:r>
            <w:r>
              <w:rPr>
                <w:rFonts w:eastAsia="黑体"/>
                <w:color w:val="000000"/>
                <w:sz w:val="24"/>
                <w:szCs w:val="20"/>
              </w:rPr>
              <w:t>食品饮用水类实验分析</w:t>
            </w:r>
            <w:r>
              <w:rPr>
                <w:rFonts w:hint="eastAsia" w:eastAsia="黑体"/>
                <w:color w:val="000000"/>
                <w:sz w:val="24"/>
                <w:szCs w:val="20"/>
              </w:rPr>
              <w:t>工作</w:t>
            </w:r>
            <w:r>
              <w:rPr>
                <w:rFonts w:eastAsia="黑体"/>
                <w:color w:val="000000"/>
                <w:sz w:val="24"/>
                <w:szCs w:val="20"/>
              </w:rPr>
              <w:t>及产污环节流程图</w:t>
            </w:r>
          </w:p>
          <w:p>
            <w:pPr>
              <w:adjustRightInd w:val="0"/>
              <w:snapToGrid w:val="0"/>
              <w:spacing w:line="460" w:lineRule="exact"/>
              <w:ind w:firstLine="480" w:firstLineChars="200"/>
              <w:rPr>
                <w:color w:val="000000"/>
                <w:sz w:val="24"/>
              </w:rPr>
            </w:pPr>
            <w:r>
              <w:rPr>
                <w:color w:val="000000"/>
                <w:sz w:val="24"/>
              </w:rPr>
              <w:t>食品饮用水类检测按照样品类型可分为液态样品、固态样品、微生物样品。</w:t>
            </w:r>
          </w:p>
          <w:p>
            <w:pPr>
              <w:adjustRightInd w:val="0"/>
              <w:snapToGrid w:val="0"/>
              <w:spacing w:line="460" w:lineRule="exact"/>
              <w:ind w:firstLine="480" w:firstLineChars="200"/>
              <w:rPr>
                <w:color w:val="000000"/>
                <w:sz w:val="24"/>
              </w:rPr>
            </w:pPr>
            <w:r>
              <w:rPr>
                <w:color w:val="000000"/>
                <w:sz w:val="24"/>
              </w:rPr>
              <w:t>1、液态样品分析</w:t>
            </w:r>
          </w:p>
          <w:p>
            <w:pPr>
              <w:adjustRightInd w:val="0"/>
              <w:snapToGrid w:val="0"/>
              <w:spacing w:line="460" w:lineRule="exact"/>
              <w:ind w:firstLine="480" w:firstLineChars="200"/>
              <w:rPr>
                <w:color w:val="000000"/>
                <w:sz w:val="24"/>
              </w:rPr>
            </w:pPr>
            <w:r>
              <w:rPr>
                <w:color w:val="000000"/>
                <w:sz w:val="24"/>
              </w:rPr>
              <w:t>对液态样品，首先利用温度计、PH计测定其物理指标，再根据不同检测要求，将样品进行消解或萃取等预处理，最后利用原子吸收、紫外/可见光光度计等仪器测定相应指标。</w:t>
            </w:r>
          </w:p>
          <w:p>
            <w:pPr>
              <w:adjustRightInd w:val="0"/>
              <w:snapToGrid w:val="0"/>
              <w:spacing w:line="460" w:lineRule="exact"/>
              <w:ind w:firstLine="480" w:firstLineChars="200"/>
              <w:rPr>
                <w:bCs/>
                <w:sz w:val="24"/>
                <w:szCs w:val="21"/>
              </w:rPr>
            </w:pPr>
            <w:r>
              <w:rPr>
                <w:bCs/>
                <w:sz w:val="24"/>
                <w:szCs w:val="21"/>
              </w:rPr>
              <w:t>2、固态样品分析</w:t>
            </w:r>
          </w:p>
          <w:p>
            <w:pPr>
              <w:adjustRightInd w:val="0"/>
              <w:snapToGrid w:val="0"/>
              <w:spacing w:line="460" w:lineRule="exact"/>
              <w:ind w:firstLine="480" w:firstLineChars="200"/>
              <w:rPr>
                <w:bCs/>
                <w:sz w:val="24"/>
                <w:szCs w:val="21"/>
              </w:rPr>
            </w:pPr>
            <w:r>
              <w:rPr>
                <w:bCs/>
                <w:sz w:val="24"/>
                <w:szCs w:val="21"/>
              </w:rPr>
              <w:t>对于固态样品，根据检测要求进行不同的预处理工序，后利用气相色谱仪、原子吸收等仪器测定相应指标。</w:t>
            </w:r>
          </w:p>
          <w:p>
            <w:pPr>
              <w:adjustRightInd w:val="0"/>
              <w:snapToGrid w:val="0"/>
              <w:spacing w:line="460" w:lineRule="exact"/>
              <w:ind w:firstLine="480" w:firstLineChars="200"/>
              <w:rPr>
                <w:bCs/>
                <w:sz w:val="24"/>
                <w:szCs w:val="21"/>
              </w:rPr>
            </w:pPr>
            <w:r>
              <w:rPr>
                <w:bCs/>
                <w:sz w:val="24"/>
                <w:szCs w:val="21"/>
              </w:rPr>
              <w:t>3、微生物样品分析</w:t>
            </w:r>
          </w:p>
          <w:p>
            <w:pPr>
              <w:adjustRightInd w:val="0"/>
              <w:snapToGrid w:val="0"/>
              <w:spacing w:line="460" w:lineRule="exact"/>
              <w:ind w:firstLine="480" w:firstLineChars="200"/>
              <w:rPr>
                <w:bCs/>
                <w:sz w:val="24"/>
                <w:szCs w:val="21"/>
              </w:rPr>
            </w:pPr>
            <w:r>
              <w:rPr>
                <w:bCs/>
                <w:sz w:val="24"/>
                <w:szCs w:val="21"/>
              </w:rPr>
              <w:t>先进行菌落培养后利用显微镜进行菌落计数，审核数据后出具报告。会产生废培养皿，废一次性实验用品。</w:t>
            </w:r>
          </w:p>
          <w:p>
            <w:pPr>
              <w:adjustRightInd w:val="0"/>
              <w:snapToGrid w:val="0"/>
              <w:spacing w:line="460" w:lineRule="exact"/>
              <w:ind w:firstLine="480" w:firstLineChars="200"/>
              <w:rPr>
                <w:rFonts w:eastAsia="黑体"/>
                <w:color w:val="000000"/>
                <w:sz w:val="24"/>
              </w:rPr>
            </w:pPr>
            <w:r>
              <w:rPr>
                <w:rFonts w:hint="eastAsia" w:eastAsia="黑体"/>
                <w:color w:val="000000"/>
                <w:sz w:val="24"/>
              </w:rPr>
              <w:t>（2）</w:t>
            </w:r>
            <w:r>
              <w:rPr>
                <w:rFonts w:eastAsia="黑体"/>
                <w:color w:val="000000"/>
                <w:sz w:val="24"/>
              </w:rPr>
              <w:t>本项目</w:t>
            </w:r>
            <w:r>
              <w:rPr>
                <w:rFonts w:hint="eastAsia" w:eastAsia="黑体"/>
                <w:color w:val="000000"/>
                <w:sz w:val="24"/>
              </w:rPr>
              <w:t>化工成品油类</w:t>
            </w:r>
            <w:r>
              <w:rPr>
                <w:rFonts w:eastAsia="黑体"/>
                <w:color w:val="000000"/>
                <w:sz w:val="24"/>
              </w:rPr>
              <w:t>工作流程图如下：</w:t>
            </w:r>
          </w:p>
          <w:p>
            <w:pPr>
              <w:adjustRightInd w:val="0"/>
              <w:snapToGrid w:val="0"/>
              <w:jc w:val="center"/>
              <w:rPr>
                <w:rFonts w:eastAsia="黑体"/>
                <w:color w:val="000000"/>
                <w:sz w:val="24"/>
              </w:rPr>
            </w:pPr>
            <w:r>
              <w:object>
                <v:shape id="_x0000_i1028" o:spt="75" type="#_x0000_t75" style="height:273.1pt;width:396pt;" o:ole="t" filled="f" o:preferrelative="t" stroked="f" coordsize="21600,21600">
                  <v:path/>
                  <v:fill on="f" focussize="0,0"/>
                  <v:stroke on="f" joinstyle="miter"/>
                  <v:imagedata r:id="rId26" o:title=""/>
                  <o:lock v:ext="edit" aspectratio="t"/>
                  <w10:wrap type="none"/>
                  <w10:anchorlock/>
                </v:shape>
                <o:OLEObject Type="Embed" ProgID="Visio.Drawing.11" ShapeID="_x0000_i1028" DrawAspect="Content" ObjectID="_1468075728" r:id="rId25">
                  <o:LockedField>false</o:LockedField>
                </o:OLEObject>
              </w:object>
            </w:r>
          </w:p>
          <w:p>
            <w:pPr>
              <w:pStyle w:val="59"/>
              <w:tabs>
                <w:tab w:val="left" w:pos="4063"/>
              </w:tabs>
              <w:spacing w:line="240" w:lineRule="auto"/>
              <w:ind w:firstLine="0"/>
              <w:rPr>
                <w:rFonts w:eastAsia="黑体"/>
                <w:color w:val="000000"/>
                <w:sz w:val="24"/>
              </w:rPr>
            </w:pPr>
            <w:r>
              <w:rPr>
                <w:color w:val="000000"/>
                <w:sz w:val="24"/>
              </w:rPr>
              <w:t>注：G：废气；W：废水；N：噪声；S：固废</w:t>
            </w:r>
          </w:p>
          <w:p>
            <w:pPr>
              <w:adjustRightInd w:val="0"/>
              <w:snapToGrid w:val="0"/>
              <w:spacing w:line="460" w:lineRule="exact"/>
              <w:ind w:firstLine="1680" w:firstLineChars="700"/>
              <w:jc w:val="left"/>
              <w:rPr>
                <w:rFonts w:eastAsia="黑体"/>
                <w:color w:val="000000"/>
                <w:sz w:val="24"/>
              </w:rPr>
            </w:pPr>
            <w:r>
              <w:rPr>
                <w:rFonts w:eastAsia="黑体"/>
                <w:color w:val="000000"/>
                <w:sz w:val="24"/>
              </w:rPr>
              <w:t xml:space="preserve">图6    </w:t>
            </w:r>
            <w:r>
              <w:rPr>
                <w:rFonts w:hint="eastAsia" w:eastAsia="黑体"/>
                <w:color w:val="000000"/>
                <w:sz w:val="24"/>
                <w:szCs w:val="20"/>
              </w:rPr>
              <w:t>化工成品油类工作流程</w:t>
            </w:r>
            <w:r>
              <w:rPr>
                <w:rFonts w:eastAsia="黑体"/>
                <w:color w:val="000000"/>
                <w:sz w:val="24"/>
                <w:szCs w:val="20"/>
              </w:rPr>
              <w:t>及产污环节图</w:t>
            </w:r>
          </w:p>
          <w:p>
            <w:pPr>
              <w:adjustRightInd w:val="0"/>
              <w:snapToGrid w:val="0"/>
              <w:spacing w:line="460" w:lineRule="exact"/>
              <w:ind w:firstLine="480" w:firstLineChars="200"/>
              <w:rPr>
                <w:color w:val="000000"/>
                <w:sz w:val="24"/>
              </w:rPr>
            </w:pPr>
            <w:r>
              <w:rPr>
                <w:rFonts w:hint="eastAsia"/>
                <w:color w:val="000000"/>
                <w:sz w:val="24"/>
              </w:rPr>
              <w:t>化工成品油类检测</w:t>
            </w:r>
            <w:r>
              <w:rPr>
                <w:color w:val="000000"/>
                <w:sz w:val="24"/>
              </w:rPr>
              <w:t>工作流程说明如下：</w:t>
            </w:r>
          </w:p>
          <w:p>
            <w:pPr>
              <w:adjustRightInd w:val="0"/>
              <w:snapToGrid w:val="0"/>
              <w:spacing w:line="460" w:lineRule="exact"/>
              <w:ind w:firstLine="480" w:firstLineChars="200"/>
              <w:rPr>
                <w:color w:val="000000"/>
                <w:sz w:val="24"/>
              </w:rPr>
            </w:pPr>
            <w:r>
              <w:rPr>
                <w:color w:val="000000"/>
                <w:sz w:val="24"/>
              </w:rPr>
              <w:t>1、客户委托：客户根据自身需求委托本检验检测中心开展</w:t>
            </w:r>
            <w:r>
              <w:rPr>
                <w:rFonts w:hint="eastAsia"/>
                <w:color w:val="000000"/>
                <w:sz w:val="24"/>
              </w:rPr>
              <w:t>化工成品油类</w:t>
            </w:r>
            <w:r>
              <w:rPr>
                <w:color w:val="000000"/>
                <w:sz w:val="24"/>
              </w:rPr>
              <w:t>检验检测数据分析。</w:t>
            </w:r>
          </w:p>
          <w:p>
            <w:pPr>
              <w:adjustRightInd w:val="0"/>
              <w:snapToGrid w:val="0"/>
              <w:spacing w:line="460" w:lineRule="exact"/>
              <w:ind w:firstLine="480" w:firstLineChars="200"/>
              <w:rPr>
                <w:color w:val="000000"/>
                <w:sz w:val="24"/>
              </w:rPr>
            </w:pPr>
            <w:r>
              <w:rPr>
                <w:color w:val="000000"/>
                <w:sz w:val="24"/>
              </w:rPr>
              <w:t>2、现场采样：检测中心接受客户委托后，委派现场采样人员到指定地点采集样品或抽样。</w:t>
            </w:r>
          </w:p>
          <w:p>
            <w:pPr>
              <w:adjustRightInd w:val="0"/>
              <w:snapToGrid w:val="0"/>
              <w:spacing w:line="460" w:lineRule="exact"/>
              <w:ind w:firstLine="480" w:firstLineChars="200"/>
              <w:rPr>
                <w:color w:val="000000"/>
                <w:sz w:val="24"/>
              </w:rPr>
            </w:pPr>
            <w:r>
              <w:rPr>
                <w:color w:val="000000"/>
                <w:sz w:val="24"/>
              </w:rPr>
              <w:t>3、样品交接与保存：现场采样人员将带回的样品，交由实验室检测人员，接收样品时，应记录样品的状态、接收时间、接收数量等信息，将样品存放至</w:t>
            </w:r>
            <w:r>
              <w:rPr>
                <w:rFonts w:hint="eastAsia"/>
                <w:color w:val="000000"/>
                <w:sz w:val="24"/>
              </w:rPr>
              <w:t>实验室</w:t>
            </w:r>
            <w:r>
              <w:rPr>
                <w:color w:val="000000"/>
                <w:sz w:val="24"/>
              </w:rPr>
              <w:t>样品存放区。</w:t>
            </w:r>
          </w:p>
          <w:p>
            <w:pPr>
              <w:adjustRightInd w:val="0"/>
              <w:snapToGrid w:val="0"/>
              <w:spacing w:line="460" w:lineRule="exact"/>
              <w:ind w:firstLine="480" w:firstLineChars="200"/>
              <w:rPr>
                <w:color w:val="000000"/>
                <w:sz w:val="24"/>
              </w:rPr>
            </w:pPr>
            <w:r>
              <w:rPr>
                <w:color w:val="000000"/>
                <w:sz w:val="24"/>
              </w:rPr>
              <w:t>4、纯水制备：本项目各个中心实验台都需要接入纯化水，实验室采用“PP棉滤芯+颗粒活性炭滤芯+烧结活性炭滤芯+RO反渗透膜+抛光树脂纯化柱工艺”的一台纯水机制备所需纯水，纯水机出水的水质标准达到《分析实验室用水规格和试验方法》（GB/T6682-2008）。纯水通过专用PPR管道直接输送到各实验室用水点。纯水制备过程中会产生废水、废PP棉滤芯、废活性炭、废RO反渗透膜、废树脂。</w:t>
            </w:r>
          </w:p>
          <w:p>
            <w:pPr>
              <w:adjustRightInd w:val="0"/>
              <w:snapToGrid w:val="0"/>
              <w:spacing w:line="460" w:lineRule="exact"/>
              <w:ind w:firstLine="480" w:firstLineChars="200"/>
              <w:rPr>
                <w:color w:val="000000"/>
                <w:sz w:val="24"/>
              </w:rPr>
            </w:pPr>
            <w:r>
              <w:rPr>
                <w:color w:val="000000"/>
                <w:sz w:val="24"/>
              </w:rPr>
              <w:t>5、配置试剂：使用制备的纯水和外购的试剂，按照各类分析方法，配置不同比例的试剂。该过程会产生配置废气、废水以及废试剂瓶、未使用完的废试剂等危险固废。</w:t>
            </w:r>
          </w:p>
          <w:p>
            <w:pPr>
              <w:adjustRightInd w:val="0"/>
              <w:snapToGrid w:val="0"/>
              <w:spacing w:line="460" w:lineRule="exact"/>
              <w:ind w:firstLine="480" w:firstLineChars="200"/>
              <w:rPr>
                <w:color w:val="000000"/>
                <w:sz w:val="24"/>
              </w:rPr>
            </w:pPr>
            <w:r>
              <w:rPr>
                <w:color w:val="000000"/>
                <w:sz w:val="24"/>
              </w:rPr>
              <w:t>6、样品预处理：实验室接收到的样品，根据检测项目指标和对应国家及行业检测标准要求，对样品采取吸收、蒸馏、提取、消解或萃取等方法进行预处理，提取样品中的待测物质，获取样品中的目标成分</w:t>
            </w:r>
            <w:r>
              <w:rPr>
                <w:rFonts w:hint="eastAsia"/>
                <w:color w:val="000000"/>
                <w:sz w:val="24"/>
              </w:rPr>
              <w:t>，该过程会产生废气和废实验样品</w:t>
            </w:r>
            <w:r>
              <w:rPr>
                <w:color w:val="000000"/>
                <w:sz w:val="24"/>
              </w:rPr>
              <w:t>。</w:t>
            </w:r>
          </w:p>
          <w:p>
            <w:pPr>
              <w:adjustRightInd w:val="0"/>
              <w:snapToGrid w:val="0"/>
              <w:spacing w:line="460" w:lineRule="exact"/>
              <w:ind w:firstLine="480" w:firstLineChars="200"/>
              <w:rPr>
                <w:color w:val="000000"/>
                <w:sz w:val="24"/>
              </w:rPr>
            </w:pPr>
            <w:r>
              <w:rPr>
                <w:color w:val="000000"/>
                <w:sz w:val="24"/>
              </w:rPr>
              <w:t>7、实验分析：预处理后的样品转移至特定的容器中，根据检测指标形态和对应检测方法标准要求，定容后的样品放入相应的测试设备中或采取人工滴定法对样品中的成分进行分析检测，记录数据</w:t>
            </w:r>
            <w:r>
              <w:rPr>
                <w:rFonts w:hint="eastAsia"/>
                <w:color w:val="000000"/>
                <w:sz w:val="24"/>
              </w:rPr>
              <w:t>，该过程会产生废气</w:t>
            </w:r>
            <w:r>
              <w:rPr>
                <w:color w:val="000000"/>
                <w:sz w:val="24"/>
              </w:rPr>
              <w:t>。</w:t>
            </w:r>
          </w:p>
          <w:p>
            <w:pPr>
              <w:adjustRightInd w:val="0"/>
              <w:snapToGrid w:val="0"/>
              <w:spacing w:line="460" w:lineRule="exact"/>
              <w:ind w:firstLine="480" w:firstLineChars="200"/>
              <w:rPr>
                <w:color w:val="000000"/>
                <w:sz w:val="24"/>
              </w:rPr>
            </w:pPr>
            <w:r>
              <w:rPr>
                <w:color w:val="000000"/>
                <w:sz w:val="24"/>
              </w:rPr>
              <w:t>8、清洗保洁：实验分析结束后，所用试剂配制容器、器皿以及仪器设备需进行清洗</w:t>
            </w:r>
            <w:r>
              <w:rPr>
                <w:rFonts w:hint="eastAsia"/>
                <w:color w:val="000000"/>
                <w:sz w:val="24"/>
              </w:rPr>
              <w:t>，该过程会产生废气、清洗废水、废试剂溶剂等固废</w:t>
            </w:r>
            <w:r>
              <w:rPr>
                <w:color w:val="000000"/>
                <w:sz w:val="24"/>
              </w:rPr>
              <w:t>。</w:t>
            </w:r>
          </w:p>
          <w:p>
            <w:pPr>
              <w:adjustRightInd w:val="0"/>
              <w:snapToGrid w:val="0"/>
              <w:spacing w:line="460" w:lineRule="exact"/>
              <w:ind w:firstLine="480" w:firstLineChars="200"/>
              <w:rPr>
                <w:color w:val="000000"/>
                <w:sz w:val="24"/>
              </w:rPr>
            </w:pPr>
            <w:r>
              <w:rPr>
                <w:color w:val="000000"/>
                <w:sz w:val="24"/>
              </w:rPr>
              <w:t>9、结果分析：根据检测结果，对检测数据进行整理分析。</w:t>
            </w:r>
          </w:p>
          <w:p>
            <w:pPr>
              <w:adjustRightInd w:val="0"/>
              <w:snapToGrid w:val="0"/>
              <w:spacing w:line="460" w:lineRule="exact"/>
              <w:ind w:firstLine="480" w:firstLineChars="200"/>
              <w:rPr>
                <w:color w:val="000000"/>
                <w:sz w:val="24"/>
              </w:rPr>
            </w:pPr>
            <w:r>
              <w:rPr>
                <w:color w:val="000000"/>
                <w:sz w:val="24"/>
              </w:rPr>
              <w:t>10、编制报告：整理分析的实验数据，按照检测报告编制规范标准格式汇编成检测报告。</w:t>
            </w:r>
          </w:p>
          <w:p>
            <w:pPr>
              <w:adjustRightInd w:val="0"/>
              <w:snapToGrid w:val="0"/>
              <w:spacing w:line="460" w:lineRule="exact"/>
              <w:ind w:firstLine="480" w:firstLineChars="200"/>
              <w:rPr>
                <w:color w:val="000000"/>
                <w:sz w:val="24"/>
              </w:rPr>
            </w:pPr>
            <w:r>
              <w:rPr>
                <w:color w:val="000000"/>
                <w:sz w:val="24"/>
              </w:rPr>
              <w:t>11、审核发送：审核出具的检测报告数据，确认无误后发送给委托单位。</w:t>
            </w:r>
          </w:p>
          <w:p>
            <w:pPr>
              <w:adjustRightInd w:val="0"/>
              <w:snapToGrid w:val="0"/>
              <w:spacing w:line="460" w:lineRule="exact"/>
              <w:ind w:firstLine="480" w:firstLineChars="200"/>
              <w:rPr>
                <w:rFonts w:eastAsia="黑体"/>
                <w:color w:val="000000"/>
                <w:sz w:val="24"/>
              </w:rPr>
            </w:pPr>
            <w:r>
              <w:rPr>
                <w:rFonts w:hint="eastAsia" w:eastAsia="黑体"/>
                <w:color w:val="000000"/>
                <w:sz w:val="24"/>
              </w:rPr>
              <w:t>（3）</w:t>
            </w:r>
            <w:r>
              <w:rPr>
                <w:rFonts w:eastAsia="黑体"/>
                <w:color w:val="000000"/>
                <w:sz w:val="24"/>
              </w:rPr>
              <w:t>本项目</w:t>
            </w:r>
            <w:r>
              <w:rPr>
                <w:rFonts w:hint="eastAsia" w:eastAsia="黑体"/>
                <w:color w:val="000000"/>
                <w:sz w:val="24"/>
              </w:rPr>
              <w:t>计量检定(校准)</w:t>
            </w:r>
            <w:r>
              <w:rPr>
                <w:rFonts w:eastAsia="黑体"/>
                <w:color w:val="000000"/>
                <w:sz w:val="24"/>
              </w:rPr>
              <w:t>工作流程图如下：</w:t>
            </w:r>
          </w:p>
          <w:p>
            <w:pPr>
              <w:adjustRightInd w:val="0"/>
              <w:snapToGrid w:val="0"/>
              <w:jc w:val="center"/>
              <w:rPr>
                <w:rFonts w:eastAsia="黑体"/>
                <w:color w:val="000000"/>
                <w:sz w:val="24"/>
              </w:rPr>
            </w:pPr>
            <w:r>
              <w:object>
                <v:shape id="_x0000_i1029" o:spt="75" type="#_x0000_t75" style="height:172.55pt;width:208.55pt;" o:ole="t" filled="f" o:preferrelative="t" stroked="f" coordsize="21600,21600">
                  <v:path/>
                  <v:fill on="f" focussize="0,0"/>
                  <v:stroke on="f" joinstyle="miter"/>
                  <v:imagedata r:id="rId28" o:title=""/>
                  <o:lock v:ext="edit" aspectratio="t"/>
                  <w10:wrap type="none"/>
                  <w10:anchorlock/>
                </v:shape>
                <o:OLEObject Type="Embed" ProgID="Visio.Drawing.11" ShapeID="_x0000_i1029" DrawAspect="Content" ObjectID="_1468075729" r:id="rId27">
                  <o:LockedField>false</o:LockedField>
                </o:OLEObject>
              </w:object>
            </w:r>
          </w:p>
          <w:p>
            <w:pPr>
              <w:adjustRightInd w:val="0"/>
              <w:snapToGrid w:val="0"/>
              <w:spacing w:line="460" w:lineRule="exact"/>
              <w:ind w:firstLine="1680" w:firstLineChars="700"/>
              <w:jc w:val="left"/>
              <w:rPr>
                <w:rFonts w:eastAsia="黑体"/>
                <w:color w:val="000000"/>
                <w:sz w:val="24"/>
              </w:rPr>
            </w:pPr>
            <w:r>
              <w:rPr>
                <w:rFonts w:eastAsia="黑体"/>
                <w:color w:val="000000"/>
                <w:sz w:val="24"/>
              </w:rPr>
              <w:t xml:space="preserve">图7     </w:t>
            </w:r>
            <w:r>
              <w:rPr>
                <w:rFonts w:hint="eastAsia" w:eastAsia="黑体"/>
                <w:color w:val="000000"/>
                <w:sz w:val="24"/>
                <w:szCs w:val="20"/>
              </w:rPr>
              <w:t>计量检定(校准)工作流程</w:t>
            </w:r>
            <w:r>
              <w:rPr>
                <w:rFonts w:eastAsia="黑体"/>
                <w:color w:val="000000"/>
                <w:sz w:val="24"/>
                <w:szCs w:val="20"/>
              </w:rPr>
              <w:t>及产污环节图</w:t>
            </w:r>
          </w:p>
          <w:p>
            <w:pPr>
              <w:adjustRightInd w:val="0"/>
              <w:snapToGrid w:val="0"/>
              <w:spacing w:line="460" w:lineRule="exact"/>
              <w:ind w:firstLine="480" w:firstLineChars="200"/>
              <w:rPr>
                <w:color w:val="000000"/>
                <w:sz w:val="24"/>
              </w:rPr>
            </w:pPr>
            <w:r>
              <w:rPr>
                <w:rFonts w:hint="eastAsia"/>
                <w:color w:val="000000"/>
                <w:sz w:val="24"/>
              </w:rPr>
              <w:t>计量检定(校准)</w:t>
            </w:r>
            <w:r>
              <w:rPr>
                <w:color w:val="000000"/>
                <w:sz w:val="24"/>
              </w:rPr>
              <w:t>工作流程说明如下：</w:t>
            </w:r>
          </w:p>
          <w:p>
            <w:pPr>
              <w:adjustRightInd w:val="0"/>
              <w:snapToGrid w:val="0"/>
              <w:spacing w:line="460" w:lineRule="exact"/>
              <w:ind w:firstLine="480" w:firstLineChars="200"/>
              <w:rPr>
                <w:color w:val="000000"/>
                <w:sz w:val="24"/>
              </w:rPr>
            </w:pPr>
            <w:r>
              <w:rPr>
                <w:color w:val="000000"/>
                <w:sz w:val="24"/>
              </w:rPr>
              <w:t>1、客户委托：客户根据自身需求委托本检验检测中心开展</w:t>
            </w:r>
            <w:r>
              <w:rPr>
                <w:rFonts w:hint="eastAsia"/>
                <w:color w:val="000000"/>
                <w:sz w:val="24"/>
              </w:rPr>
              <w:t>计量检定(校准)</w:t>
            </w:r>
            <w:r>
              <w:rPr>
                <w:color w:val="000000"/>
                <w:sz w:val="24"/>
              </w:rPr>
              <w:t>。</w:t>
            </w:r>
          </w:p>
          <w:p>
            <w:pPr>
              <w:adjustRightInd w:val="0"/>
              <w:snapToGrid w:val="0"/>
              <w:spacing w:line="460" w:lineRule="exact"/>
              <w:ind w:firstLine="480" w:firstLineChars="200"/>
              <w:rPr>
                <w:color w:val="000000"/>
                <w:sz w:val="24"/>
              </w:rPr>
            </w:pPr>
            <w:r>
              <w:rPr>
                <w:color w:val="000000"/>
                <w:sz w:val="24"/>
              </w:rPr>
              <w:t>2、样品交接与保存：</w:t>
            </w:r>
            <w:r>
              <w:rPr>
                <w:rFonts w:hint="eastAsia"/>
                <w:color w:val="000000"/>
                <w:sz w:val="24"/>
              </w:rPr>
              <w:t>委托单位将需要计量检定(校准)的仪器仪表样品</w:t>
            </w:r>
            <w:r>
              <w:rPr>
                <w:color w:val="000000"/>
                <w:sz w:val="24"/>
              </w:rPr>
              <w:t>交由实验室</w:t>
            </w:r>
            <w:r>
              <w:rPr>
                <w:rFonts w:hint="eastAsia"/>
                <w:color w:val="000000"/>
                <w:sz w:val="24"/>
              </w:rPr>
              <w:t>接收</w:t>
            </w:r>
            <w:r>
              <w:rPr>
                <w:color w:val="000000"/>
                <w:sz w:val="24"/>
              </w:rPr>
              <w:t>人员，接收样品时，应记录样品的状态、接收时间、接收数量等信息，将样品存放至</w:t>
            </w:r>
            <w:r>
              <w:rPr>
                <w:rFonts w:hint="eastAsia"/>
                <w:color w:val="000000"/>
                <w:sz w:val="24"/>
              </w:rPr>
              <w:t>实验室</w:t>
            </w:r>
            <w:r>
              <w:rPr>
                <w:color w:val="000000"/>
                <w:sz w:val="24"/>
              </w:rPr>
              <w:t>样品存放区。</w:t>
            </w:r>
          </w:p>
          <w:p>
            <w:pPr>
              <w:adjustRightInd w:val="0"/>
              <w:snapToGrid w:val="0"/>
              <w:spacing w:line="460" w:lineRule="exact"/>
              <w:ind w:firstLine="480" w:firstLineChars="200"/>
              <w:rPr>
                <w:color w:val="000000"/>
                <w:sz w:val="24"/>
              </w:rPr>
            </w:pPr>
            <w:r>
              <w:rPr>
                <w:color w:val="000000"/>
                <w:sz w:val="24"/>
              </w:rPr>
              <w:t>3、</w:t>
            </w:r>
            <w:r>
              <w:rPr>
                <w:rFonts w:hint="eastAsia"/>
                <w:color w:val="000000"/>
                <w:sz w:val="24"/>
              </w:rPr>
              <w:t>检定前</w:t>
            </w:r>
            <w:r>
              <w:rPr>
                <w:color w:val="000000"/>
                <w:sz w:val="24"/>
              </w:rPr>
              <w:t>分析：</w:t>
            </w:r>
            <w:r>
              <w:rPr>
                <w:rFonts w:hint="eastAsia"/>
                <w:color w:val="000000"/>
                <w:sz w:val="24"/>
              </w:rPr>
              <w:t>根据计量检定(校准)项目分析选择对应的技术规范和仪器设备</w:t>
            </w:r>
            <w:r>
              <w:rPr>
                <w:color w:val="000000"/>
                <w:sz w:val="24"/>
              </w:rPr>
              <w:t>。</w:t>
            </w:r>
          </w:p>
          <w:p>
            <w:pPr>
              <w:adjustRightInd w:val="0"/>
              <w:snapToGrid w:val="0"/>
              <w:spacing w:line="460" w:lineRule="exact"/>
              <w:ind w:firstLine="480" w:firstLineChars="200"/>
              <w:rPr>
                <w:color w:val="000000"/>
                <w:sz w:val="24"/>
              </w:rPr>
            </w:pPr>
            <w:r>
              <w:rPr>
                <w:color w:val="000000"/>
                <w:sz w:val="24"/>
              </w:rPr>
              <w:t>4、</w:t>
            </w:r>
            <w:r>
              <w:rPr>
                <w:rFonts w:hint="eastAsia"/>
                <w:color w:val="000000"/>
                <w:sz w:val="24"/>
              </w:rPr>
              <w:t>检定校准</w:t>
            </w:r>
            <w:r>
              <w:rPr>
                <w:color w:val="000000"/>
                <w:sz w:val="24"/>
              </w:rPr>
              <w:t>：</w:t>
            </w:r>
            <w:r>
              <w:rPr>
                <w:rFonts w:hint="eastAsia"/>
                <w:color w:val="000000"/>
                <w:sz w:val="24"/>
              </w:rPr>
              <w:t>按照技术规范和标准对被检查仪器进行数据测量，根据显示数据结果进行报告意见和结果分析</w:t>
            </w:r>
            <w:r>
              <w:rPr>
                <w:color w:val="000000"/>
                <w:sz w:val="24"/>
              </w:rPr>
              <w:t>。</w:t>
            </w:r>
          </w:p>
          <w:p>
            <w:pPr>
              <w:adjustRightInd w:val="0"/>
              <w:snapToGrid w:val="0"/>
              <w:spacing w:line="460" w:lineRule="exact"/>
              <w:ind w:firstLine="480" w:firstLineChars="200"/>
              <w:rPr>
                <w:color w:val="000000"/>
                <w:sz w:val="24"/>
              </w:rPr>
            </w:pPr>
            <w:r>
              <w:rPr>
                <w:color w:val="000000"/>
                <w:sz w:val="24"/>
              </w:rPr>
              <w:t>5、</w:t>
            </w:r>
            <w:r>
              <w:rPr>
                <w:rFonts w:hint="eastAsia"/>
                <w:color w:val="000000"/>
                <w:sz w:val="24"/>
              </w:rPr>
              <w:t>检测结果</w:t>
            </w:r>
            <w:r>
              <w:rPr>
                <w:color w:val="000000"/>
                <w:sz w:val="24"/>
              </w:rPr>
              <w:t>：整理分析的实验数据，按照检测报告编制规范标准格式汇编成</w:t>
            </w:r>
            <w:r>
              <w:rPr>
                <w:rFonts w:hint="eastAsia"/>
                <w:color w:val="000000"/>
                <w:sz w:val="24"/>
              </w:rPr>
              <w:t>分析</w:t>
            </w:r>
            <w:r>
              <w:rPr>
                <w:color w:val="000000"/>
                <w:sz w:val="24"/>
              </w:rPr>
              <w:t>检测报告。</w:t>
            </w:r>
          </w:p>
          <w:p>
            <w:pPr>
              <w:spacing w:line="460" w:lineRule="exact"/>
              <w:rPr>
                <w:rFonts w:eastAsia="黑体"/>
                <w:color w:val="000000"/>
                <w:sz w:val="24"/>
                <w:szCs w:val="20"/>
              </w:rPr>
            </w:pPr>
            <w:r>
              <w:rPr>
                <w:rFonts w:eastAsia="黑体"/>
                <w:color w:val="000000"/>
                <w:sz w:val="24"/>
                <w:szCs w:val="20"/>
              </w:rPr>
              <w:t>二、主要产排污环节</w:t>
            </w:r>
          </w:p>
          <w:p>
            <w:pPr>
              <w:adjustRightInd w:val="0"/>
              <w:spacing w:line="400" w:lineRule="exact"/>
              <w:ind w:firstLine="480" w:firstLineChars="200"/>
              <w:textAlignment w:val="baseline"/>
              <w:rPr>
                <w:color w:val="000000"/>
                <w:sz w:val="24"/>
              </w:rPr>
            </w:pPr>
            <w:r>
              <w:rPr>
                <w:color w:val="000000"/>
                <w:sz w:val="24"/>
              </w:rPr>
              <w:t>1、施工期</w:t>
            </w:r>
          </w:p>
          <w:p>
            <w:pPr>
              <w:adjustRightInd w:val="0"/>
              <w:snapToGrid w:val="0"/>
              <w:spacing w:line="460" w:lineRule="exact"/>
              <w:ind w:firstLine="480" w:firstLineChars="200"/>
              <w:rPr>
                <w:bCs/>
                <w:color w:val="000000"/>
                <w:sz w:val="24"/>
              </w:rPr>
            </w:pPr>
            <w:r>
              <w:rPr>
                <w:rFonts w:hint="eastAsia"/>
                <w:bCs/>
                <w:color w:val="000000"/>
                <w:sz w:val="24"/>
              </w:rPr>
              <w:t>本项目利用</w:t>
            </w:r>
            <w:r>
              <w:rPr>
                <w:rFonts w:hint="eastAsia"/>
                <w:bCs/>
                <w:sz w:val="24"/>
              </w:rPr>
              <w:t>园区内已建空厂房进行建设，</w:t>
            </w:r>
            <w:r>
              <w:rPr>
                <w:rFonts w:hint="eastAsia"/>
                <w:bCs/>
                <w:color w:val="000000"/>
                <w:sz w:val="24"/>
              </w:rPr>
              <w:t>不存在构筑物的建设，施工期主要工作为设备的安装和</w:t>
            </w:r>
            <w:r>
              <w:rPr>
                <w:bCs/>
                <w:color w:val="000000"/>
                <w:sz w:val="24"/>
              </w:rPr>
              <w:t>室内改造</w:t>
            </w:r>
            <w:r>
              <w:rPr>
                <w:rFonts w:hint="eastAsia"/>
                <w:bCs/>
                <w:color w:val="000000"/>
                <w:sz w:val="24"/>
              </w:rPr>
              <w:t>装修，设备安装主要是人工组装，仅涉及少量的焊接；</w:t>
            </w:r>
            <w:r>
              <w:rPr>
                <w:bCs/>
                <w:color w:val="000000"/>
                <w:sz w:val="24"/>
              </w:rPr>
              <w:t>室内改造</w:t>
            </w:r>
            <w:r>
              <w:rPr>
                <w:rFonts w:hint="eastAsia"/>
                <w:bCs/>
                <w:color w:val="000000"/>
                <w:sz w:val="24"/>
              </w:rPr>
              <w:t>装修涉及室内墙体翻新拆除等。</w:t>
            </w:r>
          </w:p>
          <w:p>
            <w:pPr>
              <w:adjustRightInd w:val="0"/>
              <w:snapToGrid w:val="0"/>
              <w:spacing w:line="460" w:lineRule="exact"/>
              <w:ind w:firstLine="480" w:firstLineChars="200"/>
              <w:rPr>
                <w:bCs/>
                <w:color w:val="000000"/>
                <w:sz w:val="24"/>
              </w:rPr>
            </w:pPr>
            <w:r>
              <w:rPr>
                <w:bCs/>
                <w:color w:val="000000"/>
                <w:sz w:val="24"/>
              </w:rPr>
              <w:t>施工期主要污染为实验室的室内改造过程中产生的粉尘、固废、噪声和工人生活污水，全部施工均在现有构筑物内开展；施工期确保门窗全部关闭，避免施工粉尘无组织逸散；工程完成后，会残留不少废弃建筑材料，这些建筑垃圾能回收利用的尽可能二次利用，不能利用的应该及时清运到规定地方堆放好，严禁建筑垃圾随意丢弃；施工人员产生的生活垃圾严禁随意抛弃，袋装收集后交由环卫部门清运。经房间隔音和距离衰减后施工噪声对周边环境影响不大；生活污水经化粪池处</w:t>
            </w:r>
            <w:r>
              <w:rPr>
                <w:bCs/>
                <w:sz w:val="24"/>
              </w:rPr>
              <w:t>理后排入新乡县综合污水处理厂。</w:t>
            </w:r>
            <w:r>
              <w:rPr>
                <w:bCs/>
                <w:color w:val="000000"/>
                <w:sz w:val="24"/>
              </w:rPr>
              <w:t>项目施工时间短暂，随着施工期的结束，施工影响也随之消失。</w:t>
            </w:r>
          </w:p>
          <w:p>
            <w:pPr>
              <w:adjustRightInd w:val="0"/>
              <w:spacing w:line="400" w:lineRule="exact"/>
              <w:ind w:firstLine="480" w:firstLineChars="200"/>
              <w:textAlignment w:val="baseline"/>
              <w:rPr>
                <w:color w:val="000000"/>
                <w:sz w:val="24"/>
              </w:rPr>
            </w:pPr>
            <w:r>
              <w:rPr>
                <w:color w:val="000000"/>
                <w:sz w:val="24"/>
              </w:rPr>
              <w:t>本项目施工期主要污染物、产污环节及防治措施详见表20。</w:t>
            </w:r>
          </w:p>
          <w:p>
            <w:pPr>
              <w:adjustRightInd w:val="0"/>
              <w:snapToGrid w:val="0"/>
              <w:spacing w:line="440" w:lineRule="exact"/>
              <w:ind w:left="368" w:leftChars="175" w:firstLine="120" w:firstLineChars="50"/>
              <w:textAlignment w:val="baseline"/>
              <w:rPr>
                <w:rFonts w:eastAsia="黑体"/>
                <w:bCs/>
                <w:color w:val="000000"/>
                <w:sz w:val="24"/>
              </w:rPr>
            </w:pPr>
          </w:p>
          <w:p>
            <w:pPr>
              <w:adjustRightInd w:val="0"/>
              <w:snapToGrid w:val="0"/>
              <w:spacing w:line="440" w:lineRule="exact"/>
              <w:ind w:left="368" w:leftChars="175" w:firstLine="120" w:firstLineChars="50"/>
              <w:textAlignment w:val="baseline"/>
              <w:rPr>
                <w:rFonts w:eastAsia="黑体"/>
                <w:bCs/>
                <w:color w:val="000000"/>
                <w:sz w:val="24"/>
              </w:rPr>
            </w:pPr>
          </w:p>
          <w:p>
            <w:pPr>
              <w:adjustRightInd w:val="0"/>
              <w:snapToGrid w:val="0"/>
              <w:spacing w:line="440" w:lineRule="exact"/>
              <w:ind w:left="368" w:leftChars="175" w:firstLine="120" w:firstLineChars="50"/>
              <w:textAlignment w:val="baseline"/>
              <w:rPr>
                <w:rFonts w:eastAsia="黑体"/>
                <w:bCs/>
                <w:color w:val="000000"/>
                <w:sz w:val="24"/>
              </w:rPr>
            </w:pPr>
          </w:p>
          <w:p>
            <w:pPr>
              <w:adjustRightInd w:val="0"/>
              <w:snapToGrid w:val="0"/>
              <w:spacing w:line="440" w:lineRule="exact"/>
              <w:ind w:left="368" w:leftChars="175" w:firstLine="120" w:firstLineChars="50"/>
              <w:textAlignment w:val="baseline"/>
              <w:rPr>
                <w:rFonts w:eastAsia="黑体"/>
                <w:bCs/>
                <w:color w:val="000000"/>
                <w:sz w:val="24"/>
              </w:rPr>
            </w:pPr>
            <w:r>
              <w:rPr>
                <w:rFonts w:eastAsia="黑体"/>
                <w:bCs/>
                <w:color w:val="000000"/>
                <w:sz w:val="24"/>
              </w:rPr>
              <w:t>表20             项目施工期产污环节一览表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134"/>
              <w:gridCol w:w="1708"/>
              <w:gridCol w:w="438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vAlign w:val="center"/>
                </w:tcPr>
                <w:p>
                  <w:pPr>
                    <w:jc w:val="center"/>
                    <w:rPr>
                      <w:b/>
                      <w:color w:val="000000"/>
                      <w:szCs w:val="21"/>
                    </w:rPr>
                  </w:pPr>
                  <w:r>
                    <w:rPr>
                      <w:b/>
                      <w:color w:val="000000"/>
                      <w:szCs w:val="21"/>
                    </w:rPr>
                    <w:t>污染因素</w:t>
                  </w:r>
                </w:p>
              </w:tc>
              <w:tc>
                <w:tcPr>
                  <w:tcW w:w="1134" w:type="dxa"/>
                  <w:vAlign w:val="center"/>
                </w:tcPr>
                <w:p>
                  <w:pPr>
                    <w:jc w:val="center"/>
                    <w:rPr>
                      <w:b/>
                      <w:color w:val="000000"/>
                      <w:szCs w:val="21"/>
                    </w:rPr>
                  </w:pPr>
                  <w:r>
                    <w:rPr>
                      <w:b/>
                      <w:color w:val="000000"/>
                      <w:szCs w:val="21"/>
                    </w:rPr>
                    <w:t>产污环节</w:t>
                  </w:r>
                </w:p>
              </w:tc>
              <w:tc>
                <w:tcPr>
                  <w:tcW w:w="1708" w:type="dxa"/>
                  <w:vAlign w:val="center"/>
                </w:tcPr>
                <w:p>
                  <w:pPr>
                    <w:jc w:val="center"/>
                    <w:rPr>
                      <w:b/>
                      <w:color w:val="000000"/>
                      <w:szCs w:val="21"/>
                    </w:rPr>
                  </w:pPr>
                  <w:r>
                    <w:rPr>
                      <w:b/>
                      <w:color w:val="000000"/>
                      <w:szCs w:val="21"/>
                    </w:rPr>
                    <w:t>污染物</w:t>
                  </w:r>
                </w:p>
              </w:tc>
              <w:tc>
                <w:tcPr>
                  <w:tcW w:w="4380" w:type="dxa"/>
                  <w:vAlign w:val="center"/>
                </w:tcPr>
                <w:p>
                  <w:pPr>
                    <w:jc w:val="center"/>
                    <w:rPr>
                      <w:b/>
                      <w:color w:val="000000"/>
                      <w:szCs w:val="21"/>
                    </w:rPr>
                  </w:pPr>
                  <w:r>
                    <w:rPr>
                      <w:b/>
                      <w:color w:val="000000"/>
                      <w:szCs w:val="21"/>
                    </w:rPr>
                    <w:t>防治措施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vAlign w:val="center"/>
                </w:tcPr>
                <w:p>
                  <w:pPr>
                    <w:jc w:val="center"/>
                    <w:rPr>
                      <w:color w:val="000000"/>
                      <w:szCs w:val="21"/>
                    </w:rPr>
                  </w:pPr>
                  <w:r>
                    <w:rPr>
                      <w:color w:val="000000"/>
                      <w:szCs w:val="21"/>
                    </w:rPr>
                    <w:t>废水</w:t>
                  </w:r>
                </w:p>
              </w:tc>
              <w:tc>
                <w:tcPr>
                  <w:tcW w:w="1134" w:type="dxa"/>
                  <w:vAlign w:val="center"/>
                </w:tcPr>
                <w:p>
                  <w:pPr>
                    <w:jc w:val="center"/>
                    <w:rPr>
                      <w:color w:val="000000"/>
                      <w:szCs w:val="21"/>
                      <w:lang w:val="pt-BR"/>
                    </w:rPr>
                  </w:pPr>
                  <w:r>
                    <w:rPr>
                      <w:color w:val="000000"/>
                      <w:szCs w:val="21"/>
                      <w:lang w:val="pt-BR"/>
                    </w:rPr>
                    <w:t>生活污水</w:t>
                  </w:r>
                </w:p>
              </w:tc>
              <w:tc>
                <w:tcPr>
                  <w:tcW w:w="1708" w:type="dxa"/>
                  <w:vAlign w:val="center"/>
                </w:tcPr>
                <w:p>
                  <w:pPr>
                    <w:jc w:val="center"/>
                    <w:rPr>
                      <w:color w:val="000000"/>
                      <w:szCs w:val="21"/>
                      <w:lang w:val="pt-BR"/>
                    </w:rPr>
                  </w:pPr>
                  <w:r>
                    <w:rPr>
                      <w:color w:val="000000"/>
                      <w:szCs w:val="21"/>
                      <w:lang w:val="pt-BR"/>
                    </w:rPr>
                    <w:t>COD</w:t>
                  </w:r>
                  <w:r>
                    <w:rPr>
                      <w:color w:val="000000"/>
                      <w:szCs w:val="21"/>
                    </w:rPr>
                    <w:t>、</w:t>
                  </w:r>
                  <w:r>
                    <w:rPr>
                      <w:color w:val="000000"/>
                      <w:szCs w:val="21"/>
                      <w:lang w:val="pt-BR"/>
                    </w:rPr>
                    <w:t>SS</w:t>
                  </w:r>
                  <w:r>
                    <w:rPr>
                      <w:color w:val="000000"/>
                      <w:szCs w:val="21"/>
                    </w:rPr>
                    <w:t>、</w:t>
                  </w:r>
                  <w:r>
                    <w:rPr>
                      <w:color w:val="000000"/>
                      <w:szCs w:val="21"/>
                      <w:lang w:val="pt-BR"/>
                    </w:rPr>
                    <w:t>NH</w:t>
                  </w:r>
                  <w:r>
                    <w:rPr>
                      <w:color w:val="000000"/>
                      <w:szCs w:val="21"/>
                      <w:vertAlign w:val="subscript"/>
                      <w:lang w:val="pt-BR"/>
                    </w:rPr>
                    <w:t>3</w:t>
                  </w:r>
                  <w:r>
                    <w:rPr>
                      <w:color w:val="000000"/>
                      <w:szCs w:val="21"/>
                      <w:lang w:val="pt-BR"/>
                    </w:rPr>
                    <w:t>-N</w:t>
                  </w:r>
                  <w:r>
                    <w:rPr>
                      <w:color w:val="000000"/>
                      <w:szCs w:val="21"/>
                    </w:rPr>
                    <w:t>、</w:t>
                  </w:r>
                  <w:r>
                    <w:rPr>
                      <w:color w:val="000000"/>
                      <w:szCs w:val="21"/>
                      <w:lang w:val="pt-BR"/>
                    </w:rPr>
                    <w:t>TP</w:t>
                  </w:r>
                  <w:r>
                    <w:rPr>
                      <w:color w:val="000000"/>
                      <w:szCs w:val="21"/>
                    </w:rPr>
                    <w:t>、</w:t>
                  </w:r>
                  <w:r>
                    <w:rPr>
                      <w:color w:val="000000"/>
                      <w:szCs w:val="21"/>
                      <w:lang w:val="pt-BR"/>
                    </w:rPr>
                    <w:t>TN</w:t>
                  </w:r>
                </w:p>
              </w:tc>
              <w:tc>
                <w:tcPr>
                  <w:tcW w:w="4380" w:type="dxa"/>
                  <w:vAlign w:val="center"/>
                </w:tcPr>
                <w:p>
                  <w:pPr>
                    <w:jc w:val="center"/>
                    <w:rPr>
                      <w:color w:val="000000"/>
                      <w:szCs w:val="21"/>
                      <w:lang w:val="pt-BR"/>
                    </w:rPr>
                  </w:pPr>
                  <w:r>
                    <w:rPr>
                      <w:color w:val="000000"/>
                      <w:szCs w:val="21"/>
                    </w:rPr>
                    <w:t>经化粪池处理后排入新乡县综合污水处理厂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vAlign w:val="center"/>
                </w:tcPr>
                <w:p>
                  <w:pPr>
                    <w:jc w:val="center"/>
                    <w:rPr>
                      <w:color w:val="000000"/>
                      <w:szCs w:val="21"/>
                    </w:rPr>
                  </w:pPr>
                  <w:r>
                    <w:rPr>
                      <w:color w:val="000000"/>
                      <w:szCs w:val="21"/>
                    </w:rPr>
                    <w:t>废气</w:t>
                  </w:r>
                </w:p>
              </w:tc>
              <w:tc>
                <w:tcPr>
                  <w:tcW w:w="1134" w:type="dxa"/>
                  <w:vAlign w:val="center"/>
                </w:tcPr>
                <w:p>
                  <w:pPr>
                    <w:jc w:val="center"/>
                    <w:rPr>
                      <w:color w:val="000000"/>
                      <w:szCs w:val="21"/>
                      <w:lang w:val="pt-BR"/>
                    </w:rPr>
                  </w:pPr>
                  <w:r>
                    <w:rPr>
                      <w:rFonts w:hint="eastAsia"/>
                      <w:bCs/>
                      <w:color w:val="000000"/>
                      <w:szCs w:val="21"/>
                    </w:rPr>
                    <w:t>室内改造</w:t>
                  </w:r>
                </w:p>
              </w:tc>
              <w:tc>
                <w:tcPr>
                  <w:tcW w:w="1708" w:type="dxa"/>
                  <w:vAlign w:val="center"/>
                </w:tcPr>
                <w:p>
                  <w:pPr>
                    <w:jc w:val="center"/>
                    <w:rPr>
                      <w:color w:val="000000"/>
                      <w:szCs w:val="21"/>
                    </w:rPr>
                  </w:pPr>
                  <w:r>
                    <w:rPr>
                      <w:rFonts w:hint="eastAsia"/>
                      <w:bCs/>
                      <w:color w:val="000000"/>
                      <w:szCs w:val="21"/>
                    </w:rPr>
                    <w:t>粉尘</w:t>
                  </w:r>
                </w:p>
              </w:tc>
              <w:tc>
                <w:tcPr>
                  <w:tcW w:w="4380" w:type="dxa"/>
                  <w:vAlign w:val="center"/>
                </w:tcPr>
                <w:p>
                  <w:pPr>
                    <w:rPr>
                      <w:color w:val="000000"/>
                      <w:szCs w:val="21"/>
                    </w:rPr>
                  </w:pPr>
                  <w:r>
                    <w:rPr>
                      <w:rFonts w:hint="eastAsia"/>
                      <w:color w:val="000000"/>
                      <w:szCs w:val="21"/>
                    </w:rPr>
                    <w:t>加强房屋密闭，降低粉尘无组织逸散</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vAlign w:val="center"/>
                </w:tcPr>
                <w:p>
                  <w:pPr>
                    <w:jc w:val="center"/>
                    <w:rPr>
                      <w:color w:val="000000"/>
                      <w:szCs w:val="21"/>
                    </w:rPr>
                  </w:pPr>
                  <w:r>
                    <w:rPr>
                      <w:color w:val="000000"/>
                      <w:szCs w:val="21"/>
                    </w:rPr>
                    <w:t>噪声</w:t>
                  </w:r>
                </w:p>
              </w:tc>
              <w:tc>
                <w:tcPr>
                  <w:tcW w:w="1134" w:type="dxa"/>
                  <w:vAlign w:val="center"/>
                </w:tcPr>
                <w:p>
                  <w:pPr>
                    <w:jc w:val="center"/>
                    <w:rPr>
                      <w:color w:val="000000"/>
                      <w:szCs w:val="21"/>
                    </w:rPr>
                  </w:pPr>
                  <w:r>
                    <w:rPr>
                      <w:rFonts w:hint="eastAsia"/>
                      <w:color w:val="000000"/>
                      <w:szCs w:val="21"/>
                    </w:rPr>
                    <w:t>室内改造、</w:t>
                  </w:r>
                  <w:r>
                    <w:rPr>
                      <w:color w:val="000000"/>
                      <w:szCs w:val="21"/>
                    </w:rPr>
                    <w:t>设备噪声</w:t>
                  </w:r>
                </w:p>
              </w:tc>
              <w:tc>
                <w:tcPr>
                  <w:tcW w:w="1708" w:type="dxa"/>
                  <w:vAlign w:val="center"/>
                </w:tcPr>
                <w:p>
                  <w:pPr>
                    <w:jc w:val="center"/>
                    <w:rPr>
                      <w:color w:val="000000"/>
                      <w:szCs w:val="21"/>
                    </w:rPr>
                  </w:pPr>
                  <w:r>
                    <w:rPr>
                      <w:color w:val="000000"/>
                      <w:szCs w:val="21"/>
                    </w:rPr>
                    <w:t>噪声</w:t>
                  </w:r>
                </w:p>
              </w:tc>
              <w:tc>
                <w:tcPr>
                  <w:tcW w:w="4380" w:type="dxa"/>
                  <w:vAlign w:val="center"/>
                </w:tcPr>
                <w:p>
                  <w:pPr>
                    <w:rPr>
                      <w:color w:val="000000"/>
                      <w:szCs w:val="21"/>
                    </w:rPr>
                  </w:pPr>
                  <w:r>
                    <w:rPr>
                      <w:rFonts w:hint="eastAsia" w:ascii="宋体" w:hAnsi="宋体" w:cs="宋体"/>
                      <w:color w:val="000000"/>
                      <w:szCs w:val="21"/>
                    </w:rPr>
                    <w:t>①</w:t>
                  </w:r>
                  <w:r>
                    <w:rPr>
                      <w:color w:val="000000"/>
                      <w:szCs w:val="21"/>
                    </w:rPr>
                    <w:t>采用低噪声设备，在高噪声设备周围设置屏障；</w:t>
                  </w:r>
                </w:p>
                <w:p>
                  <w:pPr>
                    <w:rPr>
                      <w:color w:val="000000"/>
                      <w:szCs w:val="21"/>
                    </w:rPr>
                  </w:pPr>
                  <w:r>
                    <w:rPr>
                      <w:rFonts w:hint="eastAsia" w:ascii="宋体" w:hAnsi="宋体" w:cs="宋体"/>
                      <w:color w:val="000000"/>
                      <w:szCs w:val="21"/>
                    </w:rPr>
                    <w:t>②</w:t>
                  </w:r>
                  <w:r>
                    <w:rPr>
                      <w:color w:val="000000"/>
                      <w:szCs w:val="21"/>
                    </w:rPr>
                    <w:t>尽量在规定的施工时间内进行施工，并尽量避免噪音大的机具同时施工；</w:t>
                  </w:r>
                </w:p>
                <w:p>
                  <w:pPr>
                    <w:rPr>
                      <w:color w:val="000000"/>
                      <w:szCs w:val="21"/>
                    </w:rPr>
                  </w:pPr>
                  <w:r>
                    <w:rPr>
                      <w:rFonts w:hint="eastAsia" w:ascii="宋体" w:hAnsi="宋体" w:cs="宋体"/>
                      <w:color w:val="000000"/>
                      <w:szCs w:val="21"/>
                    </w:rPr>
                    <w:t>③</w:t>
                  </w:r>
                  <w:r>
                    <w:rPr>
                      <w:color w:val="000000"/>
                      <w:szCs w:val="21"/>
                    </w:rPr>
                    <w:t>采用隔音技术和局部吸音处理，尽最大努力将噪音降到最低限度。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vMerge w:val="restart"/>
                  <w:vAlign w:val="center"/>
                </w:tcPr>
                <w:p>
                  <w:pPr>
                    <w:jc w:val="center"/>
                    <w:rPr>
                      <w:color w:val="000000"/>
                      <w:szCs w:val="21"/>
                    </w:rPr>
                  </w:pPr>
                  <w:r>
                    <w:rPr>
                      <w:color w:val="000000"/>
                      <w:szCs w:val="21"/>
                    </w:rPr>
                    <w:t>固废</w:t>
                  </w:r>
                </w:p>
              </w:tc>
              <w:tc>
                <w:tcPr>
                  <w:tcW w:w="1134" w:type="dxa"/>
                  <w:vAlign w:val="center"/>
                </w:tcPr>
                <w:p>
                  <w:pPr>
                    <w:jc w:val="center"/>
                    <w:rPr>
                      <w:color w:val="000000"/>
                      <w:szCs w:val="21"/>
                      <w:lang w:val="pt-BR"/>
                    </w:rPr>
                  </w:pPr>
                  <w:r>
                    <w:rPr>
                      <w:rFonts w:hint="eastAsia"/>
                      <w:color w:val="000000"/>
                      <w:szCs w:val="21"/>
                      <w:lang w:val="pt-BR"/>
                    </w:rPr>
                    <w:t>室内改造</w:t>
                  </w:r>
                </w:p>
              </w:tc>
              <w:tc>
                <w:tcPr>
                  <w:tcW w:w="1708" w:type="dxa"/>
                  <w:vAlign w:val="center"/>
                </w:tcPr>
                <w:p>
                  <w:pPr>
                    <w:jc w:val="center"/>
                    <w:rPr>
                      <w:color w:val="000000"/>
                      <w:szCs w:val="21"/>
                    </w:rPr>
                  </w:pPr>
                  <w:r>
                    <w:rPr>
                      <w:color w:val="000000"/>
                      <w:szCs w:val="21"/>
                    </w:rPr>
                    <w:t>建筑垃圾</w:t>
                  </w:r>
                </w:p>
              </w:tc>
              <w:tc>
                <w:tcPr>
                  <w:tcW w:w="4380" w:type="dxa"/>
                  <w:vAlign w:val="center"/>
                </w:tcPr>
                <w:p>
                  <w:pPr>
                    <w:rPr>
                      <w:color w:val="000000"/>
                      <w:szCs w:val="21"/>
                    </w:rPr>
                  </w:pPr>
                  <w:r>
                    <w:rPr>
                      <w:color w:val="000000"/>
                      <w:szCs w:val="21"/>
                    </w:rPr>
                    <w:t>能回收利用的尽可能二次利用，不能利用的应该及时清运到规定地方堆放好，严禁建筑垃圾随意丢弃</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vMerge w:val="continue"/>
                  <w:vAlign w:val="center"/>
                </w:tcPr>
                <w:p>
                  <w:pPr>
                    <w:jc w:val="center"/>
                    <w:rPr>
                      <w:color w:val="000000"/>
                      <w:szCs w:val="21"/>
                    </w:rPr>
                  </w:pPr>
                </w:p>
              </w:tc>
              <w:tc>
                <w:tcPr>
                  <w:tcW w:w="1134" w:type="dxa"/>
                  <w:vAlign w:val="center"/>
                </w:tcPr>
                <w:p>
                  <w:pPr>
                    <w:jc w:val="center"/>
                    <w:rPr>
                      <w:color w:val="000000"/>
                      <w:szCs w:val="21"/>
                      <w:lang w:val="pt-BR"/>
                    </w:rPr>
                  </w:pPr>
                  <w:r>
                    <w:rPr>
                      <w:color w:val="000000"/>
                      <w:szCs w:val="21"/>
                    </w:rPr>
                    <w:t>职工生活</w:t>
                  </w:r>
                </w:p>
              </w:tc>
              <w:tc>
                <w:tcPr>
                  <w:tcW w:w="1708" w:type="dxa"/>
                  <w:vAlign w:val="center"/>
                </w:tcPr>
                <w:p>
                  <w:pPr>
                    <w:jc w:val="center"/>
                    <w:rPr>
                      <w:color w:val="000000"/>
                      <w:szCs w:val="21"/>
                    </w:rPr>
                  </w:pPr>
                  <w:r>
                    <w:rPr>
                      <w:color w:val="000000"/>
                      <w:szCs w:val="21"/>
                    </w:rPr>
                    <w:t>生活垃圾</w:t>
                  </w:r>
                </w:p>
              </w:tc>
              <w:tc>
                <w:tcPr>
                  <w:tcW w:w="4380" w:type="dxa"/>
                  <w:vAlign w:val="center"/>
                </w:tcPr>
                <w:p>
                  <w:pPr>
                    <w:jc w:val="center"/>
                    <w:rPr>
                      <w:color w:val="000000"/>
                      <w:szCs w:val="21"/>
                    </w:rPr>
                  </w:pPr>
                  <w:r>
                    <w:rPr>
                      <w:color w:val="000000"/>
                      <w:szCs w:val="21"/>
                    </w:rPr>
                    <w:t>收集后交由环卫部门清运</w:t>
                  </w:r>
                </w:p>
              </w:tc>
            </w:tr>
          </w:tbl>
          <w:p>
            <w:pPr>
              <w:spacing w:line="460" w:lineRule="exact"/>
              <w:ind w:firstLine="420" w:firstLineChars="200"/>
              <w:rPr>
                <w:bCs/>
                <w:color w:val="000000"/>
              </w:rPr>
            </w:pPr>
            <w:r>
              <w:rPr>
                <w:bCs/>
                <w:color w:val="000000"/>
              </w:rPr>
              <w:t>2、营运期</w:t>
            </w:r>
          </w:p>
          <w:p>
            <w:pPr>
              <w:adjustRightInd w:val="0"/>
              <w:spacing w:line="460" w:lineRule="exact"/>
              <w:ind w:firstLine="480" w:firstLineChars="200"/>
              <w:textAlignment w:val="baseline"/>
              <w:rPr>
                <w:color w:val="000000"/>
                <w:sz w:val="24"/>
              </w:rPr>
            </w:pPr>
            <w:r>
              <w:rPr>
                <w:color w:val="000000"/>
                <w:sz w:val="24"/>
              </w:rPr>
              <w:t>本项目营运期主要污染物、产污环节及防治措施详见表21。</w:t>
            </w:r>
          </w:p>
          <w:p>
            <w:pPr>
              <w:adjustRightInd w:val="0"/>
              <w:spacing w:line="400" w:lineRule="exact"/>
              <w:ind w:firstLine="480" w:firstLineChars="200"/>
              <w:textAlignment w:val="baseline"/>
              <w:rPr>
                <w:color w:val="000000"/>
                <w:sz w:val="24"/>
              </w:rPr>
            </w:pPr>
            <w:r>
              <w:rPr>
                <w:rFonts w:eastAsia="黑体"/>
                <w:bCs/>
                <w:color w:val="000000"/>
                <w:sz w:val="24"/>
              </w:rPr>
              <w:t>表21               项目营运期产污环节一览表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39"/>
              <w:gridCol w:w="683"/>
              <w:gridCol w:w="593"/>
              <w:gridCol w:w="1284"/>
              <w:gridCol w:w="2120"/>
              <w:gridCol w:w="1559"/>
              <w:gridCol w:w="66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Align w:val="center"/>
                </w:tcPr>
                <w:p>
                  <w:pPr>
                    <w:jc w:val="center"/>
                    <w:rPr>
                      <w:b/>
                      <w:color w:val="000000"/>
                      <w:szCs w:val="21"/>
                    </w:rPr>
                  </w:pPr>
                  <w:r>
                    <w:rPr>
                      <w:b/>
                      <w:color w:val="000000"/>
                      <w:szCs w:val="21"/>
                    </w:rPr>
                    <w:t>污染因素</w:t>
                  </w:r>
                </w:p>
              </w:tc>
              <w:tc>
                <w:tcPr>
                  <w:tcW w:w="2560" w:type="dxa"/>
                  <w:gridSpan w:val="3"/>
                  <w:vAlign w:val="center"/>
                </w:tcPr>
                <w:p>
                  <w:pPr>
                    <w:jc w:val="center"/>
                    <w:rPr>
                      <w:b/>
                      <w:color w:val="000000"/>
                      <w:szCs w:val="21"/>
                    </w:rPr>
                  </w:pPr>
                  <w:r>
                    <w:rPr>
                      <w:b/>
                      <w:color w:val="000000"/>
                      <w:szCs w:val="21"/>
                    </w:rPr>
                    <w:t>产污环节</w:t>
                  </w:r>
                </w:p>
              </w:tc>
              <w:tc>
                <w:tcPr>
                  <w:tcW w:w="2120" w:type="dxa"/>
                  <w:vAlign w:val="center"/>
                </w:tcPr>
                <w:p>
                  <w:pPr>
                    <w:jc w:val="center"/>
                    <w:rPr>
                      <w:b/>
                      <w:color w:val="000000"/>
                      <w:szCs w:val="21"/>
                    </w:rPr>
                  </w:pPr>
                  <w:r>
                    <w:rPr>
                      <w:b/>
                      <w:color w:val="000000"/>
                      <w:szCs w:val="21"/>
                    </w:rPr>
                    <w:t>污染物</w:t>
                  </w:r>
                </w:p>
              </w:tc>
              <w:tc>
                <w:tcPr>
                  <w:tcW w:w="2226" w:type="dxa"/>
                  <w:gridSpan w:val="2"/>
                  <w:vAlign w:val="center"/>
                </w:tcPr>
                <w:p>
                  <w:pPr>
                    <w:jc w:val="center"/>
                    <w:rPr>
                      <w:b/>
                      <w:color w:val="000000"/>
                      <w:szCs w:val="21"/>
                    </w:rPr>
                  </w:pPr>
                  <w:r>
                    <w:rPr>
                      <w:b/>
                      <w:color w:val="000000"/>
                      <w:szCs w:val="21"/>
                    </w:rPr>
                    <w:t>防治措施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restart"/>
                  <w:vAlign w:val="center"/>
                </w:tcPr>
                <w:p>
                  <w:pPr>
                    <w:jc w:val="center"/>
                    <w:rPr>
                      <w:color w:val="000000"/>
                      <w:szCs w:val="21"/>
                    </w:rPr>
                  </w:pPr>
                  <w:r>
                    <w:rPr>
                      <w:color w:val="000000"/>
                      <w:szCs w:val="21"/>
                    </w:rPr>
                    <w:t>废水</w:t>
                  </w:r>
                </w:p>
              </w:tc>
              <w:tc>
                <w:tcPr>
                  <w:tcW w:w="2560" w:type="dxa"/>
                  <w:gridSpan w:val="3"/>
                  <w:vAlign w:val="center"/>
                </w:tcPr>
                <w:p>
                  <w:pPr>
                    <w:pStyle w:val="51"/>
                  </w:pPr>
                  <w:r>
                    <w:t>生活污水</w:t>
                  </w:r>
                </w:p>
              </w:tc>
              <w:tc>
                <w:tcPr>
                  <w:tcW w:w="2120" w:type="dxa"/>
                  <w:vAlign w:val="center"/>
                </w:tcPr>
                <w:p>
                  <w:pPr>
                    <w:pStyle w:val="51"/>
                  </w:pPr>
                  <w:r>
                    <w:t>COD、BOD</w:t>
                  </w:r>
                  <w:r>
                    <w:rPr>
                      <w:vertAlign w:val="subscript"/>
                    </w:rPr>
                    <w:t>5</w:t>
                  </w:r>
                  <w:r>
                    <w:rPr>
                      <w:rFonts w:hint="eastAsia"/>
                    </w:rPr>
                    <w:t>、</w:t>
                  </w:r>
                  <w:r>
                    <w:t>SS、NH</w:t>
                  </w:r>
                  <w:r>
                    <w:rPr>
                      <w:vertAlign w:val="subscript"/>
                    </w:rPr>
                    <w:t>3</w:t>
                  </w:r>
                  <w:r>
                    <w:t>-N、TN、TP</w:t>
                  </w:r>
                </w:p>
              </w:tc>
              <w:tc>
                <w:tcPr>
                  <w:tcW w:w="1559" w:type="dxa"/>
                  <w:vAlign w:val="center"/>
                </w:tcPr>
                <w:p>
                  <w:pPr>
                    <w:pStyle w:val="51"/>
                    <w:rPr>
                      <w:bCs/>
                    </w:rPr>
                  </w:pPr>
                  <w:r>
                    <w:rPr>
                      <w:bCs/>
                    </w:rPr>
                    <w:t>经化粪池处理</w:t>
                  </w:r>
                </w:p>
              </w:tc>
              <w:tc>
                <w:tcPr>
                  <w:tcW w:w="667" w:type="dxa"/>
                  <w:vMerge w:val="restart"/>
                  <w:vAlign w:val="center"/>
                </w:tcPr>
                <w:p>
                  <w:pPr>
                    <w:pStyle w:val="51"/>
                    <w:rPr>
                      <w:bCs/>
                    </w:rPr>
                  </w:pPr>
                  <w:r>
                    <w:rPr>
                      <w:bCs/>
                    </w:rPr>
                    <w:t>排入新乡县综合污水处理厂进一步处理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continue"/>
                  <w:vAlign w:val="center"/>
                </w:tcPr>
                <w:p>
                  <w:pPr>
                    <w:jc w:val="center"/>
                    <w:rPr>
                      <w:color w:val="000000"/>
                      <w:szCs w:val="21"/>
                    </w:rPr>
                  </w:pPr>
                </w:p>
              </w:tc>
              <w:tc>
                <w:tcPr>
                  <w:tcW w:w="2560" w:type="dxa"/>
                  <w:gridSpan w:val="3"/>
                  <w:vAlign w:val="center"/>
                </w:tcPr>
                <w:p>
                  <w:pPr>
                    <w:pStyle w:val="51"/>
                  </w:pPr>
                  <w:r>
                    <w:t>实验室器皿</w:t>
                  </w:r>
                  <w:r>
                    <w:rPr>
                      <w:rFonts w:hint="eastAsia"/>
                    </w:rPr>
                    <w:t>三次</w:t>
                  </w:r>
                  <w:r>
                    <w:t>清洗废水</w:t>
                  </w:r>
                </w:p>
              </w:tc>
              <w:tc>
                <w:tcPr>
                  <w:tcW w:w="2120" w:type="dxa"/>
                  <w:vAlign w:val="center"/>
                </w:tcPr>
                <w:p>
                  <w:pPr>
                    <w:pStyle w:val="51"/>
                  </w:pPr>
                  <w:r>
                    <w:t>PH</w:t>
                  </w:r>
                  <w:r>
                    <w:rPr>
                      <w:rFonts w:hint="eastAsia"/>
                    </w:rPr>
                    <w:t>、</w:t>
                  </w:r>
                  <w:r>
                    <w:t>COD、BOD</w:t>
                  </w:r>
                  <w:r>
                    <w:rPr>
                      <w:vertAlign w:val="subscript"/>
                    </w:rPr>
                    <w:t>5</w:t>
                  </w:r>
                  <w:r>
                    <w:rPr>
                      <w:rFonts w:hint="eastAsia"/>
                    </w:rPr>
                    <w:t>、</w:t>
                  </w:r>
                  <w:r>
                    <w:t>SS、NH</w:t>
                  </w:r>
                  <w:r>
                    <w:rPr>
                      <w:vertAlign w:val="subscript"/>
                    </w:rPr>
                    <w:t>3</w:t>
                  </w:r>
                  <w:r>
                    <w:t>-N、TN、TP</w:t>
                  </w:r>
                </w:p>
              </w:tc>
              <w:tc>
                <w:tcPr>
                  <w:tcW w:w="1559" w:type="dxa"/>
                  <w:vMerge w:val="restart"/>
                  <w:vAlign w:val="center"/>
                </w:tcPr>
                <w:p>
                  <w:pPr>
                    <w:pStyle w:val="51"/>
                    <w:rPr>
                      <w:bCs/>
                    </w:rPr>
                  </w:pPr>
                  <w:r>
                    <w:rPr>
                      <w:bCs/>
                    </w:rPr>
                    <w:t>经一体化污水处理设备处理</w:t>
                  </w:r>
                </w:p>
              </w:tc>
              <w:tc>
                <w:tcPr>
                  <w:tcW w:w="667" w:type="dxa"/>
                  <w:vMerge w:val="continue"/>
                  <w:vAlign w:val="center"/>
                </w:tcPr>
                <w:p>
                  <w:pPr>
                    <w:pStyle w:val="51"/>
                    <w:rPr>
                      <w:bCs/>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continue"/>
                  <w:vAlign w:val="center"/>
                </w:tcPr>
                <w:p>
                  <w:pPr>
                    <w:jc w:val="center"/>
                    <w:rPr>
                      <w:color w:val="000000"/>
                      <w:szCs w:val="21"/>
                    </w:rPr>
                  </w:pPr>
                </w:p>
              </w:tc>
              <w:tc>
                <w:tcPr>
                  <w:tcW w:w="2560" w:type="dxa"/>
                  <w:gridSpan w:val="3"/>
                  <w:vAlign w:val="center"/>
                </w:tcPr>
                <w:p>
                  <w:pPr>
                    <w:pStyle w:val="51"/>
                  </w:pPr>
                  <w:r>
                    <w:t>实验室地面清洁废水</w:t>
                  </w:r>
                </w:p>
              </w:tc>
              <w:tc>
                <w:tcPr>
                  <w:tcW w:w="2120" w:type="dxa"/>
                  <w:vAlign w:val="center"/>
                </w:tcPr>
                <w:p>
                  <w:pPr>
                    <w:pStyle w:val="51"/>
                  </w:pPr>
                  <w:r>
                    <w:t>PH</w:t>
                  </w:r>
                  <w:r>
                    <w:rPr>
                      <w:rFonts w:hint="eastAsia"/>
                    </w:rPr>
                    <w:t>、</w:t>
                  </w:r>
                  <w:r>
                    <w:t>COD、BOD</w:t>
                  </w:r>
                  <w:r>
                    <w:rPr>
                      <w:vertAlign w:val="subscript"/>
                    </w:rPr>
                    <w:t>5</w:t>
                  </w:r>
                  <w:r>
                    <w:rPr>
                      <w:rFonts w:hint="eastAsia"/>
                    </w:rPr>
                    <w:t>、</w:t>
                  </w:r>
                  <w:r>
                    <w:t>SS、NH</w:t>
                  </w:r>
                  <w:r>
                    <w:rPr>
                      <w:vertAlign w:val="subscript"/>
                    </w:rPr>
                    <w:t>3</w:t>
                  </w:r>
                  <w:r>
                    <w:t>-N、TN</w:t>
                  </w:r>
                </w:p>
              </w:tc>
              <w:tc>
                <w:tcPr>
                  <w:tcW w:w="1559" w:type="dxa"/>
                  <w:vMerge w:val="continue"/>
                  <w:vAlign w:val="center"/>
                </w:tcPr>
                <w:p>
                  <w:pPr>
                    <w:pStyle w:val="51"/>
                    <w:rPr>
                      <w:bCs/>
                    </w:rPr>
                  </w:pPr>
                </w:p>
              </w:tc>
              <w:tc>
                <w:tcPr>
                  <w:tcW w:w="667" w:type="dxa"/>
                  <w:vMerge w:val="continue"/>
                  <w:vAlign w:val="center"/>
                </w:tcPr>
                <w:p>
                  <w:pPr>
                    <w:pStyle w:val="51"/>
                    <w:rPr>
                      <w:bCs/>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continue"/>
                  <w:vAlign w:val="center"/>
                </w:tcPr>
                <w:p>
                  <w:pPr>
                    <w:jc w:val="center"/>
                    <w:rPr>
                      <w:color w:val="000000"/>
                      <w:szCs w:val="21"/>
                    </w:rPr>
                  </w:pPr>
                </w:p>
              </w:tc>
              <w:tc>
                <w:tcPr>
                  <w:tcW w:w="2560" w:type="dxa"/>
                  <w:gridSpan w:val="3"/>
                  <w:vAlign w:val="center"/>
                </w:tcPr>
                <w:p>
                  <w:pPr>
                    <w:pStyle w:val="51"/>
                  </w:pPr>
                  <w:r>
                    <w:t>纯水制备废水</w:t>
                  </w:r>
                </w:p>
              </w:tc>
              <w:tc>
                <w:tcPr>
                  <w:tcW w:w="2120" w:type="dxa"/>
                  <w:vAlign w:val="center"/>
                </w:tcPr>
                <w:p>
                  <w:pPr>
                    <w:pStyle w:val="51"/>
                  </w:pPr>
                  <w:r>
                    <w:t>COD、SS</w:t>
                  </w:r>
                </w:p>
              </w:tc>
              <w:tc>
                <w:tcPr>
                  <w:tcW w:w="1559" w:type="dxa"/>
                  <w:vMerge w:val="continue"/>
                  <w:vAlign w:val="center"/>
                </w:tcPr>
                <w:p>
                  <w:pPr>
                    <w:pStyle w:val="51"/>
                    <w:rPr>
                      <w:bCs/>
                    </w:rPr>
                  </w:pPr>
                </w:p>
              </w:tc>
              <w:tc>
                <w:tcPr>
                  <w:tcW w:w="667" w:type="dxa"/>
                  <w:vMerge w:val="continue"/>
                  <w:vAlign w:val="center"/>
                </w:tcPr>
                <w:p>
                  <w:pPr>
                    <w:pStyle w:val="51"/>
                    <w:rPr>
                      <w:bCs/>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continue"/>
                  <w:vAlign w:val="center"/>
                </w:tcPr>
                <w:p>
                  <w:pPr>
                    <w:jc w:val="center"/>
                    <w:rPr>
                      <w:color w:val="000000"/>
                      <w:szCs w:val="21"/>
                    </w:rPr>
                  </w:pPr>
                </w:p>
              </w:tc>
              <w:tc>
                <w:tcPr>
                  <w:tcW w:w="2560" w:type="dxa"/>
                  <w:gridSpan w:val="3"/>
                  <w:vAlign w:val="center"/>
                </w:tcPr>
                <w:p>
                  <w:pPr>
                    <w:pStyle w:val="51"/>
                  </w:pPr>
                  <w:r>
                    <w:t>喷淋塔废水</w:t>
                  </w:r>
                </w:p>
              </w:tc>
              <w:tc>
                <w:tcPr>
                  <w:tcW w:w="2120" w:type="dxa"/>
                  <w:vAlign w:val="center"/>
                </w:tcPr>
                <w:p>
                  <w:pPr>
                    <w:pStyle w:val="51"/>
                  </w:pPr>
                  <w:r>
                    <w:t>PH</w:t>
                  </w:r>
                  <w:r>
                    <w:rPr>
                      <w:rFonts w:hint="eastAsia"/>
                    </w:rPr>
                    <w:t>、</w:t>
                  </w:r>
                  <w:r>
                    <w:t>COD、BOD</w:t>
                  </w:r>
                  <w:r>
                    <w:rPr>
                      <w:vertAlign w:val="subscript"/>
                    </w:rPr>
                    <w:t>5</w:t>
                  </w:r>
                  <w:r>
                    <w:rPr>
                      <w:rFonts w:hint="eastAsia"/>
                    </w:rPr>
                    <w:t>、</w:t>
                  </w:r>
                  <w:r>
                    <w:t>NH</w:t>
                  </w:r>
                  <w:r>
                    <w:rPr>
                      <w:vertAlign w:val="subscript"/>
                    </w:rPr>
                    <w:t>3</w:t>
                  </w:r>
                  <w:r>
                    <w:t>-N、TN</w:t>
                  </w:r>
                  <w:r>
                    <w:rPr>
                      <w:rFonts w:hint="eastAsia"/>
                    </w:rPr>
                    <w:t>、</w:t>
                  </w:r>
                  <w:r>
                    <w:t>SS</w:t>
                  </w:r>
                </w:p>
              </w:tc>
              <w:tc>
                <w:tcPr>
                  <w:tcW w:w="1559" w:type="dxa"/>
                  <w:vMerge w:val="continue"/>
                  <w:vAlign w:val="center"/>
                </w:tcPr>
                <w:p>
                  <w:pPr>
                    <w:pStyle w:val="51"/>
                    <w:rPr>
                      <w:bCs/>
                    </w:rPr>
                  </w:pPr>
                </w:p>
              </w:tc>
              <w:tc>
                <w:tcPr>
                  <w:tcW w:w="667" w:type="dxa"/>
                  <w:vMerge w:val="continue"/>
                  <w:vAlign w:val="center"/>
                </w:tcPr>
                <w:p>
                  <w:pPr>
                    <w:pStyle w:val="51"/>
                    <w:rPr>
                      <w:bCs/>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restart"/>
                  <w:vAlign w:val="center"/>
                </w:tcPr>
                <w:p>
                  <w:pPr>
                    <w:jc w:val="center"/>
                    <w:rPr>
                      <w:color w:val="000000"/>
                      <w:szCs w:val="21"/>
                    </w:rPr>
                  </w:pPr>
                  <w:r>
                    <w:rPr>
                      <w:color w:val="000000"/>
                      <w:szCs w:val="21"/>
                    </w:rPr>
                    <w:t>废气</w:t>
                  </w:r>
                </w:p>
              </w:tc>
              <w:tc>
                <w:tcPr>
                  <w:tcW w:w="2560" w:type="dxa"/>
                  <w:gridSpan w:val="3"/>
                  <w:vAlign w:val="center"/>
                </w:tcPr>
                <w:p>
                  <w:pPr>
                    <w:pStyle w:val="51"/>
                    <w:rPr>
                      <w:color w:val="000000"/>
                    </w:rPr>
                  </w:pPr>
                  <w:r>
                    <w:rPr>
                      <w:rFonts w:hint="eastAsia"/>
                      <w:color w:val="000000"/>
                    </w:rPr>
                    <w:t>微生物实验室</w:t>
                  </w:r>
                </w:p>
              </w:tc>
              <w:tc>
                <w:tcPr>
                  <w:tcW w:w="2120" w:type="dxa"/>
                  <w:vAlign w:val="center"/>
                </w:tcPr>
                <w:p>
                  <w:pPr>
                    <w:pStyle w:val="51"/>
                  </w:pPr>
                  <w:r>
                    <w:rPr>
                      <w:rFonts w:hint="eastAsia"/>
                    </w:rPr>
                    <w:t>微生物气溶胶</w:t>
                  </w:r>
                </w:p>
              </w:tc>
              <w:tc>
                <w:tcPr>
                  <w:tcW w:w="1559" w:type="dxa"/>
                  <w:vAlign w:val="center"/>
                </w:tcPr>
                <w:p>
                  <w:pPr>
                    <w:jc w:val="center"/>
                    <w:rPr>
                      <w:bCs/>
                    </w:rPr>
                  </w:pPr>
                  <w:r>
                    <w:rPr>
                      <w:rFonts w:hint="eastAsia"/>
                      <w:bCs/>
                    </w:rPr>
                    <w:t>采用生物安全柜自带高效空气过滤器处理</w:t>
                  </w:r>
                </w:p>
              </w:tc>
              <w:tc>
                <w:tcPr>
                  <w:tcW w:w="667" w:type="dxa"/>
                  <w:vMerge w:val="restart"/>
                  <w:vAlign w:val="center"/>
                </w:tcPr>
                <w:p>
                  <w:pPr>
                    <w:jc w:val="center"/>
                    <w:rPr>
                      <w:bCs/>
                    </w:rPr>
                  </w:pPr>
                  <w:r>
                    <w:rPr>
                      <w:bCs/>
                    </w:rPr>
                    <w:t>+15高排气筒P1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continue"/>
                  <w:vAlign w:val="center"/>
                </w:tcPr>
                <w:p>
                  <w:pPr>
                    <w:jc w:val="center"/>
                    <w:rPr>
                      <w:color w:val="000000"/>
                      <w:szCs w:val="21"/>
                    </w:rPr>
                  </w:pPr>
                </w:p>
              </w:tc>
              <w:tc>
                <w:tcPr>
                  <w:tcW w:w="2560" w:type="dxa"/>
                  <w:gridSpan w:val="3"/>
                  <w:vMerge w:val="restart"/>
                  <w:vAlign w:val="center"/>
                </w:tcPr>
                <w:p>
                  <w:pPr>
                    <w:pStyle w:val="51"/>
                    <w:rPr>
                      <w:highlight w:val="yellow"/>
                    </w:rPr>
                  </w:pPr>
                  <w:r>
                    <w:rPr>
                      <w:color w:val="000000"/>
                    </w:rPr>
                    <w:t>试剂配制废气、气相分析废气、液相分析废气、理化分析废气、原子吸收废气</w:t>
                  </w:r>
                </w:p>
              </w:tc>
              <w:tc>
                <w:tcPr>
                  <w:tcW w:w="2120" w:type="dxa"/>
                  <w:vAlign w:val="center"/>
                </w:tcPr>
                <w:p>
                  <w:pPr>
                    <w:pStyle w:val="51"/>
                  </w:pPr>
                  <w:r>
                    <w:t>非甲烷总烃</w:t>
                  </w:r>
                </w:p>
              </w:tc>
              <w:tc>
                <w:tcPr>
                  <w:tcW w:w="1559" w:type="dxa"/>
                  <w:vMerge w:val="restart"/>
                  <w:vAlign w:val="center"/>
                </w:tcPr>
                <w:p>
                  <w:pPr>
                    <w:jc w:val="center"/>
                    <w:rPr>
                      <w:color w:val="000000"/>
                      <w:szCs w:val="21"/>
                      <w:highlight w:val="yellow"/>
                    </w:rPr>
                  </w:pPr>
                  <w:r>
                    <w:rPr>
                      <w:bCs/>
                    </w:rPr>
                    <w:t>通风橱</w:t>
                  </w:r>
                  <w:r>
                    <w:rPr>
                      <w:rFonts w:hint="eastAsia"/>
                      <w:bCs/>
                    </w:rPr>
                    <w:t>/万向集气罩</w:t>
                  </w:r>
                  <w:r>
                    <w:rPr>
                      <w:bCs/>
                    </w:rPr>
                    <w:t>+</w:t>
                  </w:r>
                  <w:r>
                    <w:rPr>
                      <w:rFonts w:hint="eastAsia"/>
                      <w:bCs/>
                    </w:rPr>
                    <w:t>水喷淋塔+除雾器</w:t>
                  </w:r>
                  <w:r>
                    <w:rPr>
                      <w:bCs/>
                    </w:rPr>
                    <w:t>+UV光催化氧化+活性炭吸附装置</w:t>
                  </w:r>
                </w:p>
              </w:tc>
              <w:tc>
                <w:tcPr>
                  <w:tcW w:w="667" w:type="dxa"/>
                  <w:vMerge w:val="continue"/>
                  <w:vAlign w:val="center"/>
                </w:tcPr>
                <w:p>
                  <w:pPr>
                    <w:jc w:val="center"/>
                    <w:rPr>
                      <w:color w:val="000000"/>
                      <w:szCs w:val="21"/>
                      <w:highlight w:val="yellow"/>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continue"/>
                  <w:vAlign w:val="center"/>
                </w:tcPr>
                <w:p>
                  <w:pPr>
                    <w:jc w:val="center"/>
                    <w:rPr>
                      <w:color w:val="000000"/>
                      <w:szCs w:val="21"/>
                    </w:rPr>
                  </w:pPr>
                </w:p>
              </w:tc>
              <w:tc>
                <w:tcPr>
                  <w:tcW w:w="2560" w:type="dxa"/>
                  <w:gridSpan w:val="3"/>
                  <w:vMerge w:val="continue"/>
                  <w:vAlign w:val="center"/>
                </w:tcPr>
                <w:p>
                  <w:pPr>
                    <w:pStyle w:val="51"/>
                    <w:rPr>
                      <w:color w:val="000000"/>
                    </w:rPr>
                  </w:pPr>
                </w:p>
              </w:tc>
              <w:tc>
                <w:tcPr>
                  <w:tcW w:w="2120" w:type="dxa"/>
                  <w:vAlign w:val="center"/>
                </w:tcPr>
                <w:p>
                  <w:pPr>
                    <w:pStyle w:val="51"/>
                  </w:pPr>
                  <w:r>
                    <w:rPr>
                      <w:rFonts w:hint="eastAsia"/>
                    </w:rPr>
                    <w:t>甲醇</w:t>
                  </w:r>
                </w:p>
              </w:tc>
              <w:tc>
                <w:tcPr>
                  <w:tcW w:w="1559" w:type="dxa"/>
                  <w:vMerge w:val="continue"/>
                  <w:vAlign w:val="center"/>
                </w:tcPr>
                <w:p>
                  <w:pPr>
                    <w:jc w:val="center"/>
                    <w:rPr>
                      <w:bCs/>
                    </w:rPr>
                  </w:pPr>
                </w:p>
              </w:tc>
              <w:tc>
                <w:tcPr>
                  <w:tcW w:w="667" w:type="dxa"/>
                  <w:vMerge w:val="continue"/>
                  <w:vAlign w:val="center"/>
                </w:tcPr>
                <w:p>
                  <w:pPr>
                    <w:jc w:val="center"/>
                    <w:rPr>
                      <w:bCs/>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Align w:val="center"/>
                </w:tcPr>
                <w:p>
                  <w:pPr>
                    <w:jc w:val="center"/>
                    <w:rPr>
                      <w:color w:val="000000"/>
                      <w:szCs w:val="21"/>
                    </w:rPr>
                  </w:pPr>
                  <w:r>
                    <w:rPr>
                      <w:color w:val="000000"/>
                      <w:szCs w:val="21"/>
                    </w:rPr>
                    <w:t>噪声</w:t>
                  </w:r>
                </w:p>
              </w:tc>
              <w:tc>
                <w:tcPr>
                  <w:tcW w:w="2560" w:type="dxa"/>
                  <w:gridSpan w:val="3"/>
                  <w:vAlign w:val="center"/>
                </w:tcPr>
                <w:p>
                  <w:pPr>
                    <w:jc w:val="center"/>
                    <w:rPr>
                      <w:color w:val="000000"/>
                      <w:szCs w:val="21"/>
                    </w:rPr>
                  </w:pPr>
                  <w:r>
                    <w:rPr>
                      <w:color w:val="000000"/>
                      <w:szCs w:val="21"/>
                    </w:rPr>
                    <w:t>超水制备仪、</w:t>
                  </w:r>
                  <w:r>
                    <w:rPr>
                      <w:bCs/>
                      <w:color w:val="000000"/>
                      <w:szCs w:val="21"/>
                      <w:lang w:val="pt-BR"/>
                    </w:rPr>
                    <w:t>普通离心机、</w:t>
                  </w:r>
                  <w:r>
                    <w:rPr>
                      <w:color w:val="000000"/>
                      <w:kern w:val="0"/>
                      <w:szCs w:val="21"/>
                    </w:rPr>
                    <w:t>高速冷冻离心机</w:t>
                  </w:r>
                  <w:r>
                    <w:rPr>
                      <w:color w:val="000000"/>
                      <w:szCs w:val="21"/>
                    </w:rPr>
                    <w:t>、风机设备等</w:t>
                  </w:r>
                </w:p>
              </w:tc>
              <w:tc>
                <w:tcPr>
                  <w:tcW w:w="2120" w:type="dxa"/>
                  <w:vAlign w:val="center"/>
                </w:tcPr>
                <w:p>
                  <w:pPr>
                    <w:jc w:val="center"/>
                    <w:rPr>
                      <w:color w:val="000000"/>
                      <w:szCs w:val="21"/>
                    </w:rPr>
                  </w:pPr>
                  <w:r>
                    <w:rPr>
                      <w:color w:val="000000"/>
                      <w:szCs w:val="21"/>
                    </w:rPr>
                    <w:t>噪声</w:t>
                  </w:r>
                </w:p>
              </w:tc>
              <w:tc>
                <w:tcPr>
                  <w:tcW w:w="2226" w:type="dxa"/>
                  <w:gridSpan w:val="2"/>
                  <w:vAlign w:val="center"/>
                </w:tcPr>
                <w:p>
                  <w:pPr>
                    <w:jc w:val="center"/>
                    <w:rPr>
                      <w:color w:val="000000"/>
                      <w:szCs w:val="21"/>
                    </w:rPr>
                  </w:pPr>
                  <w:r>
                    <w:rPr>
                      <w:color w:val="000000"/>
                      <w:szCs w:val="21"/>
                    </w:rPr>
                    <w:t>基础减振、厂房隔声等</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restart"/>
                  <w:vAlign w:val="center"/>
                </w:tcPr>
                <w:p>
                  <w:pPr>
                    <w:jc w:val="center"/>
                    <w:rPr>
                      <w:color w:val="000000"/>
                      <w:szCs w:val="21"/>
                      <w:highlight w:val="yellow"/>
                    </w:rPr>
                  </w:pPr>
                  <w:r>
                    <w:rPr>
                      <w:color w:val="000000"/>
                      <w:szCs w:val="21"/>
                    </w:rPr>
                    <w:t>固废</w:t>
                  </w:r>
                </w:p>
              </w:tc>
              <w:tc>
                <w:tcPr>
                  <w:tcW w:w="683" w:type="dxa"/>
                  <w:vMerge w:val="restart"/>
                  <w:vAlign w:val="center"/>
                </w:tcPr>
                <w:p>
                  <w:pPr>
                    <w:pStyle w:val="51"/>
                  </w:pPr>
                  <w:r>
                    <w:t>一般固废</w:t>
                  </w:r>
                </w:p>
              </w:tc>
              <w:tc>
                <w:tcPr>
                  <w:tcW w:w="1877" w:type="dxa"/>
                  <w:gridSpan w:val="2"/>
                  <w:vAlign w:val="center"/>
                </w:tcPr>
                <w:p>
                  <w:pPr>
                    <w:pStyle w:val="51"/>
                  </w:pPr>
                  <w:r>
                    <w:t>生活垃圾</w:t>
                  </w:r>
                </w:p>
              </w:tc>
              <w:tc>
                <w:tcPr>
                  <w:tcW w:w="2120" w:type="dxa"/>
                  <w:vAlign w:val="center"/>
                </w:tcPr>
                <w:p>
                  <w:pPr>
                    <w:pStyle w:val="51"/>
                  </w:pPr>
                  <w:r>
                    <w:t>垃圾桶收集暂存</w:t>
                  </w:r>
                </w:p>
              </w:tc>
              <w:tc>
                <w:tcPr>
                  <w:tcW w:w="2226" w:type="dxa"/>
                  <w:gridSpan w:val="2"/>
                  <w:vAlign w:val="center"/>
                </w:tcPr>
                <w:p>
                  <w:pPr>
                    <w:pStyle w:val="51"/>
                  </w:pPr>
                  <w:r>
                    <w:t>环保部门定期回收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continue"/>
                  <w:vAlign w:val="center"/>
                </w:tcPr>
                <w:p>
                  <w:pPr>
                    <w:jc w:val="center"/>
                    <w:rPr>
                      <w:color w:val="000000"/>
                      <w:szCs w:val="21"/>
                    </w:rPr>
                  </w:pPr>
                </w:p>
              </w:tc>
              <w:tc>
                <w:tcPr>
                  <w:tcW w:w="683" w:type="dxa"/>
                  <w:vMerge w:val="continue"/>
                  <w:vAlign w:val="center"/>
                </w:tcPr>
                <w:p>
                  <w:pPr>
                    <w:pStyle w:val="51"/>
                  </w:pPr>
                </w:p>
              </w:tc>
              <w:tc>
                <w:tcPr>
                  <w:tcW w:w="1877" w:type="dxa"/>
                  <w:gridSpan w:val="2"/>
                  <w:vAlign w:val="center"/>
                </w:tcPr>
                <w:p>
                  <w:pPr>
                    <w:pStyle w:val="51"/>
                  </w:pPr>
                  <w:r>
                    <w:t>废食品类样品</w:t>
                  </w:r>
                </w:p>
              </w:tc>
              <w:tc>
                <w:tcPr>
                  <w:tcW w:w="2120" w:type="dxa"/>
                  <w:vMerge w:val="restart"/>
                  <w:vAlign w:val="center"/>
                </w:tcPr>
                <w:p>
                  <w:pPr>
                    <w:pStyle w:val="51"/>
                  </w:pPr>
                  <w:r>
                    <w:rPr>
                      <w:color w:val="000000"/>
                    </w:rPr>
                    <w:t>收集至一般固废暂存间暂存</w:t>
                  </w:r>
                </w:p>
              </w:tc>
              <w:tc>
                <w:tcPr>
                  <w:tcW w:w="2226" w:type="dxa"/>
                  <w:gridSpan w:val="2"/>
                  <w:vAlign w:val="center"/>
                </w:tcPr>
                <w:p>
                  <w:pPr>
                    <w:pStyle w:val="51"/>
                  </w:pPr>
                  <w:r>
                    <w:rPr>
                      <w:color w:val="000000"/>
                    </w:rPr>
                    <w:t>定期外售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continue"/>
                  <w:vAlign w:val="center"/>
                </w:tcPr>
                <w:p>
                  <w:pPr>
                    <w:jc w:val="center"/>
                    <w:rPr>
                      <w:color w:val="000000"/>
                      <w:szCs w:val="21"/>
                    </w:rPr>
                  </w:pPr>
                </w:p>
              </w:tc>
              <w:tc>
                <w:tcPr>
                  <w:tcW w:w="683" w:type="dxa"/>
                  <w:vMerge w:val="continue"/>
                  <w:vAlign w:val="center"/>
                </w:tcPr>
                <w:p>
                  <w:pPr>
                    <w:pStyle w:val="51"/>
                  </w:pPr>
                </w:p>
              </w:tc>
              <w:tc>
                <w:tcPr>
                  <w:tcW w:w="593" w:type="dxa"/>
                  <w:vMerge w:val="restart"/>
                  <w:vAlign w:val="center"/>
                </w:tcPr>
                <w:p>
                  <w:pPr>
                    <w:pStyle w:val="51"/>
                  </w:pPr>
                  <w:r>
                    <w:t>纯水制备</w:t>
                  </w:r>
                </w:p>
              </w:tc>
              <w:tc>
                <w:tcPr>
                  <w:tcW w:w="1284" w:type="dxa"/>
                  <w:vAlign w:val="center"/>
                </w:tcPr>
                <w:p>
                  <w:pPr>
                    <w:pStyle w:val="51"/>
                  </w:pPr>
                  <w:r>
                    <w:t>废PP棉滤芯</w:t>
                  </w:r>
                </w:p>
              </w:tc>
              <w:tc>
                <w:tcPr>
                  <w:tcW w:w="2120" w:type="dxa"/>
                  <w:vMerge w:val="continue"/>
                  <w:vAlign w:val="center"/>
                </w:tcPr>
                <w:p>
                  <w:pPr>
                    <w:pStyle w:val="51"/>
                  </w:pPr>
                </w:p>
              </w:tc>
              <w:tc>
                <w:tcPr>
                  <w:tcW w:w="2226" w:type="dxa"/>
                  <w:gridSpan w:val="2"/>
                  <w:vMerge w:val="restart"/>
                  <w:vAlign w:val="center"/>
                </w:tcPr>
                <w:p>
                  <w:pPr>
                    <w:pStyle w:val="51"/>
                  </w:pPr>
                  <w:r>
                    <w:t>厂家回收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continue"/>
                  <w:vAlign w:val="center"/>
                </w:tcPr>
                <w:p>
                  <w:pPr>
                    <w:jc w:val="center"/>
                    <w:rPr>
                      <w:color w:val="000000"/>
                      <w:szCs w:val="21"/>
                    </w:rPr>
                  </w:pPr>
                </w:p>
              </w:tc>
              <w:tc>
                <w:tcPr>
                  <w:tcW w:w="683" w:type="dxa"/>
                  <w:vMerge w:val="continue"/>
                  <w:vAlign w:val="center"/>
                </w:tcPr>
                <w:p>
                  <w:pPr>
                    <w:pStyle w:val="51"/>
                  </w:pPr>
                </w:p>
              </w:tc>
              <w:tc>
                <w:tcPr>
                  <w:tcW w:w="593" w:type="dxa"/>
                  <w:vMerge w:val="continue"/>
                  <w:vAlign w:val="center"/>
                </w:tcPr>
                <w:p>
                  <w:pPr>
                    <w:pStyle w:val="51"/>
                  </w:pPr>
                </w:p>
              </w:tc>
              <w:tc>
                <w:tcPr>
                  <w:tcW w:w="1284" w:type="dxa"/>
                  <w:vAlign w:val="center"/>
                </w:tcPr>
                <w:p>
                  <w:pPr>
                    <w:pStyle w:val="51"/>
                  </w:pPr>
                  <w:r>
                    <w:t>废RO反渗透膜</w:t>
                  </w:r>
                </w:p>
              </w:tc>
              <w:tc>
                <w:tcPr>
                  <w:tcW w:w="2120" w:type="dxa"/>
                  <w:vMerge w:val="continue"/>
                  <w:vAlign w:val="center"/>
                </w:tcPr>
                <w:p>
                  <w:pPr>
                    <w:pStyle w:val="51"/>
                  </w:pPr>
                </w:p>
              </w:tc>
              <w:tc>
                <w:tcPr>
                  <w:tcW w:w="2226" w:type="dxa"/>
                  <w:gridSpan w:val="2"/>
                  <w:vMerge w:val="continue"/>
                  <w:vAlign w:val="center"/>
                </w:tcPr>
                <w:p>
                  <w:pPr>
                    <w:pStyle w:val="51"/>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continue"/>
                  <w:vAlign w:val="center"/>
                </w:tcPr>
                <w:p>
                  <w:pPr>
                    <w:jc w:val="center"/>
                    <w:rPr>
                      <w:color w:val="000000"/>
                      <w:szCs w:val="21"/>
                    </w:rPr>
                  </w:pPr>
                </w:p>
              </w:tc>
              <w:tc>
                <w:tcPr>
                  <w:tcW w:w="683" w:type="dxa"/>
                  <w:vMerge w:val="continue"/>
                  <w:vAlign w:val="center"/>
                </w:tcPr>
                <w:p>
                  <w:pPr>
                    <w:pStyle w:val="51"/>
                  </w:pPr>
                </w:p>
              </w:tc>
              <w:tc>
                <w:tcPr>
                  <w:tcW w:w="593" w:type="dxa"/>
                  <w:vMerge w:val="continue"/>
                  <w:vAlign w:val="center"/>
                </w:tcPr>
                <w:p>
                  <w:pPr>
                    <w:pStyle w:val="51"/>
                  </w:pPr>
                </w:p>
              </w:tc>
              <w:tc>
                <w:tcPr>
                  <w:tcW w:w="1284" w:type="dxa"/>
                  <w:vAlign w:val="center"/>
                </w:tcPr>
                <w:p>
                  <w:pPr>
                    <w:pStyle w:val="51"/>
                  </w:pPr>
                  <w:r>
                    <w:t>废树脂</w:t>
                  </w:r>
                </w:p>
              </w:tc>
              <w:tc>
                <w:tcPr>
                  <w:tcW w:w="2120" w:type="dxa"/>
                  <w:vMerge w:val="continue"/>
                  <w:vAlign w:val="center"/>
                </w:tcPr>
                <w:p>
                  <w:pPr>
                    <w:pStyle w:val="51"/>
                  </w:pPr>
                </w:p>
              </w:tc>
              <w:tc>
                <w:tcPr>
                  <w:tcW w:w="2226" w:type="dxa"/>
                  <w:gridSpan w:val="2"/>
                  <w:vMerge w:val="continue"/>
                  <w:vAlign w:val="center"/>
                </w:tcPr>
                <w:p>
                  <w:pPr>
                    <w:pStyle w:val="51"/>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continue"/>
                  <w:vAlign w:val="center"/>
                </w:tcPr>
                <w:p>
                  <w:pPr>
                    <w:jc w:val="center"/>
                    <w:rPr>
                      <w:color w:val="000000"/>
                      <w:szCs w:val="21"/>
                      <w:highlight w:val="yellow"/>
                    </w:rPr>
                  </w:pPr>
                </w:p>
              </w:tc>
              <w:tc>
                <w:tcPr>
                  <w:tcW w:w="683" w:type="dxa"/>
                  <w:vMerge w:val="restart"/>
                  <w:vAlign w:val="center"/>
                </w:tcPr>
                <w:p>
                  <w:pPr>
                    <w:pStyle w:val="51"/>
                  </w:pPr>
                  <w:r>
                    <w:t>危险废物</w:t>
                  </w:r>
                </w:p>
              </w:tc>
              <w:tc>
                <w:tcPr>
                  <w:tcW w:w="1877" w:type="dxa"/>
                  <w:gridSpan w:val="2"/>
                  <w:vAlign w:val="center"/>
                </w:tcPr>
                <w:p>
                  <w:pPr>
                    <w:pStyle w:val="51"/>
                  </w:pPr>
                  <w:r>
                    <w:t>含重金属废试剂</w:t>
                  </w:r>
                </w:p>
              </w:tc>
              <w:tc>
                <w:tcPr>
                  <w:tcW w:w="2120" w:type="dxa"/>
                  <w:vMerge w:val="restart"/>
                  <w:vAlign w:val="center"/>
                </w:tcPr>
                <w:p>
                  <w:pPr>
                    <w:pStyle w:val="51"/>
                  </w:pPr>
                  <w:r>
                    <w:t>危险废物暂存间暂存</w:t>
                  </w:r>
                </w:p>
              </w:tc>
              <w:tc>
                <w:tcPr>
                  <w:tcW w:w="2226" w:type="dxa"/>
                  <w:gridSpan w:val="2"/>
                  <w:vMerge w:val="restart"/>
                  <w:vAlign w:val="center"/>
                </w:tcPr>
                <w:p>
                  <w:pPr>
                    <w:pStyle w:val="51"/>
                  </w:pPr>
                  <w:r>
                    <w:t>定期委托有资质单位进行处置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continue"/>
                  <w:vAlign w:val="center"/>
                </w:tcPr>
                <w:p>
                  <w:pPr>
                    <w:jc w:val="center"/>
                    <w:rPr>
                      <w:color w:val="000000"/>
                      <w:szCs w:val="21"/>
                      <w:highlight w:val="yellow"/>
                    </w:rPr>
                  </w:pPr>
                </w:p>
              </w:tc>
              <w:tc>
                <w:tcPr>
                  <w:tcW w:w="683" w:type="dxa"/>
                  <w:vMerge w:val="continue"/>
                  <w:vAlign w:val="center"/>
                </w:tcPr>
                <w:p>
                  <w:pPr>
                    <w:pStyle w:val="51"/>
                  </w:pPr>
                </w:p>
              </w:tc>
              <w:tc>
                <w:tcPr>
                  <w:tcW w:w="1877" w:type="dxa"/>
                  <w:gridSpan w:val="2"/>
                  <w:vAlign w:val="center"/>
                </w:tcPr>
                <w:p>
                  <w:pPr>
                    <w:pStyle w:val="51"/>
                  </w:pPr>
                  <w:r>
                    <w:t>废酸、碱液</w:t>
                  </w:r>
                </w:p>
              </w:tc>
              <w:tc>
                <w:tcPr>
                  <w:tcW w:w="2120" w:type="dxa"/>
                  <w:vMerge w:val="continue"/>
                  <w:vAlign w:val="center"/>
                </w:tcPr>
                <w:p>
                  <w:pPr>
                    <w:pStyle w:val="51"/>
                  </w:pPr>
                </w:p>
              </w:tc>
              <w:tc>
                <w:tcPr>
                  <w:tcW w:w="2226" w:type="dxa"/>
                  <w:gridSpan w:val="2"/>
                  <w:vMerge w:val="continue"/>
                  <w:vAlign w:val="center"/>
                </w:tcPr>
                <w:p>
                  <w:pPr>
                    <w:pStyle w:val="51"/>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continue"/>
                  <w:vAlign w:val="center"/>
                </w:tcPr>
                <w:p>
                  <w:pPr>
                    <w:jc w:val="center"/>
                    <w:rPr>
                      <w:color w:val="000000"/>
                      <w:szCs w:val="21"/>
                      <w:highlight w:val="yellow"/>
                    </w:rPr>
                  </w:pPr>
                </w:p>
              </w:tc>
              <w:tc>
                <w:tcPr>
                  <w:tcW w:w="683" w:type="dxa"/>
                  <w:vMerge w:val="continue"/>
                  <w:vAlign w:val="center"/>
                </w:tcPr>
                <w:p>
                  <w:pPr>
                    <w:pStyle w:val="51"/>
                  </w:pPr>
                </w:p>
              </w:tc>
              <w:tc>
                <w:tcPr>
                  <w:tcW w:w="1877" w:type="dxa"/>
                  <w:gridSpan w:val="2"/>
                  <w:vAlign w:val="center"/>
                </w:tcPr>
                <w:p>
                  <w:pPr>
                    <w:pStyle w:val="51"/>
                  </w:pPr>
                  <w:r>
                    <w:t>废有机溶剂</w:t>
                  </w:r>
                </w:p>
              </w:tc>
              <w:tc>
                <w:tcPr>
                  <w:tcW w:w="2120" w:type="dxa"/>
                  <w:vMerge w:val="continue"/>
                  <w:vAlign w:val="center"/>
                </w:tcPr>
                <w:p>
                  <w:pPr>
                    <w:pStyle w:val="51"/>
                  </w:pPr>
                </w:p>
              </w:tc>
              <w:tc>
                <w:tcPr>
                  <w:tcW w:w="2226" w:type="dxa"/>
                  <w:gridSpan w:val="2"/>
                  <w:vMerge w:val="continue"/>
                  <w:vAlign w:val="center"/>
                </w:tcPr>
                <w:p>
                  <w:pPr>
                    <w:pStyle w:val="51"/>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continue"/>
                  <w:vAlign w:val="center"/>
                </w:tcPr>
                <w:p>
                  <w:pPr>
                    <w:jc w:val="center"/>
                    <w:rPr>
                      <w:color w:val="000000"/>
                      <w:szCs w:val="21"/>
                      <w:highlight w:val="yellow"/>
                    </w:rPr>
                  </w:pPr>
                </w:p>
              </w:tc>
              <w:tc>
                <w:tcPr>
                  <w:tcW w:w="683" w:type="dxa"/>
                  <w:vMerge w:val="continue"/>
                  <w:vAlign w:val="center"/>
                </w:tcPr>
                <w:p>
                  <w:pPr>
                    <w:pStyle w:val="51"/>
                  </w:pPr>
                </w:p>
              </w:tc>
              <w:tc>
                <w:tcPr>
                  <w:tcW w:w="1877" w:type="dxa"/>
                  <w:gridSpan w:val="2"/>
                  <w:vAlign w:val="center"/>
                </w:tcPr>
                <w:p>
                  <w:pPr>
                    <w:pStyle w:val="51"/>
                  </w:pPr>
                  <w:r>
                    <w:t>废试剂</w:t>
                  </w:r>
                </w:p>
              </w:tc>
              <w:tc>
                <w:tcPr>
                  <w:tcW w:w="2120" w:type="dxa"/>
                  <w:vMerge w:val="continue"/>
                  <w:vAlign w:val="center"/>
                </w:tcPr>
                <w:p>
                  <w:pPr>
                    <w:pStyle w:val="51"/>
                  </w:pPr>
                </w:p>
              </w:tc>
              <w:tc>
                <w:tcPr>
                  <w:tcW w:w="2226" w:type="dxa"/>
                  <w:gridSpan w:val="2"/>
                  <w:vMerge w:val="continue"/>
                  <w:vAlign w:val="center"/>
                </w:tcPr>
                <w:p>
                  <w:pPr>
                    <w:pStyle w:val="51"/>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continue"/>
                  <w:vAlign w:val="center"/>
                </w:tcPr>
                <w:p>
                  <w:pPr>
                    <w:jc w:val="center"/>
                    <w:rPr>
                      <w:color w:val="000000"/>
                      <w:szCs w:val="21"/>
                      <w:highlight w:val="yellow"/>
                    </w:rPr>
                  </w:pPr>
                </w:p>
              </w:tc>
              <w:tc>
                <w:tcPr>
                  <w:tcW w:w="683" w:type="dxa"/>
                  <w:vMerge w:val="continue"/>
                  <w:vAlign w:val="center"/>
                </w:tcPr>
                <w:p>
                  <w:pPr>
                    <w:pStyle w:val="51"/>
                  </w:pPr>
                </w:p>
              </w:tc>
              <w:tc>
                <w:tcPr>
                  <w:tcW w:w="1877" w:type="dxa"/>
                  <w:gridSpan w:val="2"/>
                  <w:vAlign w:val="center"/>
                </w:tcPr>
                <w:p>
                  <w:pPr>
                    <w:pStyle w:val="51"/>
                  </w:pPr>
                  <w:r>
                    <w:t>废有机实验样品</w:t>
                  </w:r>
                </w:p>
              </w:tc>
              <w:tc>
                <w:tcPr>
                  <w:tcW w:w="2120" w:type="dxa"/>
                  <w:vMerge w:val="continue"/>
                  <w:vAlign w:val="center"/>
                </w:tcPr>
                <w:p>
                  <w:pPr>
                    <w:pStyle w:val="51"/>
                  </w:pPr>
                </w:p>
              </w:tc>
              <w:tc>
                <w:tcPr>
                  <w:tcW w:w="2226" w:type="dxa"/>
                  <w:gridSpan w:val="2"/>
                  <w:vMerge w:val="continue"/>
                  <w:vAlign w:val="center"/>
                </w:tcPr>
                <w:p>
                  <w:pPr>
                    <w:pStyle w:val="51"/>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continue"/>
                  <w:vAlign w:val="center"/>
                </w:tcPr>
                <w:p>
                  <w:pPr>
                    <w:jc w:val="center"/>
                    <w:rPr>
                      <w:color w:val="000000"/>
                      <w:szCs w:val="21"/>
                      <w:highlight w:val="yellow"/>
                    </w:rPr>
                  </w:pPr>
                </w:p>
              </w:tc>
              <w:tc>
                <w:tcPr>
                  <w:tcW w:w="683" w:type="dxa"/>
                  <w:vMerge w:val="continue"/>
                  <w:vAlign w:val="center"/>
                </w:tcPr>
                <w:p>
                  <w:pPr>
                    <w:pStyle w:val="51"/>
                  </w:pPr>
                </w:p>
              </w:tc>
              <w:tc>
                <w:tcPr>
                  <w:tcW w:w="1877" w:type="dxa"/>
                  <w:gridSpan w:val="2"/>
                  <w:vAlign w:val="center"/>
                </w:tcPr>
                <w:p>
                  <w:pPr>
                    <w:pStyle w:val="51"/>
                  </w:pPr>
                  <w:r>
                    <w:t>一次性实验用品</w:t>
                  </w:r>
                </w:p>
              </w:tc>
              <w:tc>
                <w:tcPr>
                  <w:tcW w:w="2120" w:type="dxa"/>
                  <w:vMerge w:val="continue"/>
                  <w:vAlign w:val="center"/>
                </w:tcPr>
                <w:p>
                  <w:pPr>
                    <w:pStyle w:val="51"/>
                  </w:pPr>
                </w:p>
              </w:tc>
              <w:tc>
                <w:tcPr>
                  <w:tcW w:w="2226" w:type="dxa"/>
                  <w:gridSpan w:val="2"/>
                  <w:vMerge w:val="continue"/>
                  <w:vAlign w:val="center"/>
                </w:tcPr>
                <w:p>
                  <w:pPr>
                    <w:pStyle w:val="51"/>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continue"/>
                  <w:vAlign w:val="center"/>
                </w:tcPr>
                <w:p>
                  <w:pPr>
                    <w:jc w:val="center"/>
                    <w:rPr>
                      <w:color w:val="000000"/>
                      <w:szCs w:val="21"/>
                      <w:highlight w:val="yellow"/>
                    </w:rPr>
                  </w:pPr>
                </w:p>
              </w:tc>
              <w:tc>
                <w:tcPr>
                  <w:tcW w:w="683" w:type="dxa"/>
                  <w:vMerge w:val="continue"/>
                  <w:vAlign w:val="center"/>
                </w:tcPr>
                <w:p>
                  <w:pPr>
                    <w:pStyle w:val="51"/>
                  </w:pPr>
                </w:p>
              </w:tc>
              <w:tc>
                <w:tcPr>
                  <w:tcW w:w="1877" w:type="dxa"/>
                  <w:gridSpan w:val="2"/>
                  <w:vAlign w:val="center"/>
                </w:tcPr>
                <w:p>
                  <w:pPr>
                    <w:pStyle w:val="51"/>
                  </w:pPr>
                  <w:r>
                    <w:t>废培养基</w:t>
                  </w:r>
                </w:p>
              </w:tc>
              <w:tc>
                <w:tcPr>
                  <w:tcW w:w="2120" w:type="dxa"/>
                  <w:vMerge w:val="continue"/>
                  <w:vAlign w:val="center"/>
                </w:tcPr>
                <w:p>
                  <w:pPr>
                    <w:pStyle w:val="51"/>
                  </w:pPr>
                </w:p>
              </w:tc>
              <w:tc>
                <w:tcPr>
                  <w:tcW w:w="2226" w:type="dxa"/>
                  <w:gridSpan w:val="2"/>
                  <w:vMerge w:val="continue"/>
                  <w:vAlign w:val="center"/>
                </w:tcPr>
                <w:p>
                  <w:pPr>
                    <w:pStyle w:val="51"/>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continue"/>
                  <w:vAlign w:val="center"/>
                </w:tcPr>
                <w:p>
                  <w:pPr>
                    <w:jc w:val="center"/>
                    <w:rPr>
                      <w:color w:val="000000"/>
                      <w:szCs w:val="21"/>
                      <w:highlight w:val="yellow"/>
                    </w:rPr>
                  </w:pPr>
                </w:p>
              </w:tc>
              <w:tc>
                <w:tcPr>
                  <w:tcW w:w="683" w:type="dxa"/>
                  <w:vMerge w:val="continue"/>
                  <w:vAlign w:val="center"/>
                </w:tcPr>
                <w:p>
                  <w:pPr>
                    <w:pStyle w:val="51"/>
                  </w:pPr>
                </w:p>
              </w:tc>
              <w:tc>
                <w:tcPr>
                  <w:tcW w:w="1877" w:type="dxa"/>
                  <w:gridSpan w:val="2"/>
                  <w:vAlign w:val="center"/>
                </w:tcPr>
                <w:p>
                  <w:pPr>
                    <w:pStyle w:val="51"/>
                  </w:pPr>
                  <w:r>
                    <w:rPr>
                      <w:rFonts w:hint="eastAsia"/>
                    </w:rPr>
                    <w:t>实验室器皿一次、二次清洗废水</w:t>
                  </w:r>
                </w:p>
              </w:tc>
              <w:tc>
                <w:tcPr>
                  <w:tcW w:w="2120" w:type="dxa"/>
                  <w:vMerge w:val="continue"/>
                  <w:vAlign w:val="center"/>
                </w:tcPr>
                <w:p>
                  <w:pPr>
                    <w:pStyle w:val="51"/>
                  </w:pPr>
                </w:p>
              </w:tc>
              <w:tc>
                <w:tcPr>
                  <w:tcW w:w="2226" w:type="dxa"/>
                  <w:gridSpan w:val="2"/>
                  <w:vMerge w:val="continue"/>
                  <w:vAlign w:val="center"/>
                </w:tcPr>
                <w:p>
                  <w:pPr>
                    <w:pStyle w:val="51"/>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continue"/>
                  <w:vAlign w:val="center"/>
                </w:tcPr>
                <w:p>
                  <w:pPr>
                    <w:jc w:val="center"/>
                    <w:rPr>
                      <w:color w:val="000000"/>
                      <w:szCs w:val="21"/>
                      <w:highlight w:val="yellow"/>
                    </w:rPr>
                  </w:pPr>
                </w:p>
              </w:tc>
              <w:tc>
                <w:tcPr>
                  <w:tcW w:w="683" w:type="dxa"/>
                  <w:vMerge w:val="continue"/>
                  <w:vAlign w:val="center"/>
                </w:tcPr>
                <w:p>
                  <w:pPr>
                    <w:pStyle w:val="51"/>
                  </w:pPr>
                </w:p>
              </w:tc>
              <w:tc>
                <w:tcPr>
                  <w:tcW w:w="1877" w:type="dxa"/>
                  <w:gridSpan w:val="2"/>
                  <w:vAlign w:val="center"/>
                </w:tcPr>
                <w:p>
                  <w:pPr>
                    <w:pStyle w:val="51"/>
                  </w:pPr>
                  <w:r>
                    <w:t>废试剂瓶</w:t>
                  </w:r>
                </w:p>
              </w:tc>
              <w:tc>
                <w:tcPr>
                  <w:tcW w:w="2120" w:type="dxa"/>
                  <w:vMerge w:val="continue"/>
                  <w:vAlign w:val="center"/>
                </w:tcPr>
                <w:p>
                  <w:pPr>
                    <w:pStyle w:val="51"/>
                  </w:pPr>
                </w:p>
              </w:tc>
              <w:tc>
                <w:tcPr>
                  <w:tcW w:w="2226" w:type="dxa"/>
                  <w:gridSpan w:val="2"/>
                  <w:vMerge w:val="continue"/>
                  <w:vAlign w:val="center"/>
                </w:tcPr>
                <w:p>
                  <w:pPr>
                    <w:pStyle w:val="51"/>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continue"/>
                  <w:vAlign w:val="center"/>
                </w:tcPr>
                <w:p>
                  <w:pPr>
                    <w:jc w:val="center"/>
                    <w:rPr>
                      <w:color w:val="000000"/>
                      <w:szCs w:val="21"/>
                      <w:highlight w:val="yellow"/>
                    </w:rPr>
                  </w:pPr>
                </w:p>
              </w:tc>
              <w:tc>
                <w:tcPr>
                  <w:tcW w:w="683" w:type="dxa"/>
                  <w:vMerge w:val="continue"/>
                  <w:vAlign w:val="center"/>
                </w:tcPr>
                <w:p>
                  <w:pPr>
                    <w:pStyle w:val="51"/>
                  </w:pPr>
                </w:p>
              </w:tc>
              <w:tc>
                <w:tcPr>
                  <w:tcW w:w="1877" w:type="dxa"/>
                  <w:gridSpan w:val="2"/>
                  <w:vAlign w:val="center"/>
                </w:tcPr>
                <w:p>
                  <w:pPr>
                    <w:pStyle w:val="51"/>
                  </w:pPr>
                  <w:r>
                    <w:t>废危险化学品</w:t>
                  </w:r>
                </w:p>
              </w:tc>
              <w:tc>
                <w:tcPr>
                  <w:tcW w:w="2120" w:type="dxa"/>
                  <w:vMerge w:val="continue"/>
                  <w:vAlign w:val="center"/>
                </w:tcPr>
                <w:p>
                  <w:pPr>
                    <w:pStyle w:val="51"/>
                  </w:pPr>
                </w:p>
              </w:tc>
              <w:tc>
                <w:tcPr>
                  <w:tcW w:w="2226" w:type="dxa"/>
                  <w:gridSpan w:val="2"/>
                  <w:vMerge w:val="continue"/>
                  <w:vAlign w:val="center"/>
                </w:tcPr>
                <w:p>
                  <w:pPr>
                    <w:pStyle w:val="51"/>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continue"/>
                  <w:vAlign w:val="center"/>
                </w:tcPr>
                <w:p>
                  <w:pPr>
                    <w:jc w:val="center"/>
                    <w:rPr>
                      <w:color w:val="000000"/>
                      <w:szCs w:val="21"/>
                      <w:highlight w:val="yellow"/>
                    </w:rPr>
                  </w:pPr>
                </w:p>
              </w:tc>
              <w:tc>
                <w:tcPr>
                  <w:tcW w:w="683" w:type="dxa"/>
                  <w:vMerge w:val="continue"/>
                  <w:vAlign w:val="center"/>
                </w:tcPr>
                <w:p>
                  <w:pPr>
                    <w:pStyle w:val="51"/>
                  </w:pPr>
                </w:p>
              </w:tc>
              <w:tc>
                <w:tcPr>
                  <w:tcW w:w="1877" w:type="dxa"/>
                  <w:gridSpan w:val="2"/>
                  <w:vAlign w:val="center"/>
                </w:tcPr>
                <w:p>
                  <w:pPr>
                    <w:pStyle w:val="51"/>
                  </w:pPr>
                  <w:r>
                    <w:t>废UV灯管</w:t>
                  </w:r>
                </w:p>
              </w:tc>
              <w:tc>
                <w:tcPr>
                  <w:tcW w:w="2120" w:type="dxa"/>
                  <w:vMerge w:val="continue"/>
                  <w:vAlign w:val="center"/>
                </w:tcPr>
                <w:p>
                  <w:pPr>
                    <w:pStyle w:val="51"/>
                  </w:pPr>
                </w:p>
              </w:tc>
              <w:tc>
                <w:tcPr>
                  <w:tcW w:w="2226" w:type="dxa"/>
                  <w:gridSpan w:val="2"/>
                  <w:vMerge w:val="continue"/>
                  <w:vAlign w:val="center"/>
                </w:tcPr>
                <w:p>
                  <w:pPr>
                    <w:pStyle w:val="51"/>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continue"/>
                  <w:vAlign w:val="center"/>
                </w:tcPr>
                <w:p>
                  <w:pPr>
                    <w:jc w:val="center"/>
                    <w:rPr>
                      <w:color w:val="000000"/>
                      <w:szCs w:val="21"/>
                      <w:highlight w:val="yellow"/>
                    </w:rPr>
                  </w:pPr>
                </w:p>
              </w:tc>
              <w:tc>
                <w:tcPr>
                  <w:tcW w:w="683" w:type="dxa"/>
                  <w:vMerge w:val="continue"/>
                  <w:vAlign w:val="center"/>
                </w:tcPr>
                <w:p>
                  <w:pPr>
                    <w:pStyle w:val="51"/>
                  </w:pPr>
                </w:p>
              </w:tc>
              <w:tc>
                <w:tcPr>
                  <w:tcW w:w="1877" w:type="dxa"/>
                  <w:gridSpan w:val="2"/>
                  <w:vAlign w:val="center"/>
                </w:tcPr>
                <w:p>
                  <w:pPr>
                    <w:pStyle w:val="51"/>
                  </w:pPr>
                  <w:r>
                    <w:t>废活性炭</w:t>
                  </w:r>
                </w:p>
              </w:tc>
              <w:tc>
                <w:tcPr>
                  <w:tcW w:w="2120" w:type="dxa"/>
                  <w:vMerge w:val="continue"/>
                  <w:vAlign w:val="center"/>
                </w:tcPr>
                <w:p>
                  <w:pPr>
                    <w:pStyle w:val="51"/>
                  </w:pPr>
                </w:p>
              </w:tc>
              <w:tc>
                <w:tcPr>
                  <w:tcW w:w="2226" w:type="dxa"/>
                  <w:gridSpan w:val="2"/>
                  <w:vMerge w:val="continue"/>
                  <w:vAlign w:val="center"/>
                </w:tcPr>
                <w:p>
                  <w:pPr>
                    <w:pStyle w:val="51"/>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9" w:type="dxa"/>
                  <w:vMerge w:val="continue"/>
                  <w:vAlign w:val="center"/>
                </w:tcPr>
                <w:p>
                  <w:pPr>
                    <w:jc w:val="center"/>
                    <w:rPr>
                      <w:color w:val="000000"/>
                      <w:szCs w:val="21"/>
                      <w:highlight w:val="yellow"/>
                    </w:rPr>
                  </w:pPr>
                </w:p>
              </w:tc>
              <w:tc>
                <w:tcPr>
                  <w:tcW w:w="683" w:type="dxa"/>
                  <w:vMerge w:val="continue"/>
                  <w:vAlign w:val="center"/>
                </w:tcPr>
                <w:p>
                  <w:pPr>
                    <w:pStyle w:val="51"/>
                  </w:pPr>
                </w:p>
              </w:tc>
              <w:tc>
                <w:tcPr>
                  <w:tcW w:w="1877" w:type="dxa"/>
                  <w:gridSpan w:val="2"/>
                  <w:vAlign w:val="center"/>
                </w:tcPr>
                <w:p>
                  <w:pPr>
                    <w:pStyle w:val="51"/>
                  </w:pPr>
                  <w:r>
                    <w:t>污水处理装置污泥</w:t>
                  </w:r>
                </w:p>
              </w:tc>
              <w:tc>
                <w:tcPr>
                  <w:tcW w:w="2120" w:type="dxa"/>
                  <w:vMerge w:val="continue"/>
                  <w:vAlign w:val="center"/>
                </w:tcPr>
                <w:p>
                  <w:pPr>
                    <w:pStyle w:val="51"/>
                  </w:pPr>
                </w:p>
              </w:tc>
              <w:tc>
                <w:tcPr>
                  <w:tcW w:w="2226" w:type="dxa"/>
                  <w:gridSpan w:val="2"/>
                  <w:vMerge w:val="continue"/>
                  <w:vAlign w:val="center"/>
                </w:tcPr>
                <w:p>
                  <w:pPr>
                    <w:pStyle w:val="51"/>
                  </w:pPr>
                </w:p>
              </w:tc>
            </w:tr>
          </w:tbl>
          <w:p>
            <w:pPr>
              <w:adjustRightInd w:val="0"/>
              <w:snapToGrid w:val="0"/>
              <w:spacing w:line="460" w:lineRule="exact"/>
              <w:rPr>
                <w:bCs/>
                <w:sz w:val="24"/>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vAlign w:val="center"/>
          </w:tcPr>
          <w:p>
            <w:pPr>
              <w:pStyle w:val="17"/>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 w:val="21"/>
                <w:szCs w:val="21"/>
              </w:rPr>
              <w:t>与项目有关的原有环境污染问题</w:t>
            </w:r>
          </w:p>
        </w:tc>
        <w:tc>
          <w:tcPr>
            <w:tcW w:w="8161" w:type="dxa"/>
          </w:tcPr>
          <w:p>
            <w:pPr>
              <w:adjustRightInd w:val="0"/>
              <w:snapToGrid w:val="0"/>
              <w:spacing w:line="460" w:lineRule="exact"/>
              <w:ind w:firstLine="480" w:firstLineChars="200"/>
              <w:rPr>
                <w:bCs/>
                <w:sz w:val="24"/>
                <w:szCs w:val="21"/>
              </w:rPr>
            </w:pPr>
            <w:r>
              <w:rPr>
                <w:bCs/>
                <w:sz w:val="24"/>
              </w:rPr>
              <w:t>本项目为新建项目，不存在</w:t>
            </w:r>
            <w:r>
              <w:rPr>
                <w:sz w:val="24"/>
              </w:rPr>
              <w:t>与本项目有关的原有污染情况及主要环境问题。</w:t>
            </w:r>
          </w:p>
          <w:p>
            <w:pPr>
              <w:spacing w:line="460" w:lineRule="exact"/>
              <w:ind w:firstLine="482"/>
              <w:rPr>
                <w:color w:val="000000"/>
                <w:sz w:val="24"/>
              </w:rPr>
            </w:pPr>
          </w:p>
          <w:p>
            <w:pPr>
              <w:spacing w:line="460" w:lineRule="exact"/>
              <w:ind w:firstLine="482"/>
              <w:rPr>
                <w:color w:val="000000"/>
                <w:sz w:val="24"/>
              </w:rPr>
            </w:pPr>
          </w:p>
          <w:p>
            <w:pPr>
              <w:spacing w:line="460" w:lineRule="exact"/>
              <w:ind w:firstLine="482"/>
              <w:rPr>
                <w:color w:val="000000"/>
                <w:sz w:val="24"/>
              </w:rPr>
            </w:pPr>
          </w:p>
          <w:p>
            <w:pPr>
              <w:spacing w:line="460" w:lineRule="exact"/>
              <w:ind w:firstLine="482"/>
              <w:rPr>
                <w:color w:val="000000"/>
                <w:sz w:val="24"/>
              </w:rPr>
            </w:pPr>
          </w:p>
          <w:p>
            <w:pPr>
              <w:spacing w:line="460" w:lineRule="exact"/>
              <w:ind w:firstLine="482"/>
              <w:rPr>
                <w:color w:val="000000"/>
                <w:sz w:val="24"/>
              </w:rPr>
            </w:pPr>
          </w:p>
          <w:p>
            <w:pPr>
              <w:spacing w:line="460" w:lineRule="exact"/>
              <w:ind w:firstLine="482"/>
              <w:rPr>
                <w:color w:val="000000"/>
                <w:sz w:val="24"/>
              </w:rPr>
            </w:pPr>
          </w:p>
          <w:p>
            <w:pPr>
              <w:spacing w:line="460" w:lineRule="exact"/>
              <w:ind w:firstLine="482"/>
              <w:rPr>
                <w:color w:val="000000"/>
                <w:sz w:val="24"/>
              </w:rPr>
            </w:pPr>
          </w:p>
          <w:p>
            <w:pPr>
              <w:spacing w:line="460" w:lineRule="exact"/>
              <w:ind w:firstLine="482"/>
              <w:rPr>
                <w:color w:val="000000"/>
                <w:sz w:val="24"/>
              </w:rPr>
            </w:pPr>
          </w:p>
          <w:p>
            <w:pPr>
              <w:spacing w:line="460" w:lineRule="exact"/>
              <w:ind w:firstLine="482"/>
              <w:rPr>
                <w:color w:val="000000"/>
                <w:sz w:val="24"/>
              </w:rPr>
            </w:pPr>
          </w:p>
          <w:p>
            <w:pPr>
              <w:spacing w:line="460" w:lineRule="exact"/>
              <w:ind w:firstLine="482"/>
              <w:rPr>
                <w:color w:val="000000"/>
                <w:sz w:val="24"/>
              </w:rPr>
            </w:pPr>
          </w:p>
          <w:p>
            <w:pPr>
              <w:spacing w:line="460" w:lineRule="exact"/>
              <w:ind w:firstLine="482"/>
              <w:rPr>
                <w:color w:val="000000"/>
                <w:sz w:val="24"/>
              </w:rPr>
            </w:pPr>
          </w:p>
          <w:p>
            <w:pPr>
              <w:adjustRightInd w:val="0"/>
              <w:snapToGrid w:val="0"/>
              <w:spacing w:line="460" w:lineRule="exact"/>
              <w:rPr>
                <w:bCs/>
                <w:szCs w:val="21"/>
              </w:rPr>
            </w:pPr>
          </w:p>
        </w:tc>
      </w:tr>
    </w:tbl>
    <w:p>
      <w:pPr>
        <w:pStyle w:val="17"/>
        <w:jc w:val="center"/>
        <w:rPr>
          <w:rFonts w:ascii="Times New Roman" w:hAnsi="Times New Roman" w:eastAsia="黑体"/>
          <w:snapToGrid w:val="0"/>
          <w:sz w:val="36"/>
          <w:szCs w:val="36"/>
        </w:rPr>
        <w:sectPr>
          <w:pgSz w:w="11906" w:h="16838"/>
          <w:pgMar w:top="1701" w:right="1418" w:bottom="1701" w:left="1418" w:header="851" w:footer="851" w:gutter="0"/>
          <w:cols w:space="720" w:num="1"/>
          <w:docGrid w:linePitch="312" w:charSpace="0"/>
        </w:sectPr>
      </w:pPr>
    </w:p>
    <w:p>
      <w:pPr>
        <w:pStyle w:val="17"/>
        <w:adjustRightInd w:val="0"/>
        <w:snapToGrid w:val="0"/>
        <w:spacing w:before="0" w:beforeAutospacing="0" w:after="0" w:afterAutospacing="0" w:line="14" w:lineRule="auto"/>
        <w:jc w:val="center"/>
        <w:outlineLvl w:val="0"/>
        <w:rPr>
          <w:rFonts w:ascii="Times New Roman" w:hAnsi="Times New Roman" w:eastAsia="黑体"/>
          <w:snapToGrid w:val="0"/>
          <w:sz w:val="30"/>
          <w:szCs w:val="30"/>
        </w:rPr>
      </w:pPr>
    </w:p>
    <w:p>
      <w:pPr>
        <w:pStyle w:val="17"/>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三、区域环境质量现状、环境保护目标及评价标准</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vAlign w:val="center"/>
          </w:tcPr>
          <w:p>
            <w:pPr>
              <w:adjustRightInd w:val="0"/>
              <w:snapToGrid w:val="0"/>
              <w:jc w:val="center"/>
              <w:rPr>
                <w:kern w:val="0"/>
                <w:szCs w:val="21"/>
              </w:rPr>
            </w:pPr>
            <w:r>
              <w:rPr>
                <w:kern w:val="0"/>
                <w:szCs w:val="21"/>
              </w:rPr>
              <w:t>区域</w:t>
            </w:r>
          </w:p>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质量</w:t>
            </w:r>
          </w:p>
          <w:p>
            <w:pPr>
              <w:adjustRightInd w:val="0"/>
              <w:snapToGrid w:val="0"/>
              <w:jc w:val="center"/>
              <w:rPr>
                <w:kern w:val="0"/>
                <w:szCs w:val="21"/>
              </w:rPr>
            </w:pPr>
            <w:r>
              <w:rPr>
                <w:kern w:val="0"/>
                <w:szCs w:val="21"/>
              </w:rPr>
              <w:t>现状</w:t>
            </w:r>
          </w:p>
        </w:tc>
        <w:tc>
          <w:tcPr>
            <w:tcW w:w="8190" w:type="dxa"/>
            <w:vAlign w:val="center"/>
          </w:tcPr>
          <w:p>
            <w:pPr>
              <w:spacing w:line="460" w:lineRule="exact"/>
              <w:rPr>
                <w:color w:val="000000"/>
                <w:sz w:val="24"/>
              </w:rPr>
            </w:pPr>
            <w:r>
              <w:rPr>
                <w:color w:val="000000"/>
                <w:sz w:val="24"/>
              </w:rPr>
              <w:t>根据现有环境监测资料，建设项目所在地环境质量状况如下：</w:t>
            </w:r>
          </w:p>
          <w:p>
            <w:pPr>
              <w:adjustRightInd w:val="0"/>
              <w:snapToGrid w:val="0"/>
              <w:spacing w:line="460" w:lineRule="exact"/>
              <w:ind w:firstLine="482" w:firstLineChars="200"/>
              <w:rPr>
                <w:b/>
                <w:color w:val="000000"/>
                <w:sz w:val="24"/>
              </w:rPr>
            </w:pPr>
            <w:r>
              <w:rPr>
                <w:b/>
                <w:color w:val="000000"/>
                <w:sz w:val="24"/>
              </w:rPr>
              <w:t>1、环境空气质量现状</w:t>
            </w:r>
          </w:p>
          <w:p>
            <w:pPr>
              <w:spacing w:line="460" w:lineRule="exact"/>
              <w:ind w:firstLine="480" w:firstLineChars="200"/>
              <w:rPr>
                <w:sz w:val="24"/>
              </w:rPr>
            </w:pPr>
            <w:r>
              <w:rPr>
                <w:sz w:val="24"/>
              </w:rPr>
              <w:t>根据大气功能区划分原则，建设项目所在地为二类功能区，环境空气质量应执行《环境空气质量标准》（GB3095-2012）二级标准。根据新乡市生态环境局发布的《新乡市2021年环境质量年报》，区域空气质量现状数据如下表所示。</w:t>
            </w:r>
          </w:p>
          <w:p>
            <w:pPr>
              <w:spacing w:line="360" w:lineRule="exact"/>
              <w:ind w:firstLine="480" w:firstLineChars="200"/>
              <w:rPr>
                <w:rFonts w:eastAsia="黑体"/>
                <w:sz w:val="24"/>
              </w:rPr>
            </w:pPr>
            <w:r>
              <w:rPr>
                <w:rFonts w:eastAsia="黑体"/>
                <w:sz w:val="24"/>
              </w:rPr>
              <w:t>表22               区域空气质量现状评价表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57" w:type="dxa"/>
                <w:left w:w="57" w:type="dxa"/>
                <w:bottom w:w="57" w:type="dxa"/>
                <w:right w:w="57" w:type="dxa"/>
              </w:tblCellMar>
            </w:tblPr>
            <w:tblGrid>
              <w:gridCol w:w="806"/>
              <w:gridCol w:w="1761"/>
              <w:gridCol w:w="1701"/>
              <w:gridCol w:w="1418"/>
              <w:gridCol w:w="1134"/>
              <w:gridCol w:w="115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cantSplit/>
                <w:trHeight w:val="794" w:hRule="exact"/>
                <w:jc w:val="center"/>
              </w:trPr>
              <w:tc>
                <w:tcPr>
                  <w:tcW w:w="806" w:type="dxa"/>
                  <w:tcBorders>
                    <w:top w:val="single" w:color="auto" w:sz="8" w:space="0"/>
                  </w:tcBorders>
                  <w:tcMar>
                    <w:top w:w="57" w:type="dxa"/>
                    <w:left w:w="85" w:type="dxa"/>
                    <w:bottom w:w="57" w:type="dxa"/>
                    <w:right w:w="85" w:type="dxa"/>
                  </w:tcMar>
                  <w:vAlign w:val="center"/>
                </w:tcPr>
                <w:p>
                  <w:pPr>
                    <w:autoSpaceDE w:val="0"/>
                    <w:autoSpaceDN w:val="0"/>
                    <w:adjustRightInd w:val="0"/>
                    <w:snapToGrid w:val="0"/>
                    <w:contextualSpacing/>
                    <w:jc w:val="center"/>
                    <w:rPr>
                      <w:b/>
                      <w:szCs w:val="21"/>
                    </w:rPr>
                  </w:pPr>
                  <w:r>
                    <w:rPr>
                      <w:b/>
                      <w:szCs w:val="21"/>
                    </w:rPr>
                    <w:t>污染物</w:t>
                  </w:r>
                </w:p>
              </w:tc>
              <w:tc>
                <w:tcPr>
                  <w:tcW w:w="1761" w:type="dxa"/>
                  <w:tcBorders>
                    <w:top w:val="single" w:color="auto" w:sz="8" w:space="0"/>
                  </w:tcBorders>
                  <w:tcMar>
                    <w:top w:w="57" w:type="dxa"/>
                    <w:left w:w="85" w:type="dxa"/>
                    <w:bottom w:w="57" w:type="dxa"/>
                    <w:right w:w="85" w:type="dxa"/>
                  </w:tcMar>
                  <w:vAlign w:val="center"/>
                </w:tcPr>
                <w:p>
                  <w:pPr>
                    <w:autoSpaceDE w:val="0"/>
                    <w:autoSpaceDN w:val="0"/>
                    <w:adjustRightInd w:val="0"/>
                    <w:snapToGrid w:val="0"/>
                    <w:contextualSpacing/>
                    <w:jc w:val="center"/>
                    <w:rPr>
                      <w:b/>
                      <w:szCs w:val="21"/>
                    </w:rPr>
                  </w:pPr>
                  <w:r>
                    <w:rPr>
                      <w:b/>
                      <w:szCs w:val="21"/>
                    </w:rPr>
                    <w:t>年评价指标</w:t>
                  </w:r>
                </w:p>
              </w:tc>
              <w:tc>
                <w:tcPr>
                  <w:tcW w:w="1701" w:type="dxa"/>
                  <w:tcBorders>
                    <w:top w:val="single" w:color="auto" w:sz="8" w:space="0"/>
                  </w:tcBorders>
                  <w:tcMar>
                    <w:top w:w="57" w:type="dxa"/>
                    <w:left w:w="85" w:type="dxa"/>
                    <w:bottom w:w="57" w:type="dxa"/>
                    <w:right w:w="85" w:type="dxa"/>
                  </w:tcMar>
                  <w:vAlign w:val="center"/>
                </w:tcPr>
                <w:p>
                  <w:pPr>
                    <w:autoSpaceDE w:val="0"/>
                    <w:autoSpaceDN w:val="0"/>
                    <w:adjustRightInd w:val="0"/>
                    <w:snapToGrid w:val="0"/>
                    <w:contextualSpacing/>
                    <w:jc w:val="center"/>
                    <w:rPr>
                      <w:b/>
                      <w:szCs w:val="21"/>
                    </w:rPr>
                  </w:pPr>
                  <w:r>
                    <w:rPr>
                      <w:b/>
                      <w:szCs w:val="21"/>
                    </w:rPr>
                    <w:t>现状浓度/</w:t>
                  </w:r>
                </w:p>
                <w:p>
                  <w:pPr>
                    <w:autoSpaceDE w:val="0"/>
                    <w:autoSpaceDN w:val="0"/>
                    <w:adjustRightInd w:val="0"/>
                    <w:snapToGrid w:val="0"/>
                    <w:contextualSpacing/>
                    <w:jc w:val="center"/>
                    <w:rPr>
                      <w:b/>
                      <w:szCs w:val="21"/>
                    </w:rPr>
                  </w:pPr>
                  <w:r>
                    <w:rPr>
                      <w:b/>
                      <w:szCs w:val="21"/>
                    </w:rPr>
                    <w:t>（μg/m</w:t>
                  </w:r>
                  <w:r>
                    <w:rPr>
                      <w:b/>
                      <w:szCs w:val="21"/>
                      <w:vertAlign w:val="superscript"/>
                    </w:rPr>
                    <w:t>3</w:t>
                  </w:r>
                  <w:r>
                    <w:rPr>
                      <w:b/>
                      <w:szCs w:val="21"/>
                    </w:rPr>
                    <w:t>）</w:t>
                  </w:r>
                </w:p>
              </w:tc>
              <w:tc>
                <w:tcPr>
                  <w:tcW w:w="1418" w:type="dxa"/>
                  <w:tcBorders>
                    <w:top w:val="single" w:color="auto" w:sz="8" w:space="0"/>
                  </w:tcBorders>
                  <w:tcMar>
                    <w:top w:w="57" w:type="dxa"/>
                    <w:left w:w="85" w:type="dxa"/>
                    <w:bottom w:w="57" w:type="dxa"/>
                    <w:right w:w="85" w:type="dxa"/>
                  </w:tcMar>
                  <w:vAlign w:val="center"/>
                </w:tcPr>
                <w:p>
                  <w:pPr>
                    <w:autoSpaceDE w:val="0"/>
                    <w:autoSpaceDN w:val="0"/>
                    <w:adjustRightInd w:val="0"/>
                    <w:snapToGrid w:val="0"/>
                    <w:contextualSpacing/>
                    <w:jc w:val="center"/>
                    <w:rPr>
                      <w:b/>
                      <w:szCs w:val="21"/>
                    </w:rPr>
                  </w:pPr>
                  <w:r>
                    <w:rPr>
                      <w:b/>
                      <w:szCs w:val="21"/>
                    </w:rPr>
                    <w:t>标准值/（</w:t>
                  </w:r>
                  <w:r>
                    <w:rPr>
                      <w:b/>
                      <w:bCs/>
                      <w:szCs w:val="21"/>
                    </w:rPr>
                    <w:t>μ</w:t>
                  </w:r>
                  <w:r>
                    <w:rPr>
                      <w:b/>
                      <w:szCs w:val="21"/>
                    </w:rPr>
                    <w:t>g/m</w:t>
                  </w:r>
                  <w:r>
                    <w:rPr>
                      <w:b/>
                      <w:szCs w:val="21"/>
                      <w:vertAlign w:val="superscript"/>
                    </w:rPr>
                    <w:t>3</w:t>
                  </w:r>
                  <w:r>
                    <w:rPr>
                      <w:b/>
                      <w:szCs w:val="21"/>
                    </w:rPr>
                    <w:t>）</w:t>
                  </w:r>
                </w:p>
              </w:tc>
              <w:tc>
                <w:tcPr>
                  <w:tcW w:w="1134" w:type="dxa"/>
                  <w:tcBorders>
                    <w:top w:val="single" w:color="auto" w:sz="8" w:space="0"/>
                  </w:tcBorders>
                  <w:tcMar>
                    <w:top w:w="57" w:type="dxa"/>
                    <w:left w:w="85" w:type="dxa"/>
                    <w:bottom w:w="57" w:type="dxa"/>
                    <w:right w:w="85" w:type="dxa"/>
                  </w:tcMar>
                  <w:vAlign w:val="center"/>
                </w:tcPr>
                <w:p>
                  <w:pPr>
                    <w:autoSpaceDE w:val="0"/>
                    <w:autoSpaceDN w:val="0"/>
                    <w:adjustRightInd w:val="0"/>
                    <w:snapToGrid w:val="0"/>
                    <w:contextualSpacing/>
                    <w:jc w:val="center"/>
                    <w:rPr>
                      <w:b/>
                      <w:szCs w:val="21"/>
                    </w:rPr>
                  </w:pPr>
                  <w:r>
                    <w:rPr>
                      <w:b/>
                      <w:szCs w:val="21"/>
                    </w:rPr>
                    <w:t>占标率/%</w:t>
                  </w:r>
                </w:p>
              </w:tc>
              <w:tc>
                <w:tcPr>
                  <w:tcW w:w="1154" w:type="dxa"/>
                  <w:tcBorders>
                    <w:top w:val="single" w:color="auto" w:sz="8" w:space="0"/>
                  </w:tcBorders>
                  <w:tcMar>
                    <w:top w:w="57" w:type="dxa"/>
                    <w:left w:w="85" w:type="dxa"/>
                    <w:bottom w:w="57" w:type="dxa"/>
                    <w:right w:w="85" w:type="dxa"/>
                  </w:tcMar>
                  <w:vAlign w:val="center"/>
                </w:tcPr>
                <w:p>
                  <w:pPr>
                    <w:autoSpaceDE w:val="0"/>
                    <w:autoSpaceDN w:val="0"/>
                    <w:adjustRightInd w:val="0"/>
                    <w:snapToGrid w:val="0"/>
                    <w:contextualSpacing/>
                    <w:jc w:val="center"/>
                    <w:rPr>
                      <w:b/>
                      <w:szCs w:val="21"/>
                    </w:rPr>
                  </w:pPr>
                  <w:r>
                    <w:rPr>
                      <w:b/>
                      <w:szCs w:val="21"/>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cantSplit/>
                <w:trHeight w:val="397" w:hRule="exact"/>
                <w:jc w:val="center"/>
              </w:trPr>
              <w:tc>
                <w:tcPr>
                  <w:tcW w:w="806"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PM</w:t>
                  </w:r>
                  <w:r>
                    <w:rPr>
                      <w:szCs w:val="21"/>
                      <w:vertAlign w:val="subscript"/>
                    </w:rPr>
                    <w:t>10</w:t>
                  </w:r>
                </w:p>
              </w:tc>
              <w:tc>
                <w:tcPr>
                  <w:tcW w:w="1761" w:type="dxa"/>
                  <w:tcMar>
                    <w:top w:w="57" w:type="dxa"/>
                    <w:left w:w="85" w:type="dxa"/>
                    <w:bottom w:w="57" w:type="dxa"/>
                    <w:right w:w="85" w:type="dxa"/>
                  </w:tcMar>
                  <w:vAlign w:val="center"/>
                </w:tcPr>
                <w:p>
                  <w:pPr>
                    <w:overflowPunct w:val="0"/>
                    <w:autoSpaceDE w:val="0"/>
                    <w:autoSpaceDN w:val="0"/>
                    <w:adjustRightInd w:val="0"/>
                    <w:contextualSpacing/>
                    <w:jc w:val="center"/>
                    <w:rPr>
                      <w:szCs w:val="21"/>
                    </w:rPr>
                  </w:pPr>
                  <w:r>
                    <w:rPr>
                      <w:szCs w:val="21"/>
                    </w:rPr>
                    <w:t>年平均质量浓度</w:t>
                  </w:r>
                </w:p>
              </w:tc>
              <w:tc>
                <w:tcPr>
                  <w:tcW w:w="1701"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93</w:t>
                  </w:r>
                </w:p>
              </w:tc>
              <w:tc>
                <w:tcPr>
                  <w:tcW w:w="1418"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70</w:t>
                  </w:r>
                </w:p>
              </w:tc>
              <w:tc>
                <w:tcPr>
                  <w:tcW w:w="1134"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133</w:t>
                  </w:r>
                </w:p>
              </w:tc>
              <w:tc>
                <w:tcPr>
                  <w:tcW w:w="1154"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cantSplit/>
                <w:trHeight w:val="397" w:hRule="exact"/>
                <w:jc w:val="center"/>
              </w:trPr>
              <w:tc>
                <w:tcPr>
                  <w:tcW w:w="806"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PM</w:t>
                  </w:r>
                  <w:r>
                    <w:rPr>
                      <w:szCs w:val="21"/>
                      <w:vertAlign w:val="subscript"/>
                    </w:rPr>
                    <w:t>2.5</w:t>
                  </w:r>
                </w:p>
              </w:tc>
              <w:tc>
                <w:tcPr>
                  <w:tcW w:w="1761"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年平均质量浓度</w:t>
                  </w:r>
                </w:p>
              </w:tc>
              <w:tc>
                <w:tcPr>
                  <w:tcW w:w="1701"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47</w:t>
                  </w:r>
                </w:p>
              </w:tc>
              <w:tc>
                <w:tcPr>
                  <w:tcW w:w="1418"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35</w:t>
                  </w:r>
                </w:p>
              </w:tc>
              <w:tc>
                <w:tcPr>
                  <w:tcW w:w="1134"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134</w:t>
                  </w:r>
                </w:p>
              </w:tc>
              <w:tc>
                <w:tcPr>
                  <w:tcW w:w="1154"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cantSplit/>
                <w:trHeight w:val="397" w:hRule="exact"/>
                <w:jc w:val="center"/>
              </w:trPr>
              <w:tc>
                <w:tcPr>
                  <w:tcW w:w="806"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SO</w:t>
                  </w:r>
                  <w:r>
                    <w:rPr>
                      <w:szCs w:val="21"/>
                      <w:vertAlign w:val="subscript"/>
                    </w:rPr>
                    <w:t>2</w:t>
                  </w:r>
                </w:p>
              </w:tc>
              <w:tc>
                <w:tcPr>
                  <w:tcW w:w="1761"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年平均质量浓度</w:t>
                  </w:r>
                </w:p>
              </w:tc>
              <w:tc>
                <w:tcPr>
                  <w:tcW w:w="1701"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11</w:t>
                  </w:r>
                </w:p>
              </w:tc>
              <w:tc>
                <w:tcPr>
                  <w:tcW w:w="1418"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60</w:t>
                  </w:r>
                </w:p>
              </w:tc>
              <w:tc>
                <w:tcPr>
                  <w:tcW w:w="1134"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18.3</w:t>
                  </w:r>
                </w:p>
              </w:tc>
              <w:tc>
                <w:tcPr>
                  <w:tcW w:w="1154"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cantSplit/>
                <w:trHeight w:val="397" w:hRule="exact"/>
                <w:jc w:val="center"/>
              </w:trPr>
              <w:tc>
                <w:tcPr>
                  <w:tcW w:w="806"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NO</w:t>
                  </w:r>
                  <w:r>
                    <w:rPr>
                      <w:szCs w:val="21"/>
                      <w:vertAlign w:val="subscript"/>
                    </w:rPr>
                    <w:t>2</w:t>
                  </w:r>
                </w:p>
              </w:tc>
              <w:tc>
                <w:tcPr>
                  <w:tcW w:w="1761"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年平均质量浓度</w:t>
                  </w:r>
                </w:p>
              </w:tc>
              <w:tc>
                <w:tcPr>
                  <w:tcW w:w="1701"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32</w:t>
                  </w:r>
                </w:p>
              </w:tc>
              <w:tc>
                <w:tcPr>
                  <w:tcW w:w="1418"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40</w:t>
                  </w:r>
                </w:p>
              </w:tc>
              <w:tc>
                <w:tcPr>
                  <w:tcW w:w="1134"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80</w:t>
                  </w:r>
                </w:p>
              </w:tc>
              <w:tc>
                <w:tcPr>
                  <w:tcW w:w="1154"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cantSplit/>
                <w:trHeight w:val="397" w:hRule="exact"/>
                <w:jc w:val="center"/>
              </w:trPr>
              <w:tc>
                <w:tcPr>
                  <w:tcW w:w="806"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CO</w:t>
                  </w:r>
                </w:p>
              </w:tc>
              <w:tc>
                <w:tcPr>
                  <w:tcW w:w="1761"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第95百分位浓度</w:t>
                  </w:r>
                </w:p>
              </w:tc>
              <w:tc>
                <w:tcPr>
                  <w:tcW w:w="1701"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1.6mg/m</w:t>
                  </w:r>
                  <w:r>
                    <w:rPr>
                      <w:szCs w:val="21"/>
                      <w:vertAlign w:val="superscript"/>
                    </w:rPr>
                    <w:t>3</w:t>
                  </w:r>
                </w:p>
              </w:tc>
              <w:tc>
                <w:tcPr>
                  <w:tcW w:w="1418"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4mg/m</w:t>
                  </w:r>
                  <w:r>
                    <w:rPr>
                      <w:szCs w:val="21"/>
                      <w:vertAlign w:val="superscript"/>
                    </w:rPr>
                    <w:t>3</w:t>
                  </w:r>
                </w:p>
              </w:tc>
              <w:tc>
                <w:tcPr>
                  <w:tcW w:w="1134"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40</w:t>
                  </w:r>
                </w:p>
              </w:tc>
              <w:tc>
                <w:tcPr>
                  <w:tcW w:w="1154" w:type="dxa"/>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57" w:type="dxa"/>
                  <w:bottom w:w="57" w:type="dxa"/>
                  <w:right w:w="57" w:type="dxa"/>
                </w:tblCellMar>
              </w:tblPrEx>
              <w:trPr>
                <w:cantSplit/>
                <w:trHeight w:val="397" w:hRule="exact"/>
                <w:jc w:val="center"/>
              </w:trPr>
              <w:tc>
                <w:tcPr>
                  <w:tcW w:w="806" w:type="dxa"/>
                  <w:tcBorders>
                    <w:bottom w:val="single" w:color="auto" w:sz="8" w:space="0"/>
                  </w:tcBorders>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O</w:t>
                  </w:r>
                  <w:r>
                    <w:rPr>
                      <w:szCs w:val="21"/>
                      <w:vertAlign w:val="subscript"/>
                    </w:rPr>
                    <w:t>3</w:t>
                  </w:r>
                </w:p>
              </w:tc>
              <w:tc>
                <w:tcPr>
                  <w:tcW w:w="1761" w:type="dxa"/>
                  <w:tcBorders>
                    <w:bottom w:val="single" w:color="auto" w:sz="8" w:space="0"/>
                  </w:tcBorders>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第90百分位浓度</w:t>
                  </w:r>
                </w:p>
              </w:tc>
              <w:tc>
                <w:tcPr>
                  <w:tcW w:w="1701" w:type="dxa"/>
                  <w:tcBorders>
                    <w:bottom w:val="single" w:color="auto" w:sz="8" w:space="0"/>
                  </w:tcBorders>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173</w:t>
                  </w:r>
                </w:p>
              </w:tc>
              <w:tc>
                <w:tcPr>
                  <w:tcW w:w="1418" w:type="dxa"/>
                  <w:tcBorders>
                    <w:bottom w:val="single" w:color="auto" w:sz="8" w:space="0"/>
                  </w:tcBorders>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160</w:t>
                  </w:r>
                </w:p>
              </w:tc>
              <w:tc>
                <w:tcPr>
                  <w:tcW w:w="1134" w:type="dxa"/>
                  <w:tcBorders>
                    <w:bottom w:val="single" w:color="auto" w:sz="8" w:space="0"/>
                  </w:tcBorders>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108</w:t>
                  </w:r>
                </w:p>
              </w:tc>
              <w:tc>
                <w:tcPr>
                  <w:tcW w:w="1154" w:type="dxa"/>
                  <w:tcBorders>
                    <w:bottom w:val="single" w:color="auto" w:sz="8" w:space="0"/>
                  </w:tcBorders>
                  <w:tcMar>
                    <w:top w:w="57" w:type="dxa"/>
                    <w:left w:w="85" w:type="dxa"/>
                    <w:bottom w:w="57" w:type="dxa"/>
                    <w:right w:w="85" w:type="dxa"/>
                  </w:tcMar>
                  <w:vAlign w:val="center"/>
                </w:tcPr>
                <w:p>
                  <w:pPr>
                    <w:autoSpaceDE w:val="0"/>
                    <w:autoSpaceDN w:val="0"/>
                    <w:adjustRightInd w:val="0"/>
                    <w:snapToGrid w:val="0"/>
                    <w:contextualSpacing/>
                    <w:jc w:val="center"/>
                    <w:rPr>
                      <w:szCs w:val="21"/>
                    </w:rPr>
                  </w:pPr>
                  <w:r>
                    <w:rPr>
                      <w:szCs w:val="21"/>
                    </w:rPr>
                    <w:t>超标</w:t>
                  </w:r>
                </w:p>
              </w:tc>
            </w:tr>
          </w:tbl>
          <w:p>
            <w:pPr>
              <w:spacing w:line="460" w:lineRule="exact"/>
              <w:ind w:firstLine="480" w:firstLineChars="200"/>
              <w:rPr>
                <w:sz w:val="24"/>
              </w:rPr>
            </w:pPr>
            <w:r>
              <w:rPr>
                <w:sz w:val="24"/>
              </w:rPr>
              <w:t>由上表可知，SO</w:t>
            </w:r>
            <w:r>
              <w:rPr>
                <w:sz w:val="24"/>
                <w:vertAlign w:val="subscript"/>
              </w:rPr>
              <w:t>2</w:t>
            </w:r>
            <w:r>
              <w:rPr>
                <w:sz w:val="24"/>
              </w:rPr>
              <w:t>、NO</w:t>
            </w:r>
            <w:r>
              <w:rPr>
                <w:sz w:val="24"/>
                <w:vertAlign w:val="subscript"/>
              </w:rPr>
              <w:t>2</w:t>
            </w:r>
            <w:r>
              <w:rPr>
                <w:sz w:val="24"/>
              </w:rPr>
              <w:t>、CO能够满足《环境空气质量标准》（GB3095-2012）二级标准；PM</w:t>
            </w:r>
            <w:r>
              <w:rPr>
                <w:sz w:val="24"/>
                <w:vertAlign w:val="subscript"/>
              </w:rPr>
              <w:t>10</w:t>
            </w:r>
            <w:r>
              <w:rPr>
                <w:sz w:val="24"/>
              </w:rPr>
              <w:t>、PM</w:t>
            </w:r>
            <w:r>
              <w:rPr>
                <w:sz w:val="24"/>
                <w:vertAlign w:val="subscript"/>
              </w:rPr>
              <w:t>2.5</w:t>
            </w:r>
            <w:r>
              <w:rPr>
                <w:sz w:val="24"/>
              </w:rPr>
              <w:t>和O</w:t>
            </w:r>
            <w:r>
              <w:rPr>
                <w:sz w:val="24"/>
                <w:vertAlign w:val="subscript"/>
              </w:rPr>
              <w:t>3</w:t>
            </w:r>
            <w:r>
              <w:rPr>
                <w:sz w:val="24"/>
              </w:rPr>
              <w:t>均不能够满足《环境空气质量标准》（GB3095-2012）二级标准要求。根据《环境影响评价技术导则大气环境》(HJ2.2-2018)，本项目所在区域属于未达标区。空气质量超标原因主要为：</w:t>
            </w:r>
            <w:r>
              <w:rPr>
                <w:rFonts w:hint="eastAsia" w:ascii="宋体" w:hAnsi="宋体" w:cs="宋体"/>
                <w:sz w:val="24"/>
              </w:rPr>
              <w:t>①</w:t>
            </w:r>
            <w:r>
              <w:rPr>
                <w:sz w:val="24"/>
              </w:rPr>
              <w:t>冬季供暖锅炉以及部分企业燃煤锅炉启动，且冬季大气自净能力下降，污染扩散气象条件差；</w:t>
            </w:r>
            <w:r>
              <w:rPr>
                <w:rFonts w:hint="eastAsia" w:ascii="宋体" w:hAnsi="宋体" w:cs="宋体"/>
                <w:sz w:val="24"/>
              </w:rPr>
              <w:t>②</w:t>
            </w:r>
            <w:r>
              <w:rPr>
                <w:sz w:val="24"/>
              </w:rPr>
              <w:t>区域内汽车等交通源增加，污染物排放量增大；</w:t>
            </w:r>
            <w:r>
              <w:rPr>
                <w:rFonts w:hint="eastAsia" w:ascii="宋体" w:hAnsi="宋体" w:cs="宋体"/>
                <w:sz w:val="24"/>
              </w:rPr>
              <w:t>③</w:t>
            </w:r>
            <w:r>
              <w:rPr>
                <w:sz w:val="24"/>
              </w:rPr>
              <w:t>天气干燥，尘土较多。因此超标现象属于区域性污染问题。</w:t>
            </w:r>
          </w:p>
          <w:p>
            <w:pPr>
              <w:spacing w:line="460" w:lineRule="exact"/>
              <w:ind w:firstLine="480" w:firstLineChars="200"/>
              <w:rPr>
                <w:sz w:val="24"/>
              </w:rPr>
            </w:pPr>
            <w:r>
              <w:rPr>
                <w:sz w:val="24"/>
              </w:rPr>
              <w:t>目前，新乡市正在实施《河南省生态环境保护委员会办公室关于印发河南省2022年大气、水、土壤污染防治攻坚战及农业农村污染治理攻坚战实施方案的通知》（豫环委办〔2022〕9号）、《新乡市环境污染防治攻坚指挥部办公室关于印发新乡市2022年大气、水、土壤污染防治攻坚战及农业农村污染治理攻坚实施方案的通知》（新环攻坚办〔2022〕60号）等一系列措施，实施这些方案将不断改善区域大气环境质量。</w:t>
            </w:r>
          </w:p>
          <w:p>
            <w:pPr>
              <w:spacing w:line="460" w:lineRule="exact"/>
              <w:ind w:firstLine="482" w:firstLineChars="200"/>
              <w:textAlignment w:val="baseline"/>
              <w:rPr>
                <w:b/>
                <w:color w:val="000000"/>
                <w:sz w:val="24"/>
              </w:rPr>
            </w:pPr>
            <w:r>
              <w:rPr>
                <w:b/>
                <w:color w:val="000000"/>
                <w:sz w:val="24"/>
              </w:rPr>
              <w:t>2、地表水环境质量现状</w:t>
            </w:r>
          </w:p>
          <w:p>
            <w:pPr>
              <w:snapToGrid w:val="0"/>
              <w:spacing w:line="480" w:lineRule="exact"/>
              <w:ind w:firstLine="480" w:firstLineChars="200"/>
              <w:rPr>
                <w:color w:val="000000"/>
                <w:sz w:val="24"/>
                <w:highlight w:val="yellow"/>
              </w:rPr>
            </w:pPr>
            <w:r>
              <w:rPr>
                <w:color w:val="000000"/>
                <w:sz w:val="24"/>
              </w:rPr>
              <w:t>本项目</w:t>
            </w:r>
            <w:r>
              <w:rPr>
                <w:bCs/>
                <w:color w:val="000000"/>
                <w:sz w:val="24"/>
              </w:rPr>
              <w:t>生活污水经化粪池处理后与经一体化污水处理设施处理的</w:t>
            </w:r>
            <w:r>
              <w:rPr>
                <w:rFonts w:hint="eastAsia"/>
                <w:bCs/>
                <w:color w:val="000000"/>
                <w:sz w:val="24"/>
              </w:rPr>
              <w:t>实验室废水和喷淋塔废水混合后经厂区总排口排入污水管网，进入</w:t>
            </w:r>
            <w:r>
              <w:rPr>
                <w:bCs/>
                <w:color w:val="000000"/>
                <w:sz w:val="24"/>
              </w:rPr>
              <w:t>新乡县综合污水处理厂进一步处理，处理后出水排入东孟姜女河。</w:t>
            </w:r>
            <w:r>
              <w:rPr>
                <w:sz w:val="24"/>
              </w:rPr>
              <w:t>根据《新乡市生态环境局关于下达2022年地表水环境质量暂定目标的函》，</w:t>
            </w:r>
            <w:r>
              <w:rPr>
                <w:color w:val="000000"/>
                <w:sz w:val="24"/>
              </w:rPr>
              <w:t>东孟姜女河</w:t>
            </w:r>
            <w:r>
              <w:rPr>
                <w:bCs/>
                <w:color w:val="000000"/>
                <w:sz w:val="24"/>
              </w:rPr>
              <w:t>水体功能类别为IV类标准。</w:t>
            </w:r>
            <w:r>
              <w:rPr>
                <w:color w:val="000000"/>
                <w:sz w:val="24"/>
              </w:rPr>
              <w:t>根据新乡市环境监测站对东孟南环桥断面的监测2022年6月周报数据见下表。</w:t>
            </w:r>
          </w:p>
          <w:p>
            <w:pPr>
              <w:adjustRightInd w:val="0"/>
              <w:snapToGrid w:val="0"/>
              <w:spacing w:line="480" w:lineRule="exact"/>
              <w:ind w:firstLine="480" w:firstLineChars="200"/>
              <w:rPr>
                <w:rFonts w:eastAsia="黑体"/>
                <w:color w:val="000000"/>
                <w:sz w:val="24"/>
              </w:rPr>
            </w:pPr>
            <w:r>
              <w:rPr>
                <w:rFonts w:eastAsia="黑体"/>
                <w:color w:val="000000"/>
                <w:sz w:val="24"/>
              </w:rPr>
              <w:t>表23     东孟南环桥断面监测数据（2022年6月）</w:t>
            </w:r>
            <w:r>
              <w:rPr>
                <w:rFonts w:hint="eastAsia" w:eastAsia="黑体"/>
                <w:color w:val="000000"/>
                <w:sz w:val="24"/>
              </w:rPr>
              <w:t xml:space="preserve"> </w:t>
            </w:r>
            <w:r>
              <w:rPr>
                <w:rFonts w:eastAsia="黑体"/>
                <w:color w:val="000000"/>
                <w:sz w:val="24"/>
              </w:rPr>
              <w:t xml:space="preserve">    单位：mg/L</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4"/>
              <w:gridCol w:w="2227"/>
              <w:gridCol w:w="2168"/>
              <w:gridCol w:w="169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84" w:type="dxa"/>
                  <w:tcBorders>
                    <w:top w:val="single" w:color="auto" w:sz="8" w:space="0"/>
                    <w:left w:val="nil"/>
                    <w:bottom w:val="single" w:color="auto" w:sz="4" w:space="0"/>
                    <w:right w:val="single" w:color="auto" w:sz="4" w:space="0"/>
                  </w:tcBorders>
                  <w:vAlign w:val="center"/>
                </w:tcPr>
                <w:p>
                  <w:pPr>
                    <w:adjustRightInd w:val="0"/>
                    <w:snapToGrid w:val="0"/>
                    <w:jc w:val="center"/>
                    <w:rPr>
                      <w:b/>
                      <w:color w:val="000000"/>
                      <w:szCs w:val="21"/>
                    </w:rPr>
                  </w:pPr>
                  <w:r>
                    <w:rPr>
                      <w:b/>
                      <w:color w:val="000000"/>
                    </w:rPr>
                    <w:t>监测因子</w:t>
                  </w:r>
                </w:p>
              </w:tc>
              <w:tc>
                <w:tcPr>
                  <w:tcW w:w="2227"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color w:val="000000"/>
                    </w:rPr>
                  </w:pPr>
                  <w:r>
                    <w:rPr>
                      <w:b/>
                      <w:color w:val="000000"/>
                    </w:rPr>
                    <w:t>COD</w:t>
                  </w:r>
                </w:p>
              </w:tc>
              <w:tc>
                <w:tcPr>
                  <w:tcW w:w="2168"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b/>
                      <w:color w:val="000000"/>
                    </w:rPr>
                  </w:pPr>
                  <w:r>
                    <w:rPr>
                      <w:b/>
                      <w:color w:val="000000"/>
                    </w:rPr>
                    <w:t>NH</w:t>
                  </w:r>
                  <w:r>
                    <w:rPr>
                      <w:b/>
                      <w:color w:val="000000"/>
                      <w:vertAlign w:val="subscript"/>
                    </w:rPr>
                    <w:t>3</w:t>
                  </w:r>
                  <w:r>
                    <w:rPr>
                      <w:b/>
                      <w:color w:val="000000"/>
                    </w:rPr>
                    <w:t>-N</w:t>
                  </w:r>
                </w:p>
              </w:tc>
              <w:tc>
                <w:tcPr>
                  <w:tcW w:w="1695" w:type="dxa"/>
                  <w:tcBorders>
                    <w:top w:val="single" w:color="auto" w:sz="8" w:space="0"/>
                    <w:left w:val="single" w:color="auto" w:sz="4" w:space="0"/>
                    <w:bottom w:val="single" w:color="auto" w:sz="4" w:space="0"/>
                    <w:right w:val="nil"/>
                  </w:tcBorders>
                  <w:vAlign w:val="center"/>
                </w:tcPr>
                <w:p>
                  <w:pPr>
                    <w:adjustRightInd w:val="0"/>
                    <w:snapToGrid w:val="0"/>
                    <w:jc w:val="center"/>
                    <w:rPr>
                      <w:b/>
                      <w:color w:val="000000"/>
                    </w:rPr>
                  </w:pPr>
                  <w:r>
                    <w:rPr>
                      <w:b/>
                      <w:color w:val="000000"/>
                    </w:rPr>
                    <w:t>TP</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84" w:type="dxa"/>
                  <w:tcBorders>
                    <w:top w:val="single" w:color="auto" w:sz="4" w:space="0"/>
                    <w:left w:val="nil"/>
                    <w:bottom w:val="single" w:color="auto" w:sz="4" w:space="0"/>
                    <w:right w:val="single" w:color="auto" w:sz="4" w:space="0"/>
                  </w:tcBorders>
                  <w:vAlign w:val="center"/>
                </w:tcPr>
                <w:p>
                  <w:pPr>
                    <w:adjustRightInd w:val="0"/>
                    <w:snapToGrid w:val="0"/>
                    <w:jc w:val="center"/>
                    <w:rPr>
                      <w:color w:val="000000"/>
                    </w:rPr>
                  </w:pPr>
                  <w:r>
                    <w:rPr>
                      <w:color w:val="000000"/>
                    </w:rPr>
                    <w:t>监测数据</w:t>
                  </w:r>
                </w:p>
              </w:tc>
              <w:tc>
                <w:tcPr>
                  <w:tcW w:w="222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000000"/>
                    </w:rPr>
                  </w:pPr>
                  <w:r>
                    <w:rPr>
                      <w:color w:val="000000"/>
                    </w:rPr>
                    <w:t>23.67</w:t>
                  </w:r>
                </w:p>
              </w:tc>
              <w:tc>
                <w:tcPr>
                  <w:tcW w:w="2168"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color w:val="000000"/>
                    </w:rPr>
                    <w:t>0.71</w:t>
                  </w:r>
                </w:p>
              </w:tc>
              <w:tc>
                <w:tcPr>
                  <w:tcW w:w="1695" w:type="dxa"/>
                  <w:tcBorders>
                    <w:top w:val="single" w:color="auto" w:sz="4" w:space="0"/>
                    <w:left w:val="single" w:color="auto" w:sz="4" w:space="0"/>
                    <w:bottom w:val="single" w:color="auto" w:sz="4" w:space="0"/>
                    <w:right w:val="nil"/>
                  </w:tcBorders>
                  <w:vAlign w:val="center"/>
                </w:tcPr>
                <w:p>
                  <w:pPr>
                    <w:jc w:val="center"/>
                    <w:rPr>
                      <w:color w:val="000000"/>
                    </w:rPr>
                  </w:pPr>
                  <w:r>
                    <w:rPr>
                      <w:color w:val="000000"/>
                    </w:rPr>
                    <w:t>0.233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84" w:type="dxa"/>
                  <w:tcBorders>
                    <w:top w:val="single" w:color="auto" w:sz="4" w:space="0"/>
                    <w:left w:val="nil"/>
                    <w:bottom w:val="single" w:color="auto" w:sz="4" w:space="0"/>
                    <w:right w:val="single" w:color="auto" w:sz="4" w:space="0"/>
                  </w:tcBorders>
                  <w:vAlign w:val="center"/>
                </w:tcPr>
                <w:p>
                  <w:pPr>
                    <w:adjustRightInd w:val="0"/>
                    <w:snapToGrid w:val="0"/>
                    <w:jc w:val="center"/>
                    <w:rPr>
                      <w:color w:val="000000"/>
                    </w:rPr>
                  </w:pPr>
                  <w:r>
                    <w:rPr>
                      <w:color w:val="000000"/>
                    </w:rPr>
                    <w:t>断面标准</w:t>
                  </w:r>
                </w:p>
              </w:tc>
              <w:tc>
                <w:tcPr>
                  <w:tcW w:w="2227"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color w:val="000000"/>
                    </w:rPr>
                    <w:t>30</w:t>
                  </w:r>
                </w:p>
              </w:tc>
              <w:tc>
                <w:tcPr>
                  <w:tcW w:w="2168"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color w:val="000000"/>
                    </w:rPr>
                    <w:t>1.5</w:t>
                  </w:r>
                </w:p>
              </w:tc>
              <w:tc>
                <w:tcPr>
                  <w:tcW w:w="1695" w:type="dxa"/>
                  <w:tcBorders>
                    <w:top w:val="single" w:color="auto" w:sz="4" w:space="0"/>
                    <w:left w:val="single" w:color="auto" w:sz="4" w:space="0"/>
                    <w:bottom w:val="single" w:color="auto" w:sz="4" w:space="0"/>
                    <w:right w:val="nil"/>
                  </w:tcBorders>
                  <w:vAlign w:val="center"/>
                </w:tcPr>
                <w:p>
                  <w:pPr>
                    <w:jc w:val="center"/>
                    <w:rPr>
                      <w:color w:val="000000"/>
                    </w:rPr>
                  </w:pPr>
                  <w:r>
                    <w:rPr>
                      <w:color w:val="000000"/>
                    </w:rPr>
                    <w:t>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84" w:type="dxa"/>
                  <w:tcBorders>
                    <w:top w:val="single" w:color="auto" w:sz="4" w:space="0"/>
                    <w:left w:val="nil"/>
                    <w:bottom w:val="single" w:color="auto" w:sz="8" w:space="0"/>
                    <w:right w:val="single" w:color="auto" w:sz="4" w:space="0"/>
                  </w:tcBorders>
                  <w:vAlign w:val="center"/>
                </w:tcPr>
                <w:p>
                  <w:pPr>
                    <w:adjustRightInd w:val="0"/>
                    <w:snapToGrid w:val="0"/>
                    <w:jc w:val="center"/>
                    <w:rPr>
                      <w:color w:val="000000"/>
                    </w:rPr>
                  </w:pPr>
                  <w:r>
                    <w:rPr>
                      <w:color w:val="000000"/>
                    </w:rPr>
                    <w:t>达标情况</w:t>
                  </w:r>
                </w:p>
              </w:tc>
              <w:tc>
                <w:tcPr>
                  <w:tcW w:w="2227" w:type="dxa"/>
                  <w:tcBorders>
                    <w:top w:val="single" w:color="auto" w:sz="4" w:space="0"/>
                    <w:left w:val="single" w:color="auto" w:sz="4" w:space="0"/>
                    <w:bottom w:val="single" w:color="auto" w:sz="8" w:space="0"/>
                    <w:right w:val="single" w:color="auto" w:sz="4" w:space="0"/>
                  </w:tcBorders>
                  <w:vAlign w:val="center"/>
                </w:tcPr>
                <w:p>
                  <w:pPr>
                    <w:jc w:val="center"/>
                    <w:rPr>
                      <w:color w:val="000000"/>
                    </w:rPr>
                  </w:pPr>
                  <w:r>
                    <w:rPr>
                      <w:color w:val="000000"/>
                    </w:rPr>
                    <w:t>达标</w:t>
                  </w:r>
                </w:p>
              </w:tc>
              <w:tc>
                <w:tcPr>
                  <w:tcW w:w="2168" w:type="dxa"/>
                  <w:tcBorders>
                    <w:top w:val="single" w:color="auto" w:sz="4" w:space="0"/>
                    <w:left w:val="single" w:color="auto" w:sz="4" w:space="0"/>
                    <w:bottom w:val="single" w:color="auto" w:sz="8" w:space="0"/>
                    <w:right w:val="single" w:color="auto" w:sz="4" w:space="0"/>
                  </w:tcBorders>
                  <w:vAlign w:val="center"/>
                </w:tcPr>
                <w:p>
                  <w:pPr>
                    <w:jc w:val="center"/>
                    <w:rPr>
                      <w:color w:val="000000"/>
                    </w:rPr>
                  </w:pPr>
                  <w:r>
                    <w:rPr>
                      <w:color w:val="000000"/>
                    </w:rPr>
                    <w:t>达标</w:t>
                  </w:r>
                </w:p>
              </w:tc>
              <w:tc>
                <w:tcPr>
                  <w:tcW w:w="1695" w:type="dxa"/>
                  <w:tcBorders>
                    <w:top w:val="single" w:color="auto" w:sz="4" w:space="0"/>
                    <w:left w:val="single" w:color="auto" w:sz="4" w:space="0"/>
                    <w:bottom w:val="single" w:color="auto" w:sz="8" w:space="0"/>
                    <w:right w:val="nil"/>
                  </w:tcBorders>
                  <w:vAlign w:val="center"/>
                </w:tcPr>
                <w:p>
                  <w:pPr>
                    <w:jc w:val="center"/>
                    <w:rPr>
                      <w:color w:val="000000"/>
                    </w:rPr>
                  </w:pPr>
                  <w:r>
                    <w:rPr>
                      <w:color w:val="000000"/>
                    </w:rPr>
                    <w:t>达标</w:t>
                  </w:r>
                </w:p>
              </w:tc>
            </w:tr>
          </w:tbl>
          <w:p>
            <w:pPr>
              <w:adjustRightInd w:val="0"/>
              <w:snapToGrid w:val="0"/>
              <w:spacing w:line="460" w:lineRule="exact"/>
              <w:ind w:firstLine="480" w:firstLineChars="200"/>
              <w:jc w:val="left"/>
              <w:rPr>
                <w:color w:val="000000"/>
                <w:sz w:val="24"/>
              </w:rPr>
            </w:pPr>
            <w:r>
              <w:rPr>
                <w:color w:val="000000"/>
                <w:sz w:val="24"/>
              </w:rPr>
              <w:t>由上表可知，COD、NH</w:t>
            </w:r>
            <w:r>
              <w:rPr>
                <w:color w:val="000000"/>
                <w:sz w:val="24"/>
                <w:vertAlign w:val="subscript"/>
              </w:rPr>
              <w:t>3</w:t>
            </w:r>
            <w:r>
              <w:rPr>
                <w:color w:val="000000"/>
                <w:sz w:val="24"/>
              </w:rPr>
              <w:t>-N、TP浓度均达标。</w:t>
            </w:r>
          </w:p>
          <w:p>
            <w:pPr>
              <w:spacing w:line="460" w:lineRule="exact"/>
              <w:ind w:firstLine="482" w:firstLineChars="200"/>
              <w:rPr>
                <w:b/>
                <w:color w:val="000000"/>
                <w:sz w:val="24"/>
              </w:rPr>
            </w:pPr>
            <w:r>
              <w:rPr>
                <w:b/>
                <w:color w:val="000000"/>
                <w:sz w:val="24"/>
              </w:rPr>
              <w:t>3、声环境质量现状</w:t>
            </w:r>
          </w:p>
          <w:p>
            <w:pPr>
              <w:spacing w:line="460" w:lineRule="exact"/>
              <w:ind w:firstLine="480" w:firstLineChars="200"/>
              <w:rPr>
                <w:color w:val="000000"/>
                <w:sz w:val="24"/>
              </w:rPr>
            </w:pPr>
            <w:r>
              <w:rPr>
                <w:color w:val="000000"/>
                <w:sz w:val="24"/>
              </w:rPr>
              <w:t>根据《建设项目环境影响报告表编制技术指南（污染影响类）（试行）》，本项目厂界外周边50米范围内不存在声环境保护目标，因此不进行声环境质量现状调查。</w:t>
            </w:r>
          </w:p>
          <w:p>
            <w:pPr>
              <w:spacing w:line="460" w:lineRule="exact"/>
              <w:ind w:firstLine="482" w:firstLineChars="200"/>
              <w:rPr>
                <w:b/>
                <w:color w:val="000000"/>
                <w:sz w:val="24"/>
              </w:rPr>
            </w:pPr>
            <w:r>
              <w:rPr>
                <w:b/>
                <w:color w:val="000000"/>
                <w:sz w:val="24"/>
              </w:rPr>
              <w:t>4、地下水、土壤环境质量现状</w:t>
            </w:r>
          </w:p>
          <w:p>
            <w:pPr>
              <w:spacing w:line="460" w:lineRule="exact"/>
              <w:ind w:firstLine="480" w:firstLineChars="200"/>
              <w:rPr>
                <w:color w:val="000000"/>
                <w:sz w:val="24"/>
              </w:rPr>
            </w:pPr>
            <w:r>
              <w:rPr>
                <w:color w:val="000000"/>
                <w:sz w:val="24"/>
              </w:rPr>
              <w:t>根据《建设项目环境影响报告表编制技术指南（污染影响类）（试行）》，原则上不开展地下水和土壤环境质量现状调查，且本项目不存在地下水、土壤污染途径，因此不进行地下水、土壤质量现状调查。</w:t>
            </w:r>
          </w:p>
          <w:p>
            <w:pPr>
              <w:spacing w:line="460" w:lineRule="exact"/>
              <w:ind w:firstLine="482" w:firstLineChars="200"/>
              <w:rPr>
                <w:b/>
                <w:color w:val="000000"/>
                <w:sz w:val="24"/>
              </w:rPr>
            </w:pPr>
            <w:r>
              <w:rPr>
                <w:b/>
                <w:color w:val="000000"/>
                <w:sz w:val="24"/>
              </w:rPr>
              <w:t>5、生态环境现状</w:t>
            </w:r>
          </w:p>
          <w:p>
            <w:pPr>
              <w:adjustRightInd w:val="0"/>
              <w:snapToGrid w:val="0"/>
              <w:spacing w:line="460" w:lineRule="exact"/>
              <w:ind w:firstLine="480" w:firstLineChars="200"/>
              <w:jc w:val="left"/>
              <w:rPr>
                <w:color w:val="000000"/>
                <w:sz w:val="24"/>
              </w:rPr>
            </w:pPr>
            <w:r>
              <w:rPr>
                <w:color w:val="000000"/>
                <w:sz w:val="24"/>
              </w:rPr>
              <w:t>根据《建设项目环境影响报告表编制技术指南（污染影响类）（试行）》，产业园区外建设项目新增用地且用地范围内含有生态环境保护目标时，应进行生态</w:t>
            </w:r>
            <w:r>
              <w:rPr>
                <w:sz w:val="24"/>
              </w:rPr>
              <w:t>现状调查。</w:t>
            </w:r>
            <w:r>
              <w:rPr>
                <w:color w:val="000000"/>
                <w:sz w:val="24"/>
              </w:rPr>
              <w:t>本项目位于新乡经济开发区107国道与胡韦线交汇处A3地块，属于新乡经济技术产业集聚区内且用地范围内不含有生态环境保护目标，因此不进行生态环境现状调查。</w:t>
            </w:r>
          </w:p>
          <w:p>
            <w:pPr>
              <w:adjustRightInd w:val="0"/>
              <w:snapToGrid w:val="0"/>
              <w:spacing w:line="460" w:lineRule="exact"/>
              <w:ind w:firstLine="420" w:firstLineChars="200"/>
              <w:jc w:val="left"/>
              <w:rPr>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vAlign w:val="center"/>
          </w:tcPr>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保护</w:t>
            </w:r>
          </w:p>
          <w:p>
            <w:pPr>
              <w:adjustRightInd w:val="0"/>
              <w:snapToGrid w:val="0"/>
              <w:jc w:val="center"/>
              <w:rPr>
                <w:kern w:val="0"/>
                <w:szCs w:val="21"/>
              </w:rPr>
            </w:pPr>
            <w:r>
              <w:rPr>
                <w:kern w:val="0"/>
                <w:szCs w:val="21"/>
              </w:rPr>
              <w:t>目标</w:t>
            </w:r>
          </w:p>
        </w:tc>
        <w:tc>
          <w:tcPr>
            <w:tcW w:w="8190" w:type="dxa"/>
            <w:vAlign w:val="center"/>
          </w:tcPr>
          <w:p>
            <w:pPr>
              <w:spacing w:line="460" w:lineRule="exact"/>
              <w:rPr>
                <w:b/>
                <w:color w:val="000000"/>
                <w:sz w:val="24"/>
              </w:rPr>
            </w:pPr>
            <w:r>
              <w:rPr>
                <w:b/>
                <w:color w:val="000000"/>
                <w:sz w:val="24"/>
              </w:rPr>
              <w:t>主要环境保护目标</w:t>
            </w:r>
          </w:p>
          <w:p>
            <w:pPr>
              <w:spacing w:line="460" w:lineRule="exact"/>
              <w:ind w:firstLine="480" w:firstLineChars="200"/>
              <w:rPr>
                <w:kern w:val="0"/>
                <w:szCs w:val="21"/>
              </w:rPr>
            </w:pPr>
            <w:r>
              <w:rPr>
                <w:color w:val="000000"/>
                <w:sz w:val="24"/>
              </w:rPr>
              <w:t>根据《建设项目环境影响报告表编制技术指南（污染影响类）（试行）》，本项目厂界外500米内不存在大气环境保护目标，50米范围内不存在声环境保护目标，500米范围内不存在地下水环境保护目</w:t>
            </w:r>
            <w:r>
              <w:rPr>
                <w:sz w:val="24"/>
              </w:rPr>
              <w:t>标。本项目位于新乡经济开发区107国道与胡韦线交汇处A3地块，属于新乡经济技术产业集聚区，用地范围内不含有生态环境保护目标，因此本项目不涉及环境保护目标。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00" w:type="dxa"/>
            <w:tcMar>
              <w:left w:w="28" w:type="dxa"/>
              <w:right w:w="28" w:type="dxa"/>
            </w:tcMar>
            <w:vAlign w:val="center"/>
          </w:tcPr>
          <w:p>
            <w:pPr>
              <w:adjustRightInd w:val="0"/>
              <w:snapToGrid w:val="0"/>
              <w:jc w:val="center"/>
              <w:rPr>
                <w:kern w:val="0"/>
                <w:szCs w:val="21"/>
              </w:rPr>
            </w:pPr>
            <w:r>
              <w:rPr>
                <w:kern w:val="0"/>
                <w:szCs w:val="21"/>
              </w:rPr>
              <w:t>污染</w:t>
            </w:r>
          </w:p>
          <w:p>
            <w:pPr>
              <w:adjustRightInd w:val="0"/>
              <w:snapToGrid w:val="0"/>
              <w:jc w:val="center"/>
              <w:rPr>
                <w:kern w:val="0"/>
                <w:szCs w:val="21"/>
              </w:rPr>
            </w:pPr>
            <w:r>
              <w:rPr>
                <w:kern w:val="0"/>
                <w:szCs w:val="21"/>
              </w:rPr>
              <w:t>物排</w:t>
            </w:r>
          </w:p>
          <w:p>
            <w:pPr>
              <w:adjustRightInd w:val="0"/>
              <w:snapToGrid w:val="0"/>
              <w:jc w:val="center"/>
              <w:rPr>
                <w:kern w:val="0"/>
                <w:szCs w:val="21"/>
              </w:rPr>
            </w:pPr>
            <w:r>
              <w:rPr>
                <w:kern w:val="0"/>
                <w:szCs w:val="21"/>
              </w:rPr>
              <w:t>放控</w:t>
            </w:r>
          </w:p>
          <w:p>
            <w:pPr>
              <w:adjustRightInd w:val="0"/>
              <w:snapToGrid w:val="0"/>
              <w:jc w:val="center"/>
              <w:rPr>
                <w:kern w:val="0"/>
                <w:szCs w:val="21"/>
              </w:rPr>
            </w:pPr>
            <w:r>
              <w:rPr>
                <w:kern w:val="0"/>
                <w:szCs w:val="21"/>
              </w:rPr>
              <w:t>制标</w:t>
            </w:r>
          </w:p>
          <w:p>
            <w:pPr>
              <w:adjustRightInd w:val="0"/>
              <w:snapToGrid w:val="0"/>
              <w:jc w:val="center"/>
              <w:rPr>
                <w:kern w:val="0"/>
                <w:szCs w:val="21"/>
              </w:rPr>
            </w:pPr>
            <w:r>
              <w:rPr>
                <w:kern w:val="0"/>
                <w:szCs w:val="21"/>
              </w:rPr>
              <w:t>准</w:t>
            </w:r>
          </w:p>
        </w:tc>
        <w:tc>
          <w:tcPr>
            <w:tcW w:w="8190" w:type="dxa"/>
            <w:vAlign w:val="center"/>
          </w:tcPr>
          <w:p>
            <w:pPr>
              <w:spacing w:line="460" w:lineRule="exact"/>
              <w:ind w:firstLine="480" w:firstLineChars="200"/>
              <w:rPr>
                <w:rFonts w:eastAsia="黑体"/>
                <w:color w:val="000000"/>
                <w:sz w:val="24"/>
              </w:rPr>
            </w:pPr>
            <w:r>
              <w:rPr>
                <w:rFonts w:eastAsia="黑体"/>
                <w:color w:val="000000"/>
                <w:sz w:val="24"/>
              </w:rPr>
              <w:t>表24                      污染物排放标准</w:t>
            </w:r>
          </w:p>
          <w:tbl>
            <w:tblPr>
              <w:tblStyle w:val="21"/>
              <w:tblW w:w="498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40"/>
              <w:gridCol w:w="1729"/>
              <w:gridCol w:w="1134"/>
              <w:gridCol w:w="2536"/>
              <w:gridCol w:w="181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tcBorders>
                    <w:top w:val="single" w:color="auto" w:sz="8" w:space="0"/>
                    <w:bottom w:val="single" w:color="auto" w:sz="4" w:space="0"/>
                    <w:right w:val="single" w:color="auto" w:sz="4" w:space="0"/>
                  </w:tcBorders>
                  <w:vAlign w:val="center"/>
                </w:tcPr>
                <w:p>
                  <w:pPr>
                    <w:jc w:val="center"/>
                    <w:rPr>
                      <w:b/>
                      <w:color w:val="000000"/>
                      <w:szCs w:val="21"/>
                    </w:rPr>
                  </w:pPr>
                  <w:r>
                    <w:rPr>
                      <w:b/>
                      <w:color w:val="000000"/>
                      <w:szCs w:val="21"/>
                    </w:rPr>
                    <w:t>污染物</w:t>
                  </w:r>
                </w:p>
              </w:tc>
              <w:tc>
                <w:tcPr>
                  <w:tcW w:w="1729" w:type="dxa"/>
                  <w:tcBorders>
                    <w:top w:val="single" w:color="auto" w:sz="8"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标准名称</w:t>
                  </w:r>
                </w:p>
              </w:tc>
              <w:tc>
                <w:tcPr>
                  <w:tcW w:w="3670" w:type="dxa"/>
                  <w:gridSpan w:val="2"/>
                  <w:tcBorders>
                    <w:top w:val="single" w:color="auto" w:sz="8" w:space="0"/>
                    <w:left w:val="single" w:color="auto" w:sz="4" w:space="0"/>
                    <w:bottom w:val="single" w:color="auto" w:sz="4" w:space="0"/>
                    <w:right w:val="single" w:color="auto" w:sz="4" w:space="0"/>
                  </w:tcBorders>
                  <w:vAlign w:val="center"/>
                </w:tcPr>
                <w:p>
                  <w:pPr>
                    <w:jc w:val="center"/>
                    <w:rPr>
                      <w:b/>
                      <w:color w:val="000000"/>
                      <w:szCs w:val="21"/>
                    </w:rPr>
                  </w:pPr>
                  <w:r>
                    <w:rPr>
                      <w:b/>
                      <w:color w:val="000000"/>
                      <w:szCs w:val="21"/>
                    </w:rPr>
                    <w:t>污染因子</w:t>
                  </w:r>
                </w:p>
              </w:tc>
              <w:tc>
                <w:tcPr>
                  <w:tcW w:w="1814" w:type="dxa"/>
                  <w:tcBorders>
                    <w:top w:val="single" w:color="auto" w:sz="8" w:space="0"/>
                    <w:left w:val="single" w:color="auto" w:sz="4" w:space="0"/>
                    <w:bottom w:val="single" w:color="auto" w:sz="4" w:space="0"/>
                  </w:tcBorders>
                  <w:vAlign w:val="center"/>
                </w:tcPr>
                <w:p>
                  <w:pPr>
                    <w:jc w:val="center"/>
                    <w:rPr>
                      <w:b/>
                      <w:color w:val="000000"/>
                      <w:szCs w:val="21"/>
                    </w:rPr>
                  </w:pPr>
                  <w:r>
                    <w:rPr>
                      <w:b/>
                      <w:color w:val="000000"/>
                      <w:szCs w:val="21"/>
                    </w:rPr>
                    <w:t>标准限值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vMerge w:val="restart"/>
                  <w:tcBorders>
                    <w:right w:val="single" w:color="auto" w:sz="4" w:space="0"/>
                  </w:tcBorders>
                  <w:vAlign w:val="center"/>
                </w:tcPr>
                <w:p>
                  <w:pPr>
                    <w:jc w:val="center"/>
                    <w:rPr>
                      <w:color w:val="000000"/>
                      <w:szCs w:val="21"/>
                    </w:rPr>
                  </w:pPr>
                  <w:r>
                    <w:rPr>
                      <w:color w:val="000000"/>
                      <w:szCs w:val="21"/>
                    </w:rPr>
                    <w:t>废水</w:t>
                  </w:r>
                </w:p>
              </w:tc>
              <w:tc>
                <w:tcPr>
                  <w:tcW w:w="1729" w:type="dxa"/>
                  <w:vMerge w:val="restart"/>
                  <w:tcBorders>
                    <w:left w:val="single" w:color="auto" w:sz="4" w:space="0"/>
                    <w:right w:val="single" w:color="auto" w:sz="4" w:space="0"/>
                  </w:tcBorders>
                  <w:vAlign w:val="center"/>
                </w:tcPr>
                <w:p>
                  <w:pPr>
                    <w:jc w:val="center"/>
                    <w:rPr>
                      <w:color w:val="333333"/>
                      <w:szCs w:val="21"/>
                      <w:highlight w:val="yellow"/>
                    </w:rPr>
                  </w:pPr>
                  <w:r>
                    <w:rPr>
                      <w:color w:val="333333"/>
                      <w:szCs w:val="21"/>
                    </w:rPr>
                    <w:t>新乡县综合污水处理厂收水标准</w:t>
                  </w:r>
                </w:p>
              </w:tc>
              <w:tc>
                <w:tcPr>
                  <w:tcW w:w="3670" w:type="dxa"/>
                  <w:gridSpan w:val="2"/>
                  <w:tcBorders>
                    <w:left w:val="single" w:color="auto" w:sz="4" w:space="0"/>
                    <w:right w:val="single" w:color="auto" w:sz="4" w:space="0"/>
                  </w:tcBorders>
                  <w:vAlign w:val="center"/>
                </w:tcPr>
                <w:p>
                  <w:pPr>
                    <w:contextualSpacing/>
                    <w:jc w:val="center"/>
                    <w:textAlignment w:val="baseline"/>
                    <w:rPr>
                      <w:kern w:val="0"/>
                      <w:szCs w:val="21"/>
                    </w:rPr>
                  </w:pPr>
                  <w:r>
                    <w:rPr>
                      <w:kern w:val="0"/>
                    </w:rPr>
                    <w:t>COD</w:t>
                  </w:r>
                </w:p>
              </w:tc>
              <w:tc>
                <w:tcPr>
                  <w:tcW w:w="1814" w:type="dxa"/>
                  <w:tcBorders>
                    <w:top w:val="single" w:color="auto" w:sz="4" w:space="0"/>
                    <w:left w:val="single" w:color="auto" w:sz="4" w:space="0"/>
                    <w:bottom w:val="single" w:color="auto" w:sz="4" w:space="0"/>
                  </w:tcBorders>
                  <w:vAlign w:val="center"/>
                </w:tcPr>
                <w:p>
                  <w:pPr>
                    <w:jc w:val="center"/>
                    <w:rPr>
                      <w:color w:val="000000"/>
                      <w:szCs w:val="21"/>
                    </w:rPr>
                  </w:pPr>
                  <w:r>
                    <w:rPr>
                      <w:color w:val="000000"/>
                    </w:rPr>
                    <w:t>400mg/L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vMerge w:val="continue"/>
                  <w:tcBorders>
                    <w:right w:val="single" w:color="auto" w:sz="4" w:space="0"/>
                  </w:tcBorders>
                  <w:vAlign w:val="center"/>
                </w:tcPr>
                <w:p>
                  <w:pPr>
                    <w:jc w:val="center"/>
                    <w:rPr>
                      <w:color w:val="000000"/>
                      <w:szCs w:val="21"/>
                    </w:rPr>
                  </w:pPr>
                </w:p>
              </w:tc>
              <w:tc>
                <w:tcPr>
                  <w:tcW w:w="1729" w:type="dxa"/>
                  <w:vMerge w:val="continue"/>
                  <w:tcBorders>
                    <w:left w:val="single" w:color="auto" w:sz="4" w:space="0"/>
                    <w:right w:val="single" w:color="auto" w:sz="4" w:space="0"/>
                  </w:tcBorders>
                  <w:vAlign w:val="center"/>
                </w:tcPr>
                <w:p>
                  <w:pPr>
                    <w:jc w:val="center"/>
                    <w:rPr>
                      <w:color w:val="333333"/>
                      <w:szCs w:val="21"/>
                      <w:highlight w:val="yellow"/>
                    </w:rPr>
                  </w:pPr>
                </w:p>
              </w:tc>
              <w:tc>
                <w:tcPr>
                  <w:tcW w:w="3670" w:type="dxa"/>
                  <w:gridSpan w:val="2"/>
                  <w:tcBorders>
                    <w:left w:val="single" w:color="auto" w:sz="4" w:space="0"/>
                    <w:right w:val="single" w:color="auto" w:sz="4" w:space="0"/>
                  </w:tcBorders>
                  <w:vAlign w:val="center"/>
                </w:tcPr>
                <w:p>
                  <w:pPr>
                    <w:contextualSpacing/>
                    <w:jc w:val="center"/>
                    <w:textAlignment w:val="baseline"/>
                    <w:rPr>
                      <w:kern w:val="0"/>
                      <w:szCs w:val="21"/>
                    </w:rPr>
                  </w:pPr>
                  <w:r>
                    <w:rPr>
                      <w:kern w:val="0"/>
                    </w:rPr>
                    <w:t>SS</w:t>
                  </w:r>
                </w:p>
              </w:tc>
              <w:tc>
                <w:tcPr>
                  <w:tcW w:w="1814" w:type="dxa"/>
                  <w:tcBorders>
                    <w:top w:val="single" w:color="auto" w:sz="4" w:space="0"/>
                    <w:left w:val="single" w:color="auto" w:sz="4" w:space="0"/>
                    <w:bottom w:val="single" w:color="auto" w:sz="4" w:space="0"/>
                  </w:tcBorders>
                  <w:vAlign w:val="center"/>
                </w:tcPr>
                <w:p>
                  <w:pPr>
                    <w:jc w:val="center"/>
                    <w:rPr>
                      <w:color w:val="000000"/>
                      <w:szCs w:val="21"/>
                    </w:rPr>
                  </w:pPr>
                  <w:r>
                    <w:rPr>
                      <w:color w:val="000000"/>
                    </w:rPr>
                    <w:t>180mg/L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vMerge w:val="continue"/>
                  <w:tcBorders>
                    <w:right w:val="single" w:color="auto" w:sz="4" w:space="0"/>
                  </w:tcBorders>
                  <w:vAlign w:val="center"/>
                </w:tcPr>
                <w:p>
                  <w:pPr>
                    <w:jc w:val="center"/>
                    <w:rPr>
                      <w:color w:val="000000"/>
                      <w:szCs w:val="21"/>
                    </w:rPr>
                  </w:pPr>
                </w:p>
              </w:tc>
              <w:tc>
                <w:tcPr>
                  <w:tcW w:w="1729" w:type="dxa"/>
                  <w:vMerge w:val="continue"/>
                  <w:tcBorders>
                    <w:left w:val="single" w:color="auto" w:sz="4" w:space="0"/>
                    <w:right w:val="single" w:color="auto" w:sz="4" w:space="0"/>
                  </w:tcBorders>
                  <w:vAlign w:val="center"/>
                </w:tcPr>
                <w:p>
                  <w:pPr>
                    <w:jc w:val="center"/>
                    <w:rPr>
                      <w:color w:val="333333"/>
                      <w:szCs w:val="21"/>
                      <w:highlight w:val="yellow"/>
                    </w:rPr>
                  </w:pPr>
                </w:p>
              </w:tc>
              <w:tc>
                <w:tcPr>
                  <w:tcW w:w="3670" w:type="dxa"/>
                  <w:gridSpan w:val="2"/>
                  <w:tcBorders>
                    <w:left w:val="single" w:color="auto" w:sz="4" w:space="0"/>
                    <w:right w:val="single" w:color="auto" w:sz="4" w:space="0"/>
                  </w:tcBorders>
                  <w:vAlign w:val="center"/>
                </w:tcPr>
                <w:p>
                  <w:pPr>
                    <w:contextualSpacing/>
                    <w:jc w:val="center"/>
                    <w:textAlignment w:val="baseline"/>
                    <w:rPr>
                      <w:kern w:val="0"/>
                      <w:szCs w:val="21"/>
                    </w:rPr>
                  </w:pPr>
                  <w:r>
                    <w:rPr>
                      <w:kern w:val="0"/>
                    </w:rPr>
                    <w:t>NH</w:t>
                  </w:r>
                  <w:r>
                    <w:rPr>
                      <w:kern w:val="0"/>
                      <w:vertAlign w:val="subscript"/>
                    </w:rPr>
                    <w:t>3</w:t>
                  </w:r>
                  <w:r>
                    <w:rPr>
                      <w:kern w:val="0"/>
                    </w:rPr>
                    <w:t>-N</w:t>
                  </w:r>
                </w:p>
              </w:tc>
              <w:tc>
                <w:tcPr>
                  <w:tcW w:w="1814" w:type="dxa"/>
                  <w:tcBorders>
                    <w:top w:val="single" w:color="auto" w:sz="4" w:space="0"/>
                    <w:left w:val="single" w:color="auto" w:sz="4" w:space="0"/>
                    <w:bottom w:val="single" w:color="auto" w:sz="4" w:space="0"/>
                  </w:tcBorders>
                  <w:vAlign w:val="center"/>
                </w:tcPr>
                <w:p>
                  <w:pPr>
                    <w:jc w:val="center"/>
                    <w:rPr>
                      <w:color w:val="000000"/>
                      <w:szCs w:val="21"/>
                    </w:rPr>
                  </w:pPr>
                  <w:r>
                    <w:rPr>
                      <w:color w:val="000000"/>
                    </w:rPr>
                    <w:t>59mg/L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vMerge w:val="continue"/>
                  <w:tcBorders>
                    <w:right w:val="single" w:color="auto" w:sz="4" w:space="0"/>
                  </w:tcBorders>
                  <w:vAlign w:val="center"/>
                </w:tcPr>
                <w:p>
                  <w:pPr>
                    <w:jc w:val="center"/>
                    <w:rPr>
                      <w:color w:val="000000"/>
                      <w:szCs w:val="21"/>
                    </w:rPr>
                  </w:pPr>
                </w:p>
              </w:tc>
              <w:tc>
                <w:tcPr>
                  <w:tcW w:w="1729" w:type="dxa"/>
                  <w:vMerge w:val="continue"/>
                  <w:tcBorders>
                    <w:left w:val="single" w:color="auto" w:sz="4" w:space="0"/>
                    <w:right w:val="single" w:color="auto" w:sz="4" w:space="0"/>
                  </w:tcBorders>
                  <w:vAlign w:val="center"/>
                </w:tcPr>
                <w:p>
                  <w:pPr>
                    <w:jc w:val="center"/>
                    <w:rPr>
                      <w:color w:val="333333"/>
                      <w:szCs w:val="21"/>
                      <w:highlight w:val="yellow"/>
                    </w:rPr>
                  </w:pPr>
                </w:p>
              </w:tc>
              <w:tc>
                <w:tcPr>
                  <w:tcW w:w="3670" w:type="dxa"/>
                  <w:gridSpan w:val="2"/>
                  <w:tcBorders>
                    <w:left w:val="single" w:color="auto" w:sz="4" w:space="0"/>
                    <w:right w:val="single" w:color="auto" w:sz="4" w:space="0"/>
                  </w:tcBorders>
                  <w:vAlign w:val="center"/>
                </w:tcPr>
                <w:p>
                  <w:pPr>
                    <w:contextualSpacing/>
                    <w:jc w:val="center"/>
                    <w:textAlignment w:val="baseline"/>
                    <w:rPr>
                      <w:kern w:val="0"/>
                      <w:szCs w:val="21"/>
                    </w:rPr>
                  </w:pPr>
                  <w:r>
                    <w:rPr>
                      <w:kern w:val="0"/>
                    </w:rPr>
                    <w:t>TN</w:t>
                  </w:r>
                </w:p>
              </w:tc>
              <w:tc>
                <w:tcPr>
                  <w:tcW w:w="1814" w:type="dxa"/>
                  <w:tcBorders>
                    <w:top w:val="single" w:color="auto" w:sz="4" w:space="0"/>
                    <w:left w:val="single" w:color="auto" w:sz="4" w:space="0"/>
                    <w:bottom w:val="single" w:color="auto" w:sz="4" w:space="0"/>
                  </w:tcBorders>
                  <w:vAlign w:val="center"/>
                </w:tcPr>
                <w:p>
                  <w:pPr>
                    <w:jc w:val="center"/>
                    <w:rPr>
                      <w:color w:val="000000"/>
                      <w:szCs w:val="21"/>
                    </w:rPr>
                  </w:pPr>
                  <w:r>
                    <w:rPr>
                      <w:color w:val="000000"/>
                    </w:rPr>
                    <w:t>70mg/L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vMerge w:val="continue"/>
                  <w:tcBorders>
                    <w:right w:val="single" w:color="auto" w:sz="4" w:space="0"/>
                  </w:tcBorders>
                  <w:vAlign w:val="center"/>
                </w:tcPr>
                <w:p>
                  <w:pPr>
                    <w:jc w:val="center"/>
                    <w:rPr>
                      <w:color w:val="000000"/>
                      <w:szCs w:val="21"/>
                    </w:rPr>
                  </w:pPr>
                </w:p>
              </w:tc>
              <w:tc>
                <w:tcPr>
                  <w:tcW w:w="1729" w:type="dxa"/>
                  <w:vMerge w:val="continue"/>
                  <w:tcBorders>
                    <w:left w:val="single" w:color="auto" w:sz="4" w:space="0"/>
                    <w:right w:val="single" w:color="auto" w:sz="4" w:space="0"/>
                  </w:tcBorders>
                  <w:vAlign w:val="center"/>
                </w:tcPr>
                <w:p>
                  <w:pPr>
                    <w:jc w:val="center"/>
                    <w:rPr>
                      <w:color w:val="333333"/>
                      <w:szCs w:val="21"/>
                      <w:highlight w:val="yellow"/>
                    </w:rPr>
                  </w:pPr>
                </w:p>
              </w:tc>
              <w:tc>
                <w:tcPr>
                  <w:tcW w:w="3670" w:type="dxa"/>
                  <w:gridSpan w:val="2"/>
                  <w:tcBorders>
                    <w:left w:val="single" w:color="auto" w:sz="4" w:space="0"/>
                    <w:right w:val="single" w:color="auto" w:sz="4" w:space="0"/>
                  </w:tcBorders>
                  <w:vAlign w:val="center"/>
                </w:tcPr>
                <w:p>
                  <w:pPr>
                    <w:contextualSpacing/>
                    <w:jc w:val="center"/>
                    <w:textAlignment w:val="baseline"/>
                    <w:rPr>
                      <w:kern w:val="0"/>
                      <w:szCs w:val="21"/>
                    </w:rPr>
                  </w:pPr>
                  <w:r>
                    <w:rPr>
                      <w:kern w:val="0"/>
                    </w:rPr>
                    <w:t>TP</w:t>
                  </w:r>
                </w:p>
              </w:tc>
              <w:tc>
                <w:tcPr>
                  <w:tcW w:w="1814" w:type="dxa"/>
                  <w:tcBorders>
                    <w:top w:val="single" w:color="auto" w:sz="4" w:space="0"/>
                    <w:left w:val="single" w:color="auto" w:sz="4" w:space="0"/>
                    <w:bottom w:val="single" w:color="auto" w:sz="4" w:space="0"/>
                  </w:tcBorders>
                  <w:vAlign w:val="center"/>
                </w:tcPr>
                <w:p>
                  <w:pPr>
                    <w:jc w:val="center"/>
                    <w:rPr>
                      <w:color w:val="000000"/>
                      <w:szCs w:val="21"/>
                    </w:rPr>
                  </w:pPr>
                  <w:r>
                    <w:rPr>
                      <w:color w:val="000000"/>
                    </w:rPr>
                    <w:t>4mg/L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vMerge w:val="continue"/>
                  <w:tcBorders>
                    <w:right w:val="single" w:color="auto" w:sz="4" w:space="0"/>
                  </w:tcBorders>
                  <w:vAlign w:val="center"/>
                </w:tcPr>
                <w:p>
                  <w:pPr>
                    <w:jc w:val="center"/>
                    <w:rPr>
                      <w:color w:val="000000"/>
                      <w:szCs w:val="21"/>
                    </w:rPr>
                  </w:pPr>
                </w:p>
              </w:tc>
              <w:tc>
                <w:tcPr>
                  <w:tcW w:w="1729" w:type="dxa"/>
                  <w:vMerge w:val="restart"/>
                  <w:tcBorders>
                    <w:left w:val="single" w:color="auto" w:sz="4" w:space="0"/>
                    <w:right w:val="single" w:color="auto" w:sz="4" w:space="0"/>
                  </w:tcBorders>
                  <w:vAlign w:val="center"/>
                </w:tcPr>
                <w:p>
                  <w:pPr>
                    <w:rPr>
                      <w:color w:val="333333"/>
                      <w:szCs w:val="21"/>
                      <w:highlight w:val="yellow"/>
                    </w:rPr>
                  </w:pPr>
                  <w:r>
                    <w:rPr>
                      <w:rFonts w:hint="eastAsia"/>
                      <w:color w:val="333333"/>
                      <w:szCs w:val="21"/>
                    </w:rPr>
                    <w:t>《污水排入城镇下水道水质标准》（GB/T31962-2015）表1C级</w:t>
                  </w:r>
                </w:p>
              </w:tc>
              <w:tc>
                <w:tcPr>
                  <w:tcW w:w="3670" w:type="dxa"/>
                  <w:gridSpan w:val="2"/>
                  <w:tcBorders>
                    <w:left w:val="single" w:color="auto" w:sz="4" w:space="0"/>
                    <w:right w:val="single" w:color="auto" w:sz="4" w:space="0"/>
                  </w:tcBorders>
                  <w:vAlign w:val="center"/>
                </w:tcPr>
                <w:p>
                  <w:pPr>
                    <w:contextualSpacing/>
                    <w:jc w:val="center"/>
                    <w:textAlignment w:val="baseline"/>
                    <w:rPr>
                      <w:kern w:val="0"/>
                      <w:szCs w:val="21"/>
                    </w:rPr>
                  </w:pPr>
                  <w:r>
                    <w:rPr>
                      <w:kern w:val="0"/>
                      <w:szCs w:val="21"/>
                    </w:rPr>
                    <w:t>COD</w:t>
                  </w:r>
                </w:p>
              </w:tc>
              <w:tc>
                <w:tcPr>
                  <w:tcW w:w="1814" w:type="dxa"/>
                  <w:tcBorders>
                    <w:top w:val="single" w:color="auto" w:sz="4" w:space="0"/>
                    <w:left w:val="single" w:color="auto" w:sz="4" w:space="0"/>
                    <w:bottom w:val="single" w:color="auto" w:sz="4" w:space="0"/>
                  </w:tcBorders>
                  <w:vAlign w:val="center"/>
                </w:tcPr>
                <w:p>
                  <w:pPr>
                    <w:jc w:val="center"/>
                    <w:rPr>
                      <w:kern w:val="0"/>
                      <w:szCs w:val="21"/>
                    </w:rPr>
                  </w:pPr>
                  <w:r>
                    <w:rPr>
                      <w:bCs/>
                      <w:szCs w:val="21"/>
                    </w:rPr>
                    <w:t>300</w:t>
                  </w:r>
                  <w:r>
                    <w:rPr>
                      <w:szCs w:val="21"/>
                    </w:rPr>
                    <w:t>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vMerge w:val="continue"/>
                  <w:tcBorders>
                    <w:right w:val="single" w:color="auto" w:sz="4" w:space="0"/>
                  </w:tcBorders>
                  <w:vAlign w:val="center"/>
                </w:tcPr>
                <w:p>
                  <w:pPr>
                    <w:jc w:val="center"/>
                    <w:rPr>
                      <w:color w:val="000000"/>
                      <w:szCs w:val="21"/>
                    </w:rPr>
                  </w:pPr>
                </w:p>
              </w:tc>
              <w:tc>
                <w:tcPr>
                  <w:tcW w:w="1729" w:type="dxa"/>
                  <w:vMerge w:val="continue"/>
                  <w:tcBorders>
                    <w:left w:val="single" w:color="auto" w:sz="4" w:space="0"/>
                    <w:right w:val="single" w:color="auto" w:sz="4" w:space="0"/>
                  </w:tcBorders>
                  <w:vAlign w:val="center"/>
                </w:tcPr>
                <w:p>
                  <w:pPr>
                    <w:jc w:val="center"/>
                    <w:rPr>
                      <w:color w:val="333333"/>
                      <w:szCs w:val="21"/>
                      <w:highlight w:val="yellow"/>
                    </w:rPr>
                  </w:pPr>
                </w:p>
              </w:tc>
              <w:tc>
                <w:tcPr>
                  <w:tcW w:w="3670" w:type="dxa"/>
                  <w:gridSpan w:val="2"/>
                  <w:tcBorders>
                    <w:left w:val="single" w:color="auto" w:sz="4" w:space="0"/>
                    <w:right w:val="single" w:color="auto" w:sz="4" w:space="0"/>
                  </w:tcBorders>
                  <w:vAlign w:val="center"/>
                </w:tcPr>
                <w:p>
                  <w:pPr>
                    <w:contextualSpacing/>
                    <w:jc w:val="center"/>
                    <w:textAlignment w:val="baseline"/>
                    <w:rPr>
                      <w:kern w:val="0"/>
                      <w:szCs w:val="21"/>
                    </w:rPr>
                  </w:pPr>
                  <w:r>
                    <w:rPr>
                      <w:kern w:val="0"/>
                      <w:szCs w:val="21"/>
                    </w:rPr>
                    <w:t>SS</w:t>
                  </w:r>
                </w:p>
              </w:tc>
              <w:tc>
                <w:tcPr>
                  <w:tcW w:w="1814" w:type="dxa"/>
                  <w:tcBorders>
                    <w:top w:val="single" w:color="auto" w:sz="4" w:space="0"/>
                    <w:left w:val="single" w:color="auto" w:sz="4" w:space="0"/>
                    <w:bottom w:val="single" w:color="auto" w:sz="4" w:space="0"/>
                  </w:tcBorders>
                  <w:vAlign w:val="center"/>
                </w:tcPr>
                <w:p>
                  <w:pPr>
                    <w:jc w:val="center"/>
                    <w:rPr>
                      <w:kern w:val="0"/>
                      <w:szCs w:val="21"/>
                    </w:rPr>
                  </w:pPr>
                  <w:r>
                    <w:rPr>
                      <w:bCs/>
                      <w:szCs w:val="21"/>
                    </w:rPr>
                    <w:t>250</w:t>
                  </w:r>
                  <w:r>
                    <w:rPr>
                      <w:szCs w:val="21"/>
                    </w:rPr>
                    <w:t>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vMerge w:val="continue"/>
                  <w:tcBorders>
                    <w:right w:val="single" w:color="auto" w:sz="4" w:space="0"/>
                  </w:tcBorders>
                  <w:vAlign w:val="center"/>
                </w:tcPr>
                <w:p>
                  <w:pPr>
                    <w:jc w:val="center"/>
                    <w:rPr>
                      <w:color w:val="000000"/>
                      <w:szCs w:val="21"/>
                    </w:rPr>
                  </w:pPr>
                </w:p>
              </w:tc>
              <w:tc>
                <w:tcPr>
                  <w:tcW w:w="1729" w:type="dxa"/>
                  <w:vMerge w:val="continue"/>
                  <w:tcBorders>
                    <w:left w:val="single" w:color="auto" w:sz="4" w:space="0"/>
                    <w:right w:val="single" w:color="auto" w:sz="4" w:space="0"/>
                  </w:tcBorders>
                  <w:vAlign w:val="center"/>
                </w:tcPr>
                <w:p>
                  <w:pPr>
                    <w:jc w:val="center"/>
                    <w:rPr>
                      <w:color w:val="333333"/>
                      <w:szCs w:val="21"/>
                      <w:highlight w:val="yellow"/>
                    </w:rPr>
                  </w:pPr>
                </w:p>
              </w:tc>
              <w:tc>
                <w:tcPr>
                  <w:tcW w:w="3670" w:type="dxa"/>
                  <w:gridSpan w:val="2"/>
                  <w:tcBorders>
                    <w:left w:val="single" w:color="auto" w:sz="4" w:space="0"/>
                    <w:right w:val="single" w:color="auto" w:sz="4" w:space="0"/>
                  </w:tcBorders>
                  <w:vAlign w:val="center"/>
                </w:tcPr>
                <w:p>
                  <w:pPr>
                    <w:contextualSpacing/>
                    <w:jc w:val="center"/>
                    <w:textAlignment w:val="baseline"/>
                    <w:rPr>
                      <w:kern w:val="0"/>
                      <w:szCs w:val="21"/>
                    </w:rPr>
                  </w:pPr>
                  <w:r>
                    <w:rPr>
                      <w:kern w:val="0"/>
                      <w:szCs w:val="21"/>
                    </w:rPr>
                    <w:t>NH</w:t>
                  </w:r>
                  <w:r>
                    <w:rPr>
                      <w:kern w:val="0"/>
                      <w:szCs w:val="21"/>
                      <w:vertAlign w:val="subscript"/>
                    </w:rPr>
                    <w:t>3</w:t>
                  </w:r>
                  <w:r>
                    <w:rPr>
                      <w:kern w:val="0"/>
                      <w:szCs w:val="21"/>
                    </w:rPr>
                    <w:t>-N</w:t>
                  </w:r>
                </w:p>
              </w:tc>
              <w:tc>
                <w:tcPr>
                  <w:tcW w:w="1814" w:type="dxa"/>
                  <w:tcBorders>
                    <w:top w:val="single" w:color="auto" w:sz="4" w:space="0"/>
                    <w:left w:val="single" w:color="auto" w:sz="4" w:space="0"/>
                    <w:bottom w:val="single" w:color="auto" w:sz="4" w:space="0"/>
                  </w:tcBorders>
                  <w:vAlign w:val="center"/>
                </w:tcPr>
                <w:p>
                  <w:pPr>
                    <w:jc w:val="center"/>
                    <w:rPr>
                      <w:kern w:val="0"/>
                      <w:szCs w:val="21"/>
                    </w:rPr>
                  </w:pPr>
                  <w:r>
                    <w:rPr>
                      <w:bCs/>
                      <w:szCs w:val="21"/>
                    </w:rPr>
                    <w:t>25</w:t>
                  </w:r>
                  <w:r>
                    <w:rPr>
                      <w:szCs w:val="21"/>
                    </w:rPr>
                    <w:t>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vMerge w:val="continue"/>
                  <w:tcBorders>
                    <w:right w:val="single" w:color="auto" w:sz="4" w:space="0"/>
                  </w:tcBorders>
                  <w:vAlign w:val="center"/>
                </w:tcPr>
                <w:p>
                  <w:pPr>
                    <w:jc w:val="center"/>
                    <w:rPr>
                      <w:color w:val="000000"/>
                      <w:szCs w:val="21"/>
                    </w:rPr>
                  </w:pPr>
                </w:p>
              </w:tc>
              <w:tc>
                <w:tcPr>
                  <w:tcW w:w="1729" w:type="dxa"/>
                  <w:vMerge w:val="continue"/>
                  <w:tcBorders>
                    <w:left w:val="single" w:color="auto" w:sz="4" w:space="0"/>
                    <w:right w:val="single" w:color="auto" w:sz="4" w:space="0"/>
                  </w:tcBorders>
                  <w:vAlign w:val="center"/>
                </w:tcPr>
                <w:p>
                  <w:pPr>
                    <w:jc w:val="center"/>
                    <w:rPr>
                      <w:color w:val="333333"/>
                      <w:szCs w:val="21"/>
                      <w:highlight w:val="yellow"/>
                    </w:rPr>
                  </w:pPr>
                </w:p>
              </w:tc>
              <w:tc>
                <w:tcPr>
                  <w:tcW w:w="3670" w:type="dxa"/>
                  <w:gridSpan w:val="2"/>
                  <w:tcBorders>
                    <w:left w:val="single" w:color="auto" w:sz="4" w:space="0"/>
                    <w:right w:val="single" w:color="auto" w:sz="4" w:space="0"/>
                  </w:tcBorders>
                  <w:vAlign w:val="center"/>
                </w:tcPr>
                <w:p>
                  <w:pPr>
                    <w:contextualSpacing/>
                    <w:jc w:val="center"/>
                    <w:textAlignment w:val="baseline"/>
                    <w:rPr>
                      <w:kern w:val="0"/>
                      <w:szCs w:val="21"/>
                    </w:rPr>
                  </w:pPr>
                  <w:r>
                    <w:rPr>
                      <w:kern w:val="0"/>
                    </w:rPr>
                    <w:t>TN</w:t>
                  </w:r>
                </w:p>
              </w:tc>
              <w:tc>
                <w:tcPr>
                  <w:tcW w:w="1814" w:type="dxa"/>
                  <w:tcBorders>
                    <w:top w:val="single" w:color="auto" w:sz="4" w:space="0"/>
                    <w:left w:val="single" w:color="auto" w:sz="4" w:space="0"/>
                    <w:bottom w:val="single" w:color="auto" w:sz="4" w:space="0"/>
                  </w:tcBorders>
                  <w:vAlign w:val="center"/>
                </w:tcPr>
                <w:p>
                  <w:pPr>
                    <w:jc w:val="center"/>
                    <w:rPr>
                      <w:kern w:val="0"/>
                      <w:szCs w:val="21"/>
                    </w:rPr>
                  </w:pPr>
                  <w:r>
                    <w:rPr>
                      <w:bCs/>
                      <w:szCs w:val="21"/>
                    </w:rPr>
                    <w:t>45</w:t>
                  </w:r>
                  <w:r>
                    <w:rPr>
                      <w:szCs w:val="21"/>
                    </w:rPr>
                    <w:t>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vMerge w:val="continue"/>
                  <w:tcBorders>
                    <w:right w:val="single" w:color="auto" w:sz="4" w:space="0"/>
                  </w:tcBorders>
                  <w:vAlign w:val="center"/>
                </w:tcPr>
                <w:p>
                  <w:pPr>
                    <w:jc w:val="center"/>
                    <w:rPr>
                      <w:color w:val="000000"/>
                      <w:szCs w:val="21"/>
                    </w:rPr>
                  </w:pPr>
                </w:p>
              </w:tc>
              <w:tc>
                <w:tcPr>
                  <w:tcW w:w="1729" w:type="dxa"/>
                  <w:vMerge w:val="continue"/>
                  <w:tcBorders>
                    <w:left w:val="single" w:color="auto" w:sz="4" w:space="0"/>
                    <w:right w:val="single" w:color="auto" w:sz="4" w:space="0"/>
                  </w:tcBorders>
                  <w:vAlign w:val="center"/>
                </w:tcPr>
                <w:p>
                  <w:pPr>
                    <w:jc w:val="center"/>
                    <w:rPr>
                      <w:color w:val="333333"/>
                      <w:szCs w:val="21"/>
                      <w:highlight w:val="yellow"/>
                    </w:rPr>
                  </w:pPr>
                </w:p>
              </w:tc>
              <w:tc>
                <w:tcPr>
                  <w:tcW w:w="3670" w:type="dxa"/>
                  <w:gridSpan w:val="2"/>
                  <w:tcBorders>
                    <w:left w:val="single" w:color="auto" w:sz="4" w:space="0"/>
                    <w:right w:val="single" w:color="auto" w:sz="4" w:space="0"/>
                  </w:tcBorders>
                  <w:vAlign w:val="center"/>
                </w:tcPr>
                <w:p>
                  <w:pPr>
                    <w:contextualSpacing/>
                    <w:jc w:val="center"/>
                    <w:textAlignment w:val="baseline"/>
                    <w:rPr>
                      <w:kern w:val="0"/>
                      <w:szCs w:val="21"/>
                    </w:rPr>
                  </w:pPr>
                  <w:r>
                    <w:rPr>
                      <w:kern w:val="0"/>
                    </w:rPr>
                    <w:t>TP</w:t>
                  </w:r>
                </w:p>
              </w:tc>
              <w:tc>
                <w:tcPr>
                  <w:tcW w:w="1814" w:type="dxa"/>
                  <w:tcBorders>
                    <w:top w:val="single" w:color="auto" w:sz="4" w:space="0"/>
                    <w:left w:val="single" w:color="auto" w:sz="4" w:space="0"/>
                    <w:bottom w:val="single" w:color="auto" w:sz="4" w:space="0"/>
                  </w:tcBorders>
                  <w:vAlign w:val="center"/>
                </w:tcPr>
                <w:p>
                  <w:pPr>
                    <w:jc w:val="center"/>
                    <w:rPr>
                      <w:kern w:val="0"/>
                      <w:szCs w:val="21"/>
                    </w:rPr>
                  </w:pPr>
                  <w:r>
                    <w:rPr>
                      <w:bCs/>
                      <w:szCs w:val="21"/>
                    </w:rPr>
                    <w:t>5</w:t>
                  </w:r>
                  <w:r>
                    <w:rPr>
                      <w:szCs w:val="21"/>
                    </w:rPr>
                    <w:t>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vMerge w:val="restart"/>
                  <w:tcBorders>
                    <w:right w:val="single" w:color="auto" w:sz="4" w:space="0"/>
                  </w:tcBorders>
                  <w:vAlign w:val="center"/>
                </w:tcPr>
                <w:p>
                  <w:pPr>
                    <w:jc w:val="center"/>
                    <w:rPr>
                      <w:color w:val="000000"/>
                      <w:szCs w:val="21"/>
                    </w:rPr>
                  </w:pPr>
                  <w:r>
                    <w:rPr>
                      <w:color w:val="000000"/>
                      <w:szCs w:val="21"/>
                    </w:rPr>
                    <w:t>废气</w:t>
                  </w:r>
                </w:p>
              </w:tc>
              <w:tc>
                <w:tcPr>
                  <w:tcW w:w="1729" w:type="dxa"/>
                  <w:vMerge w:val="restart"/>
                  <w:tcBorders>
                    <w:left w:val="single" w:color="auto" w:sz="4" w:space="0"/>
                    <w:right w:val="single" w:color="auto" w:sz="4" w:space="0"/>
                  </w:tcBorders>
                  <w:vAlign w:val="center"/>
                </w:tcPr>
                <w:p>
                  <w:pPr>
                    <w:rPr>
                      <w:color w:val="333333"/>
                      <w:szCs w:val="21"/>
                    </w:rPr>
                  </w:pPr>
                  <w:r>
                    <w:rPr>
                      <w:szCs w:val="21"/>
                    </w:rPr>
                    <w:t>《大气污染物综合排放标准》（GB16297-1996）表2二级</w:t>
                  </w:r>
                </w:p>
              </w:tc>
              <w:tc>
                <w:tcPr>
                  <w:tcW w:w="1134" w:type="dxa"/>
                  <w:vMerge w:val="restart"/>
                  <w:tcBorders>
                    <w:left w:val="single" w:color="auto" w:sz="4" w:space="0"/>
                    <w:right w:val="single" w:color="auto" w:sz="4" w:space="0"/>
                  </w:tcBorders>
                  <w:vAlign w:val="center"/>
                </w:tcPr>
                <w:p>
                  <w:pPr>
                    <w:jc w:val="center"/>
                    <w:rPr>
                      <w:color w:val="000000"/>
                      <w:szCs w:val="21"/>
                    </w:rPr>
                  </w:pPr>
                  <w:r>
                    <w:rPr>
                      <w:color w:val="000000"/>
                      <w:szCs w:val="21"/>
                    </w:rPr>
                    <w:t>非甲烷总烃</w:t>
                  </w:r>
                </w:p>
              </w:tc>
              <w:tc>
                <w:tcPr>
                  <w:tcW w:w="2536" w:type="dxa"/>
                  <w:tcBorders>
                    <w:left w:val="single" w:color="auto" w:sz="4" w:space="0"/>
                    <w:right w:val="single" w:color="auto" w:sz="4" w:space="0"/>
                  </w:tcBorders>
                  <w:vAlign w:val="center"/>
                </w:tcPr>
                <w:p>
                  <w:pPr>
                    <w:jc w:val="center"/>
                    <w:rPr>
                      <w:color w:val="000000"/>
                      <w:szCs w:val="21"/>
                    </w:rPr>
                  </w:pPr>
                  <w:r>
                    <w:rPr>
                      <w:color w:val="000000"/>
                      <w:szCs w:val="21"/>
                    </w:rPr>
                    <w:t>有组织排放口</w:t>
                  </w:r>
                </w:p>
              </w:tc>
              <w:tc>
                <w:tcPr>
                  <w:tcW w:w="1814" w:type="dxa"/>
                  <w:tcBorders>
                    <w:top w:val="single" w:color="auto" w:sz="4" w:space="0"/>
                    <w:left w:val="single" w:color="auto" w:sz="4" w:space="0"/>
                    <w:bottom w:val="single" w:color="auto" w:sz="4" w:space="0"/>
                  </w:tcBorders>
                  <w:vAlign w:val="center"/>
                </w:tcPr>
                <w:p>
                  <w:pPr>
                    <w:jc w:val="center"/>
                    <w:rPr>
                      <w:color w:val="000000"/>
                      <w:szCs w:val="21"/>
                    </w:rPr>
                  </w:pPr>
                  <w:r>
                    <w:rPr>
                      <w:color w:val="000000"/>
                      <w:szCs w:val="21"/>
                    </w:rPr>
                    <w:t>12</w:t>
                  </w:r>
                  <w:r>
                    <w:rPr>
                      <w:kern w:val="0"/>
                      <w:szCs w:val="21"/>
                    </w:rPr>
                    <w:t>0mg/m</w:t>
                  </w:r>
                  <w:r>
                    <w:rPr>
                      <w:kern w:val="0"/>
                      <w:szCs w:val="21"/>
                      <w:vertAlign w:val="superscript"/>
                    </w:rPr>
                    <w:t>3</w:t>
                  </w:r>
                  <w:r>
                    <w:rPr>
                      <w:kern w:val="0"/>
                      <w:szCs w:val="21"/>
                    </w:rPr>
                    <w:t>，10kg/h（15m高排气筒）</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vMerge w:val="continue"/>
                  <w:tcBorders>
                    <w:right w:val="single" w:color="auto" w:sz="4" w:space="0"/>
                  </w:tcBorders>
                  <w:vAlign w:val="center"/>
                </w:tcPr>
                <w:p>
                  <w:pPr>
                    <w:jc w:val="center"/>
                    <w:rPr>
                      <w:color w:val="000000"/>
                      <w:szCs w:val="21"/>
                    </w:rPr>
                  </w:pPr>
                </w:p>
              </w:tc>
              <w:tc>
                <w:tcPr>
                  <w:tcW w:w="1729" w:type="dxa"/>
                  <w:vMerge w:val="continue"/>
                  <w:tcBorders>
                    <w:left w:val="single" w:color="auto" w:sz="4" w:space="0"/>
                    <w:right w:val="single" w:color="auto" w:sz="4" w:space="0"/>
                  </w:tcBorders>
                  <w:vAlign w:val="center"/>
                </w:tcPr>
                <w:p>
                  <w:pPr>
                    <w:rPr>
                      <w:color w:val="333333"/>
                      <w:szCs w:val="21"/>
                    </w:rPr>
                  </w:pPr>
                </w:p>
              </w:tc>
              <w:tc>
                <w:tcPr>
                  <w:tcW w:w="1134" w:type="dxa"/>
                  <w:vMerge w:val="continue"/>
                  <w:tcBorders>
                    <w:left w:val="single" w:color="auto" w:sz="4" w:space="0"/>
                    <w:right w:val="single" w:color="auto" w:sz="4" w:space="0"/>
                  </w:tcBorders>
                  <w:vAlign w:val="center"/>
                </w:tcPr>
                <w:p>
                  <w:pPr>
                    <w:jc w:val="center"/>
                    <w:rPr>
                      <w:color w:val="000000"/>
                      <w:szCs w:val="21"/>
                    </w:rPr>
                  </w:pPr>
                </w:p>
              </w:tc>
              <w:tc>
                <w:tcPr>
                  <w:tcW w:w="2536" w:type="dxa"/>
                  <w:tcBorders>
                    <w:left w:val="single" w:color="auto" w:sz="4" w:space="0"/>
                    <w:right w:val="single" w:color="auto" w:sz="4" w:space="0"/>
                  </w:tcBorders>
                  <w:vAlign w:val="center"/>
                </w:tcPr>
                <w:p>
                  <w:pPr>
                    <w:jc w:val="center"/>
                    <w:rPr>
                      <w:color w:val="000000"/>
                      <w:szCs w:val="21"/>
                    </w:rPr>
                  </w:pPr>
                  <w:r>
                    <w:rPr>
                      <w:color w:val="000000"/>
                      <w:szCs w:val="21"/>
                    </w:rPr>
                    <w:t>厂界外最高排放浓度</w:t>
                  </w:r>
                </w:p>
              </w:tc>
              <w:tc>
                <w:tcPr>
                  <w:tcW w:w="1814" w:type="dxa"/>
                  <w:tcBorders>
                    <w:top w:val="single" w:color="auto" w:sz="4" w:space="0"/>
                    <w:left w:val="single" w:color="auto" w:sz="4" w:space="0"/>
                    <w:bottom w:val="single" w:color="auto" w:sz="4" w:space="0"/>
                  </w:tcBorders>
                  <w:vAlign w:val="center"/>
                </w:tcPr>
                <w:p>
                  <w:pPr>
                    <w:jc w:val="center"/>
                    <w:rPr>
                      <w:color w:val="000000"/>
                      <w:szCs w:val="21"/>
                    </w:rPr>
                  </w:pPr>
                  <w:r>
                    <w:rPr>
                      <w:color w:val="000000"/>
                      <w:szCs w:val="21"/>
                    </w:rPr>
                    <w:t>4.0</w:t>
                  </w:r>
                  <w:r>
                    <w:rPr>
                      <w:kern w:val="0"/>
                      <w:szCs w:val="21"/>
                    </w:rPr>
                    <w:t>mg/m</w:t>
                  </w:r>
                  <w:r>
                    <w:rPr>
                      <w:kern w:val="0"/>
                      <w:szCs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vMerge w:val="continue"/>
                  <w:tcBorders>
                    <w:right w:val="single" w:color="auto" w:sz="4" w:space="0"/>
                  </w:tcBorders>
                  <w:vAlign w:val="center"/>
                </w:tcPr>
                <w:p>
                  <w:pPr>
                    <w:jc w:val="center"/>
                    <w:rPr>
                      <w:color w:val="000000"/>
                      <w:szCs w:val="21"/>
                    </w:rPr>
                  </w:pPr>
                </w:p>
              </w:tc>
              <w:tc>
                <w:tcPr>
                  <w:tcW w:w="1729" w:type="dxa"/>
                  <w:vMerge w:val="continue"/>
                  <w:tcBorders>
                    <w:left w:val="single" w:color="auto" w:sz="4" w:space="0"/>
                    <w:right w:val="single" w:color="auto" w:sz="4" w:space="0"/>
                  </w:tcBorders>
                  <w:vAlign w:val="center"/>
                </w:tcPr>
                <w:p>
                  <w:pPr>
                    <w:jc w:val="center"/>
                    <w:rPr>
                      <w:color w:val="000000"/>
                      <w:szCs w:val="21"/>
                    </w:rPr>
                  </w:pPr>
                </w:p>
              </w:tc>
              <w:tc>
                <w:tcPr>
                  <w:tcW w:w="1134" w:type="dxa"/>
                  <w:vMerge w:val="restart"/>
                  <w:tcBorders>
                    <w:left w:val="single" w:color="auto" w:sz="4" w:space="0"/>
                    <w:right w:val="single" w:color="auto" w:sz="4" w:space="0"/>
                  </w:tcBorders>
                  <w:vAlign w:val="center"/>
                </w:tcPr>
                <w:p>
                  <w:pPr>
                    <w:jc w:val="center"/>
                    <w:rPr>
                      <w:color w:val="000000"/>
                      <w:szCs w:val="21"/>
                    </w:rPr>
                  </w:pPr>
                  <w:r>
                    <w:rPr>
                      <w:rFonts w:hint="eastAsia"/>
                      <w:color w:val="000000"/>
                      <w:szCs w:val="21"/>
                    </w:rPr>
                    <w:t>甲醇</w:t>
                  </w:r>
                </w:p>
              </w:tc>
              <w:tc>
                <w:tcPr>
                  <w:tcW w:w="2536" w:type="dxa"/>
                  <w:tcBorders>
                    <w:left w:val="single" w:color="auto" w:sz="4" w:space="0"/>
                    <w:right w:val="single" w:color="auto" w:sz="4" w:space="0"/>
                  </w:tcBorders>
                  <w:vAlign w:val="center"/>
                </w:tcPr>
                <w:p>
                  <w:pPr>
                    <w:jc w:val="center"/>
                    <w:rPr>
                      <w:color w:val="000000"/>
                      <w:szCs w:val="21"/>
                    </w:rPr>
                  </w:pPr>
                  <w:r>
                    <w:rPr>
                      <w:color w:val="000000"/>
                      <w:szCs w:val="21"/>
                    </w:rPr>
                    <w:t>有组织排放口</w:t>
                  </w:r>
                </w:p>
              </w:tc>
              <w:tc>
                <w:tcPr>
                  <w:tcW w:w="1814" w:type="dxa"/>
                  <w:tcBorders>
                    <w:top w:val="single" w:color="auto" w:sz="4" w:space="0"/>
                    <w:left w:val="single" w:color="auto" w:sz="4" w:space="0"/>
                    <w:bottom w:val="single" w:color="auto" w:sz="4" w:space="0"/>
                  </w:tcBorders>
                  <w:vAlign w:val="center"/>
                </w:tcPr>
                <w:p>
                  <w:pPr>
                    <w:jc w:val="center"/>
                    <w:rPr>
                      <w:color w:val="000000"/>
                      <w:szCs w:val="21"/>
                    </w:rPr>
                  </w:pPr>
                  <w:r>
                    <w:rPr>
                      <w:color w:val="000000"/>
                      <w:szCs w:val="21"/>
                    </w:rPr>
                    <w:t>190</w:t>
                  </w:r>
                  <w:r>
                    <w:rPr>
                      <w:kern w:val="0"/>
                      <w:szCs w:val="21"/>
                    </w:rPr>
                    <w:t>mg/m</w:t>
                  </w:r>
                  <w:r>
                    <w:rPr>
                      <w:kern w:val="0"/>
                      <w:szCs w:val="21"/>
                      <w:vertAlign w:val="superscript"/>
                    </w:rPr>
                    <w:t>3</w:t>
                  </w:r>
                  <w:r>
                    <w:rPr>
                      <w:kern w:val="0"/>
                      <w:szCs w:val="21"/>
                    </w:rPr>
                    <w:t>，5.1kg/h（15m高排气筒）</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vMerge w:val="continue"/>
                  <w:tcBorders>
                    <w:right w:val="single" w:color="auto" w:sz="4" w:space="0"/>
                  </w:tcBorders>
                  <w:vAlign w:val="center"/>
                </w:tcPr>
                <w:p>
                  <w:pPr>
                    <w:jc w:val="center"/>
                    <w:rPr>
                      <w:color w:val="000000"/>
                      <w:szCs w:val="21"/>
                    </w:rPr>
                  </w:pPr>
                </w:p>
              </w:tc>
              <w:tc>
                <w:tcPr>
                  <w:tcW w:w="1729" w:type="dxa"/>
                  <w:vMerge w:val="continue"/>
                  <w:tcBorders>
                    <w:left w:val="single" w:color="auto" w:sz="4" w:space="0"/>
                    <w:right w:val="single" w:color="auto" w:sz="4" w:space="0"/>
                  </w:tcBorders>
                  <w:vAlign w:val="center"/>
                </w:tcPr>
                <w:p>
                  <w:pPr>
                    <w:jc w:val="center"/>
                    <w:rPr>
                      <w:color w:val="000000"/>
                      <w:szCs w:val="21"/>
                    </w:rPr>
                  </w:pPr>
                </w:p>
              </w:tc>
              <w:tc>
                <w:tcPr>
                  <w:tcW w:w="1134" w:type="dxa"/>
                  <w:vMerge w:val="continue"/>
                  <w:tcBorders>
                    <w:left w:val="single" w:color="auto" w:sz="4" w:space="0"/>
                    <w:right w:val="single" w:color="auto" w:sz="4" w:space="0"/>
                  </w:tcBorders>
                  <w:vAlign w:val="center"/>
                </w:tcPr>
                <w:p>
                  <w:pPr>
                    <w:jc w:val="center"/>
                    <w:rPr>
                      <w:color w:val="000000"/>
                      <w:szCs w:val="21"/>
                    </w:rPr>
                  </w:pPr>
                </w:p>
              </w:tc>
              <w:tc>
                <w:tcPr>
                  <w:tcW w:w="2536" w:type="dxa"/>
                  <w:tcBorders>
                    <w:left w:val="single" w:color="auto" w:sz="4" w:space="0"/>
                    <w:right w:val="single" w:color="auto" w:sz="4" w:space="0"/>
                  </w:tcBorders>
                  <w:vAlign w:val="center"/>
                </w:tcPr>
                <w:p>
                  <w:pPr>
                    <w:jc w:val="center"/>
                    <w:rPr>
                      <w:color w:val="000000"/>
                      <w:szCs w:val="21"/>
                    </w:rPr>
                  </w:pPr>
                  <w:r>
                    <w:rPr>
                      <w:color w:val="000000"/>
                      <w:szCs w:val="21"/>
                    </w:rPr>
                    <w:t>厂界外最高排放浓度</w:t>
                  </w:r>
                </w:p>
              </w:tc>
              <w:tc>
                <w:tcPr>
                  <w:tcW w:w="1814" w:type="dxa"/>
                  <w:tcBorders>
                    <w:top w:val="single" w:color="auto" w:sz="4" w:space="0"/>
                    <w:left w:val="single" w:color="auto" w:sz="4" w:space="0"/>
                    <w:bottom w:val="single" w:color="auto" w:sz="4" w:space="0"/>
                  </w:tcBorders>
                  <w:vAlign w:val="center"/>
                </w:tcPr>
                <w:p>
                  <w:pPr>
                    <w:jc w:val="center"/>
                    <w:rPr>
                      <w:color w:val="000000"/>
                      <w:szCs w:val="21"/>
                    </w:rPr>
                  </w:pPr>
                  <w:r>
                    <w:rPr>
                      <w:color w:val="000000"/>
                      <w:szCs w:val="21"/>
                    </w:rPr>
                    <w:t>12</w:t>
                  </w:r>
                  <w:r>
                    <w:rPr>
                      <w:kern w:val="0"/>
                      <w:szCs w:val="21"/>
                    </w:rPr>
                    <w:t>mg/m</w:t>
                  </w:r>
                  <w:r>
                    <w:rPr>
                      <w:kern w:val="0"/>
                      <w:szCs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vMerge w:val="continue"/>
                  <w:tcBorders>
                    <w:right w:val="single" w:color="auto" w:sz="4" w:space="0"/>
                  </w:tcBorders>
                  <w:vAlign w:val="center"/>
                </w:tcPr>
                <w:p>
                  <w:pPr>
                    <w:jc w:val="center"/>
                    <w:rPr>
                      <w:color w:val="000000"/>
                      <w:szCs w:val="21"/>
                    </w:rPr>
                  </w:pPr>
                </w:p>
              </w:tc>
              <w:tc>
                <w:tcPr>
                  <w:tcW w:w="1729" w:type="dxa"/>
                  <w:vMerge w:val="restart"/>
                  <w:tcBorders>
                    <w:left w:val="single" w:color="auto" w:sz="4" w:space="0"/>
                    <w:right w:val="single" w:color="auto" w:sz="4" w:space="0"/>
                  </w:tcBorders>
                  <w:vAlign w:val="center"/>
                </w:tcPr>
                <w:p>
                  <w:pPr>
                    <w:rPr>
                      <w:color w:val="000000"/>
                      <w:szCs w:val="21"/>
                    </w:rPr>
                  </w:pPr>
                  <w:r>
                    <w:rPr>
                      <w:szCs w:val="21"/>
                    </w:rPr>
                    <w:t>《关于全省开展工业企业挥发性有机物专项治理工作中排放建议值的通知》（豫环攻坚办（2017）162号）其他</w:t>
                  </w:r>
                  <w:r>
                    <w:rPr>
                      <w:rFonts w:hint="eastAsia"/>
                      <w:szCs w:val="21"/>
                    </w:rPr>
                    <w:t>行业</w:t>
                  </w:r>
                </w:p>
              </w:tc>
              <w:tc>
                <w:tcPr>
                  <w:tcW w:w="1134" w:type="dxa"/>
                  <w:tcBorders>
                    <w:left w:val="single" w:color="auto" w:sz="4" w:space="0"/>
                    <w:right w:val="single" w:color="auto" w:sz="4" w:space="0"/>
                  </w:tcBorders>
                  <w:vAlign w:val="center"/>
                </w:tcPr>
                <w:p>
                  <w:pPr>
                    <w:contextualSpacing/>
                    <w:jc w:val="center"/>
                    <w:textAlignment w:val="baseline"/>
                    <w:rPr>
                      <w:kern w:val="0"/>
                      <w:szCs w:val="21"/>
                    </w:rPr>
                  </w:pPr>
                  <w:r>
                    <w:rPr>
                      <w:szCs w:val="21"/>
                    </w:rPr>
                    <w:t>非甲烷总烃</w:t>
                  </w:r>
                </w:p>
              </w:tc>
              <w:tc>
                <w:tcPr>
                  <w:tcW w:w="2536" w:type="dxa"/>
                  <w:tcBorders>
                    <w:left w:val="single" w:color="auto" w:sz="4" w:space="0"/>
                    <w:right w:val="single" w:color="auto" w:sz="4" w:space="0"/>
                  </w:tcBorders>
                  <w:vAlign w:val="center"/>
                </w:tcPr>
                <w:p>
                  <w:pPr>
                    <w:contextualSpacing/>
                    <w:jc w:val="center"/>
                    <w:textAlignment w:val="baseline"/>
                    <w:rPr>
                      <w:color w:val="000000"/>
                      <w:szCs w:val="21"/>
                    </w:rPr>
                  </w:pPr>
                  <w:r>
                    <w:rPr>
                      <w:rFonts w:hint="eastAsia"/>
                      <w:color w:val="000000"/>
                      <w:szCs w:val="21"/>
                    </w:rPr>
                    <w:t>附件1工业企业挥发性有机物排放建议值其他行业</w:t>
                  </w:r>
                </w:p>
              </w:tc>
              <w:tc>
                <w:tcPr>
                  <w:tcW w:w="1814" w:type="dxa"/>
                  <w:tcBorders>
                    <w:top w:val="single" w:color="auto" w:sz="4" w:space="0"/>
                    <w:left w:val="single" w:color="auto" w:sz="4" w:space="0"/>
                    <w:bottom w:val="single" w:color="auto" w:sz="4" w:space="0"/>
                  </w:tcBorders>
                  <w:vAlign w:val="center"/>
                </w:tcPr>
                <w:p>
                  <w:pPr>
                    <w:jc w:val="center"/>
                    <w:rPr>
                      <w:kern w:val="0"/>
                      <w:szCs w:val="21"/>
                    </w:rPr>
                  </w:pPr>
                  <w:r>
                    <w:rPr>
                      <w:kern w:val="0"/>
                      <w:szCs w:val="21"/>
                    </w:rPr>
                    <w:t>80mg/m</w:t>
                  </w:r>
                  <w:r>
                    <w:rPr>
                      <w:kern w:val="0"/>
                      <w:szCs w:val="21"/>
                      <w:vertAlign w:val="superscript"/>
                    </w:rPr>
                    <w:t>3</w:t>
                  </w:r>
                  <w:r>
                    <w:rPr>
                      <w:rFonts w:hint="eastAsia"/>
                      <w:kern w:val="0"/>
                      <w:szCs w:val="21"/>
                    </w:rPr>
                    <w:t>，建议去除率≥70%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11" w:hRule="atLeast"/>
                <w:jc w:val="center"/>
              </w:trPr>
              <w:tc>
                <w:tcPr>
                  <w:tcW w:w="740" w:type="dxa"/>
                  <w:vMerge w:val="continue"/>
                  <w:tcBorders>
                    <w:right w:val="single" w:color="auto" w:sz="4" w:space="0"/>
                  </w:tcBorders>
                  <w:vAlign w:val="center"/>
                </w:tcPr>
                <w:p>
                  <w:pPr>
                    <w:jc w:val="center"/>
                    <w:rPr>
                      <w:color w:val="000000"/>
                      <w:szCs w:val="21"/>
                    </w:rPr>
                  </w:pPr>
                </w:p>
              </w:tc>
              <w:tc>
                <w:tcPr>
                  <w:tcW w:w="1729" w:type="dxa"/>
                  <w:vMerge w:val="continue"/>
                  <w:tcBorders>
                    <w:left w:val="single" w:color="auto" w:sz="4" w:space="0"/>
                    <w:right w:val="single" w:color="auto" w:sz="4" w:space="0"/>
                  </w:tcBorders>
                  <w:vAlign w:val="center"/>
                </w:tcPr>
                <w:p>
                  <w:pPr>
                    <w:jc w:val="center"/>
                    <w:rPr>
                      <w:color w:val="000000"/>
                      <w:szCs w:val="21"/>
                    </w:rPr>
                  </w:pPr>
                </w:p>
              </w:tc>
              <w:tc>
                <w:tcPr>
                  <w:tcW w:w="1134" w:type="dxa"/>
                  <w:tcBorders>
                    <w:left w:val="single" w:color="auto" w:sz="4" w:space="0"/>
                    <w:right w:val="single" w:color="auto" w:sz="4" w:space="0"/>
                  </w:tcBorders>
                  <w:vAlign w:val="center"/>
                </w:tcPr>
                <w:p>
                  <w:pPr>
                    <w:contextualSpacing/>
                    <w:jc w:val="center"/>
                    <w:textAlignment w:val="baseline"/>
                    <w:rPr>
                      <w:kern w:val="0"/>
                      <w:szCs w:val="21"/>
                    </w:rPr>
                  </w:pPr>
                  <w:r>
                    <w:rPr>
                      <w:szCs w:val="21"/>
                    </w:rPr>
                    <w:t>非甲烷总烃</w:t>
                  </w:r>
                </w:p>
              </w:tc>
              <w:tc>
                <w:tcPr>
                  <w:tcW w:w="2536" w:type="dxa"/>
                  <w:tcBorders>
                    <w:left w:val="single" w:color="auto" w:sz="4" w:space="0"/>
                    <w:right w:val="single" w:color="auto" w:sz="4" w:space="0"/>
                  </w:tcBorders>
                  <w:vAlign w:val="center"/>
                </w:tcPr>
                <w:p>
                  <w:pPr>
                    <w:contextualSpacing/>
                    <w:jc w:val="center"/>
                    <w:textAlignment w:val="baseline"/>
                    <w:rPr>
                      <w:color w:val="000000"/>
                      <w:szCs w:val="21"/>
                    </w:rPr>
                  </w:pPr>
                  <w:r>
                    <w:rPr>
                      <w:color w:val="000000"/>
                      <w:szCs w:val="21"/>
                    </w:rPr>
                    <w:t>附件2：工业企业边界</w:t>
                  </w:r>
                </w:p>
              </w:tc>
              <w:tc>
                <w:tcPr>
                  <w:tcW w:w="1814" w:type="dxa"/>
                  <w:tcBorders>
                    <w:top w:val="single" w:color="auto" w:sz="4" w:space="0"/>
                    <w:left w:val="single" w:color="auto" w:sz="4" w:space="0"/>
                    <w:bottom w:val="single" w:color="auto" w:sz="4" w:space="0"/>
                  </w:tcBorders>
                  <w:vAlign w:val="center"/>
                </w:tcPr>
                <w:p>
                  <w:pPr>
                    <w:jc w:val="center"/>
                    <w:rPr>
                      <w:szCs w:val="21"/>
                    </w:rPr>
                  </w:pPr>
                  <w:r>
                    <w:rPr>
                      <w:szCs w:val="21"/>
                    </w:rPr>
                    <w:t>2.0mg/m</w:t>
                  </w:r>
                  <w:r>
                    <w:rPr>
                      <w:szCs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tcBorders>
                    <w:top w:val="single" w:color="auto" w:sz="4" w:space="0"/>
                    <w:right w:val="single" w:color="auto" w:sz="4" w:space="0"/>
                  </w:tcBorders>
                  <w:vAlign w:val="center"/>
                </w:tcPr>
                <w:p>
                  <w:pPr>
                    <w:jc w:val="center"/>
                    <w:rPr>
                      <w:color w:val="000000"/>
                      <w:szCs w:val="21"/>
                    </w:rPr>
                  </w:pPr>
                  <w:r>
                    <w:rPr>
                      <w:color w:val="000000"/>
                      <w:szCs w:val="21"/>
                    </w:rPr>
                    <w:t>噪声</w:t>
                  </w:r>
                </w:p>
              </w:tc>
              <w:tc>
                <w:tcPr>
                  <w:tcW w:w="1729" w:type="dxa"/>
                  <w:tcBorders>
                    <w:top w:val="single" w:color="auto" w:sz="4" w:space="0"/>
                    <w:left w:val="single" w:color="auto" w:sz="4" w:space="0"/>
                    <w:right w:val="single" w:color="auto" w:sz="4" w:space="0"/>
                  </w:tcBorders>
                  <w:vAlign w:val="center"/>
                </w:tcPr>
                <w:p>
                  <w:pPr>
                    <w:rPr>
                      <w:color w:val="000000"/>
                      <w:szCs w:val="21"/>
                    </w:rPr>
                  </w:pPr>
                  <w:r>
                    <w:rPr>
                      <w:color w:val="000000"/>
                      <w:szCs w:val="21"/>
                    </w:rPr>
                    <w:t>《工业企业厂界环境噪声排放标准》（GB12348-2008）3类</w:t>
                  </w:r>
                </w:p>
              </w:tc>
              <w:tc>
                <w:tcPr>
                  <w:tcW w:w="3670" w:type="dxa"/>
                  <w:gridSpan w:val="2"/>
                  <w:tcBorders>
                    <w:top w:val="single" w:color="auto" w:sz="4" w:space="0"/>
                    <w:left w:val="single" w:color="auto" w:sz="4" w:space="0"/>
                    <w:right w:val="single" w:color="auto" w:sz="4" w:space="0"/>
                  </w:tcBorders>
                  <w:vAlign w:val="center"/>
                </w:tcPr>
                <w:p>
                  <w:pPr>
                    <w:jc w:val="center"/>
                    <w:rPr>
                      <w:color w:val="000000"/>
                      <w:szCs w:val="21"/>
                    </w:rPr>
                  </w:pPr>
                  <w:r>
                    <w:rPr>
                      <w:color w:val="000000"/>
                      <w:szCs w:val="21"/>
                    </w:rPr>
                    <w:t>噪声</w:t>
                  </w:r>
                </w:p>
              </w:tc>
              <w:tc>
                <w:tcPr>
                  <w:tcW w:w="1814" w:type="dxa"/>
                  <w:tcBorders>
                    <w:top w:val="single" w:color="auto" w:sz="4" w:space="0"/>
                    <w:left w:val="single" w:color="auto" w:sz="4" w:space="0"/>
                    <w:bottom w:val="single" w:color="auto" w:sz="4" w:space="0"/>
                  </w:tcBorders>
                  <w:vAlign w:val="center"/>
                </w:tcPr>
                <w:p>
                  <w:pPr>
                    <w:jc w:val="center"/>
                    <w:rPr>
                      <w:color w:val="000000"/>
                      <w:szCs w:val="21"/>
                    </w:rPr>
                  </w:pPr>
                  <w:r>
                    <w:rPr>
                      <w:color w:val="000000"/>
                      <w:szCs w:val="21"/>
                    </w:rPr>
                    <w:t>昼间65dB(A)</w:t>
                  </w:r>
                </w:p>
                <w:p>
                  <w:pPr>
                    <w:jc w:val="center"/>
                    <w:rPr>
                      <w:color w:val="000000"/>
                      <w:szCs w:val="21"/>
                    </w:rPr>
                  </w:pPr>
                  <w:r>
                    <w:rPr>
                      <w:color w:val="000000"/>
                      <w:szCs w:val="21"/>
                    </w:rPr>
                    <w:t>夜间55dB(A)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40" w:type="dxa"/>
                  <w:tcBorders>
                    <w:top w:val="single" w:color="auto" w:sz="4" w:space="0"/>
                    <w:bottom w:val="single" w:color="auto" w:sz="4" w:space="0"/>
                    <w:right w:val="single" w:color="auto" w:sz="4" w:space="0"/>
                  </w:tcBorders>
                  <w:vAlign w:val="center"/>
                </w:tcPr>
                <w:p>
                  <w:pPr>
                    <w:jc w:val="center"/>
                    <w:rPr>
                      <w:color w:val="000000"/>
                      <w:szCs w:val="21"/>
                    </w:rPr>
                  </w:pPr>
                  <w:r>
                    <w:rPr>
                      <w:color w:val="000000"/>
                      <w:szCs w:val="21"/>
                    </w:rPr>
                    <w:t>固废</w:t>
                  </w:r>
                </w:p>
              </w:tc>
              <w:tc>
                <w:tcPr>
                  <w:tcW w:w="7213" w:type="dxa"/>
                  <w:gridSpan w:val="4"/>
                  <w:tcBorders>
                    <w:top w:val="single" w:color="auto" w:sz="4" w:space="0"/>
                    <w:left w:val="single" w:color="auto" w:sz="4" w:space="0"/>
                    <w:bottom w:val="single" w:color="auto" w:sz="4" w:space="0"/>
                  </w:tcBorders>
                  <w:vAlign w:val="center"/>
                </w:tcPr>
                <w:p>
                  <w:pPr>
                    <w:jc w:val="center"/>
                    <w:rPr>
                      <w:color w:val="000000"/>
                      <w:szCs w:val="21"/>
                    </w:rPr>
                  </w:pPr>
                  <w:r>
                    <w:rPr>
                      <w:color w:val="000000"/>
                      <w:szCs w:val="21"/>
                    </w:rPr>
                    <w:t>《一般工业固体废物贮存和填埋污染控制标准》（GB18599-2020）的防渗漏、防雨淋、防扬尘的要求；</w:t>
                  </w:r>
                </w:p>
                <w:p>
                  <w:pPr>
                    <w:jc w:val="center"/>
                    <w:rPr>
                      <w:color w:val="000000"/>
                      <w:szCs w:val="21"/>
                      <w:highlight w:val="yellow"/>
                    </w:rPr>
                  </w:pPr>
                  <w:r>
                    <w:rPr>
                      <w:color w:val="000000"/>
                      <w:szCs w:val="21"/>
                    </w:rPr>
                    <w:t>《危险废物贮存污染控制标准》（GB18597-2001）及2013修改单</w:t>
                  </w:r>
                </w:p>
              </w:tc>
            </w:tr>
          </w:tbl>
          <w:p>
            <w:pPr>
              <w:adjustRightInd w:val="0"/>
              <w:snapToGrid w:val="0"/>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pPr>
              <w:adjustRightInd w:val="0"/>
              <w:snapToGrid w:val="0"/>
              <w:jc w:val="center"/>
              <w:rPr>
                <w:kern w:val="0"/>
                <w:szCs w:val="21"/>
              </w:rPr>
            </w:pPr>
            <w:r>
              <w:rPr>
                <w:kern w:val="0"/>
                <w:szCs w:val="21"/>
              </w:rPr>
              <w:t>总量</w:t>
            </w:r>
          </w:p>
          <w:p>
            <w:pPr>
              <w:adjustRightInd w:val="0"/>
              <w:snapToGrid w:val="0"/>
              <w:jc w:val="center"/>
              <w:rPr>
                <w:kern w:val="0"/>
                <w:szCs w:val="21"/>
              </w:rPr>
            </w:pPr>
            <w:r>
              <w:rPr>
                <w:kern w:val="0"/>
                <w:szCs w:val="21"/>
              </w:rPr>
              <w:t>控制</w:t>
            </w:r>
          </w:p>
          <w:p>
            <w:pPr>
              <w:adjustRightInd w:val="0"/>
              <w:snapToGrid w:val="0"/>
              <w:jc w:val="center"/>
              <w:rPr>
                <w:kern w:val="0"/>
                <w:szCs w:val="21"/>
              </w:rPr>
            </w:pPr>
            <w:r>
              <w:rPr>
                <w:kern w:val="0"/>
                <w:szCs w:val="21"/>
              </w:rPr>
              <w:t>指标</w:t>
            </w:r>
          </w:p>
        </w:tc>
        <w:tc>
          <w:tcPr>
            <w:tcW w:w="8190" w:type="dxa"/>
            <w:vAlign w:val="center"/>
          </w:tcPr>
          <w:p>
            <w:pPr>
              <w:spacing w:line="460" w:lineRule="exact"/>
              <w:ind w:firstLine="480" w:firstLineChars="200"/>
              <w:rPr>
                <w:color w:val="000000"/>
                <w:sz w:val="24"/>
              </w:rPr>
            </w:pPr>
            <w:r>
              <w:rPr>
                <w:color w:val="000000"/>
                <w:sz w:val="24"/>
              </w:rPr>
              <w:t>根据《新乡市生态环境局关于转发&lt;河南省生态环境厅关于印发建设项目主要污染物排放总量指标管理工作内部规程的通知&gt;的通知》，建设项目环境影响评价文件中应明确建设项目主要污染物排放总量及替代方案。</w:t>
            </w:r>
          </w:p>
          <w:p>
            <w:pPr>
              <w:spacing w:line="460" w:lineRule="exact"/>
              <w:ind w:firstLine="480" w:firstLineChars="200"/>
              <w:rPr>
                <w:color w:val="000000"/>
                <w:sz w:val="24"/>
              </w:rPr>
            </w:pPr>
            <w:r>
              <w:rPr>
                <w:color w:val="000000"/>
                <w:sz w:val="24"/>
              </w:rPr>
              <w:t>本项目属于新建项目，本项目建成后废水污染物排放量为（新乡县综合污水处理厂处理后）</w:t>
            </w:r>
            <w:r>
              <w:rPr>
                <w:sz w:val="24"/>
              </w:rPr>
              <w:t>COD0.0769t/a、NH</w:t>
            </w:r>
            <w:r>
              <w:rPr>
                <w:sz w:val="24"/>
                <w:vertAlign w:val="subscript"/>
              </w:rPr>
              <w:t>3</w:t>
            </w:r>
            <w:r>
              <w:rPr>
                <w:sz w:val="24"/>
              </w:rPr>
              <w:t>-N0.0038t/a、TP0.0008t/a、TN0.0288t/a</w:t>
            </w:r>
            <w:r>
              <w:rPr>
                <w:color w:val="000000"/>
                <w:sz w:val="24"/>
              </w:rPr>
              <w:t>；废气排放量为</w:t>
            </w:r>
            <w:r>
              <w:rPr>
                <w:rFonts w:hint="eastAsia"/>
                <w:color w:val="000000"/>
                <w:sz w:val="24"/>
              </w:rPr>
              <w:t>V</w:t>
            </w:r>
            <w:r>
              <w:rPr>
                <w:color w:val="000000"/>
                <w:sz w:val="24"/>
              </w:rPr>
              <w:t>OC</w:t>
            </w:r>
            <w:r>
              <w:rPr>
                <w:color w:val="000000"/>
                <w:sz w:val="24"/>
                <w:vertAlign w:val="subscript"/>
              </w:rPr>
              <w:t>S</w:t>
            </w:r>
            <w:r>
              <w:rPr>
                <w:color w:val="000000"/>
                <w:sz w:val="24"/>
              </w:rPr>
              <w:t>0.011</w:t>
            </w:r>
            <w:r>
              <w:rPr>
                <w:rFonts w:hint="eastAsia"/>
                <w:color w:val="000000"/>
                <w:sz w:val="24"/>
              </w:rPr>
              <w:t>3</w:t>
            </w:r>
            <w:r>
              <w:rPr>
                <w:color w:val="000000"/>
                <w:sz w:val="24"/>
              </w:rPr>
              <w:t>t/a。</w:t>
            </w:r>
          </w:p>
          <w:p>
            <w:pPr>
              <w:spacing w:line="440" w:lineRule="exact"/>
              <w:ind w:firstLine="480" w:firstLineChars="200"/>
              <w:rPr>
                <w:sz w:val="24"/>
              </w:rPr>
            </w:pPr>
            <w:r>
              <w:rPr>
                <w:rFonts w:hint="eastAsia"/>
                <w:sz w:val="24"/>
              </w:rPr>
              <w:t>河南印海智谷实业有限公司新建新乡县检验检测中心建设项目新增重点污染物排放量为COD0.0769吨/年、氨氮0.0038吨/年、VOCs0.0113吨/年。</w:t>
            </w:r>
          </w:p>
          <w:p>
            <w:pPr>
              <w:spacing w:line="440" w:lineRule="exact"/>
              <w:ind w:firstLine="480" w:firstLineChars="200"/>
              <w:rPr>
                <w:color w:val="000000"/>
                <w:sz w:val="24"/>
              </w:rPr>
            </w:pPr>
            <w:r>
              <w:rPr>
                <w:rFonts w:hint="eastAsia"/>
                <w:color w:val="000000"/>
                <w:sz w:val="24"/>
              </w:rPr>
              <w:t>该项目重点污染物预支增量需要进行双倍替代，项目废水排放所需替代量为</w:t>
            </w:r>
            <w:r>
              <w:rPr>
                <w:rFonts w:hint="eastAsia"/>
                <w:sz w:val="24"/>
              </w:rPr>
              <w:t>COD0.</w:t>
            </w:r>
            <w:r>
              <w:rPr>
                <w:sz w:val="24"/>
              </w:rPr>
              <w:t>1538</w:t>
            </w:r>
            <w:r>
              <w:rPr>
                <w:rFonts w:hint="eastAsia"/>
                <w:sz w:val="24"/>
              </w:rPr>
              <w:t>t/a、氨氮0.00</w:t>
            </w:r>
            <w:r>
              <w:rPr>
                <w:sz w:val="24"/>
              </w:rPr>
              <w:t>76</w:t>
            </w:r>
            <w:r>
              <w:rPr>
                <w:rFonts w:hint="eastAsia"/>
                <w:sz w:val="24"/>
              </w:rPr>
              <w:t>t/a从平原示范区污水处理厂提标改造产生的减排量剩余量（COD91.25136t、氨氮22.42896t）中扣除；项目废气排放所需替代量VOCs0.0</w:t>
            </w:r>
            <w:r>
              <w:rPr>
                <w:sz w:val="24"/>
              </w:rPr>
              <w:t>226</w:t>
            </w:r>
            <w:r>
              <w:rPr>
                <w:rFonts w:hint="eastAsia"/>
                <w:sz w:val="24"/>
              </w:rPr>
              <w:t>t/a从河南豫通电机股份有限公司挥发性有机物治理产生的减排量剩余量0.02897t中扣除。</w:t>
            </w:r>
          </w:p>
          <w:p>
            <w:pPr>
              <w:spacing w:line="440" w:lineRule="exact"/>
              <w:ind w:firstLine="480" w:firstLineChars="200"/>
              <w:rPr>
                <w:color w:val="000000"/>
                <w:sz w:val="24"/>
              </w:rPr>
            </w:pPr>
          </w:p>
          <w:p>
            <w:pPr>
              <w:spacing w:line="440" w:lineRule="exact"/>
              <w:ind w:firstLine="480" w:firstLineChars="200"/>
              <w:rPr>
                <w:color w:val="000000"/>
                <w:sz w:val="24"/>
              </w:rPr>
            </w:pPr>
          </w:p>
          <w:p>
            <w:pPr>
              <w:spacing w:line="440" w:lineRule="exact"/>
              <w:ind w:firstLine="480" w:firstLineChars="200"/>
              <w:rPr>
                <w:color w:val="000000"/>
                <w:sz w:val="24"/>
              </w:rPr>
            </w:pPr>
          </w:p>
          <w:p>
            <w:pPr>
              <w:spacing w:line="440" w:lineRule="exact"/>
              <w:ind w:firstLine="480" w:firstLineChars="200"/>
              <w:rPr>
                <w:color w:val="000000"/>
                <w:sz w:val="24"/>
              </w:rPr>
            </w:pPr>
          </w:p>
          <w:p>
            <w:pPr>
              <w:spacing w:line="440" w:lineRule="exact"/>
              <w:ind w:firstLine="480" w:firstLineChars="200"/>
              <w:rPr>
                <w:color w:val="000000"/>
                <w:sz w:val="24"/>
              </w:rPr>
            </w:pPr>
          </w:p>
          <w:p>
            <w:pPr>
              <w:spacing w:line="440" w:lineRule="exact"/>
              <w:ind w:firstLine="480" w:firstLineChars="200"/>
              <w:rPr>
                <w:color w:val="000000"/>
                <w:sz w:val="24"/>
              </w:rPr>
            </w:pPr>
          </w:p>
          <w:p>
            <w:pPr>
              <w:spacing w:line="440" w:lineRule="exact"/>
              <w:ind w:firstLine="480" w:firstLineChars="200"/>
              <w:rPr>
                <w:color w:val="000000"/>
                <w:sz w:val="24"/>
              </w:rPr>
            </w:pPr>
          </w:p>
          <w:p>
            <w:pPr>
              <w:spacing w:line="440" w:lineRule="exact"/>
              <w:ind w:firstLine="480" w:firstLineChars="200"/>
              <w:rPr>
                <w:color w:val="000000"/>
                <w:sz w:val="24"/>
              </w:rPr>
            </w:pPr>
          </w:p>
          <w:p>
            <w:pPr>
              <w:spacing w:line="440" w:lineRule="exact"/>
              <w:ind w:firstLine="480" w:firstLineChars="200"/>
              <w:rPr>
                <w:color w:val="000000"/>
                <w:sz w:val="24"/>
              </w:rPr>
            </w:pPr>
          </w:p>
          <w:p>
            <w:pPr>
              <w:spacing w:line="440" w:lineRule="exact"/>
              <w:ind w:firstLine="480" w:firstLineChars="200"/>
              <w:rPr>
                <w:color w:val="000000"/>
                <w:sz w:val="24"/>
              </w:rPr>
            </w:pPr>
          </w:p>
          <w:p>
            <w:pPr>
              <w:spacing w:line="440" w:lineRule="exact"/>
              <w:ind w:firstLine="480" w:firstLineChars="200"/>
              <w:rPr>
                <w:color w:val="000000"/>
                <w:sz w:val="24"/>
              </w:rPr>
            </w:pPr>
          </w:p>
          <w:p>
            <w:pPr>
              <w:spacing w:line="440" w:lineRule="exact"/>
              <w:ind w:firstLine="480" w:firstLineChars="200"/>
              <w:rPr>
                <w:color w:val="000000"/>
                <w:sz w:val="24"/>
              </w:rPr>
            </w:pPr>
          </w:p>
          <w:p>
            <w:pPr>
              <w:spacing w:line="440" w:lineRule="exact"/>
              <w:ind w:firstLine="480" w:firstLineChars="200"/>
              <w:rPr>
                <w:color w:val="000000"/>
                <w:sz w:val="24"/>
              </w:rPr>
            </w:pPr>
          </w:p>
          <w:p>
            <w:pPr>
              <w:spacing w:line="440" w:lineRule="exact"/>
              <w:ind w:firstLine="480" w:firstLineChars="200"/>
              <w:rPr>
                <w:color w:val="000000"/>
                <w:sz w:val="24"/>
              </w:rPr>
            </w:pPr>
          </w:p>
          <w:p>
            <w:pPr>
              <w:spacing w:line="440" w:lineRule="exact"/>
              <w:ind w:firstLine="480" w:firstLineChars="200"/>
              <w:rPr>
                <w:color w:val="000000"/>
                <w:sz w:val="24"/>
              </w:rPr>
            </w:pPr>
          </w:p>
        </w:tc>
      </w:tr>
    </w:tbl>
    <w:p>
      <w:pPr>
        <w:pStyle w:val="17"/>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r>
        <w:rPr>
          <w:rFonts w:ascii="Times New Roman" w:hAnsi="Times New Roman" w:eastAsia="黑体"/>
          <w:snapToGrid w:val="0"/>
          <w:sz w:val="30"/>
          <w:szCs w:val="30"/>
        </w:rPr>
        <w:t>四、主要环境影响和保护措施</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2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tcMar>
              <w:left w:w="28" w:type="dxa"/>
              <w:right w:w="28" w:type="dxa"/>
            </w:tcMar>
            <w:vAlign w:val="center"/>
          </w:tcPr>
          <w:p>
            <w:pPr>
              <w:pStyle w:val="17"/>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施工</w:t>
            </w:r>
          </w:p>
          <w:p>
            <w:pPr>
              <w:pStyle w:val="17"/>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期环</w:t>
            </w:r>
          </w:p>
          <w:p>
            <w:pPr>
              <w:pStyle w:val="17"/>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境保</w:t>
            </w:r>
          </w:p>
          <w:p>
            <w:pPr>
              <w:pStyle w:val="17"/>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护措</w:t>
            </w:r>
          </w:p>
          <w:p>
            <w:pPr>
              <w:pStyle w:val="17"/>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 w:val="21"/>
                <w:szCs w:val="21"/>
              </w:rPr>
              <w:t>施</w:t>
            </w:r>
          </w:p>
        </w:tc>
        <w:tc>
          <w:tcPr>
            <w:tcW w:w="8286" w:type="dxa"/>
            <w:vAlign w:val="center"/>
          </w:tcPr>
          <w:p>
            <w:pPr>
              <w:adjustRightInd w:val="0"/>
              <w:spacing w:line="400" w:lineRule="exact"/>
              <w:ind w:firstLine="482" w:firstLineChars="200"/>
              <w:textAlignment w:val="baseline"/>
              <w:rPr>
                <w:color w:val="000000"/>
                <w:sz w:val="24"/>
              </w:rPr>
            </w:pPr>
            <w:r>
              <w:rPr>
                <w:b/>
                <w:color w:val="000000"/>
                <w:sz w:val="24"/>
              </w:rPr>
              <w:t>施工期环境影响分析：</w:t>
            </w:r>
          </w:p>
          <w:p>
            <w:pPr>
              <w:adjustRightInd w:val="0"/>
              <w:spacing w:line="400" w:lineRule="exact"/>
              <w:ind w:firstLine="480" w:firstLineChars="200"/>
              <w:textAlignment w:val="baseline"/>
              <w:rPr>
                <w:color w:val="000000"/>
                <w:sz w:val="24"/>
              </w:rPr>
            </w:pPr>
            <w:r>
              <w:rPr>
                <w:color w:val="000000"/>
                <w:sz w:val="24"/>
              </w:rPr>
              <w:t>本项目利用印海智谷产业园现有空厂房进行建设，不存在构筑物的建设，项目位于新乡经济开发区107国道与胡韦线交汇处A3一楼、二楼、三楼。本项目主要施工期内容主要为：建筑物内部装饰装修、暖通系统改造、给排水系统改造、电气系统改造、购置实验室工作台。</w:t>
            </w:r>
          </w:p>
          <w:p>
            <w:pPr>
              <w:adjustRightInd w:val="0"/>
              <w:snapToGrid w:val="0"/>
              <w:spacing w:line="460" w:lineRule="exact"/>
              <w:ind w:firstLine="480" w:firstLineChars="200"/>
              <w:rPr>
                <w:bCs/>
                <w:spacing w:val="-10"/>
                <w:sz w:val="24"/>
              </w:rPr>
            </w:pPr>
            <w:r>
              <w:rPr>
                <w:bCs/>
                <w:color w:val="000000"/>
                <w:sz w:val="24"/>
              </w:rPr>
              <w:t>施工期主要污染为实验室的室内改造过程中产生的粉尘、固废、噪声和工人生活污水，全部施工均在现有构筑物内开展；施工期确保门窗全部关闭，避免施工粉尘无组织逸散；工程完成后，会残留不少废弃建筑材料，这些建筑垃圾能回收利用的尽可能二次利用，不能利用的应该及时清运到规定地方堆放好，严禁建筑垃圾随意丢弃；施工人员产生的生活垃圾严禁随意抛弃，袋装收集后交由环卫部门清运。经房间隔音和距离衰减后施工噪声对周边环境影响不大；生活污水经化粪池处</w:t>
            </w:r>
            <w:r>
              <w:rPr>
                <w:bCs/>
                <w:sz w:val="24"/>
              </w:rPr>
              <w:t>理后排入新乡县综合污水处理厂。</w:t>
            </w:r>
            <w:r>
              <w:rPr>
                <w:bCs/>
                <w:color w:val="000000"/>
                <w:sz w:val="24"/>
              </w:rPr>
              <w:t>项目施工时间短暂，随着施工期的结束，施工影响也随之消失。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tc>
        <w:tc>
          <w:tcPr>
            <w:tcW w:w="8286" w:type="dxa"/>
            <w:vAlign w:val="center"/>
          </w:tcPr>
          <w:p>
            <w:pPr>
              <w:spacing w:line="460" w:lineRule="exact"/>
              <w:rPr>
                <w:b/>
                <w:color w:val="000000"/>
                <w:sz w:val="24"/>
              </w:rPr>
            </w:pPr>
            <w:r>
              <w:rPr>
                <w:b/>
                <w:color w:val="000000"/>
                <w:sz w:val="24"/>
              </w:rPr>
              <w:t>营运期环境影响分析：</w:t>
            </w:r>
          </w:p>
          <w:p>
            <w:pPr>
              <w:spacing w:line="460" w:lineRule="exact"/>
              <w:ind w:firstLine="480" w:firstLineChars="200"/>
              <w:rPr>
                <w:color w:val="000000"/>
                <w:sz w:val="24"/>
              </w:rPr>
            </w:pPr>
            <w:r>
              <w:rPr>
                <w:color w:val="000000"/>
                <w:sz w:val="24"/>
              </w:rPr>
              <w:t>营运期污染因素主要有废水、废气、噪声、固废，具体内容详见以下分析。</w:t>
            </w:r>
          </w:p>
          <w:p>
            <w:pPr>
              <w:adjustRightInd w:val="0"/>
              <w:spacing w:line="460" w:lineRule="exact"/>
              <w:ind w:firstLine="482" w:firstLineChars="200"/>
              <w:rPr>
                <w:b/>
                <w:color w:val="000000"/>
                <w:sz w:val="24"/>
              </w:rPr>
            </w:pPr>
            <w:r>
              <w:rPr>
                <w:b/>
                <w:color w:val="000000"/>
                <w:sz w:val="24"/>
              </w:rPr>
              <w:t>一、废水</w:t>
            </w:r>
          </w:p>
          <w:p>
            <w:pPr>
              <w:tabs>
                <w:tab w:val="left" w:pos="3519"/>
              </w:tabs>
              <w:spacing w:line="460" w:lineRule="exact"/>
              <w:ind w:firstLine="482" w:firstLineChars="200"/>
              <w:rPr>
                <w:b/>
                <w:bCs/>
                <w:color w:val="000000"/>
                <w:sz w:val="24"/>
              </w:rPr>
            </w:pPr>
            <w:r>
              <w:rPr>
                <w:b/>
                <w:bCs/>
                <w:color w:val="000000"/>
                <w:sz w:val="24"/>
              </w:rPr>
              <w:t>1、废水污染物产排情况</w:t>
            </w:r>
          </w:p>
          <w:p>
            <w:pPr>
              <w:spacing w:line="460" w:lineRule="exact"/>
              <w:ind w:firstLine="480" w:firstLineChars="200"/>
              <w:rPr>
                <w:sz w:val="24"/>
              </w:rPr>
            </w:pPr>
            <w:r>
              <w:rPr>
                <w:sz w:val="24"/>
              </w:rPr>
              <w:t>（1）生活污水</w:t>
            </w:r>
          </w:p>
          <w:p>
            <w:pPr>
              <w:spacing w:line="460" w:lineRule="exact"/>
              <w:ind w:firstLine="480" w:firstLineChars="200"/>
              <w:rPr>
                <w:sz w:val="24"/>
              </w:rPr>
            </w:pPr>
            <w:r>
              <w:rPr>
                <w:color w:val="000000"/>
                <w:sz w:val="24"/>
              </w:rPr>
              <w:t>本项目员工定员50人，1班生产，每班8h，年工作270天，员工不在检测中心食宿，生活用水量按30L/人·d计，则生活用水量为1.5m</w:t>
            </w:r>
            <w:r>
              <w:rPr>
                <w:color w:val="000000"/>
                <w:sz w:val="24"/>
                <w:vertAlign w:val="superscript"/>
              </w:rPr>
              <w:t>3</w:t>
            </w:r>
            <w:r>
              <w:rPr>
                <w:color w:val="000000"/>
                <w:sz w:val="24"/>
              </w:rPr>
              <w:t>/d（405m</w:t>
            </w:r>
            <w:r>
              <w:rPr>
                <w:color w:val="000000"/>
                <w:sz w:val="24"/>
                <w:vertAlign w:val="superscript"/>
              </w:rPr>
              <w:t>3</w:t>
            </w:r>
            <w:r>
              <w:rPr>
                <w:color w:val="000000"/>
                <w:sz w:val="24"/>
              </w:rPr>
              <w:t>/a），排放系数以0.8计，则生活污水排放量为1.2m</w:t>
            </w:r>
            <w:r>
              <w:rPr>
                <w:color w:val="000000"/>
                <w:sz w:val="24"/>
                <w:vertAlign w:val="superscript"/>
              </w:rPr>
              <w:t>3</w:t>
            </w:r>
            <w:r>
              <w:rPr>
                <w:color w:val="000000"/>
                <w:sz w:val="24"/>
              </w:rPr>
              <w:t>/d（324m</w:t>
            </w:r>
            <w:r>
              <w:rPr>
                <w:color w:val="000000"/>
                <w:sz w:val="24"/>
                <w:vertAlign w:val="superscript"/>
              </w:rPr>
              <w:t>3</w:t>
            </w:r>
            <w:r>
              <w:rPr>
                <w:color w:val="000000"/>
                <w:sz w:val="24"/>
              </w:rPr>
              <w:t>/a）。类比确定生活污水水质为：COD350mg/L、BOD</w:t>
            </w:r>
            <w:r>
              <w:rPr>
                <w:color w:val="000000"/>
                <w:sz w:val="24"/>
                <w:vertAlign w:val="subscript"/>
              </w:rPr>
              <w:t>5</w:t>
            </w:r>
            <w:r>
              <w:rPr>
                <w:color w:val="000000"/>
                <w:sz w:val="24"/>
              </w:rPr>
              <w:t>200mg/L、SS250mg/L、NH</w:t>
            </w:r>
            <w:r>
              <w:rPr>
                <w:color w:val="000000"/>
                <w:sz w:val="24"/>
                <w:vertAlign w:val="subscript"/>
              </w:rPr>
              <w:t>3</w:t>
            </w:r>
            <w:r>
              <w:rPr>
                <w:color w:val="000000"/>
                <w:sz w:val="24"/>
              </w:rPr>
              <w:t>-N25mg/L、TP3mg/L、TN30mg/L，经化粪池处理后水质为：COD250mg/L、BOD</w:t>
            </w:r>
            <w:r>
              <w:rPr>
                <w:color w:val="000000"/>
                <w:sz w:val="24"/>
                <w:vertAlign w:val="subscript"/>
              </w:rPr>
              <w:t>5</w:t>
            </w:r>
            <w:r>
              <w:rPr>
                <w:color w:val="000000"/>
                <w:sz w:val="24"/>
              </w:rPr>
              <w:t>140mg/L、SS200mg/L、NH</w:t>
            </w:r>
            <w:r>
              <w:rPr>
                <w:color w:val="000000"/>
                <w:sz w:val="24"/>
                <w:vertAlign w:val="subscript"/>
              </w:rPr>
              <w:t>3</w:t>
            </w:r>
            <w:r>
              <w:rPr>
                <w:color w:val="000000"/>
                <w:sz w:val="24"/>
              </w:rPr>
              <w:t>-N25mg/L、TP3mg/L、TN30mg/L</w:t>
            </w:r>
            <w:r>
              <w:rPr>
                <w:sz w:val="24"/>
              </w:rPr>
              <w:t>。</w:t>
            </w:r>
          </w:p>
          <w:p>
            <w:pPr>
              <w:spacing w:line="460" w:lineRule="exact"/>
              <w:ind w:firstLine="480" w:firstLineChars="200"/>
              <w:rPr>
                <w:sz w:val="24"/>
              </w:rPr>
            </w:pPr>
            <w:r>
              <w:rPr>
                <w:sz w:val="24"/>
              </w:rPr>
              <w:t>（2）</w:t>
            </w:r>
            <w:r>
              <w:rPr>
                <w:rFonts w:hint="eastAsia"/>
                <w:sz w:val="24"/>
              </w:rPr>
              <w:t>实验室</w:t>
            </w:r>
            <w:r>
              <w:rPr>
                <w:sz w:val="24"/>
              </w:rPr>
              <w:t>废水</w:t>
            </w:r>
          </w:p>
          <w:p>
            <w:pPr>
              <w:spacing w:line="460" w:lineRule="exact"/>
              <w:ind w:firstLine="480" w:firstLineChars="200"/>
              <w:rPr>
                <w:sz w:val="24"/>
              </w:rPr>
            </w:pPr>
            <w:r>
              <w:rPr>
                <w:sz w:val="24"/>
              </w:rPr>
              <w:t>本项目生产废水包括：</w:t>
            </w: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sz w:val="24"/>
              </w:rPr>
              <w:t>实验室器皿三次清洗废水</w:t>
            </w:r>
            <w:r>
              <w:rPr>
                <w:sz w:val="24"/>
              </w:rPr>
              <w:t>；</w:t>
            </w: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sz w:val="24"/>
              </w:rPr>
              <w:t>实验室地面清洁废水；</w:t>
            </w: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sz w:val="24"/>
              </w:rPr>
              <w:t>纯水制备废水；</w:t>
            </w:r>
            <w:r>
              <w:rPr>
                <w:rFonts w:hint="eastAsia"/>
                <w:sz w:val="24"/>
              </w:rPr>
              <w:t>④喷淋塔废水。</w:t>
            </w:r>
          </w:p>
          <w:p>
            <w:pPr>
              <w:spacing w:line="460" w:lineRule="exact"/>
              <w:ind w:firstLine="480" w:firstLineChars="200"/>
              <w:rPr>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sz w:val="24"/>
              </w:rPr>
              <w:t>实验室器皿</w:t>
            </w:r>
            <w:r>
              <w:rPr>
                <w:rFonts w:hint="eastAsia"/>
                <w:sz w:val="24"/>
              </w:rPr>
              <w:t>三次清洗废水</w:t>
            </w:r>
          </w:p>
          <w:p>
            <w:pPr>
              <w:spacing w:line="460" w:lineRule="exact"/>
              <w:ind w:firstLine="480" w:firstLineChars="200"/>
              <w:rPr>
                <w:sz w:val="24"/>
              </w:rPr>
            </w:pPr>
            <w:r>
              <w:rPr>
                <w:rFonts w:hint="eastAsia"/>
                <w:sz w:val="24"/>
              </w:rPr>
              <w:t>本项目检测实验室在检测过程中需对使用到的器皿进行清洗，清洗用水为纯水制备设备产生的纯水，不使用清洁剂，</w:t>
            </w:r>
            <w:r>
              <w:rPr>
                <w:sz w:val="24"/>
              </w:rPr>
              <w:t>该过程会产生清洗废水</w:t>
            </w:r>
            <w:r>
              <w:rPr>
                <w:rFonts w:hint="eastAsia"/>
                <w:sz w:val="24"/>
              </w:rPr>
              <w:t>，实验室器皿首次、二次清洗废水不作为废水排放，单独收集后作为危险处置，实验室器皿三次清洗作为废水排放，</w:t>
            </w:r>
            <w:r>
              <w:rPr>
                <w:rFonts w:hint="eastAsia"/>
                <w:bCs/>
                <w:sz w:val="24"/>
              </w:rPr>
              <w:t>根据企业提供的资料，项目全产期间</w:t>
            </w:r>
            <w:r>
              <w:rPr>
                <w:rFonts w:hint="eastAsia"/>
                <w:sz w:val="24"/>
              </w:rPr>
              <w:t>清洗用水量为</w:t>
            </w:r>
            <w:r>
              <w:rPr>
                <w:sz w:val="24"/>
              </w:rPr>
              <w:t>2.0m</w:t>
            </w:r>
            <w:r>
              <w:rPr>
                <w:sz w:val="24"/>
                <w:vertAlign w:val="superscript"/>
              </w:rPr>
              <w:t>3</w:t>
            </w:r>
            <w:r>
              <w:rPr>
                <w:sz w:val="24"/>
              </w:rPr>
              <w:t>/d（540m</w:t>
            </w:r>
            <w:r>
              <w:rPr>
                <w:sz w:val="24"/>
                <w:vertAlign w:val="superscript"/>
              </w:rPr>
              <w:t>3</w:t>
            </w:r>
            <w:r>
              <w:rPr>
                <w:sz w:val="24"/>
              </w:rPr>
              <w:t>/a）</w:t>
            </w:r>
            <w:r>
              <w:rPr>
                <w:rFonts w:hint="eastAsia"/>
                <w:sz w:val="24"/>
              </w:rPr>
              <w:t>，首次、二次清洗用水量为总清洗用水量的</w:t>
            </w:r>
            <w:r>
              <w:rPr>
                <w:sz w:val="24"/>
              </w:rPr>
              <w:t>25%</w:t>
            </w:r>
            <w:r>
              <w:rPr>
                <w:rFonts w:hint="eastAsia"/>
                <w:sz w:val="24"/>
              </w:rPr>
              <w:t>，首次、二次清洗用水量为</w:t>
            </w:r>
            <w:r>
              <w:rPr>
                <w:sz w:val="24"/>
              </w:rPr>
              <w:t>0.5m</w:t>
            </w:r>
            <w:r>
              <w:rPr>
                <w:sz w:val="24"/>
                <w:vertAlign w:val="superscript"/>
              </w:rPr>
              <w:t>3</w:t>
            </w:r>
            <w:r>
              <w:rPr>
                <w:sz w:val="24"/>
              </w:rPr>
              <w:t>/d（135m</w:t>
            </w:r>
            <w:r>
              <w:rPr>
                <w:sz w:val="24"/>
                <w:vertAlign w:val="superscript"/>
              </w:rPr>
              <w:t>3</w:t>
            </w:r>
            <w:r>
              <w:rPr>
                <w:sz w:val="24"/>
              </w:rPr>
              <w:t>/a）</w:t>
            </w:r>
            <w:r>
              <w:rPr>
                <w:rFonts w:hint="eastAsia"/>
                <w:sz w:val="24"/>
              </w:rPr>
              <w:t>，三次清洗用水量为</w:t>
            </w:r>
            <w:r>
              <w:rPr>
                <w:sz w:val="24"/>
              </w:rPr>
              <w:t>1.5m</w:t>
            </w:r>
            <w:r>
              <w:rPr>
                <w:sz w:val="24"/>
                <w:vertAlign w:val="superscript"/>
              </w:rPr>
              <w:t>3</w:t>
            </w:r>
            <w:r>
              <w:rPr>
                <w:sz w:val="24"/>
              </w:rPr>
              <w:t>/d（405m</w:t>
            </w:r>
            <w:r>
              <w:rPr>
                <w:sz w:val="24"/>
                <w:vertAlign w:val="superscript"/>
              </w:rPr>
              <w:t>3</w:t>
            </w:r>
            <w:r>
              <w:rPr>
                <w:sz w:val="24"/>
              </w:rPr>
              <w:t>/a）</w:t>
            </w:r>
            <w:r>
              <w:rPr>
                <w:rFonts w:hint="eastAsia"/>
                <w:sz w:val="24"/>
              </w:rPr>
              <w:t>。实验室器皿清洗时器皿上残留的水比较少，因此本次</w:t>
            </w:r>
            <w:r>
              <w:rPr>
                <w:bCs/>
                <w:sz w:val="24"/>
              </w:rPr>
              <w:t>清洗后废水排放量按用量的100%计，</w:t>
            </w:r>
            <w:r>
              <w:rPr>
                <w:rFonts w:hint="eastAsia"/>
                <w:bCs/>
                <w:sz w:val="24"/>
              </w:rPr>
              <w:t>则</w:t>
            </w:r>
            <w:r>
              <w:rPr>
                <w:rFonts w:hint="eastAsia"/>
                <w:sz w:val="24"/>
              </w:rPr>
              <w:t>三次清洗废水排放量为</w:t>
            </w:r>
            <w:r>
              <w:rPr>
                <w:sz w:val="24"/>
              </w:rPr>
              <w:t>1.5m</w:t>
            </w:r>
            <w:r>
              <w:rPr>
                <w:sz w:val="24"/>
                <w:vertAlign w:val="superscript"/>
              </w:rPr>
              <w:t>3</w:t>
            </w:r>
            <w:r>
              <w:rPr>
                <w:sz w:val="24"/>
              </w:rPr>
              <w:t>/d（405m</w:t>
            </w:r>
            <w:r>
              <w:rPr>
                <w:sz w:val="24"/>
                <w:vertAlign w:val="superscript"/>
              </w:rPr>
              <w:t>3</w:t>
            </w:r>
            <w:r>
              <w:rPr>
                <w:sz w:val="24"/>
              </w:rPr>
              <w:t>/a）</w:t>
            </w:r>
            <w:r>
              <w:rPr>
                <w:rFonts w:hint="eastAsia"/>
                <w:sz w:val="24"/>
              </w:rPr>
              <w:t>。</w:t>
            </w:r>
          </w:p>
          <w:p>
            <w:pPr>
              <w:spacing w:line="460" w:lineRule="exact"/>
              <w:ind w:firstLine="480" w:firstLineChars="200"/>
              <w:rPr>
                <w:sz w:val="24"/>
              </w:rPr>
            </w:pPr>
            <w:r>
              <w:rPr>
                <w:rFonts w:hint="eastAsia"/>
                <w:sz w:val="24"/>
              </w:rPr>
              <w:t>通过在河南中弘国泰检测技术有限公司进行简单的实验分析，该企业检测实验室运行时实验室器皿清洗废水水质为</w:t>
            </w:r>
            <w:r>
              <w:rPr>
                <w:sz w:val="24"/>
              </w:rPr>
              <w:t>PH6-8</w:t>
            </w:r>
            <w:r>
              <w:rPr>
                <w:rFonts w:hint="eastAsia"/>
                <w:sz w:val="24"/>
              </w:rPr>
              <w:t>、</w:t>
            </w:r>
            <w:r>
              <w:rPr>
                <w:sz w:val="24"/>
              </w:rPr>
              <w:t>COD</w:t>
            </w:r>
            <w:r>
              <w:rPr>
                <w:rFonts w:hint="eastAsia"/>
                <w:sz w:val="24"/>
              </w:rPr>
              <w:t>343~</w:t>
            </w:r>
            <w:r>
              <w:rPr>
                <w:sz w:val="24"/>
              </w:rPr>
              <w:t>700</w:t>
            </w:r>
            <w:r>
              <w:rPr>
                <w:rFonts w:hint="eastAsia"/>
                <w:sz w:val="24"/>
              </w:rPr>
              <w:t>mg/L、</w:t>
            </w:r>
            <w:r>
              <w:rPr>
                <w:sz w:val="24"/>
              </w:rPr>
              <w:t>BOD</w:t>
            </w:r>
            <w:r>
              <w:rPr>
                <w:sz w:val="24"/>
                <w:vertAlign w:val="subscript"/>
              </w:rPr>
              <w:t>5</w:t>
            </w:r>
            <w:r>
              <w:rPr>
                <w:rFonts w:hint="eastAsia"/>
                <w:sz w:val="24"/>
              </w:rPr>
              <w:t>148~</w:t>
            </w:r>
            <w:r>
              <w:rPr>
                <w:sz w:val="24"/>
              </w:rPr>
              <w:t>220</w:t>
            </w:r>
            <w:r>
              <w:rPr>
                <w:rFonts w:hint="eastAsia"/>
                <w:sz w:val="24"/>
              </w:rPr>
              <w:t>mg/L</w:t>
            </w:r>
            <w:r>
              <w:rPr>
                <w:sz w:val="24"/>
              </w:rPr>
              <w:t>、SS</w:t>
            </w:r>
            <w:r>
              <w:rPr>
                <w:rFonts w:hint="eastAsia"/>
                <w:sz w:val="24"/>
              </w:rPr>
              <w:t>69~7</w:t>
            </w:r>
            <w:r>
              <w:rPr>
                <w:sz w:val="24"/>
              </w:rPr>
              <w:t>0</w:t>
            </w:r>
            <w:r>
              <w:rPr>
                <w:rFonts w:hint="eastAsia"/>
                <w:sz w:val="24"/>
              </w:rPr>
              <w:t>mg/L</w:t>
            </w:r>
            <w:r>
              <w:rPr>
                <w:sz w:val="24"/>
              </w:rPr>
              <w:t>、NH</w:t>
            </w:r>
            <w:r>
              <w:rPr>
                <w:sz w:val="24"/>
                <w:vertAlign w:val="subscript"/>
              </w:rPr>
              <w:t>3</w:t>
            </w:r>
            <w:r>
              <w:rPr>
                <w:sz w:val="24"/>
              </w:rPr>
              <w:t>-N8</w:t>
            </w:r>
            <w:r>
              <w:rPr>
                <w:rFonts w:hint="eastAsia"/>
                <w:sz w:val="24"/>
              </w:rPr>
              <w:t>~</w:t>
            </w:r>
            <w:r>
              <w:rPr>
                <w:sz w:val="24"/>
              </w:rPr>
              <w:t>35</w:t>
            </w:r>
            <w:r>
              <w:rPr>
                <w:rFonts w:hint="eastAsia"/>
                <w:sz w:val="24"/>
              </w:rPr>
              <w:t>mg/L</w:t>
            </w:r>
            <w:r>
              <w:rPr>
                <w:sz w:val="24"/>
              </w:rPr>
              <w:t>、TP3~5mg/L、TN26~45mg/L</w:t>
            </w:r>
            <w:r>
              <w:rPr>
                <w:rFonts w:hint="eastAsia"/>
                <w:sz w:val="24"/>
              </w:rPr>
              <w:t>，本项目按照最不利情况考虑，类比确定本项目</w:t>
            </w:r>
            <w:r>
              <w:rPr>
                <w:sz w:val="24"/>
              </w:rPr>
              <w:t>实验室器皿清洗废水水质为PH6-8、COD700mg/L、</w:t>
            </w:r>
            <w:r>
              <w:rPr>
                <w:bCs/>
                <w:sz w:val="24"/>
              </w:rPr>
              <w:t>BOD</w:t>
            </w:r>
            <w:r>
              <w:rPr>
                <w:bCs/>
                <w:sz w:val="24"/>
                <w:vertAlign w:val="subscript"/>
              </w:rPr>
              <w:t>5</w:t>
            </w:r>
            <w:r>
              <w:rPr>
                <w:bCs/>
                <w:sz w:val="24"/>
              </w:rPr>
              <w:t>220mg/L</w:t>
            </w:r>
            <w:r>
              <w:rPr>
                <w:sz w:val="24"/>
              </w:rPr>
              <w:t>、SS70mg/L、NH</w:t>
            </w:r>
            <w:r>
              <w:rPr>
                <w:sz w:val="24"/>
                <w:vertAlign w:val="subscript"/>
              </w:rPr>
              <w:t>3</w:t>
            </w:r>
            <w:r>
              <w:rPr>
                <w:sz w:val="24"/>
              </w:rPr>
              <w:t>-N35mg/L、TP5mg/L、TN45mg/L。</w:t>
            </w:r>
          </w:p>
          <w:p>
            <w:pPr>
              <w:spacing w:line="460" w:lineRule="exact"/>
              <w:ind w:firstLine="480" w:firstLineChars="200"/>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sz w:val="24"/>
              </w:rPr>
              <w:t>实验室地面清洁废水</w:t>
            </w:r>
          </w:p>
          <w:p>
            <w:pPr>
              <w:spacing w:line="460" w:lineRule="exact"/>
              <w:ind w:firstLine="480" w:firstLineChars="200"/>
              <w:rPr>
                <w:bCs/>
                <w:sz w:val="24"/>
              </w:rPr>
            </w:pPr>
            <w:r>
              <w:rPr>
                <w:bCs/>
                <w:sz w:val="24"/>
              </w:rPr>
              <w:t>本项目生产过程中的清洁程度要求较高，</w:t>
            </w:r>
            <w:r>
              <w:rPr>
                <w:rFonts w:hint="eastAsia"/>
                <w:bCs/>
                <w:sz w:val="24"/>
              </w:rPr>
              <w:t>实验室</w:t>
            </w:r>
            <w:r>
              <w:rPr>
                <w:bCs/>
                <w:sz w:val="24"/>
              </w:rPr>
              <w:t>地面需要每天清洗1次。根据建设单位提供的生产资料，本项目需要清洗的</w:t>
            </w:r>
            <w:r>
              <w:rPr>
                <w:rFonts w:hint="eastAsia"/>
                <w:bCs/>
                <w:sz w:val="24"/>
              </w:rPr>
              <w:t>实验室</w:t>
            </w:r>
            <w:r>
              <w:rPr>
                <w:bCs/>
                <w:sz w:val="24"/>
              </w:rPr>
              <w:t>地面面积为5800m</w:t>
            </w:r>
            <w:r>
              <w:rPr>
                <w:bCs/>
                <w:sz w:val="24"/>
                <w:vertAlign w:val="superscript"/>
              </w:rPr>
              <w:t>2</w:t>
            </w:r>
            <w:r>
              <w:rPr>
                <w:bCs/>
                <w:sz w:val="24"/>
              </w:rPr>
              <w:t>，用水量按0.3L/m</w:t>
            </w:r>
            <w:r>
              <w:rPr>
                <w:bCs/>
                <w:sz w:val="24"/>
                <w:vertAlign w:val="superscript"/>
              </w:rPr>
              <w:t>2</w:t>
            </w:r>
            <w:r>
              <w:rPr>
                <w:bCs/>
                <w:sz w:val="24"/>
              </w:rPr>
              <w:t>计算，办公区地面清洗每天用水量为</w:t>
            </w:r>
            <w:r>
              <w:rPr>
                <w:rFonts w:hint="eastAsia"/>
                <w:bCs/>
                <w:sz w:val="24"/>
              </w:rPr>
              <w:t>1</w:t>
            </w:r>
            <w:r>
              <w:rPr>
                <w:bCs/>
                <w:sz w:val="24"/>
              </w:rPr>
              <w:t>.74</w:t>
            </w:r>
            <w:r>
              <w:rPr>
                <w:sz w:val="24"/>
              </w:rPr>
              <w:t>m</w:t>
            </w:r>
            <w:r>
              <w:rPr>
                <w:sz w:val="24"/>
                <w:vertAlign w:val="superscript"/>
              </w:rPr>
              <w:t>3</w:t>
            </w:r>
            <w:r>
              <w:rPr>
                <w:bCs/>
                <w:sz w:val="24"/>
              </w:rPr>
              <w:t>/次，年工作天数为270d/a，则每年用水量为469.8</w:t>
            </w:r>
            <w:r>
              <w:rPr>
                <w:sz w:val="24"/>
              </w:rPr>
              <w:t>m</w:t>
            </w:r>
            <w:r>
              <w:rPr>
                <w:sz w:val="24"/>
                <w:vertAlign w:val="superscript"/>
              </w:rPr>
              <w:t>3</w:t>
            </w:r>
            <w:r>
              <w:rPr>
                <w:bCs/>
                <w:sz w:val="24"/>
              </w:rPr>
              <w:t>/a。清洗后废水排放量按用量的80%计，则车间地面清洗废水产生量为1.4</w:t>
            </w:r>
            <w:r>
              <w:rPr>
                <w:sz w:val="24"/>
              </w:rPr>
              <w:t>m</w:t>
            </w:r>
            <w:r>
              <w:rPr>
                <w:sz w:val="24"/>
                <w:vertAlign w:val="superscript"/>
              </w:rPr>
              <w:t>3</w:t>
            </w:r>
            <w:r>
              <w:rPr>
                <w:bCs/>
                <w:sz w:val="24"/>
              </w:rPr>
              <w:t>/d（378</w:t>
            </w:r>
            <w:r>
              <w:rPr>
                <w:sz w:val="24"/>
              </w:rPr>
              <w:t>m</w:t>
            </w:r>
            <w:r>
              <w:rPr>
                <w:sz w:val="24"/>
                <w:vertAlign w:val="superscript"/>
              </w:rPr>
              <w:t>3</w:t>
            </w:r>
            <w:r>
              <w:rPr>
                <w:bCs/>
                <w:sz w:val="24"/>
              </w:rPr>
              <w:t>/a）。</w:t>
            </w:r>
            <w:r>
              <w:rPr>
                <w:rFonts w:hint="eastAsia"/>
                <w:bCs/>
                <w:sz w:val="24"/>
              </w:rPr>
              <w:t>类比</w:t>
            </w:r>
            <w:r>
              <w:rPr>
                <w:rFonts w:hint="eastAsia"/>
                <w:sz w:val="24"/>
              </w:rPr>
              <w:t>河南中弘国泰检测技术有限公司企业实际运行时，实验室地面清洗废水实测水质：</w:t>
            </w:r>
            <w:r>
              <w:rPr>
                <w:sz w:val="24"/>
              </w:rPr>
              <w:t>PH7-8、</w:t>
            </w:r>
            <w:r>
              <w:rPr>
                <w:bCs/>
                <w:sz w:val="24"/>
              </w:rPr>
              <w:t>COD210mg/L、BOD</w:t>
            </w:r>
            <w:r>
              <w:rPr>
                <w:bCs/>
                <w:sz w:val="24"/>
                <w:vertAlign w:val="subscript"/>
              </w:rPr>
              <w:t>5</w:t>
            </w:r>
            <w:r>
              <w:rPr>
                <w:bCs/>
                <w:sz w:val="24"/>
              </w:rPr>
              <w:t>80mg/L、SS120mg/L、NH</w:t>
            </w:r>
            <w:r>
              <w:rPr>
                <w:bCs/>
                <w:sz w:val="24"/>
                <w:vertAlign w:val="subscript"/>
              </w:rPr>
              <w:t>3</w:t>
            </w:r>
            <w:r>
              <w:rPr>
                <w:bCs/>
                <w:sz w:val="24"/>
              </w:rPr>
              <w:t>-N5mg/L、</w:t>
            </w:r>
            <w:r>
              <w:rPr>
                <w:sz w:val="24"/>
              </w:rPr>
              <w:t>TN8mg/L</w:t>
            </w:r>
            <w:r>
              <w:rPr>
                <w:bCs/>
                <w:sz w:val="24"/>
              </w:rPr>
              <w:t>。</w:t>
            </w:r>
          </w:p>
          <w:p>
            <w:pPr>
              <w:spacing w:line="460" w:lineRule="exact"/>
              <w:ind w:firstLine="480" w:firstLineChars="200"/>
              <w:rPr>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sz w:val="24"/>
              </w:rPr>
              <w:t>纯水制备废水</w:t>
            </w:r>
          </w:p>
          <w:p>
            <w:pPr>
              <w:spacing w:line="460" w:lineRule="exact"/>
              <w:ind w:firstLine="480" w:firstLineChars="200"/>
              <w:rPr>
                <w:bCs/>
                <w:sz w:val="24"/>
              </w:rPr>
            </w:pPr>
            <w:r>
              <w:rPr>
                <w:bCs/>
                <w:sz w:val="24"/>
              </w:rPr>
              <w:t>本项目中心实验台需要接入纯化水用于试剂配置、实验器皿洗涤，纯水由自来水经水处理设备制得，纯水制备效率约为70%。实验室纯水机采用</w:t>
            </w:r>
            <w:r>
              <w:rPr>
                <w:rFonts w:hint="eastAsia"/>
                <w:bCs/>
                <w:sz w:val="24"/>
              </w:rPr>
              <w:t>“</w:t>
            </w:r>
            <w:r>
              <w:rPr>
                <w:bCs/>
                <w:sz w:val="24"/>
              </w:rPr>
              <w:t>PP棉滤芯+颗粒活性炭滤芯+烧结活性炭滤芯+RO反渗透膜+抛光树脂纯化柱</w:t>
            </w:r>
            <w:r>
              <w:rPr>
                <w:rFonts w:hint="eastAsia"/>
                <w:bCs/>
                <w:sz w:val="24"/>
              </w:rPr>
              <w:t>”</w:t>
            </w:r>
            <w:r>
              <w:rPr>
                <w:bCs/>
                <w:sz w:val="24"/>
              </w:rPr>
              <w:t>工艺。</w:t>
            </w:r>
          </w:p>
          <w:p>
            <w:pPr>
              <w:spacing w:line="460" w:lineRule="exact"/>
              <w:ind w:firstLine="480" w:firstLineChars="200"/>
              <w:rPr>
                <w:bCs/>
                <w:sz w:val="24"/>
              </w:rPr>
            </w:pPr>
            <w:r>
              <w:rPr>
                <w:bCs/>
                <w:sz w:val="24"/>
              </w:rPr>
              <w:t>本项目纯水使用量为7</w:t>
            </w:r>
            <w:r>
              <w:rPr>
                <w:sz w:val="24"/>
              </w:rPr>
              <w:t>m</w:t>
            </w:r>
            <w:r>
              <w:rPr>
                <w:sz w:val="24"/>
                <w:vertAlign w:val="superscript"/>
              </w:rPr>
              <w:t>3</w:t>
            </w:r>
            <w:r>
              <w:rPr>
                <w:bCs/>
                <w:sz w:val="24"/>
              </w:rPr>
              <w:t>/d（1890</w:t>
            </w:r>
            <w:r>
              <w:rPr>
                <w:sz w:val="24"/>
              </w:rPr>
              <w:t>m</w:t>
            </w:r>
            <w:r>
              <w:rPr>
                <w:sz w:val="24"/>
                <w:vertAlign w:val="superscript"/>
              </w:rPr>
              <w:t>3</w:t>
            </w:r>
            <w:r>
              <w:rPr>
                <w:bCs/>
                <w:sz w:val="24"/>
              </w:rPr>
              <w:t>/a），其中试剂配置用水量为5</w:t>
            </w:r>
            <w:r>
              <w:rPr>
                <w:sz w:val="24"/>
              </w:rPr>
              <w:t>m</w:t>
            </w:r>
            <w:r>
              <w:rPr>
                <w:sz w:val="24"/>
                <w:vertAlign w:val="superscript"/>
              </w:rPr>
              <w:t>3</w:t>
            </w:r>
            <w:r>
              <w:rPr>
                <w:bCs/>
                <w:sz w:val="24"/>
              </w:rPr>
              <w:t>/d（1350</w:t>
            </w:r>
            <w:r>
              <w:rPr>
                <w:sz w:val="24"/>
              </w:rPr>
              <w:t>m</w:t>
            </w:r>
            <w:r>
              <w:rPr>
                <w:sz w:val="24"/>
                <w:vertAlign w:val="superscript"/>
              </w:rPr>
              <w:t>3</w:t>
            </w:r>
            <w:r>
              <w:rPr>
                <w:bCs/>
                <w:sz w:val="24"/>
              </w:rPr>
              <w:t>/a），清洗用水量为2</w:t>
            </w:r>
            <w:r>
              <w:rPr>
                <w:sz w:val="24"/>
              </w:rPr>
              <w:t>m</w:t>
            </w:r>
            <w:r>
              <w:rPr>
                <w:sz w:val="24"/>
                <w:vertAlign w:val="superscript"/>
              </w:rPr>
              <w:t>3</w:t>
            </w:r>
            <w:r>
              <w:rPr>
                <w:bCs/>
                <w:sz w:val="24"/>
              </w:rPr>
              <w:t>/d（540</w:t>
            </w:r>
            <w:r>
              <w:rPr>
                <w:sz w:val="24"/>
              </w:rPr>
              <w:t>m</w:t>
            </w:r>
            <w:r>
              <w:rPr>
                <w:sz w:val="24"/>
                <w:vertAlign w:val="superscript"/>
              </w:rPr>
              <w:t>3</w:t>
            </w:r>
            <w:r>
              <w:rPr>
                <w:bCs/>
                <w:sz w:val="24"/>
              </w:rPr>
              <w:t>/a），则原水用水量为10</w:t>
            </w:r>
            <w:r>
              <w:rPr>
                <w:sz w:val="24"/>
              </w:rPr>
              <w:t>m</w:t>
            </w:r>
            <w:r>
              <w:rPr>
                <w:sz w:val="24"/>
                <w:vertAlign w:val="superscript"/>
              </w:rPr>
              <w:t>3</w:t>
            </w:r>
            <w:r>
              <w:rPr>
                <w:bCs/>
                <w:sz w:val="24"/>
              </w:rPr>
              <w:t>/d（2700</w:t>
            </w:r>
            <w:r>
              <w:rPr>
                <w:sz w:val="24"/>
              </w:rPr>
              <w:t>m</w:t>
            </w:r>
            <w:r>
              <w:rPr>
                <w:sz w:val="24"/>
                <w:vertAlign w:val="superscript"/>
              </w:rPr>
              <w:t>3</w:t>
            </w:r>
            <w:r>
              <w:rPr>
                <w:bCs/>
                <w:sz w:val="24"/>
              </w:rPr>
              <w:t>/a），废水产生量按原水用量的30%计，废水产生量为3.0</w:t>
            </w:r>
            <w:r>
              <w:rPr>
                <w:sz w:val="24"/>
              </w:rPr>
              <w:t>m</w:t>
            </w:r>
            <w:r>
              <w:rPr>
                <w:sz w:val="24"/>
                <w:vertAlign w:val="superscript"/>
              </w:rPr>
              <w:t>3</w:t>
            </w:r>
            <w:r>
              <w:rPr>
                <w:bCs/>
                <w:sz w:val="24"/>
              </w:rPr>
              <w:t>/d（810</w:t>
            </w:r>
            <w:r>
              <w:rPr>
                <w:sz w:val="24"/>
              </w:rPr>
              <w:t>m</w:t>
            </w:r>
            <w:r>
              <w:rPr>
                <w:sz w:val="24"/>
                <w:vertAlign w:val="superscript"/>
              </w:rPr>
              <w:t>3</w:t>
            </w:r>
            <w:r>
              <w:rPr>
                <w:bCs/>
                <w:sz w:val="24"/>
              </w:rPr>
              <w:t>/a），类比确定废水水质为：COD50mg/L、SS30mg/L。</w:t>
            </w:r>
          </w:p>
          <w:p>
            <w:pPr>
              <w:spacing w:line="460" w:lineRule="exact"/>
              <w:ind w:firstLine="480" w:firstLineChars="200"/>
              <w:rPr>
                <w:sz w:val="24"/>
              </w:rPr>
            </w:pPr>
            <w:r>
              <w:rPr>
                <w:sz w:val="24"/>
              </w:rPr>
              <w:fldChar w:fldCharType="begin"/>
            </w:r>
            <w:r>
              <w:rPr>
                <w:sz w:val="24"/>
              </w:rPr>
              <w:instrText xml:space="preserve"> </w:instrText>
            </w:r>
            <w:r>
              <w:rPr>
                <w:rFonts w:hint="eastAsia"/>
                <w:sz w:val="24"/>
              </w:rPr>
              <w:instrText xml:space="preserve">= 4 \* GB3</w:instrText>
            </w:r>
            <w:r>
              <w:rPr>
                <w:sz w:val="24"/>
              </w:rPr>
              <w:instrText xml:space="preserve"> </w:instrText>
            </w:r>
            <w:r>
              <w:rPr>
                <w:sz w:val="24"/>
              </w:rPr>
              <w:fldChar w:fldCharType="separate"/>
            </w:r>
            <w:r>
              <w:rPr>
                <w:rFonts w:hint="eastAsia"/>
                <w:sz w:val="24"/>
              </w:rPr>
              <w:t>④</w:t>
            </w:r>
            <w:r>
              <w:rPr>
                <w:sz w:val="24"/>
              </w:rPr>
              <w:fldChar w:fldCharType="end"/>
            </w:r>
            <w:r>
              <w:rPr>
                <w:sz w:val="24"/>
              </w:rPr>
              <w:t>喷淋塔</w:t>
            </w:r>
            <w:r>
              <w:rPr>
                <w:rFonts w:hint="eastAsia"/>
                <w:sz w:val="24"/>
              </w:rPr>
              <w:t>废水</w:t>
            </w:r>
          </w:p>
          <w:p>
            <w:pPr>
              <w:spacing w:line="460" w:lineRule="exact"/>
              <w:ind w:firstLine="480" w:firstLineChars="200"/>
              <w:rPr>
                <w:sz w:val="24"/>
              </w:rPr>
            </w:pPr>
            <w:r>
              <w:rPr>
                <w:sz w:val="24"/>
              </w:rPr>
              <w:t>本项目</w:t>
            </w:r>
            <w:r>
              <w:rPr>
                <w:rFonts w:hint="eastAsia"/>
                <w:sz w:val="24"/>
              </w:rPr>
              <w:t>实验室</w:t>
            </w:r>
            <w:r>
              <w:rPr>
                <w:sz w:val="24"/>
              </w:rPr>
              <w:t>废气经通风橱/</w:t>
            </w:r>
            <w:r>
              <w:rPr>
                <w:rFonts w:hint="eastAsia"/>
                <w:sz w:val="24"/>
              </w:rPr>
              <w:t>万向</w:t>
            </w:r>
            <w:r>
              <w:rPr>
                <w:sz w:val="24"/>
              </w:rPr>
              <w:t>集气罩收集后经</w:t>
            </w:r>
            <w:r>
              <w:rPr>
                <w:rFonts w:hint="eastAsia"/>
                <w:sz w:val="24"/>
              </w:rPr>
              <w:t>“水喷淋塔</w:t>
            </w:r>
            <w:r>
              <w:rPr>
                <w:sz w:val="24"/>
              </w:rPr>
              <w:t>+除雾器+UV光催化氧化+活性炭吸附装置</w:t>
            </w:r>
            <w:r>
              <w:rPr>
                <w:rFonts w:hint="eastAsia"/>
                <w:sz w:val="24"/>
              </w:rPr>
              <w:t>”</w:t>
            </w:r>
            <w:r>
              <w:rPr>
                <w:sz w:val="24"/>
              </w:rPr>
              <w:t>设施处理后经排气筒达标排放。</w:t>
            </w:r>
          </w:p>
          <w:p>
            <w:pPr>
              <w:spacing w:line="460" w:lineRule="exact"/>
              <w:ind w:firstLine="480" w:firstLineChars="200"/>
              <w:rPr>
                <w:bCs/>
                <w:sz w:val="24"/>
              </w:rPr>
            </w:pPr>
            <w:r>
              <w:rPr>
                <w:rFonts w:hint="eastAsia"/>
                <w:sz w:val="24"/>
              </w:rPr>
              <w:t>喷淋塔</w:t>
            </w:r>
            <w:r>
              <w:rPr>
                <w:sz w:val="24"/>
              </w:rPr>
              <w:t>盛水容积为300L</w:t>
            </w:r>
            <w:r>
              <w:rPr>
                <w:rFonts w:hint="eastAsia"/>
                <w:sz w:val="24"/>
              </w:rPr>
              <w:t>，</w:t>
            </w:r>
            <w:r>
              <w:rPr>
                <w:sz w:val="24"/>
              </w:rPr>
              <w:t>每15天换一次水，则喷淋用水量为0.02m</w:t>
            </w:r>
            <w:r>
              <w:rPr>
                <w:sz w:val="24"/>
                <w:vertAlign w:val="superscript"/>
              </w:rPr>
              <w:t>3</w:t>
            </w:r>
            <w:r>
              <w:rPr>
                <w:sz w:val="24"/>
              </w:rPr>
              <w:t>/d（5.4m</w:t>
            </w:r>
            <w:r>
              <w:rPr>
                <w:sz w:val="24"/>
                <w:vertAlign w:val="superscript"/>
              </w:rPr>
              <w:t>3</w:t>
            </w:r>
            <w:r>
              <w:rPr>
                <w:sz w:val="24"/>
              </w:rPr>
              <w:t>/a）。由于喷淋用水为自来水，且在循环塔中不接触空气，处于密闭、卫生的环境，喷淋废水排放量为0.02m</w:t>
            </w:r>
            <w:r>
              <w:rPr>
                <w:sz w:val="24"/>
                <w:vertAlign w:val="superscript"/>
              </w:rPr>
              <w:t>3</w:t>
            </w:r>
            <w:r>
              <w:rPr>
                <w:sz w:val="24"/>
              </w:rPr>
              <w:t>/d（5.4t/a），</w:t>
            </w:r>
            <w:r>
              <w:rPr>
                <w:bCs/>
                <w:sz w:val="24"/>
              </w:rPr>
              <w:t>类比确定废水水质为：PH6-9、COD80mg/L、BOD</w:t>
            </w:r>
            <w:r>
              <w:rPr>
                <w:bCs/>
                <w:sz w:val="24"/>
                <w:vertAlign w:val="subscript"/>
              </w:rPr>
              <w:t>5</w:t>
            </w:r>
            <w:r>
              <w:rPr>
                <w:bCs/>
                <w:sz w:val="24"/>
              </w:rPr>
              <w:t>30mg/L、SS50mg/L、NH</w:t>
            </w:r>
            <w:r>
              <w:rPr>
                <w:bCs/>
                <w:sz w:val="24"/>
                <w:vertAlign w:val="subscript"/>
              </w:rPr>
              <w:t>3</w:t>
            </w:r>
            <w:r>
              <w:rPr>
                <w:bCs/>
                <w:sz w:val="24"/>
              </w:rPr>
              <w:t>-N</w:t>
            </w:r>
            <w:r>
              <w:rPr>
                <w:rFonts w:hint="eastAsia"/>
                <w:bCs/>
                <w:sz w:val="24"/>
              </w:rPr>
              <w:t>15</w:t>
            </w:r>
            <w:r>
              <w:rPr>
                <w:bCs/>
                <w:sz w:val="24"/>
              </w:rPr>
              <w:t>mg/L、</w:t>
            </w:r>
            <w:r>
              <w:rPr>
                <w:sz w:val="24"/>
              </w:rPr>
              <w:t>TN</w:t>
            </w:r>
            <w:r>
              <w:rPr>
                <w:rFonts w:hint="eastAsia"/>
                <w:sz w:val="24"/>
              </w:rPr>
              <w:t>45</w:t>
            </w:r>
            <w:r>
              <w:rPr>
                <w:sz w:val="24"/>
              </w:rPr>
              <w:t>mg/L</w:t>
            </w:r>
            <w:r>
              <w:rPr>
                <w:bCs/>
                <w:sz w:val="24"/>
              </w:rPr>
              <w:t>。</w:t>
            </w:r>
          </w:p>
          <w:p>
            <w:pPr>
              <w:spacing w:line="460" w:lineRule="exact"/>
              <w:ind w:firstLine="480" w:firstLineChars="200"/>
              <w:rPr>
                <w:sz w:val="24"/>
              </w:rPr>
            </w:pPr>
            <w:r>
              <w:rPr>
                <w:color w:val="000000"/>
                <w:sz w:val="24"/>
              </w:rPr>
              <w:t>本项目</w:t>
            </w:r>
            <w:r>
              <w:rPr>
                <w:bCs/>
                <w:color w:val="000000"/>
                <w:sz w:val="24"/>
              </w:rPr>
              <w:t>生活污水经化粪池处理后与经一体化污水处理设施处理的</w:t>
            </w:r>
            <w:r>
              <w:rPr>
                <w:rFonts w:hint="eastAsia"/>
                <w:bCs/>
                <w:color w:val="000000"/>
                <w:sz w:val="24"/>
              </w:rPr>
              <w:t>实验室废水和喷淋塔废水混合后经厂区总排口排入污水管网，进入</w:t>
            </w:r>
            <w:r>
              <w:rPr>
                <w:bCs/>
                <w:color w:val="000000"/>
                <w:sz w:val="24"/>
              </w:rPr>
              <w:t>新乡县综合污水处理厂进一步处理，处理后出水排入东孟姜女河。</w:t>
            </w:r>
          </w:p>
          <w:p>
            <w:pPr>
              <w:spacing w:line="460" w:lineRule="exact"/>
              <w:ind w:firstLine="480" w:firstLineChars="200"/>
              <w:rPr>
                <w:sz w:val="24"/>
              </w:rPr>
            </w:pPr>
            <w:r>
              <w:rPr>
                <w:rFonts w:hint="eastAsia"/>
                <w:sz w:val="24"/>
              </w:rPr>
              <w:t>本项目实验室废水、喷淋塔废水一天</w:t>
            </w:r>
            <w:r>
              <w:rPr>
                <w:sz w:val="24"/>
              </w:rPr>
              <w:t>最大</w:t>
            </w:r>
            <w:r>
              <w:rPr>
                <w:rFonts w:hint="eastAsia"/>
                <w:sz w:val="24"/>
              </w:rPr>
              <w:t>排放量</w:t>
            </w:r>
            <w:r>
              <w:rPr>
                <w:sz w:val="24"/>
              </w:rPr>
              <w:t>为7.62m</w:t>
            </w:r>
            <w:r>
              <w:rPr>
                <w:sz w:val="24"/>
                <w:vertAlign w:val="superscript"/>
              </w:rPr>
              <w:t>3</w:t>
            </w:r>
            <w:r>
              <w:rPr>
                <w:sz w:val="24"/>
              </w:rPr>
              <w:t>/d，</w:t>
            </w:r>
            <w:r>
              <w:rPr>
                <w:rFonts w:hint="eastAsia"/>
                <w:sz w:val="24"/>
              </w:rPr>
              <w:t>本项目设计建设一座污水处理站（</w:t>
            </w:r>
            <w:r>
              <w:rPr>
                <w:sz w:val="24"/>
              </w:rPr>
              <w:t>一体化污水处理设备</w:t>
            </w:r>
            <w:r>
              <w:rPr>
                <w:rFonts w:hint="eastAsia"/>
                <w:sz w:val="24"/>
              </w:rPr>
              <w:t>），污水处理站设计工艺为：酸碱中和+絮凝沉淀+催化反应+微电解反应+微生物反应+活性炭吸附+精密过滤+臭氧杀菌，设计污水处理</w:t>
            </w:r>
            <w:r>
              <w:rPr>
                <w:sz w:val="24"/>
              </w:rPr>
              <w:t>装置</w:t>
            </w:r>
            <w:r>
              <w:rPr>
                <w:rFonts w:hint="eastAsia"/>
                <w:sz w:val="24"/>
              </w:rPr>
              <w:t>处理</w:t>
            </w:r>
            <w:r>
              <w:rPr>
                <w:sz w:val="24"/>
              </w:rPr>
              <w:t>规模为10m</w:t>
            </w:r>
            <w:r>
              <w:rPr>
                <w:sz w:val="24"/>
                <w:vertAlign w:val="superscript"/>
              </w:rPr>
              <w:t>3</w:t>
            </w:r>
            <w:r>
              <w:rPr>
                <w:sz w:val="24"/>
              </w:rPr>
              <w:t>/d</w:t>
            </w:r>
            <w:r>
              <w:rPr>
                <w:rFonts w:hint="eastAsia"/>
                <w:sz w:val="24"/>
              </w:rPr>
              <w:t>，实验室</w:t>
            </w:r>
            <w:r>
              <w:rPr>
                <w:sz w:val="24"/>
              </w:rPr>
              <w:t>一体化污水处理设备</w:t>
            </w:r>
            <w:r>
              <w:rPr>
                <w:rFonts w:hint="eastAsia"/>
                <w:sz w:val="24"/>
              </w:rPr>
              <w:t>对废水</w:t>
            </w:r>
            <w:r>
              <w:rPr>
                <w:sz w:val="24"/>
              </w:rPr>
              <w:t>污染物</w:t>
            </w:r>
            <w:r>
              <w:rPr>
                <w:rFonts w:hint="eastAsia"/>
                <w:sz w:val="24"/>
              </w:rPr>
              <w:t>中各个污染物的设计</w:t>
            </w:r>
            <w:r>
              <w:rPr>
                <w:sz w:val="24"/>
              </w:rPr>
              <w:t>去除效率分别为COD</w:t>
            </w:r>
            <w:r>
              <w:rPr>
                <w:rFonts w:hint="eastAsia"/>
                <w:sz w:val="24"/>
              </w:rPr>
              <w:t>30</w:t>
            </w:r>
            <w:r>
              <w:rPr>
                <w:sz w:val="24"/>
              </w:rPr>
              <w:t>%、</w:t>
            </w:r>
            <w:r>
              <w:rPr>
                <w:rFonts w:hint="eastAsia"/>
                <w:sz w:val="24"/>
              </w:rPr>
              <w:t>氨氮15%、BOD</w:t>
            </w:r>
            <w:r>
              <w:rPr>
                <w:rFonts w:hint="eastAsia"/>
                <w:sz w:val="24"/>
                <w:vertAlign w:val="subscript"/>
              </w:rPr>
              <w:t>5</w:t>
            </w:r>
            <w:r>
              <w:rPr>
                <w:rFonts w:hint="eastAsia"/>
                <w:sz w:val="24"/>
              </w:rPr>
              <w:t>10%、</w:t>
            </w:r>
            <w:r>
              <w:rPr>
                <w:sz w:val="24"/>
              </w:rPr>
              <w:t>SS</w:t>
            </w:r>
            <w:r>
              <w:rPr>
                <w:rFonts w:hint="eastAsia"/>
                <w:sz w:val="24"/>
              </w:rPr>
              <w:t>70</w:t>
            </w:r>
            <w:r>
              <w:rPr>
                <w:sz w:val="24"/>
              </w:rPr>
              <w:t>%。</w:t>
            </w:r>
            <w:r>
              <w:rPr>
                <w:rFonts w:hint="eastAsia"/>
                <w:sz w:val="24"/>
              </w:rPr>
              <w:t>污水处理工艺流程图如下图所示：</w:t>
            </w:r>
          </w:p>
          <w:p>
            <w:r>
              <w:object>
                <v:shape id="_x0000_i1030" o:spt="75" type="#_x0000_t75" style="height:121.65pt;width:403.45pt;" o:ole="t" filled="f" o:preferrelative="t" stroked="f" coordsize="21600,21600">
                  <v:path/>
                  <v:fill on="f" focussize="0,0"/>
                  <v:stroke on="f" joinstyle="miter"/>
                  <v:imagedata r:id="rId30" o:title=""/>
                  <o:lock v:ext="edit" aspectratio="t"/>
                  <w10:wrap type="none"/>
                  <w10:anchorlock/>
                </v:shape>
                <o:OLEObject Type="Embed" ProgID="Visio.Drawing.11" ShapeID="_x0000_i1030" DrawAspect="Content" ObjectID="_1468075730" r:id="rId29">
                  <o:LockedField>false</o:LockedField>
                </o:OLEObject>
              </w:object>
            </w:r>
          </w:p>
          <w:p>
            <w:pPr>
              <w:jc w:val="center"/>
              <w:rPr>
                <w:rFonts w:ascii="黑体" w:hAnsi="黑体" w:eastAsia="黑体"/>
                <w:bCs/>
                <w:sz w:val="24"/>
              </w:rPr>
            </w:pPr>
            <w:r>
              <w:rPr>
                <w:rFonts w:hint="eastAsia" w:ascii="黑体" w:hAnsi="黑体" w:eastAsia="黑体"/>
                <w:bCs/>
                <w:sz w:val="24"/>
              </w:rPr>
              <w:t>图</w:t>
            </w:r>
            <w:r>
              <w:rPr>
                <w:rFonts w:eastAsia="黑体"/>
                <w:bCs/>
                <w:sz w:val="24"/>
              </w:rPr>
              <w:t xml:space="preserve">8            </w:t>
            </w:r>
            <w:r>
              <w:rPr>
                <w:rFonts w:hint="eastAsia" w:ascii="黑体" w:hAnsi="黑体" w:eastAsia="黑体"/>
                <w:bCs/>
                <w:sz w:val="24"/>
              </w:rPr>
              <w:t>本项目污水处理工艺流程图</w:t>
            </w:r>
          </w:p>
          <w:p>
            <w:pPr>
              <w:spacing w:line="460" w:lineRule="exact"/>
              <w:ind w:firstLine="480" w:firstLineChars="200"/>
              <w:rPr>
                <w:color w:val="000000"/>
                <w:sz w:val="24"/>
              </w:rPr>
            </w:pPr>
            <w:r>
              <w:rPr>
                <w:rFonts w:hint="eastAsia"/>
                <w:sz w:val="24"/>
              </w:rPr>
              <w:t>本项目污水处理工艺介绍：</w:t>
            </w:r>
          </w:p>
          <w:p>
            <w:pPr>
              <w:spacing w:line="460" w:lineRule="exact"/>
              <w:ind w:firstLine="480" w:firstLineChars="200"/>
              <w:rPr>
                <w:color w:val="000000"/>
                <w:sz w:val="24"/>
              </w:rPr>
            </w:pPr>
            <w:r>
              <w:rPr>
                <w:rFonts w:hint="eastAsia"/>
                <w:color w:val="000000"/>
                <w:sz w:val="24"/>
              </w:rPr>
              <w:t>1、酸碱中和：本项目</w:t>
            </w:r>
            <w:r>
              <w:rPr>
                <w:sz w:val="24"/>
              </w:rPr>
              <w:t>实验室器皿清洗废水</w:t>
            </w:r>
            <w:r>
              <w:rPr>
                <w:rFonts w:hint="eastAsia"/>
                <w:sz w:val="24"/>
              </w:rPr>
              <w:t>中含有酸碱废水，需进行</w:t>
            </w:r>
            <w:r>
              <w:rPr>
                <w:rFonts w:hint="eastAsia"/>
                <w:color w:val="000000"/>
                <w:sz w:val="24"/>
              </w:rPr>
              <w:t>中和处理，项目一体化污水处理设施设置中和处理单元，由于本项目会产生酸性废水和碱性废水，因此项目实验室废水进入中和处理单元中混合搅拌后测定P</w:t>
            </w:r>
            <w:r>
              <w:rPr>
                <w:color w:val="000000"/>
                <w:sz w:val="24"/>
              </w:rPr>
              <w:t>H</w:t>
            </w:r>
            <w:r>
              <w:rPr>
                <w:rFonts w:hint="eastAsia"/>
                <w:color w:val="000000"/>
                <w:sz w:val="24"/>
              </w:rPr>
              <w:t>值，根据混合废水P</w:t>
            </w:r>
            <w:r>
              <w:rPr>
                <w:color w:val="000000"/>
                <w:sz w:val="24"/>
              </w:rPr>
              <w:t>H</w:t>
            </w:r>
            <w:r>
              <w:rPr>
                <w:rFonts w:hint="eastAsia"/>
                <w:color w:val="000000"/>
                <w:sz w:val="24"/>
              </w:rPr>
              <w:t>值定量投加中和剂（石灰、石灰石、盐酸）进行中和处理。</w:t>
            </w:r>
          </w:p>
          <w:p>
            <w:pPr>
              <w:spacing w:line="460" w:lineRule="exact"/>
              <w:ind w:firstLine="480" w:firstLineChars="200"/>
              <w:rPr>
                <w:color w:val="000000"/>
                <w:sz w:val="24"/>
              </w:rPr>
            </w:pPr>
            <w:r>
              <w:rPr>
                <w:rFonts w:hint="eastAsia"/>
                <w:color w:val="000000"/>
                <w:sz w:val="24"/>
              </w:rPr>
              <w:t>2、絮凝沉淀：絮凝沉淀处理指在废水中加入一定量的PAC、PAM使水中悬浮颗粒发生凝聚沉淀的水处理过程。水中投加混凝剂后，其中悬浮物的胶体及分散颗粒由于分子吸引力的作用，相互碰撞凝聚生成絮状体，在沉降过程中尺寸与质量不断变大，沉速随深度而增加。絮凝过程分自由絮凝与接触絮凝两种类型，前者发生在沉淀池中，而后者发生在悬浮澄清池或接触滤池中。</w:t>
            </w:r>
          </w:p>
          <w:p>
            <w:pPr>
              <w:spacing w:line="460" w:lineRule="exact"/>
              <w:ind w:firstLine="480" w:firstLineChars="200"/>
              <w:rPr>
                <w:color w:val="000000"/>
                <w:sz w:val="24"/>
              </w:rPr>
            </w:pPr>
            <w:r>
              <w:rPr>
                <w:rFonts w:hint="eastAsia"/>
                <w:color w:val="000000"/>
                <w:sz w:val="24"/>
              </w:rPr>
              <w:t>3、催化反应：是在一定温度、压力下，在催化剂作用下，经空气氧化使废水中的有机物、氨分别氧化分解成C</w:t>
            </w:r>
            <w:r>
              <w:rPr>
                <w:color w:val="000000"/>
                <w:sz w:val="24"/>
              </w:rPr>
              <w:t>O</w:t>
            </w:r>
            <w:r>
              <w:rPr>
                <w:color w:val="000000"/>
                <w:sz w:val="24"/>
                <w:vertAlign w:val="subscript"/>
              </w:rPr>
              <w:t>2</w:t>
            </w:r>
            <w:r>
              <w:rPr>
                <w:rFonts w:hint="eastAsia"/>
                <w:color w:val="000000"/>
                <w:sz w:val="24"/>
              </w:rPr>
              <w:t>、H</w:t>
            </w:r>
            <w:r>
              <w:rPr>
                <w:color w:val="000000"/>
                <w:sz w:val="24"/>
                <w:vertAlign w:val="subscript"/>
              </w:rPr>
              <w:t>2</w:t>
            </w:r>
            <w:r>
              <w:rPr>
                <w:color w:val="000000"/>
                <w:sz w:val="24"/>
              </w:rPr>
              <w:t>O</w:t>
            </w:r>
            <w:r>
              <w:rPr>
                <w:rFonts w:hint="eastAsia"/>
                <w:color w:val="000000"/>
                <w:sz w:val="24"/>
              </w:rPr>
              <w:t>及N</w:t>
            </w:r>
            <w:r>
              <w:rPr>
                <w:color w:val="000000"/>
                <w:sz w:val="24"/>
                <w:vertAlign w:val="subscript"/>
              </w:rPr>
              <w:t>2</w:t>
            </w:r>
            <w:r>
              <w:rPr>
                <w:rFonts w:hint="eastAsia"/>
                <w:color w:val="000000"/>
                <w:sz w:val="24"/>
              </w:rPr>
              <w:t>等无害物质，达到净化目的，催化法分为：光敏催化降解法、贵金属的催化氧化法、湿式催化氧化法，本项目采用湿式催化氧化法。</w:t>
            </w:r>
          </w:p>
          <w:p>
            <w:pPr>
              <w:spacing w:line="460" w:lineRule="exact"/>
              <w:ind w:firstLine="480" w:firstLineChars="200"/>
              <w:rPr>
                <w:color w:val="000000"/>
                <w:sz w:val="24"/>
              </w:rPr>
            </w:pPr>
            <w:r>
              <w:rPr>
                <w:rFonts w:hint="eastAsia"/>
                <w:color w:val="000000"/>
                <w:sz w:val="24"/>
              </w:rPr>
              <w:t>湿式催化氧化法是指在高温(200～280℃)、高压(2～8 MPa)下，以富氧气体或氧气为氧化剂，利用催化剂的催化作用，加快废水中有机物与氧化剂间的呼吸反应，使废水中的有机物及含N、S等毒物氧化达到净化之目的。</w:t>
            </w:r>
          </w:p>
          <w:p>
            <w:pPr>
              <w:spacing w:line="460" w:lineRule="exact"/>
              <w:ind w:firstLine="480" w:firstLineChars="200"/>
              <w:rPr>
                <w:color w:val="000000"/>
                <w:sz w:val="24"/>
              </w:rPr>
            </w:pPr>
            <w:r>
              <w:rPr>
                <w:rFonts w:hint="eastAsia"/>
                <w:color w:val="000000"/>
                <w:sz w:val="24"/>
              </w:rPr>
              <w:t>4、微电解反应：微电解就是利用微电解填料中铁-碳颗粒之间存在着电位差而形成了无数个细微原电池。这些细微电池是以电位低的铁成为阳极,电位高的碳做阴极,在含有酸性电解质的水溶液中发生电化学反应的。经微电解后，BOD/COD升高了，那是因为一些难降解的大分子被碳粒所吸附或经铁离子的絮凝而减少。</w:t>
            </w:r>
          </w:p>
          <w:p>
            <w:pPr>
              <w:spacing w:line="460" w:lineRule="exact"/>
              <w:ind w:firstLine="480" w:firstLineChars="200"/>
              <w:rPr>
                <w:color w:val="000000"/>
                <w:sz w:val="24"/>
              </w:rPr>
            </w:pPr>
            <w:r>
              <w:rPr>
                <w:rFonts w:hint="eastAsia"/>
                <w:color w:val="000000"/>
                <w:sz w:val="24"/>
              </w:rPr>
              <w:t>5、微生物反应：微生物反应法分为：活性污泥法、生物膜法、厌氧生物处置法等；本项目采用生物膜法，使废水连续流经固体填料，在填料上就可以造成污泥垢状的生物膜，生物膜上繁衍大批量的微生物，吸附和分解水里的有机污染物，能发挥与活性污泥一样的净化废水作用。如斜板沉淀池、微生物转盘、微生物接触氧化池和生物流化床等。</w:t>
            </w:r>
          </w:p>
          <w:p>
            <w:pPr>
              <w:spacing w:line="460" w:lineRule="exact"/>
              <w:ind w:firstLine="480" w:firstLineChars="200"/>
              <w:rPr>
                <w:color w:val="000000"/>
                <w:sz w:val="24"/>
              </w:rPr>
            </w:pPr>
            <w:r>
              <w:rPr>
                <w:rFonts w:hint="eastAsia"/>
                <w:color w:val="000000"/>
                <w:sz w:val="24"/>
              </w:rPr>
              <w:t>6、活性炭吸附：废水活性炭处理法是废水吸附处理法之一种。系利用活性炭的物理吸附性能去除废水中污染物的方法，活性炭具有非常多的微孔和巨大的比表面积，具有很强的物理吸附能力，能有效的吸附废水中的有机污染物。活性炭对有机污染物处理程度高，出水水质比较稳定，用这种方法去除污染物，一般认为是吸附和微生物氧化分解的协同作用。活性炭的大量微孔吸附了有机物和废水中的氧气，为微生物群的生长繁殖提供了高浓度的营养源，而微生物代谢过程中产生的酶和辅酶又被吸附和富集在活性炭的微孔中，加之炭上微生物和有机物接触时间较长，使难以降解的有机物也有可能经生物氧化而分解。</w:t>
            </w:r>
          </w:p>
          <w:p>
            <w:pPr>
              <w:spacing w:line="460" w:lineRule="exact"/>
              <w:ind w:firstLine="480" w:firstLineChars="200"/>
              <w:rPr>
                <w:color w:val="000000"/>
                <w:sz w:val="24"/>
              </w:rPr>
            </w:pPr>
            <w:r>
              <w:rPr>
                <w:rFonts w:hint="eastAsia"/>
                <w:color w:val="000000"/>
                <w:sz w:val="24"/>
              </w:rPr>
              <w:t>7、精密过滤：精密过滤装置由并有序的过滤器排列连接。每个过滤单元都有清水口和反冲洗口，由总管道连接。在清水管总管处有一真空泵，污水进入过滤单元，受到真空吸力的影响，使其吸入到各单元的过滤层。附着在水分子上的有机物将被过滤层中的静电层打乱其分子结构，使其水分子结构还原。其它物质将吸附在过滤层上，经过上层过滤反应并形成一种新的保护膜。还原的水分子经过滤后，通过回用管道进行回用，完成过滤过程。全自动控制系统，根据出水流量来自动控制反冲洗，过滤系统精密，可以去除0.5um以下的悬浮物、固体杂质，使得出水水质清澈，无色无味。适合各类废水的回用，精密的过滤系统不用更换，可长期使用。</w:t>
            </w:r>
          </w:p>
          <w:p>
            <w:pPr>
              <w:spacing w:line="460" w:lineRule="exact"/>
              <w:ind w:firstLine="480" w:firstLineChars="200"/>
              <w:rPr>
                <w:color w:val="000000"/>
                <w:sz w:val="24"/>
              </w:rPr>
            </w:pPr>
            <w:r>
              <w:rPr>
                <w:rFonts w:hint="eastAsia"/>
                <w:color w:val="000000"/>
                <w:sz w:val="24"/>
              </w:rPr>
              <w:t>8、臭氧杀菌：是用臭氧作氧化剂对废水进行净化和消毒处理的方法。臭氧具有很强的氧化能力，用臭氧氧化处理废水所使用的是含低浓度臭氧的空气或氧气。主要的工艺设施由臭氧发生器和气水接触设备组成。臭氧氧化法主要用于水的消毒、去除水中酚、氰等污染物质，水的脱色、除去水中铁、锰等金属离子，除异味和臭味。</w:t>
            </w:r>
          </w:p>
          <w:p>
            <w:pPr>
              <w:spacing w:line="460" w:lineRule="exact"/>
              <w:ind w:firstLine="480" w:firstLineChars="200"/>
              <w:rPr>
                <w:sz w:val="24"/>
              </w:rPr>
            </w:pPr>
            <w:r>
              <w:rPr>
                <w:rFonts w:hint="eastAsia"/>
                <w:color w:val="000000"/>
                <w:sz w:val="24"/>
              </w:rPr>
              <w:t>本项目各项废水水质情况见下表：</w:t>
            </w:r>
          </w:p>
          <w:p>
            <w:pPr>
              <w:spacing w:line="460" w:lineRule="exact"/>
              <w:ind w:firstLine="480" w:firstLineChars="200"/>
              <w:jc w:val="left"/>
              <w:rPr>
                <w:sz w:val="24"/>
                <w:lang w:val="pt-BR"/>
              </w:rPr>
            </w:pPr>
            <w:r>
              <w:rPr>
                <w:rFonts w:eastAsia="黑体"/>
                <w:sz w:val="24"/>
                <w:lang w:val="pt-BR"/>
              </w:rPr>
              <w:t>表25               本项目各废水水质情况一览表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14"/>
              <w:gridCol w:w="11"/>
              <w:gridCol w:w="1417"/>
              <w:gridCol w:w="709"/>
              <w:gridCol w:w="567"/>
              <w:gridCol w:w="709"/>
              <w:gridCol w:w="709"/>
              <w:gridCol w:w="708"/>
              <w:gridCol w:w="709"/>
              <w:gridCol w:w="709"/>
              <w:gridCol w:w="70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42" w:type="dxa"/>
                  <w:gridSpan w:val="3"/>
                  <w:vAlign w:val="center"/>
                </w:tcPr>
                <w:p>
                  <w:pPr>
                    <w:jc w:val="center"/>
                    <w:rPr>
                      <w:b/>
                      <w:szCs w:val="21"/>
                    </w:rPr>
                  </w:pPr>
                  <w:r>
                    <w:rPr>
                      <w:b/>
                      <w:szCs w:val="21"/>
                    </w:rPr>
                    <w:t>项目</w:t>
                  </w:r>
                </w:p>
              </w:tc>
              <w:tc>
                <w:tcPr>
                  <w:tcW w:w="709" w:type="dxa"/>
                  <w:vAlign w:val="center"/>
                </w:tcPr>
                <w:p>
                  <w:pPr>
                    <w:ind w:left="-105" w:leftChars="-50" w:right="-105" w:rightChars="-50"/>
                    <w:jc w:val="center"/>
                    <w:rPr>
                      <w:b/>
                      <w:szCs w:val="21"/>
                    </w:rPr>
                  </w:pPr>
                  <w:r>
                    <w:rPr>
                      <w:b/>
                      <w:szCs w:val="21"/>
                    </w:rPr>
                    <w:t>水量（m</w:t>
                  </w:r>
                  <w:r>
                    <w:rPr>
                      <w:b/>
                      <w:szCs w:val="21"/>
                      <w:vertAlign w:val="superscript"/>
                    </w:rPr>
                    <w:t>3</w:t>
                  </w:r>
                  <w:r>
                    <w:rPr>
                      <w:b/>
                      <w:szCs w:val="21"/>
                    </w:rPr>
                    <w:t>/d）</w:t>
                  </w:r>
                </w:p>
              </w:tc>
              <w:tc>
                <w:tcPr>
                  <w:tcW w:w="567" w:type="dxa"/>
                  <w:vAlign w:val="center"/>
                </w:tcPr>
                <w:p>
                  <w:pPr>
                    <w:ind w:left="-105" w:leftChars="-50" w:right="-105" w:rightChars="-50"/>
                    <w:jc w:val="center"/>
                    <w:rPr>
                      <w:b/>
                      <w:szCs w:val="21"/>
                    </w:rPr>
                  </w:pPr>
                  <w:r>
                    <w:rPr>
                      <w:b/>
                      <w:szCs w:val="21"/>
                    </w:rPr>
                    <w:t>PH</w:t>
                  </w:r>
                </w:p>
              </w:tc>
              <w:tc>
                <w:tcPr>
                  <w:tcW w:w="709" w:type="dxa"/>
                  <w:vAlign w:val="center"/>
                </w:tcPr>
                <w:p>
                  <w:pPr>
                    <w:ind w:left="-105" w:leftChars="-50" w:right="-105" w:rightChars="-50"/>
                    <w:jc w:val="center"/>
                    <w:rPr>
                      <w:b/>
                      <w:szCs w:val="21"/>
                    </w:rPr>
                  </w:pPr>
                  <w:r>
                    <w:rPr>
                      <w:b/>
                      <w:szCs w:val="21"/>
                    </w:rPr>
                    <w:t>COD（mg/L）</w:t>
                  </w:r>
                </w:p>
              </w:tc>
              <w:tc>
                <w:tcPr>
                  <w:tcW w:w="709" w:type="dxa"/>
                  <w:vAlign w:val="center"/>
                </w:tcPr>
                <w:p>
                  <w:pPr>
                    <w:ind w:left="-105" w:leftChars="-50" w:right="-105" w:rightChars="-50"/>
                    <w:jc w:val="center"/>
                    <w:rPr>
                      <w:b/>
                      <w:szCs w:val="21"/>
                    </w:rPr>
                  </w:pPr>
                  <w:r>
                    <w:rPr>
                      <w:b/>
                      <w:szCs w:val="21"/>
                    </w:rPr>
                    <w:t>BOD</w:t>
                  </w:r>
                  <w:r>
                    <w:rPr>
                      <w:b/>
                      <w:szCs w:val="21"/>
                      <w:vertAlign w:val="subscript"/>
                    </w:rPr>
                    <w:t>5</w:t>
                  </w:r>
                  <w:r>
                    <w:rPr>
                      <w:b/>
                      <w:szCs w:val="21"/>
                    </w:rPr>
                    <w:t>（mg/L）</w:t>
                  </w:r>
                </w:p>
              </w:tc>
              <w:tc>
                <w:tcPr>
                  <w:tcW w:w="708" w:type="dxa"/>
                  <w:vAlign w:val="center"/>
                </w:tcPr>
                <w:p>
                  <w:pPr>
                    <w:ind w:left="-105" w:leftChars="-50" w:right="-105" w:rightChars="-50"/>
                    <w:jc w:val="center"/>
                    <w:rPr>
                      <w:b/>
                      <w:szCs w:val="21"/>
                    </w:rPr>
                  </w:pPr>
                  <w:r>
                    <w:rPr>
                      <w:b/>
                      <w:szCs w:val="21"/>
                    </w:rPr>
                    <w:t>SS</w:t>
                  </w:r>
                </w:p>
                <w:p>
                  <w:pPr>
                    <w:ind w:left="-105" w:leftChars="-50" w:right="-105" w:rightChars="-50"/>
                    <w:jc w:val="center"/>
                    <w:rPr>
                      <w:b/>
                      <w:szCs w:val="21"/>
                    </w:rPr>
                  </w:pPr>
                  <w:r>
                    <w:rPr>
                      <w:b/>
                      <w:szCs w:val="21"/>
                    </w:rPr>
                    <w:t>（mg/L）</w:t>
                  </w:r>
                </w:p>
              </w:tc>
              <w:tc>
                <w:tcPr>
                  <w:tcW w:w="709" w:type="dxa"/>
                  <w:vAlign w:val="center"/>
                </w:tcPr>
                <w:p>
                  <w:pPr>
                    <w:ind w:left="-105" w:leftChars="-50" w:right="-105" w:rightChars="-50"/>
                    <w:jc w:val="center"/>
                    <w:rPr>
                      <w:b/>
                      <w:szCs w:val="21"/>
                    </w:rPr>
                  </w:pPr>
                  <w:r>
                    <w:rPr>
                      <w:b/>
                      <w:szCs w:val="21"/>
                    </w:rPr>
                    <w:t>NH</w:t>
                  </w:r>
                  <w:r>
                    <w:rPr>
                      <w:b/>
                      <w:szCs w:val="21"/>
                      <w:vertAlign w:val="subscript"/>
                    </w:rPr>
                    <w:t>3</w:t>
                  </w:r>
                  <w:r>
                    <w:rPr>
                      <w:b/>
                      <w:szCs w:val="21"/>
                    </w:rPr>
                    <w:t>-N（mg/L）</w:t>
                  </w:r>
                </w:p>
              </w:tc>
              <w:tc>
                <w:tcPr>
                  <w:tcW w:w="709" w:type="dxa"/>
                  <w:vAlign w:val="center"/>
                </w:tcPr>
                <w:p>
                  <w:pPr>
                    <w:ind w:left="-105" w:leftChars="-50" w:right="-105" w:rightChars="-50"/>
                    <w:jc w:val="center"/>
                    <w:rPr>
                      <w:b/>
                      <w:szCs w:val="21"/>
                    </w:rPr>
                  </w:pPr>
                  <w:r>
                    <w:rPr>
                      <w:b/>
                      <w:szCs w:val="21"/>
                    </w:rPr>
                    <w:t>TP（mg/L）</w:t>
                  </w:r>
                </w:p>
              </w:tc>
              <w:tc>
                <w:tcPr>
                  <w:tcW w:w="708" w:type="dxa"/>
                  <w:vAlign w:val="center"/>
                </w:tcPr>
                <w:p>
                  <w:pPr>
                    <w:ind w:left="-105" w:leftChars="-50" w:right="-105" w:rightChars="-50"/>
                    <w:jc w:val="center"/>
                    <w:rPr>
                      <w:b/>
                      <w:szCs w:val="21"/>
                    </w:rPr>
                  </w:pPr>
                  <w:r>
                    <w:rPr>
                      <w:b/>
                      <w:szCs w:val="21"/>
                    </w:rPr>
                    <w:t>TN（mg/L）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25" w:type="dxa"/>
                  <w:gridSpan w:val="2"/>
                  <w:vMerge w:val="restart"/>
                  <w:vAlign w:val="center"/>
                </w:tcPr>
                <w:p>
                  <w:pPr>
                    <w:jc w:val="center"/>
                    <w:rPr>
                      <w:bCs/>
                      <w:szCs w:val="21"/>
                    </w:rPr>
                  </w:pPr>
                  <w:r>
                    <w:rPr>
                      <w:rFonts w:hint="eastAsia"/>
                      <w:bCs/>
                      <w:szCs w:val="21"/>
                    </w:rPr>
                    <w:t>实验室废水</w:t>
                  </w:r>
                </w:p>
              </w:tc>
              <w:tc>
                <w:tcPr>
                  <w:tcW w:w="1417" w:type="dxa"/>
                  <w:vAlign w:val="center"/>
                </w:tcPr>
                <w:p>
                  <w:pPr>
                    <w:jc w:val="center"/>
                    <w:rPr>
                      <w:bCs/>
                      <w:szCs w:val="21"/>
                    </w:rPr>
                  </w:pPr>
                  <w:r>
                    <w:rPr>
                      <w:bCs/>
                      <w:szCs w:val="21"/>
                    </w:rPr>
                    <w:t>实验室器皿</w:t>
                  </w:r>
                  <w:r>
                    <w:rPr>
                      <w:rFonts w:hint="eastAsia"/>
                      <w:bCs/>
                      <w:szCs w:val="21"/>
                    </w:rPr>
                    <w:t>三次</w:t>
                  </w:r>
                  <w:r>
                    <w:rPr>
                      <w:bCs/>
                      <w:szCs w:val="21"/>
                    </w:rPr>
                    <w:t>清洗废水</w:t>
                  </w:r>
                </w:p>
              </w:tc>
              <w:tc>
                <w:tcPr>
                  <w:tcW w:w="709" w:type="dxa"/>
                  <w:vAlign w:val="center"/>
                </w:tcPr>
                <w:p>
                  <w:pPr>
                    <w:jc w:val="center"/>
                    <w:rPr>
                      <w:bCs/>
                      <w:szCs w:val="21"/>
                    </w:rPr>
                  </w:pPr>
                  <w:r>
                    <w:rPr>
                      <w:bCs/>
                      <w:szCs w:val="21"/>
                    </w:rPr>
                    <w:t>1.5</w:t>
                  </w:r>
                </w:p>
              </w:tc>
              <w:tc>
                <w:tcPr>
                  <w:tcW w:w="567" w:type="dxa"/>
                  <w:vAlign w:val="center"/>
                </w:tcPr>
                <w:p>
                  <w:pPr>
                    <w:jc w:val="center"/>
                    <w:rPr>
                      <w:bCs/>
                      <w:szCs w:val="21"/>
                    </w:rPr>
                  </w:pPr>
                  <w:r>
                    <w:rPr>
                      <w:bCs/>
                      <w:szCs w:val="21"/>
                    </w:rPr>
                    <w:t>6-8</w:t>
                  </w:r>
                </w:p>
              </w:tc>
              <w:tc>
                <w:tcPr>
                  <w:tcW w:w="709" w:type="dxa"/>
                  <w:vAlign w:val="center"/>
                </w:tcPr>
                <w:p>
                  <w:pPr>
                    <w:jc w:val="center"/>
                    <w:rPr>
                      <w:bCs/>
                      <w:szCs w:val="21"/>
                    </w:rPr>
                  </w:pPr>
                  <w:r>
                    <w:rPr>
                      <w:bCs/>
                      <w:szCs w:val="21"/>
                    </w:rPr>
                    <w:t>700</w:t>
                  </w:r>
                </w:p>
              </w:tc>
              <w:tc>
                <w:tcPr>
                  <w:tcW w:w="709" w:type="dxa"/>
                  <w:vAlign w:val="center"/>
                </w:tcPr>
                <w:p>
                  <w:pPr>
                    <w:jc w:val="center"/>
                    <w:rPr>
                      <w:bCs/>
                      <w:szCs w:val="21"/>
                    </w:rPr>
                  </w:pPr>
                  <w:r>
                    <w:rPr>
                      <w:bCs/>
                      <w:szCs w:val="21"/>
                    </w:rPr>
                    <w:t>220</w:t>
                  </w:r>
                </w:p>
              </w:tc>
              <w:tc>
                <w:tcPr>
                  <w:tcW w:w="708" w:type="dxa"/>
                  <w:vAlign w:val="center"/>
                </w:tcPr>
                <w:p>
                  <w:pPr>
                    <w:jc w:val="center"/>
                    <w:rPr>
                      <w:bCs/>
                      <w:szCs w:val="21"/>
                    </w:rPr>
                  </w:pPr>
                  <w:r>
                    <w:rPr>
                      <w:bCs/>
                      <w:szCs w:val="21"/>
                    </w:rPr>
                    <w:t>70</w:t>
                  </w:r>
                </w:p>
              </w:tc>
              <w:tc>
                <w:tcPr>
                  <w:tcW w:w="709" w:type="dxa"/>
                  <w:vAlign w:val="center"/>
                </w:tcPr>
                <w:p>
                  <w:pPr>
                    <w:jc w:val="center"/>
                    <w:rPr>
                      <w:bCs/>
                      <w:szCs w:val="21"/>
                    </w:rPr>
                  </w:pPr>
                  <w:r>
                    <w:rPr>
                      <w:bCs/>
                      <w:szCs w:val="21"/>
                    </w:rPr>
                    <w:t>35</w:t>
                  </w:r>
                </w:p>
              </w:tc>
              <w:tc>
                <w:tcPr>
                  <w:tcW w:w="709" w:type="dxa"/>
                  <w:vAlign w:val="center"/>
                </w:tcPr>
                <w:p>
                  <w:pPr>
                    <w:jc w:val="center"/>
                    <w:rPr>
                      <w:bCs/>
                      <w:szCs w:val="21"/>
                    </w:rPr>
                  </w:pPr>
                  <w:r>
                    <w:rPr>
                      <w:bCs/>
                      <w:szCs w:val="21"/>
                    </w:rPr>
                    <w:t>5</w:t>
                  </w:r>
                </w:p>
              </w:tc>
              <w:tc>
                <w:tcPr>
                  <w:tcW w:w="708" w:type="dxa"/>
                  <w:vAlign w:val="center"/>
                </w:tcPr>
                <w:p>
                  <w:pPr>
                    <w:jc w:val="center"/>
                    <w:rPr>
                      <w:bCs/>
                      <w:szCs w:val="21"/>
                    </w:rPr>
                  </w:pPr>
                  <w:r>
                    <w:rPr>
                      <w:bCs/>
                      <w:szCs w:val="21"/>
                    </w:rPr>
                    <w:t>45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25" w:type="dxa"/>
                  <w:gridSpan w:val="2"/>
                  <w:vMerge w:val="continue"/>
                  <w:vAlign w:val="center"/>
                </w:tcPr>
                <w:p>
                  <w:pPr>
                    <w:jc w:val="center"/>
                    <w:rPr>
                      <w:bCs/>
                      <w:szCs w:val="21"/>
                    </w:rPr>
                  </w:pPr>
                </w:p>
              </w:tc>
              <w:tc>
                <w:tcPr>
                  <w:tcW w:w="1417" w:type="dxa"/>
                  <w:vAlign w:val="center"/>
                </w:tcPr>
                <w:p>
                  <w:pPr>
                    <w:jc w:val="center"/>
                    <w:rPr>
                      <w:bCs/>
                      <w:szCs w:val="21"/>
                    </w:rPr>
                  </w:pPr>
                  <w:r>
                    <w:rPr>
                      <w:bCs/>
                      <w:szCs w:val="21"/>
                    </w:rPr>
                    <w:t>实验室地面清洗废水</w:t>
                  </w:r>
                </w:p>
              </w:tc>
              <w:tc>
                <w:tcPr>
                  <w:tcW w:w="709" w:type="dxa"/>
                  <w:vAlign w:val="center"/>
                </w:tcPr>
                <w:p>
                  <w:pPr>
                    <w:jc w:val="center"/>
                    <w:rPr>
                      <w:bCs/>
                      <w:szCs w:val="21"/>
                    </w:rPr>
                  </w:pPr>
                  <w:r>
                    <w:rPr>
                      <w:bCs/>
                      <w:szCs w:val="21"/>
                    </w:rPr>
                    <w:t>1.4</w:t>
                  </w:r>
                </w:p>
              </w:tc>
              <w:tc>
                <w:tcPr>
                  <w:tcW w:w="567" w:type="dxa"/>
                  <w:vAlign w:val="center"/>
                </w:tcPr>
                <w:p>
                  <w:pPr>
                    <w:jc w:val="center"/>
                    <w:rPr>
                      <w:bCs/>
                      <w:szCs w:val="21"/>
                    </w:rPr>
                  </w:pPr>
                  <w:r>
                    <w:rPr>
                      <w:bCs/>
                      <w:szCs w:val="21"/>
                    </w:rPr>
                    <w:t>7-8</w:t>
                  </w:r>
                </w:p>
              </w:tc>
              <w:tc>
                <w:tcPr>
                  <w:tcW w:w="709" w:type="dxa"/>
                  <w:vAlign w:val="center"/>
                </w:tcPr>
                <w:p>
                  <w:pPr>
                    <w:jc w:val="center"/>
                    <w:rPr>
                      <w:bCs/>
                      <w:szCs w:val="21"/>
                    </w:rPr>
                  </w:pPr>
                  <w:r>
                    <w:rPr>
                      <w:rFonts w:hint="eastAsia"/>
                      <w:bCs/>
                      <w:szCs w:val="21"/>
                    </w:rPr>
                    <w:t>210</w:t>
                  </w:r>
                </w:p>
              </w:tc>
              <w:tc>
                <w:tcPr>
                  <w:tcW w:w="709" w:type="dxa"/>
                  <w:vAlign w:val="center"/>
                </w:tcPr>
                <w:p>
                  <w:pPr>
                    <w:jc w:val="center"/>
                    <w:rPr>
                      <w:bCs/>
                      <w:szCs w:val="21"/>
                    </w:rPr>
                  </w:pPr>
                  <w:r>
                    <w:rPr>
                      <w:rFonts w:hint="eastAsia"/>
                      <w:bCs/>
                      <w:szCs w:val="21"/>
                    </w:rPr>
                    <w:t>80</w:t>
                  </w:r>
                </w:p>
              </w:tc>
              <w:tc>
                <w:tcPr>
                  <w:tcW w:w="708" w:type="dxa"/>
                  <w:vAlign w:val="center"/>
                </w:tcPr>
                <w:p>
                  <w:pPr>
                    <w:jc w:val="center"/>
                    <w:rPr>
                      <w:bCs/>
                      <w:szCs w:val="21"/>
                    </w:rPr>
                  </w:pPr>
                  <w:r>
                    <w:rPr>
                      <w:rFonts w:hint="eastAsia"/>
                      <w:bCs/>
                      <w:szCs w:val="21"/>
                    </w:rPr>
                    <w:t>120</w:t>
                  </w:r>
                </w:p>
              </w:tc>
              <w:tc>
                <w:tcPr>
                  <w:tcW w:w="709" w:type="dxa"/>
                  <w:vAlign w:val="center"/>
                </w:tcPr>
                <w:p>
                  <w:pPr>
                    <w:jc w:val="center"/>
                    <w:rPr>
                      <w:bCs/>
                      <w:szCs w:val="21"/>
                    </w:rPr>
                  </w:pPr>
                  <w:r>
                    <w:rPr>
                      <w:rFonts w:hint="eastAsia"/>
                      <w:bCs/>
                      <w:szCs w:val="21"/>
                    </w:rPr>
                    <w:t>5</w:t>
                  </w:r>
                </w:p>
              </w:tc>
              <w:tc>
                <w:tcPr>
                  <w:tcW w:w="709" w:type="dxa"/>
                  <w:vAlign w:val="center"/>
                </w:tcPr>
                <w:p>
                  <w:pPr>
                    <w:jc w:val="center"/>
                    <w:rPr>
                      <w:bCs/>
                      <w:szCs w:val="21"/>
                    </w:rPr>
                  </w:pPr>
                  <w:r>
                    <w:rPr>
                      <w:bCs/>
                      <w:szCs w:val="21"/>
                    </w:rPr>
                    <w:t>/</w:t>
                  </w:r>
                </w:p>
              </w:tc>
              <w:tc>
                <w:tcPr>
                  <w:tcW w:w="708" w:type="dxa"/>
                  <w:vAlign w:val="center"/>
                </w:tcPr>
                <w:p>
                  <w:pPr>
                    <w:jc w:val="center"/>
                    <w:rPr>
                      <w:bCs/>
                      <w:szCs w:val="21"/>
                    </w:rPr>
                  </w:pPr>
                  <w:r>
                    <w:rPr>
                      <w:rFonts w:hint="eastAsia"/>
                      <w:bCs/>
                      <w:szCs w:val="21"/>
                    </w:rPr>
                    <w:t>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42" w:type="dxa"/>
                  <w:gridSpan w:val="3"/>
                  <w:vAlign w:val="center"/>
                </w:tcPr>
                <w:p>
                  <w:pPr>
                    <w:jc w:val="center"/>
                    <w:rPr>
                      <w:bCs/>
                      <w:szCs w:val="21"/>
                    </w:rPr>
                  </w:pPr>
                  <w:r>
                    <w:rPr>
                      <w:rFonts w:hint="eastAsia"/>
                      <w:bCs/>
                      <w:szCs w:val="21"/>
                    </w:rPr>
                    <w:t>纯水制备废水</w:t>
                  </w:r>
                </w:p>
              </w:tc>
              <w:tc>
                <w:tcPr>
                  <w:tcW w:w="709" w:type="dxa"/>
                  <w:vAlign w:val="center"/>
                </w:tcPr>
                <w:p>
                  <w:pPr>
                    <w:jc w:val="center"/>
                    <w:rPr>
                      <w:bCs/>
                      <w:szCs w:val="21"/>
                    </w:rPr>
                  </w:pPr>
                  <w:r>
                    <w:rPr>
                      <w:rFonts w:hint="eastAsia"/>
                      <w:bCs/>
                      <w:szCs w:val="21"/>
                    </w:rPr>
                    <w:t>3</w:t>
                  </w:r>
                  <w:r>
                    <w:rPr>
                      <w:bCs/>
                      <w:szCs w:val="21"/>
                    </w:rPr>
                    <w:t>.0</w:t>
                  </w:r>
                </w:p>
              </w:tc>
              <w:tc>
                <w:tcPr>
                  <w:tcW w:w="567" w:type="dxa"/>
                  <w:vAlign w:val="center"/>
                </w:tcPr>
                <w:p>
                  <w:pPr>
                    <w:jc w:val="center"/>
                    <w:rPr>
                      <w:bCs/>
                      <w:szCs w:val="21"/>
                    </w:rPr>
                  </w:pPr>
                  <w:r>
                    <w:rPr>
                      <w:rFonts w:hint="eastAsia"/>
                      <w:bCs/>
                      <w:szCs w:val="21"/>
                    </w:rPr>
                    <w:t>/</w:t>
                  </w:r>
                </w:p>
              </w:tc>
              <w:tc>
                <w:tcPr>
                  <w:tcW w:w="709" w:type="dxa"/>
                  <w:vAlign w:val="center"/>
                </w:tcPr>
                <w:p>
                  <w:pPr>
                    <w:jc w:val="center"/>
                    <w:rPr>
                      <w:bCs/>
                      <w:szCs w:val="21"/>
                    </w:rPr>
                  </w:pPr>
                  <w:r>
                    <w:rPr>
                      <w:rFonts w:hint="eastAsia"/>
                      <w:bCs/>
                      <w:szCs w:val="21"/>
                    </w:rPr>
                    <w:t>5</w:t>
                  </w:r>
                  <w:r>
                    <w:rPr>
                      <w:bCs/>
                      <w:szCs w:val="21"/>
                    </w:rPr>
                    <w:t>0</w:t>
                  </w:r>
                </w:p>
              </w:tc>
              <w:tc>
                <w:tcPr>
                  <w:tcW w:w="709" w:type="dxa"/>
                  <w:vAlign w:val="center"/>
                </w:tcPr>
                <w:p>
                  <w:pPr>
                    <w:jc w:val="center"/>
                    <w:rPr>
                      <w:bCs/>
                      <w:szCs w:val="21"/>
                    </w:rPr>
                  </w:pPr>
                  <w:r>
                    <w:rPr>
                      <w:rFonts w:hint="eastAsia"/>
                      <w:bCs/>
                      <w:szCs w:val="21"/>
                    </w:rPr>
                    <w:t>/</w:t>
                  </w:r>
                </w:p>
              </w:tc>
              <w:tc>
                <w:tcPr>
                  <w:tcW w:w="708" w:type="dxa"/>
                  <w:vAlign w:val="center"/>
                </w:tcPr>
                <w:p>
                  <w:pPr>
                    <w:jc w:val="center"/>
                    <w:rPr>
                      <w:bCs/>
                      <w:szCs w:val="21"/>
                    </w:rPr>
                  </w:pPr>
                  <w:r>
                    <w:rPr>
                      <w:rFonts w:hint="eastAsia"/>
                      <w:bCs/>
                      <w:szCs w:val="21"/>
                    </w:rPr>
                    <w:t>3</w:t>
                  </w:r>
                  <w:r>
                    <w:rPr>
                      <w:bCs/>
                      <w:szCs w:val="21"/>
                    </w:rPr>
                    <w:t>0</w:t>
                  </w:r>
                </w:p>
              </w:tc>
              <w:tc>
                <w:tcPr>
                  <w:tcW w:w="709" w:type="dxa"/>
                  <w:vAlign w:val="center"/>
                </w:tcPr>
                <w:p>
                  <w:pPr>
                    <w:jc w:val="center"/>
                    <w:rPr>
                      <w:bCs/>
                      <w:szCs w:val="21"/>
                    </w:rPr>
                  </w:pPr>
                  <w:r>
                    <w:rPr>
                      <w:rFonts w:hint="eastAsia"/>
                      <w:bCs/>
                      <w:szCs w:val="21"/>
                    </w:rPr>
                    <w:t>/</w:t>
                  </w:r>
                </w:p>
              </w:tc>
              <w:tc>
                <w:tcPr>
                  <w:tcW w:w="709" w:type="dxa"/>
                  <w:vAlign w:val="center"/>
                </w:tcPr>
                <w:p>
                  <w:pPr>
                    <w:jc w:val="center"/>
                    <w:rPr>
                      <w:bCs/>
                      <w:szCs w:val="21"/>
                    </w:rPr>
                  </w:pPr>
                  <w:r>
                    <w:rPr>
                      <w:rFonts w:hint="eastAsia"/>
                      <w:bCs/>
                      <w:szCs w:val="21"/>
                    </w:rPr>
                    <w:t>/</w:t>
                  </w:r>
                </w:p>
              </w:tc>
              <w:tc>
                <w:tcPr>
                  <w:tcW w:w="708" w:type="dxa"/>
                  <w:vAlign w:val="center"/>
                </w:tcPr>
                <w:p>
                  <w:pPr>
                    <w:jc w:val="center"/>
                    <w:rPr>
                      <w:bCs/>
                      <w:szCs w:val="21"/>
                    </w:rPr>
                  </w:pPr>
                  <w:r>
                    <w:rPr>
                      <w:rFonts w:hint="eastAsia"/>
                      <w:bCs/>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42" w:type="dxa"/>
                  <w:gridSpan w:val="3"/>
                  <w:vAlign w:val="center"/>
                </w:tcPr>
                <w:p>
                  <w:pPr>
                    <w:jc w:val="center"/>
                    <w:rPr>
                      <w:bCs/>
                      <w:szCs w:val="21"/>
                    </w:rPr>
                  </w:pPr>
                  <w:r>
                    <w:rPr>
                      <w:bCs/>
                      <w:szCs w:val="21"/>
                    </w:rPr>
                    <w:t>喷淋塔废水</w:t>
                  </w:r>
                </w:p>
              </w:tc>
              <w:tc>
                <w:tcPr>
                  <w:tcW w:w="709" w:type="dxa"/>
                  <w:vAlign w:val="center"/>
                </w:tcPr>
                <w:p>
                  <w:pPr>
                    <w:jc w:val="center"/>
                    <w:rPr>
                      <w:bCs/>
                      <w:szCs w:val="21"/>
                    </w:rPr>
                  </w:pPr>
                  <w:r>
                    <w:rPr>
                      <w:bCs/>
                      <w:szCs w:val="21"/>
                    </w:rPr>
                    <w:t>0.02</w:t>
                  </w:r>
                </w:p>
              </w:tc>
              <w:tc>
                <w:tcPr>
                  <w:tcW w:w="567" w:type="dxa"/>
                  <w:vAlign w:val="center"/>
                </w:tcPr>
                <w:p>
                  <w:pPr>
                    <w:jc w:val="center"/>
                    <w:rPr>
                      <w:bCs/>
                      <w:szCs w:val="21"/>
                    </w:rPr>
                  </w:pPr>
                  <w:r>
                    <w:rPr>
                      <w:bCs/>
                      <w:szCs w:val="21"/>
                    </w:rPr>
                    <w:t>6-9</w:t>
                  </w:r>
                </w:p>
              </w:tc>
              <w:tc>
                <w:tcPr>
                  <w:tcW w:w="709" w:type="dxa"/>
                  <w:vAlign w:val="center"/>
                </w:tcPr>
                <w:p>
                  <w:pPr>
                    <w:jc w:val="center"/>
                    <w:rPr>
                      <w:bCs/>
                      <w:szCs w:val="21"/>
                    </w:rPr>
                  </w:pPr>
                  <w:r>
                    <w:rPr>
                      <w:bCs/>
                      <w:szCs w:val="21"/>
                    </w:rPr>
                    <w:t>80</w:t>
                  </w:r>
                </w:p>
              </w:tc>
              <w:tc>
                <w:tcPr>
                  <w:tcW w:w="709" w:type="dxa"/>
                  <w:vAlign w:val="center"/>
                </w:tcPr>
                <w:p>
                  <w:pPr>
                    <w:jc w:val="center"/>
                    <w:rPr>
                      <w:bCs/>
                      <w:szCs w:val="21"/>
                    </w:rPr>
                  </w:pPr>
                  <w:r>
                    <w:rPr>
                      <w:bCs/>
                      <w:szCs w:val="21"/>
                    </w:rPr>
                    <w:t>30</w:t>
                  </w:r>
                </w:p>
              </w:tc>
              <w:tc>
                <w:tcPr>
                  <w:tcW w:w="708" w:type="dxa"/>
                  <w:vAlign w:val="center"/>
                </w:tcPr>
                <w:p>
                  <w:pPr>
                    <w:jc w:val="center"/>
                    <w:rPr>
                      <w:bCs/>
                      <w:szCs w:val="21"/>
                    </w:rPr>
                  </w:pPr>
                  <w:r>
                    <w:rPr>
                      <w:bCs/>
                      <w:szCs w:val="21"/>
                    </w:rPr>
                    <w:t>50</w:t>
                  </w:r>
                </w:p>
              </w:tc>
              <w:tc>
                <w:tcPr>
                  <w:tcW w:w="709" w:type="dxa"/>
                  <w:vAlign w:val="center"/>
                </w:tcPr>
                <w:p>
                  <w:pPr>
                    <w:jc w:val="center"/>
                    <w:rPr>
                      <w:bCs/>
                      <w:szCs w:val="21"/>
                    </w:rPr>
                  </w:pPr>
                  <w:r>
                    <w:rPr>
                      <w:rFonts w:hint="eastAsia"/>
                      <w:bCs/>
                      <w:szCs w:val="21"/>
                    </w:rPr>
                    <w:t>15</w:t>
                  </w:r>
                </w:p>
              </w:tc>
              <w:tc>
                <w:tcPr>
                  <w:tcW w:w="709" w:type="dxa"/>
                  <w:vAlign w:val="center"/>
                </w:tcPr>
                <w:p>
                  <w:pPr>
                    <w:jc w:val="center"/>
                    <w:rPr>
                      <w:bCs/>
                      <w:szCs w:val="21"/>
                    </w:rPr>
                  </w:pPr>
                  <w:r>
                    <w:rPr>
                      <w:bCs/>
                      <w:szCs w:val="21"/>
                    </w:rPr>
                    <w:t>/</w:t>
                  </w:r>
                </w:p>
              </w:tc>
              <w:tc>
                <w:tcPr>
                  <w:tcW w:w="708" w:type="dxa"/>
                  <w:vAlign w:val="center"/>
                </w:tcPr>
                <w:p>
                  <w:pPr>
                    <w:jc w:val="center"/>
                    <w:rPr>
                      <w:bCs/>
                      <w:szCs w:val="21"/>
                    </w:rPr>
                  </w:pPr>
                  <w:r>
                    <w:rPr>
                      <w:rFonts w:hint="eastAsia"/>
                      <w:bCs/>
                      <w:szCs w:val="21"/>
                    </w:rPr>
                    <w:t>45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42" w:type="dxa"/>
                  <w:gridSpan w:val="3"/>
                  <w:vAlign w:val="center"/>
                </w:tcPr>
                <w:p>
                  <w:pPr>
                    <w:widowControl/>
                    <w:jc w:val="center"/>
                    <w:rPr>
                      <w:szCs w:val="21"/>
                    </w:rPr>
                  </w:pPr>
                  <w:r>
                    <w:rPr>
                      <w:rFonts w:hint="eastAsia"/>
                      <w:szCs w:val="21"/>
                    </w:rPr>
                    <w:t>实验室废水、喷淋塔废水</w:t>
                  </w:r>
                  <w:r>
                    <w:rPr>
                      <w:szCs w:val="21"/>
                    </w:rPr>
                    <w:t>混合后水质</w:t>
                  </w:r>
                </w:p>
              </w:tc>
              <w:tc>
                <w:tcPr>
                  <w:tcW w:w="709" w:type="dxa"/>
                  <w:vAlign w:val="center"/>
                </w:tcPr>
                <w:p>
                  <w:pPr>
                    <w:jc w:val="center"/>
                    <w:rPr>
                      <w:bCs/>
                      <w:szCs w:val="21"/>
                    </w:rPr>
                  </w:pPr>
                  <w:r>
                    <w:rPr>
                      <w:bCs/>
                      <w:szCs w:val="21"/>
                    </w:rPr>
                    <w:t>5.92</w:t>
                  </w:r>
                </w:p>
              </w:tc>
              <w:tc>
                <w:tcPr>
                  <w:tcW w:w="567" w:type="dxa"/>
                  <w:vAlign w:val="center"/>
                </w:tcPr>
                <w:p>
                  <w:pPr>
                    <w:jc w:val="center"/>
                    <w:rPr>
                      <w:bCs/>
                      <w:szCs w:val="21"/>
                    </w:rPr>
                  </w:pPr>
                  <w:r>
                    <w:rPr>
                      <w:bCs/>
                      <w:szCs w:val="21"/>
                    </w:rPr>
                    <w:t>6-9</w:t>
                  </w:r>
                </w:p>
              </w:tc>
              <w:tc>
                <w:tcPr>
                  <w:tcW w:w="709" w:type="dxa"/>
                  <w:vAlign w:val="center"/>
                </w:tcPr>
                <w:p>
                  <w:pPr>
                    <w:jc w:val="center"/>
                    <w:rPr>
                      <w:bCs/>
                      <w:szCs w:val="21"/>
                    </w:rPr>
                  </w:pPr>
                  <w:r>
                    <w:rPr>
                      <w:bCs/>
                      <w:szCs w:val="21"/>
                    </w:rPr>
                    <w:t>253</w:t>
                  </w:r>
                </w:p>
              </w:tc>
              <w:tc>
                <w:tcPr>
                  <w:tcW w:w="709" w:type="dxa"/>
                  <w:vAlign w:val="center"/>
                </w:tcPr>
                <w:p>
                  <w:pPr>
                    <w:jc w:val="center"/>
                    <w:rPr>
                      <w:bCs/>
                      <w:szCs w:val="21"/>
                    </w:rPr>
                  </w:pPr>
                  <w:r>
                    <w:rPr>
                      <w:bCs/>
                      <w:szCs w:val="21"/>
                    </w:rPr>
                    <w:t>75</w:t>
                  </w:r>
                </w:p>
              </w:tc>
              <w:tc>
                <w:tcPr>
                  <w:tcW w:w="708" w:type="dxa"/>
                  <w:vAlign w:val="center"/>
                </w:tcPr>
                <w:p>
                  <w:pPr>
                    <w:jc w:val="center"/>
                    <w:rPr>
                      <w:bCs/>
                      <w:szCs w:val="21"/>
                    </w:rPr>
                  </w:pPr>
                  <w:r>
                    <w:rPr>
                      <w:bCs/>
                      <w:szCs w:val="21"/>
                    </w:rPr>
                    <w:t>61</w:t>
                  </w:r>
                </w:p>
              </w:tc>
              <w:tc>
                <w:tcPr>
                  <w:tcW w:w="709" w:type="dxa"/>
                  <w:vAlign w:val="center"/>
                </w:tcPr>
                <w:p>
                  <w:pPr>
                    <w:jc w:val="center"/>
                    <w:rPr>
                      <w:bCs/>
                      <w:szCs w:val="21"/>
                    </w:rPr>
                  </w:pPr>
                  <w:r>
                    <w:rPr>
                      <w:bCs/>
                      <w:szCs w:val="21"/>
                    </w:rPr>
                    <w:t>10</w:t>
                  </w:r>
                </w:p>
              </w:tc>
              <w:tc>
                <w:tcPr>
                  <w:tcW w:w="709" w:type="dxa"/>
                  <w:vAlign w:val="center"/>
                </w:tcPr>
                <w:p>
                  <w:pPr>
                    <w:jc w:val="center"/>
                    <w:rPr>
                      <w:bCs/>
                      <w:szCs w:val="21"/>
                    </w:rPr>
                  </w:pPr>
                  <w:r>
                    <w:rPr>
                      <w:rFonts w:hint="eastAsia"/>
                      <w:bCs/>
                      <w:szCs w:val="21"/>
                    </w:rPr>
                    <w:t>1.</w:t>
                  </w:r>
                  <w:r>
                    <w:rPr>
                      <w:bCs/>
                      <w:szCs w:val="21"/>
                    </w:rPr>
                    <w:t>3</w:t>
                  </w:r>
                </w:p>
              </w:tc>
              <w:tc>
                <w:tcPr>
                  <w:tcW w:w="708" w:type="dxa"/>
                  <w:vAlign w:val="center"/>
                </w:tcPr>
                <w:p>
                  <w:pPr>
                    <w:jc w:val="center"/>
                    <w:rPr>
                      <w:bCs/>
                      <w:szCs w:val="21"/>
                    </w:rPr>
                  </w:pPr>
                  <w:r>
                    <w:rPr>
                      <w:bCs/>
                      <w:szCs w:val="21"/>
                    </w:rPr>
                    <w:t>13.4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25" w:type="dxa"/>
                  <w:gridSpan w:val="2"/>
                  <w:vMerge w:val="restart"/>
                  <w:vAlign w:val="center"/>
                </w:tcPr>
                <w:p>
                  <w:pPr>
                    <w:jc w:val="center"/>
                    <w:rPr>
                      <w:bCs/>
                      <w:szCs w:val="21"/>
                    </w:rPr>
                  </w:pPr>
                  <w:r>
                    <w:rPr>
                      <w:bCs/>
                      <w:szCs w:val="21"/>
                    </w:rPr>
                    <w:t>一体化污水处理设备</w:t>
                  </w:r>
                </w:p>
              </w:tc>
              <w:tc>
                <w:tcPr>
                  <w:tcW w:w="1417" w:type="dxa"/>
                  <w:vAlign w:val="center"/>
                </w:tcPr>
                <w:p>
                  <w:pPr>
                    <w:jc w:val="center"/>
                    <w:rPr>
                      <w:bCs/>
                      <w:szCs w:val="21"/>
                    </w:rPr>
                  </w:pPr>
                  <w:r>
                    <w:rPr>
                      <w:bCs/>
                      <w:szCs w:val="21"/>
                    </w:rPr>
                    <w:t>处理效率</w:t>
                  </w:r>
                </w:p>
              </w:tc>
              <w:tc>
                <w:tcPr>
                  <w:tcW w:w="709" w:type="dxa"/>
                  <w:vAlign w:val="center"/>
                </w:tcPr>
                <w:p>
                  <w:pPr>
                    <w:jc w:val="center"/>
                    <w:rPr>
                      <w:bCs/>
                      <w:szCs w:val="21"/>
                    </w:rPr>
                  </w:pPr>
                  <w:r>
                    <w:rPr>
                      <w:bCs/>
                      <w:szCs w:val="21"/>
                    </w:rPr>
                    <w:t>/</w:t>
                  </w:r>
                </w:p>
              </w:tc>
              <w:tc>
                <w:tcPr>
                  <w:tcW w:w="567" w:type="dxa"/>
                  <w:vAlign w:val="center"/>
                </w:tcPr>
                <w:p>
                  <w:pPr>
                    <w:jc w:val="center"/>
                    <w:rPr>
                      <w:bCs/>
                      <w:szCs w:val="21"/>
                    </w:rPr>
                  </w:pPr>
                  <w:r>
                    <w:rPr>
                      <w:bCs/>
                      <w:szCs w:val="21"/>
                    </w:rPr>
                    <w:t>/</w:t>
                  </w:r>
                </w:p>
              </w:tc>
              <w:tc>
                <w:tcPr>
                  <w:tcW w:w="709" w:type="dxa"/>
                  <w:vAlign w:val="center"/>
                </w:tcPr>
                <w:p>
                  <w:pPr>
                    <w:jc w:val="center"/>
                    <w:rPr>
                      <w:bCs/>
                      <w:szCs w:val="21"/>
                    </w:rPr>
                  </w:pPr>
                  <w:r>
                    <w:rPr>
                      <w:bCs/>
                      <w:szCs w:val="21"/>
                    </w:rPr>
                    <w:t>30%</w:t>
                  </w:r>
                </w:p>
              </w:tc>
              <w:tc>
                <w:tcPr>
                  <w:tcW w:w="709" w:type="dxa"/>
                  <w:vAlign w:val="center"/>
                </w:tcPr>
                <w:p>
                  <w:pPr>
                    <w:jc w:val="center"/>
                    <w:rPr>
                      <w:bCs/>
                      <w:szCs w:val="21"/>
                    </w:rPr>
                  </w:pPr>
                  <w:r>
                    <w:rPr>
                      <w:bCs/>
                      <w:szCs w:val="21"/>
                    </w:rPr>
                    <w:t>10%</w:t>
                  </w:r>
                </w:p>
              </w:tc>
              <w:tc>
                <w:tcPr>
                  <w:tcW w:w="708" w:type="dxa"/>
                  <w:vAlign w:val="center"/>
                </w:tcPr>
                <w:p>
                  <w:pPr>
                    <w:jc w:val="center"/>
                    <w:rPr>
                      <w:bCs/>
                      <w:szCs w:val="21"/>
                    </w:rPr>
                  </w:pPr>
                  <w:r>
                    <w:rPr>
                      <w:bCs/>
                      <w:szCs w:val="21"/>
                    </w:rPr>
                    <w:t>70%</w:t>
                  </w:r>
                </w:p>
              </w:tc>
              <w:tc>
                <w:tcPr>
                  <w:tcW w:w="709" w:type="dxa"/>
                  <w:vAlign w:val="center"/>
                </w:tcPr>
                <w:p>
                  <w:pPr>
                    <w:jc w:val="center"/>
                    <w:rPr>
                      <w:bCs/>
                      <w:szCs w:val="21"/>
                    </w:rPr>
                  </w:pPr>
                  <w:r>
                    <w:rPr>
                      <w:bCs/>
                      <w:szCs w:val="21"/>
                    </w:rPr>
                    <w:t>15%</w:t>
                  </w:r>
                </w:p>
              </w:tc>
              <w:tc>
                <w:tcPr>
                  <w:tcW w:w="709" w:type="dxa"/>
                  <w:vAlign w:val="center"/>
                </w:tcPr>
                <w:p>
                  <w:pPr>
                    <w:jc w:val="center"/>
                    <w:rPr>
                      <w:bCs/>
                      <w:szCs w:val="21"/>
                    </w:rPr>
                  </w:pPr>
                  <w:r>
                    <w:rPr>
                      <w:bCs/>
                      <w:szCs w:val="21"/>
                    </w:rPr>
                    <w:t>30%</w:t>
                  </w:r>
                </w:p>
              </w:tc>
              <w:tc>
                <w:tcPr>
                  <w:tcW w:w="708" w:type="dxa"/>
                  <w:vAlign w:val="center"/>
                </w:tcPr>
                <w:p>
                  <w:pPr>
                    <w:jc w:val="center"/>
                    <w:rPr>
                      <w:bCs/>
                      <w:szCs w:val="21"/>
                    </w:rPr>
                  </w:pPr>
                  <w:r>
                    <w:rPr>
                      <w:bCs/>
                      <w:szCs w:val="21"/>
                    </w:rPr>
                    <w:t>20%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25" w:type="dxa"/>
                  <w:gridSpan w:val="2"/>
                  <w:vMerge w:val="continue"/>
                  <w:vAlign w:val="center"/>
                </w:tcPr>
                <w:p>
                  <w:pPr>
                    <w:jc w:val="center"/>
                    <w:rPr>
                      <w:bCs/>
                      <w:szCs w:val="21"/>
                    </w:rPr>
                  </w:pPr>
                </w:p>
              </w:tc>
              <w:tc>
                <w:tcPr>
                  <w:tcW w:w="1417" w:type="dxa"/>
                  <w:vAlign w:val="center"/>
                </w:tcPr>
                <w:p>
                  <w:pPr>
                    <w:jc w:val="center"/>
                    <w:rPr>
                      <w:bCs/>
                      <w:szCs w:val="21"/>
                    </w:rPr>
                  </w:pPr>
                  <w:r>
                    <w:rPr>
                      <w:bCs/>
                      <w:szCs w:val="21"/>
                    </w:rPr>
                    <w:t>出口水质</w:t>
                  </w:r>
                </w:p>
              </w:tc>
              <w:tc>
                <w:tcPr>
                  <w:tcW w:w="709" w:type="dxa"/>
                  <w:vAlign w:val="center"/>
                </w:tcPr>
                <w:p>
                  <w:pPr>
                    <w:widowControl/>
                    <w:jc w:val="center"/>
                    <w:textAlignment w:val="center"/>
                    <w:rPr>
                      <w:bCs/>
                      <w:szCs w:val="21"/>
                    </w:rPr>
                  </w:pPr>
                  <w:r>
                    <w:rPr>
                      <w:bCs/>
                      <w:szCs w:val="21"/>
                    </w:rPr>
                    <w:t>5.92</w:t>
                  </w:r>
                </w:p>
              </w:tc>
              <w:tc>
                <w:tcPr>
                  <w:tcW w:w="567" w:type="dxa"/>
                  <w:vAlign w:val="center"/>
                </w:tcPr>
                <w:p>
                  <w:pPr>
                    <w:widowControl/>
                    <w:jc w:val="center"/>
                    <w:textAlignment w:val="center"/>
                    <w:rPr>
                      <w:kern w:val="0"/>
                      <w:szCs w:val="21"/>
                      <w:lang w:bidi="ar"/>
                    </w:rPr>
                  </w:pPr>
                  <w:r>
                    <w:rPr>
                      <w:bCs/>
                      <w:szCs w:val="21"/>
                    </w:rPr>
                    <w:t>6-9</w:t>
                  </w:r>
                </w:p>
              </w:tc>
              <w:tc>
                <w:tcPr>
                  <w:tcW w:w="709" w:type="dxa"/>
                  <w:vAlign w:val="center"/>
                </w:tcPr>
                <w:p>
                  <w:pPr>
                    <w:jc w:val="center"/>
                    <w:rPr>
                      <w:bCs/>
                      <w:szCs w:val="21"/>
                    </w:rPr>
                  </w:pPr>
                  <w:r>
                    <w:rPr>
                      <w:bCs/>
                      <w:szCs w:val="21"/>
                    </w:rPr>
                    <w:t>176.8</w:t>
                  </w:r>
                </w:p>
              </w:tc>
              <w:tc>
                <w:tcPr>
                  <w:tcW w:w="709" w:type="dxa"/>
                  <w:vAlign w:val="center"/>
                </w:tcPr>
                <w:p>
                  <w:pPr>
                    <w:jc w:val="center"/>
                    <w:rPr>
                      <w:bCs/>
                      <w:szCs w:val="21"/>
                    </w:rPr>
                  </w:pPr>
                  <w:r>
                    <w:rPr>
                      <w:bCs/>
                      <w:szCs w:val="21"/>
                    </w:rPr>
                    <w:t>67.3</w:t>
                  </w:r>
                </w:p>
              </w:tc>
              <w:tc>
                <w:tcPr>
                  <w:tcW w:w="708" w:type="dxa"/>
                  <w:vAlign w:val="center"/>
                </w:tcPr>
                <w:p>
                  <w:pPr>
                    <w:jc w:val="center"/>
                    <w:rPr>
                      <w:bCs/>
                      <w:szCs w:val="21"/>
                    </w:rPr>
                  </w:pPr>
                  <w:r>
                    <w:rPr>
                      <w:bCs/>
                      <w:szCs w:val="21"/>
                    </w:rPr>
                    <w:t>18.4</w:t>
                  </w:r>
                </w:p>
              </w:tc>
              <w:tc>
                <w:tcPr>
                  <w:tcW w:w="709" w:type="dxa"/>
                  <w:vAlign w:val="center"/>
                </w:tcPr>
                <w:p>
                  <w:pPr>
                    <w:jc w:val="center"/>
                    <w:rPr>
                      <w:bCs/>
                      <w:szCs w:val="21"/>
                    </w:rPr>
                  </w:pPr>
                  <w:r>
                    <w:rPr>
                      <w:bCs/>
                      <w:szCs w:val="21"/>
                    </w:rPr>
                    <w:t>8.6</w:t>
                  </w:r>
                </w:p>
              </w:tc>
              <w:tc>
                <w:tcPr>
                  <w:tcW w:w="709" w:type="dxa"/>
                  <w:vAlign w:val="center"/>
                </w:tcPr>
                <w:p>
                  <w:pPr>
                    <w:jc w:val="center"/>
                    <w:rPr>
                      <w:bCs/>
                      <w:szCs w:val="21"/>
                    </w:rPr>
                  </w:pPr>
                  <w:r>
                    <w:rPr>
                      <w:bCs/>
                      <w:szCs w:val="21"/>
                    </w:rPr>
                    <w:t>0.9</w:t>
                  </w:r>
                </w:p>
              </w:tc>
              <w:tc>
                <w:tcPr>
                  <w:tcW w:w="708" w:type="dxa"/>
                  <w:vAlign w:val="center"/>
                </w:tcPr>
                <w:p>
                  <w:pPr>
                    <w:jc w:val="center"/>
                    <w:rPr>
                      <w:bCs/>
                      <w:szCs w:val="21"/>
                    </w:rPr>
                  </w:pPr>
                  <w:r>
                    <w:rPr>
                      <w:bCs/>
                      <w:szCs w:val="21"/>
                    </w:rPr>
                    <w:t>10.8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42" w:type="dxa"/>
                  <w:gridSpan w:val="3"/>
                  <w:vAlign w:val="center"/>
                </w:tcPr>
                <w:p>
                  <w:pPr>
                    <w:jc w:val="center"/>
                    <w:rPr>
                      <w:bCs/>
                      <w:szCs w:val="21"/>
                    </w:rPr>
                  </w:pPr>
                  <w:r>
                    <w:rPr>
                      <w:bCs/>
                      <w:szCs w:val="21"/>
                    </w:rPr>
                    <w:t>生活污水</w:t>
                  </w:r>
                </w:p>
              </w:tc>
              <w:tc>
                <w:tcPr>
                  <w:tcW w:w="709" w:type="dxa"/>
                  <w:vAlign w:val="center"/>
                </w:tcPr>
                <w:p>
                  <w:pPr>
                    <w:jc w:val="center"/>
                    <w:rPr>
                      <w:bCs/>
                      <w:szCs w:val="21"/>
                    </w:rPr>
                  </w:pPr>
                  <w:r>
                    <w:rPr>
                      <w:bCs/>
                      <w:szCs w:val="21"/>
                    </w:rPr>
                    <w:t>1.2</w:t>
                  </w:r>
                </w:p>
              </w:tc>
              <w:tc>
                <w:tcPr>
                  <w:tcW w:w="567" w:type="dxa"/>
                  <w:vAlign w:val="center"/>
                </w:tcPr>
                <w:p>
                  <w:pPr>
                    <w:jc w:val="center"/>
                    <w:rPr>
                      <w:bCs/>
                      <w:szCs w:val="21"/>
                    </w:rPr>
                  </w:pPr>
                  <w:r>
                    <w:rPr>
                      <w:bCs/>
                      <w:szCs w:val="21"/>
                    </w:rPr>
                    <w:t>/</w:t>
                  </w:r>
                </w:p>
              </w:tc>
              <w:tc>
                <w:tcPr>
                  <w:tcW w:w="709" w:type="dxa"/>
                  <w:vAlign w:val="center"/>
                </w:tcPr>
                <w:p>
                  <w:pPr>
                    <w:jc w:val="center"/>
                    <w:rPr>
                      <w:bCs/>
                      <w:szCs w:val="21"/>
                    </w:rPr>
                  </w:pPr>
                  <w:r>
                    <w:rPr>
                      <w:bCs/>
                      <w:szCs w:val="21"/>
                    </w:rPr>
                    <w:t>350</w:t>
                  </w:r>
                </w:p>
              </w:tc>
              <w:tc>
                <w:tcPr>
                  <w:tcW w:w="709" w:type="dxa"/>
                  <w:vAlign w:val="center"/>
                </w:tcPr>
                <w:p>
                  <w:pPr>
                    <w:jc w:val="center"/>
                    <w:rPr>
                      <w:bCs/>
                      <w:szCs w:val="21"/>
                    </w:rPr>
                  </w:pPr>
                  <w:r>
                    <w:rPr>
                      <w:bCs/>
                      <w:szCs w:val="21"/>
                    </w:rPr>
                    <w:t>200</w:t>
                  </w:r>
                </w:p>
              </w:tc>
              <w:tc>
                <w:tcPr>
                  <w:tcW w:w="708" w:type="dxa"/>
                  <w:vAlign w:val="center"/>
                </w:tcPr>
                <w:p>
                  <w:pPr>
                    <w:jc w:val="center"/>
                    <w:rPr>
                      <w:bCs/>
                      <w:szCs w:val="21"/>
                    </w:rPr>
                  </w:pPr>
                  <w:r>
                    <w:rPr>
                      <w:bCs/>
                      <w:szCs w:val="21"/>
                    </w:rPr>
                    <w:t>250</w:t>
                  </w:r>
                </w:p>
              </w:tc>
              <w:tc>
                <w:tcPr>
                  <w:tcW w:w="709" w:type="dxa"/>
                  <w:vAlign w:val="center"/>
                </w:tcPr>
                <w:p>
                  <w:pPr>
                    <w:jc w:val="center"/>
                    <w:rPr>
                      <w:bCs/>
                      <w:szCs w:val="21"/>
                    </w:rPr>
                  </w:pPr>
                  <w:r>
                    <w:rPr>
                      <w:bCs/>
                      <w:szCs w:val="21"/>
                    </w:rPr>
                    <w:t>25</w:t>
                  </w:r>
                </w:p>
              </w:tc>
              <w:tc>
                <w:tcPr>
                  <w:tcW w:w="709" w:type="dxa"/>
                  <w:vAlign w:val="center"/>
                </w:tcPr>
                <w:p>
                  <w:pPr>
                    <w:jc w:val="center"/>
                    <w:rPr>
                      <w:bCs/>
                      <w:szCs w:val="21"/>
                    </w:rPr>
                  </w:pPr>
                  <w:r>
                    <w:rPr>
                      <w:bCs/>
                      <w:szCs w:val="21"/>
                    </w:rPr>
                    <w:t>3</w:t>
                  </w:r>
                </w:p>
              </w:tc>
              <w:tc>
                <w:tcPr>
                  <w:tcW w:w="708" w:type="dxa"/>
                  <w:vAlign w:val="center"/>
                </w:tcPr>
                <w:p>
                  <w:pPr>
                    <w:jc w:val="center"/>
                    <w:rPr>
                      <w:bCs/>
                      <w:szCs w:val="21"/>
                    </w:rPr>
                  </w:pPr>
                  <w:r>
                    <w:rPr>
                      <w:bCs/>
                      <w:szCs w:val="21"/>
                    </w:rPr>
                    <w:t>30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4" w:type="dxa"/>
                  <w:vAlign w:val="center"/>
                </w:tcPr>
                <w:p>
                  <w:pPr>
                    <w:jc w:val="center"/>
                    <w:rPr>
                      <w:bCs/>
                      <w:szCs w:val="21"/>
                    </w:rPr>
                  </w:pPr>
                  <w:r>
                    <w:rPr>
                      <w:bCs/>
                      <w:szCs w:val="21"/>
                    </w:rPr>
                    <w:t>化粪池</w:t>
                  </w:r>
                </w:p>
              </w:tc>
              <w:tc>
                <w:tcPr>
                  <w:tcW w:w="1428" w:type="dxa"/>
                  <w:gridSpan w:val="2"/>
                  <w:vAlign w:val="center"/>
                </w:tcPr>
                <w:p>
                  <w:pPr>
                    <w:jc w:val="center"/>
                    <w:rPr>
                      <w:bCs/>
                      <w:szCs w:val="21"/>
                    </w:rPr>
                  </w:pPr>
                  <w:r>
                    <w:rPr>
                      <w:bCs/>
                      <w:szCs w:val="21"/>
                    </w:rPr>
                    <w:t>出口水质</w:t>
                  </w:r>
                </w:p>
              </w:tc>
              <w:tc>
                <w:tcPr>
                  <w:tcW w:w="709" w:type="dxa"/>
                  <w:vAlign w:val="center"/>
                </w:tcPr>
                <w:p>
                  <w:pPr>
                    <w:jc w:val="center"/>
                    <w:rPr>
                      <w:bCs/>
                      <w:szCs w:val="21"/>
                    </w:rPr>
                  </w:pPr>
                  <w:r>
                    <w:rPr>
                      <w:bCs/>
                      <w:szCs w:val="21"/>
                    </w:rPr>
                    <w:t>1.2</w:t>
                  </w:r>
                </w:p>
              </w:tc>
              <w:tc>
                <w:tcPr>
                  <w:tcW w:w="567" w:type="dxa"/>
                  <w:vAlign w:val="center"/>
                </w:tcPr>
                <w:p>
                  <w:pPr>
                    <w:jc w:val="center"/>
                    <w:rPr>
                      <w:bCs/>
                      <w:szCs w:val="21"/>
                    </w:rPr>
                  </w:pPr>
                  <w:r>
                    <w:rPr>
                      <w:bCs/>
                      <w:szCs w:val="21"/>
                    </w:rPr>
                    <w:t>/</w:t>
                  </w:r>
                </w:p>
              </w:tc>
              <w:tc>
                <w:tcPr>
                  <w:tcW w:w="709" w:type="dxa"/>
                  <w:vAlign w:val="center"/>
                </w:tcPr>
                <w:p>
                  <w:pPr>
                    <w:jc w:val="center"/>
                    <w:rPr>
                      <w:bCs/>
                      <w:szCs w:val="21"/>
                    </w:rPr>
                  </w:pPr>
                  <w:r>
                    <w:rPr>
                      <w:bCs/>
                      <w:szCs w:val="21"/>
                    </w:rPr>
                    <w:t>250</w:t>
                  </w:r>
                </w:p>
              </w:tc>
              <w:tc>
                <w:tcPr>
                  <w:tcW w:w="709" w:type="dxa"/>
                  <w:vAlign w:val="center"/>
                </w:tcPr>
                <w:p>
                  <w:pPr>
                    <w:jc w:val="center"/>
                    <w:rPr>
                      <w:bCs/>
                      <w:szCs w:val="21"/>
                    </w:rPr>
                  </w:pPr>
                  <w:r>
                    <w:rPr>
                      <w:bCs/>
                      <w:szCs w:val="21"/>
                    </w:rPr>
                    <w:t>140</w:t>
                  </w:r>
                </w:p>
              </w:tc>
              <w:tc>
                <w:tcPr>
                  <w:tcW w:w="708" w:type="dxa"/>
                  <w:vAlign w:val="center"/>
                </w:tcPr>
                <w:p>
                  <w:pPr>
                    <w:jc w:val="center"/>
                    <w:rPr>
                      <w:bCs/>
                      <w:szCs w:val="21"/>
                    </w:rPr>
                  </w:pPr>
                  <w:r>
                    <w:rPr>
                      <w:bCs/>
                      <w:szCs w:val="21"/>
                    </w:rPr>
                    <w:t>200</w:t>
                  </w:r>
                </w:p>
              </w:tc>
              <w:tc>
                <w:tcPr>
                  <w:tcW w:w="709" w:type="dxa"/>
                  <w:vAlign w:val="center"/>
                </w:tcPr>
                <w:p>
                  <w:pPr>
                    <w:jc w:val="center"/>
                    <w:rPr>
                      <w:bCs/>
                      <w:szCs w:val="21"/>
                    </w:rPr>
                  </w:pPr>
                  <w:r>
                    <w:rPr>
                      <w:bCs/>
                      <w:szCs w:val="21"/>
                    </w:rPr>
                    <w:t>25</w:t>
                  </w:r>
                </w:p>
              </w:tc>
              <w:tc>
                <w:tcPr>
                  <w:tcW w:w="709" w:type="dxa"/>
                  <w:vAlign w:val="center"/>
                </w:tcPr>
                <w:p>
                  <w:pPr>
                    <w:jc w:val="center"/>
                    <w:rPr>
                      <w:bCs/>
                      <w:szCs w:val="21"/>
                    </w:rPr>
                  </w:pPr>
                  <w:r>
                    <w:rPr>
                      <w:bCs/>
                      <w:szCs w:val="21"/>
                    </w:rPr>
                    <w:t>3</w:t>
                  </w:r>
                </w:p>
              </w:tc>
              <w:tc>
                <w:tcPr>
                  <w:tcW w:w="708" w:type="dxa"/>
                  <w:vAlign w:val="center"/>
                </w:tcPr>
                <w:p>
                  <w:pPr>
                    <w:jc w:val="center"/>
                    <w:rPr>
                      <w:bCs/>
                      <w:szCs w:val="21"/>
                    </w:rPr>
                  </w:pPr>
                  <w:r>
                    <w:rPr>
                      <w:bCs/>
                      <w:szCs w:val="21"/>
                    </w:rPr>
                    <w:t>30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42" w:type="dxa"/>
                  <w:gridSpan w:val="3"/>
                  <w:vAlign w:val="center"/>
                </w:tcPr>
                <w:p>
                  <w:pPr>
                    <w:jc w:val="center"/>
                    <w:rPr>
                      <w:bCs/>
                      <w:szCs w:val="21"/>
                    </w:rPr>
                  </w:pPr>
                  <w:r>
                    <w:rPr>
                      <w:bCs/>
                      <w:szCs w:val="21"/>
                    </w:rPr>
                    <w:t>厂区总排口</w:t>
                  </w:r>
                </w:p>
              </w:tc>
              <w:tc>
                <w:tcPr>
                  <w:tcW w:w="709" w:type="dxa"/>
                  <w:vAlign w:val="center"/>
                </w:tcPr>
                <w:p>
                  <w:pPr>
                    <w:jc w:val="center"/>
                    <w:rPr>
                      <w:bCs/>
                      <w:szCs w:val="21"/>
                    </w:rPr>
                  </w:pPr>
                  <w:r>
                    <w:rPr>
                      <w:rFonts w:hint="eastAsia"/>
                      <w:bCs/>
                      <w:szCs w:val="21"/>
                    </w:rPr>
                    <w:t>7</w:t>
                  </w:r>
                  <w:r>
                    <w:rPr>
                      <w:bCs/>
                      <w:szCs w:val="21"/>
                    </w:rPr>
                    <w:t>.12</w:t>
                  </w:r>
                </w:p>
              </w:tc>
              <w:tc>
                <w:tcPr>
                  <w:tcW w:w="567" w:type="dxa"/>
                  <w:vAlign w:val="center"/>
                </w:tcPr>
                <w:p>
                  <w:pPr>
                    <w:jc w:val="center"/>
                    <w:rPr>
                      <w:bCs/>
                      <w:szCs w:val="21"/>
                    </w:rPr>
                  </w:pPr>
                  <w:r>
                    <w:rPr>
                      <w:bCs/>
                      <w:szCs w:val="21"/>
                    </w:rPr>
                    <w:t>6-9</w:t>
                  </w:r>
                </w:p>
              </w:tc>
              <w:tc>
                <w:tcPr>
                  <w:tcW w:w="709" w:type="dxa"/>
                  <w:vAlign w:val="center"/>
                </w:tcPr>
                <w:p>
                  <w:pPr>
                    <w:jc w:val="center"/>
                    <w:rPr>
                      <w:bCs/>
                      <w:szCs w:val="21"/>
                    </w:rPr>
                  </w:pPr>
                  <w:r>
                    <w:rPr>
                      <w:bCs/>
                      <w:szCs w:val="21"/>
                    </w:rPr>
                    <w:t>189.2</w:t>
                  </w:r>
                </w:p>
              </w:tc>
              <w:tc>
                <w:tcPr>
                  <w:tcW w:w="709" w:type="dxa"/>
                  <w:vAlign w:val="center"/>
                </w:tcPr>
                <w:p>
                  <w:pPr>
                    <w:jc w:val="center"/>
                    <w:rPr>
                      <w:bCs/>
                      <w:szCs w:val="21"/>
                    </w:rPr>
                  </w:pPr>
                  <w:r>
                    <w:rPr>
                      <w:bCs/>
                      <w:szCs w:val="21"/>
                    </w:rPr>
                    <w:t>79.5</w:t>
                  </w:r>
                </w:p>
              </w:tc>
              <w:tc>
                <w:tcPr>
                  <w:tcW w:w="708" w:type="dxa"/>
                  <w:vAlign w:val="center"/>
                </w:tcPr>
                <w:p>
                  <w:pPr>
                    <w:jc w:val="center"/>
                    <w:rPr>
                      <w:bCs/>
                      <w:szCs w:val="21"/>
                    </w:rPr>
                  </w:pPr>
                  <w:r>
                    <w:rPr>
                      <w:bCs/>
                      <w:szCs w:val="21"/>
                    </w:rPr>
                    <w:t>49.0</w:t>
                  </w:r>
                </w:p>
              </w:tc>
              <w:tc>
                <w:tcPr>
                  <w:tcW w:w="709" w:type="dxa"/>
                  <w:vAlign w:val="center"/>
                </w:tcPr>
                <w:p>
                  <w:pPr>
                    <w:jc w:val="center"/>
                    <w:rPr>
                      <w:bCs/>
                      <w:szCs w:val="21"/>
                    </w:rPr>
                  </w:pPr>
                  <w:r>
                    <w:rPr>
                      <w:bCs/>
                      <w:szCs w:val="21"/>
                    </w:rPr>
                    <w:t>11.4</w:t>
                  </w:r>
                </w:p>
              </w:tc>
              <w:tc>
                <w:tcPr>
                  <w:tcW w:w="709" w:type="dxa"/>
                  <w:vAlign w:val="center"/>
                </w:tcPr>
                <w:p>
                  <w:pPr>
                    <w:jc w:val="center"/>
                    <w:rPr>
                      <w:bCs/>
                      <w:szCs w:val="21"/>
                    </w:rPr>
                  </w:pPr>
                  <w:r>
                    <w:rPr>
                      <w:bCs/>
                      <w:szCs w:val="21"/>
                    </w:rPr>
                    <w:t>1.2</w:t>
                  </w:r>
                </w:p>
              </w:tc>
              <w:tc>
                <w:tcPr>
                  <w:tcW w:w="708" w:type="dxa"/>
                  <w:vAlign w:val="center"/>
                </w:tcPr>
                <w:p>
                  <w:pPr>
                    <w:jc w:val="center"/>
                    <w:rPr>
                      <w:bCs/>
                      <w:szCs w:val="21"/>
                    </w:rPr>
                  </w:pPr>
                  <w:r>
                    <w:rPr>
                      <w:bCs/>
                      <w:szCs w:val="21"/>
                    </w:rPr>
                    <w:t>14.0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42" w:type="dxa"/>
                  <w:gridSpan w:val="3"/>
                  <w:vMerge w:val="restart"/>
                  <w:vAlign w:val="center"/>
                </w:tcPr>
                <w:p>
                  <w:pPr>
                    <w:jc w:val="center"/>
                    <w:rPr>
                      <w:bCs/>
                      <w:szCs w:val="21"/>
                    </w:rPr>
                  </w:pPr>
                  <w:r>
                    <w:rPr>
                      <w:bCs/>
                      <w:szCs w:val="21"/>
                    </w:rPr>
                    <w:t>新乡县综合污水处理厂</w:t>
                  </w:r>
                </w:p>
              </w:tc>
              <w:tc>
                <w:tcPr>
                  <w:tcW w:w="709" w:type="dxa"/>
                  <w:vAlign w:val="center"/>
                </w:tcPr>
                <w:p>
                  <w:pPr>
                    <w:jc w:val="center"/>
                    <w:rPr>
                      <w:bCs/>
                      <w:szCs w:val="21"/>
                    </w:rPr>
                  </w:pPr>
                  <w:r>
                    <w:rPr>
                      <w:bCs/>
                      <w:szCs w:val="21"/>
                    </w:rPr>
                    <w:t>进水</w:t>
                  </w:r>
                </w:p>
              </w:tc>
              <w:tc>
                <w:tcPr>
                  <w:tcW w:w="567" w:type="dxa"/>
                  <w:vAlign w:val="center"/>
                </w:tcPr>
                <w:p>
                  <w:pPr>
                    <w:jc w:val="center"/>
                    <w:rPr>
                      <w:bCs/>
                      <w:szCs w:val="21"/>
                    </w:rPr>
                  </w:pPr>
                  <w:r>
                    <w:rPr>
                      <w:bCs/>
                      <w:szCs w:val="21"/>
                    </w:rPr>
                    <w:t>/</w:t>
                  </w:r>
                </w:p>
              </w:tc>
              <w:tc>
                <w:tcPr>
                  <w:tcW w:w="709" w:type="dxa"/>
                  <w:vAlign w:val="center"/>
                </w:tcPr>
                <w:p>
                  <w:pPr>
                    <w:jc w:val="center"/>
                    <w:rPr>
                      <w:bCs/>
                      <w:szCs w:val="21"/>
                    </w:rPr>
                  </w:pPr>
                  <w:r>
                    <w:rPr>
                      <w:bCs/>
                      <w:szCs w:val="21"/>
                    </w:rPr>
                    <w:t>400</w:t>
                  </w:r>
                </w:p>
              </w:tc>
              <w:tc>
                <w:tcPr>
                  <w:tcW w:w="709" w:type="dxa"/>
                  <w:vAlign w:val="center"/>
                </w:tcPr>
                <w:p>
                  <w:pPr>
                    <w:jc w:val="center"/>
                    <w:rPr>
                      <w:bCs/>
                      <w:szCs w:val="21"/>
                    </w:rPr>
                  </w:pPr>
                  <w:r>
                    <w:rPr>
                      <w:bCs/>
                      <w:szCs w:val="21"/>
                    </w:rPr>
                    <w:t>/</w:t>
                  </w:r>
                </w:p>
              </w:tc>
              <w:tc>
                <w:tcPr>
                  <w:tcW w:w="708" w:type="dxa"/>
                  <w:vAlign w:val="center"/>
                </w:tcPr>
                <w:p>
                  <w:pPr>
                    <w:jc w:val="center"/>
                    <w:rPr>
                      <w:bCs/>
                      <w:szCs w:val="21"/>
                    </w:rPr>
                  </w:pPr>
                  <w:r>
                    <w:rPr>
                      <w:bCs/>
                      <w:szCs w:val="21"/>
                    </w:rPr>
                    <w:t>180</w:t>
                  </w:r>
                </w:p>
              </w:tc>
              <w:tc>
                <w:tcPr>
                  <w:tcW w:w="709" w:type="dxa"/>
                  <w:vAlign w:val="center"/>
                </w:tcPr>
                <w:p>
                  <w:pPr>
                    <w:jc w:val="center"/>
                    <w:rPr>
                      <w:bCs/>
                      <w:szCs w:val="21"/>
                    </w:rPr>
                  </w:pPr>
                  <w:r>
                    <w:rPr>
                      <w:bCs/>
                      <w:szCs w:val="21"/>
                    </w:rPr>
                    <w:t>59</w:t>
                  </w:r>
                </w:p>
              </w:tc>
              <w:tc>
                <w:tcPr>
                  <w:tcW w:w="709" w:type="dxa"/>
                  <w:vAlign w:val="center"/>
                </w:tcPr>
                <w:p>
                  <w:pPr>
                    <w:jc w:val="center"/>
                    <w:rPr>
                      <w:bCs/>
                      <w:szCs w:val="21"/>
                    </w:rPr>
                  </w:pPr>
                  <w:r>
                    <w:rPr>
                      <w:bCs/>
                      <w:szCs w:val="21"/>
                    </w:rPr>
                    <w:t>4.0</w:t>
                  </w:r>
                </w:p>
              </w:tc>
              <w:tc>
                <w:tcPr>
                  <w:tcW w:w="708" w:type="dxa"/>
                  <w:vAlign w:val="center"/>
                </w:tcPr>
                <w:p>
                  <w:pPr>
                    <w:jc w:val="center"/>
                    <w:rPr>
                      <w:bCs/>
                      <w:szCs w:val="21"/>
                    </w:rPr>
                  </w:pPr>
                  <w:r>
                    <w:rPr>
                      <w:bCs/>
                      <w:szCs w:val="21"/>
                    </w:rPr>
                    <w:t>70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42" w:type="dxa"/>
                  <w:gridSpan w:val="3"/>
                  <w:vMerge w:val="continue"/>
                  <w:vAlign w:val="center"/>
                </w:tcPr>
                <w:p>
                  <w:pPr>
                    <w:widowControl/>
                    <w:jc w:val="left"/>
                    <w:rPr>
                      <w:bCs/>
                      <w:szCs w:val="21"/>
                    </w:rPr>
                  </w:pPr>
                </w:p>
              </w:tc>
              <w:tc>
                <w:tcPr>
                  <w:tcW w:w="709" w:type="dxa"/>
                  <w:vAlign w:val="center"/>
                </w:tcPr>
                <w:p>
                  <w:pPr>
                    <w:jc w:val="center"/>
                    <w:rPr>
                      <w:bCs/>
                      <w:szCs w:val="21"/>
                    </w:rPr>
                  </w:pPr>
                  <w:r>
                    <w:rPr>
                      <w:bCs/>
                      <w:szCs w:val="21"/>
                    </w:rPr>
                    <w:t>出水</w:t>
                  </w:r>
                </w:p>
              </w:tc>
              <w:tc>
                <w:tcPr>
                  <w:tcW w:w="567" w:type="dxa"/>
                  <w:vAlign w:val="center"/>
                </w:tcPr>
                <w:p>
                  <w:pPr>
                    <w:jc w:val="center"/>
                    <w:rPr>
                      <w:bCs/>
                      <w:szCs w:val="21"/>
                    </w:rPr>
                  </w:pPr>
                  <w:r>
                    <w:rPr>
                      <w:bCs/>
                      <w:szCs w:val="21"/>
                    </w:rPr>
                    <w:t>/</w:t>
                  </w:r>
                </w:p>
              </w:tc>
              <w:tc>
                <w:tcPr>
                  <w:tcW w:w="709" w:type="dxa"/>
                  <w:vAlign w:val="center"/>
                </w:tcPr>
                <w:p>
                  <w:pPr>
                    <w:jc w:val="center"/>
                    <w:rPr>
                      <w:bCs/>
                      <w:szCs w:val="21"/>
                    </w:rPr>
                  </w:pPr>
                  <w:r>
                    <w:rPr>
                      <w:bCs/>
                      <w:szCs w:val="21"/>
                    </w:rPr>
                    <w:t>40</w:t>
                  </w:r>
                </w:p>
              </w:tc>
              <w:tc>
                <w:tcPr>
                  <w:tcW w:w="709" w:type="dxa"/>
                  <w:vAlign w:val="center"/>
                </w:tcPr>
                <w:p>
                  <w:pPr>
                    <w:jc w:val="center"/>
                    <w:rPr>
                      <w:bCs/>
                      <w:szCs w:val="21"/>
                    </w:rPr>
                  </w:pPr>
                  <w:r>
                    <w:rPr>
                      <w:bCs/>
                      <w:szCs w:val="21"/>
                    </w:rPr>
                    <w:t>/</w:t>
                  </w:r>
                </w:p>
              </w:tc>
              <w:tc>
                <w:tcPr>
                  <w:tcW w:w="708" w:type="dxa"/>
                  <w:vAlign w:val="center"/>
                </w:tcPr>
                <w:p>
                  <w:pPr>
                    <w:jc w:val="center"/>
                    <w:rPr>
                      <w:bCs/>
                      <w:szCs w:val="21"/>
                    </w:rPr>
                  </w:pPr>
                  <w:r>
                    <w:rPr>
                      <w:bCs/>
                      <w:szCs w:val="21"/>
                    </w:rPr>
                    <w:t>/</w:t>
                  </w:r>
                </w:p>
              </w:tc>
              <w:tc>
                <w:tcPr>
                  <w:tcW w:w="709" w:type="dxa"/>
                  <w:vAlign w:val="center"/>
                </w:tcPr>
                <w:p>
                  <w:pPr>
                    <w:jc w:val="center"/>
                    <w:rPr>
                      <w:bCs/>
                      <w:szCs w:val="21"/>
                    </w:rPr>
                  </w:pPr>
                  <w:r>
                    <w:rPr>
                      <w:bCs/>
                      <w:szCs w:val="21"/>
                    </w:rPr>
                    <w:t>2</w:t>
                  </w:r>
                </w:p>
              </w:tc>
              <w:tc>
                <w:tcPr>
                  <w:tcW w:w="709" w:type="dxa"/>
                  <w:vAlign w:val="center"/>
                </w:tcPr>
                <w:p>
                  <w:pPr>
                    <w:jc w:val="center"/>
                    <w:rPr>
                      <w:bCs/>
                      <w:szCs w:val="21"/>
                    </w:rPr>
                  </w:pPr>
                  <w:r>
                    <w:rPr>
                      <w:bCs/>
                      <w:szCs w:val="21"/>
                    </w:rPr>
                    <w:t>0.4</w:t>
                  </w:r>
                </w:p>
              </w:tc>
              <w:tc>
                <w:tcPr>
                  <w:tcW w:w="708" w:type="dxa"/>
                  <w:vAlign w:val="center"/>
                </w:tcPr>
                <w:p>
                  <w:pPr>
                    <w:jc w:val="center"/>
                    <w:rPr>
                      <w:bCs/>
                      <w:szCs w:val="21"/>
                    </w:rPr>
                  </w:pPr>
                  <w:r>
                    <w:rPr>
                      <w:bCs/>
                      <w:szCs w:val="21"/>
                    </w:rPr>
                    <w:t>15</w:t>
                  </w:r>
                </w:p>
              </w:tc>
            </w:tr>
          </w:tbl>
          <w:p>
            <w:pPr>
              <w:spacing w:line="460" w:lineRule="exact"/>
              <w:ind w:firstLine="480" w:firstLineChars="200"/>
              <w:rPr>
                <w:color w:val="0000FF"/>
                <w:sz w:val="24"/>
                <w:highlight w:val="yellow"/>
              </w:rPr>
            </w:pPr>
            <w:r>
              <w:rPr>
                <w:sz w:val="24"/>
              </w:rPr>
              <w:t>由上表可知，本工程综合废水产生量为7.12m</w:t>
            </w:r>
            <w:r>
              <w:rPr>
                <w:sz w:val="24"/>
                <w:vertAlign w:val="superscript"/>
              </w:rPr>
              <w:t>3</w:t>
            </w:r>
            <w:r>
              <w:rPr>
                <w:sz w:val="24"/>
              </w:rPr>
              <w:t>/d（1922.4m</w:t>
            </w:r>
            <w:r>
              <w:rPr>
                <w:sz w:val="24"/>
                <w:vertAlign w:val="superscript"/>
              </w:rPr>
              <w:t>3</w:t>
            </w:r>
            <w:r>
              <w:rPr>
                <w:sz w:val="24"/>
              </w:rPr>
              <w:t>/a），厂区总排口的水质为PH6-9、COD189.2mg/L、BOD</w:t>
            </w:r>
            <w:r>
              <w:rPr>
                <w:sz w:val="24"/>
                <w:vertAlign w:val="subscript"/>
              </w:rPr>
              <w:t>5</w:t>
            </w:r>
            <w:r>
              <w:rPr>
                <w:sz w:val="24"/>
              </w:rPr>
              <w:t>79.5mg/L、SS49mg/L、NH</w:t>
            </w:r>
            <w:r>
              <w:rPr>
                <w:sz w:val="24"/>
                <w:vertAlign w:val="subscript"/>
              </w:rPr>
              <w:t>3</w:t>
            </w:r>
            <w:r>
              <w:rPr>
                <w:sz w:val="24"/>
              </w:rPr>
              <w:t>-N11.4mg/L、TP</w:t>
            </w:r>
            <w:r>
              <w:rPr>
                <w:rFonts w:hint="eastAsia"/>
                <w:sz w:val="24"/>
              </w:rPr>
              <w:t>1.</w:t>
            </w:r>
            <w:r>
              <w:rPr>
                <w:sz w:val="24"/>
              </w:rPr>
              <w:t>2mg/L、TN14mg/L，能够满足新乡县综合污水处理厂进水水质COD400mg/L、SS180mg/L、NH</w:t>
            </w:r>
            <w:r>
              <w:rPr>
                <w:sz w:val="24"/>
                <w:vertAlign w:val="subscript"/>
              </w:rPr>
              <w:t>3</w:t>
            </w:r>
            <w:r>
              <w:rPr>
                <w:sz w:val="24"/>
              </w:rPr>
              <w:t>-N59mg/L、TP4.0mg/L、TN70mg/L的要求，厂区总排口污水经管网进入新乡县综合污水处理厂进一步处理。</w:t>
            </w:r>
          </w:p>
          <w:p>
            <w:pPr>
              <w:spacing w:line="460" w:lineRule="exact"/>
              <w:ind w:firstLine="480" w:firstLineChars="200"/>
              <w:rPr>
                <w:sz w:val="24"/>
              </w:rPr>
            </w:pPr>
            <w:r>
              <w:rPr>
                <w:sz w:val="24"/>
              </w:rPr>
              <w:t>本项目出厂废水污染物排放量为COD0.3637t/a、BOD</w:t>
            </w:r>
            <w:r>
              <w:rPr>
                <w:sz w:val="24"/>
                <w:vertAlign w:val="subscript"/>
              </w:rPr>
              <w:t>5</w:t>
            </w:r>
            <w:r>
              <w:rPr>
                <w:sz w:val="24"/>
              </w:rPr>
              <w:t>0.1528t/a、SS0.0942t/a、NH</w:t>
            </w:r>
            <w:r>
              <w:rPr>
                <w:sz w:val="24"/>
                <w:vertAlign w:val="subscript"/>
              </w:rPr>
              <w:t>3</w:t>
            </w:r>
            <w:r>
              <w:rPr>
                <w:sz w:val="24"/>
              </w:rPr>
              <w:t>-N</w:t>
            </w:r>
            <w:r>
              <w:rPr>
                <w:rFonts w:hint="eastAsia"/>
                <w:sz w:val="24"/>
              </w:rPr>
              <w:t>0.0</w:t>
            </w:r>
            <w:r>
              <w:rPr>
                <w:sz w:val="24"/>
              </w:rPr>
              <w:t>219t/a、TP0.0023t/a、TN</w:t>
            </w:r>
            <w:r>
              <w:rPr>
                <w:rFonts w:hint="eastAsia"/>
                <w:sz w:val="24"/>
              </w:rPr>
              <w:t>0.0</w:t>
            </w:r>
            <w:r>
              <w:rPr>
                <w:sz w:val="24"/>
              </w:rPr>
              <w:t>269t/a，经新乡县综合污水处理厂处理后的废水污染物排放量为COD0.0769t/a、NH</w:t>
            </w:r>
            <w:r>
              <w:rPr>
                <w:sz w:val="24"/>
                <w:vertAlign w:val="subscript"/>
              </w:rPr>
              <w:t>3</w:t>
            </w:r>
            <w:r>
              <w:rPr>
                <w:sz w:val="24"/>
              </w:rPr>
              <w:t>-N0.0038t/a、TP0.0008t/a、TN0.0288t/a。</w:t>
            </w:r>
          </w:p>
          <w:p>
            <w:pPr>
              <w:spacing w:line="460" w:lineRule="exact"/>
              <w:ind w:firstLine="482" w:firstLineChars="200"/>
              <w:rPr>
                <w:b/>
                <w:sz w:val="24"/>
              </w:rPr>
            </w:pPr>
            <w:r>
              <w:rPr>
                <w:b/>
                <w:sz w:val="24"/>
              </w:rPr>
              <w:t>（二）、污水处理厂依托可行性分析</w:t>
            </w:r>
          </w:p>
          <w:p>
            <w:pPr>
              <w:pStyle w:val="59"/>
              <w:spacing w:line="460" w:lineRule="exact"/>
              <w:ind w:firstLine="480" w:firstLineChars="200"/>
              <w:rPr>
                <w:sz w:val="24"/>
              </w:rPr>
            </w:pPr>
            <w:r>
              <w:rPr>
                <w:sz w:val="24"/>
              </w:rPr>
              <w:t>新乡县综合污水处理厂依托可行性评价：</w:t>
            </w:r>
          </w:p>
          <w:p>
            <w:pPr>
              <w:snapToGrid w:val="0"/>
              <w:spacing w:line="460" w:lineRule="exact"/>
              <w:ind w:firstLine="480" w:firstLineChars="200"/>
              <w:rPr>
                <w:color w:val="000000"/>
                <w:sz w:val="24"/>
              </w:rPr>
            </w:pPr>
            <w:r>
              <w:rPr>
                <w:color w:val="000000"/>
                <w:sz w:val="24"/>
              </w:rPr>
              <w:t>新乡县综合污水处理厂位于新乡县产业集聚区北区（胜利路以东、青龙路以北，文化路以西，东孟姜女河以南），设计处理规模为15万m³/d，污水处理工艺采用“格栅+水解酸化+AAOAO+沉淀+V型过滤+臭氧接触+活性炭过滤”。收水范围为新乡县城区、新乡经济技术产</w:t>
            </w:r>
            <w:r>
              <w:rPr>
                <w:sz w:val="24"/>
              </w:rPr>
              <w:t>业集聚区</w:t>
            </w:r>
            <w:r>
              <w:rPr>
                <w:color w:val="000000"/>
                <w:sz w:val="24"/>
              </w:rPr>
              <w:t>（纸制品印刷包装产业园和装备制造产业园）</w:t>
            </w:r>
            <w:r>
              <w:rPr>
                <w:sz w:val="24"/>
              </w:rPr>
              <w:t>、朗公庙镇镇区等区域（收水范围涵盖贾屯污水处理厂在新乡县的全部收水范围）。</w:t>
            </w:r>
            <w:r>
              <w:rPr>
                <w:color w:val="000000"/>
                <w:sz w:val="24"/>
              </w:rPr>
              <w:t>本项目位于新乡经济技术产业集聚区纸制品印刷包装产业园，属于新乡县综合污水处理厂的收水范围。</w:t>
            </w:r>
          </w:p>
          <w:p>
            <w:pPr>
              <w:snapToGrid w:val="0"/>
              <w:spacing w:line="460" w:lineRule="exact"/>
              <w:ind w:firstLine="480" w:firstLineChars="200"/>
              <w:rPr>
                <w:color w:val="000000"/>
                <w:sz w:val="24"/>
              </w:rPr>
            </w:pPr>
            <w:r>
              <w:rPr>
                <w:color w:val="000000"/>
                <w:sz w:val="24"/>
              </w:rPr>
              <w:t>本项目生活污水经化粪池处理后与经厂区内一体化污水处理设施处理的生产废水一起经污水管网排入新乡县综合污水处理厂进一步处理，处理后排入东孟姜女河。</w:t>
            </w:r>
            <w:r>
              <w:rPr>
                <w:sz w:val="24"/>
              </w:rPr>
              <w:t>新乡县综合污水处理厂</w:t>
            </w:r>
            <w:r>
              <w:rPr>
                <w:color w:val="000000"/>
                <w:sz w:val="24"/>
              </w:rPr>
              <w:t>设计处理规模为15万</w:t>
            </w:r>
            <w:r>
              <w:rPr>
                <w:rFonts w:hint="eastAsia"/>
                <w:color w:val="000000"/>
                <w:sz w:val="24"/>
              </w:rPr>
              <w:t>m</w:t>
            </w:r>
            <w:r>
              <w:rPr>
                <w:rFonts w:hint="eastAsia"/>
                <w:color w:val="000000"/>
                <w:sz w:val="24"/>
                <w:vertAlign w:val="superscript"/>
              </w:rPr>
              <w:t>3</w:t>
            </w:r>
            <w:r>
              <w:rPr>
                <w:rFonts w:hint="eastAsia"/>
                <w:color w:val="000000"/>
                <w:sz w:val="24"/>
              </w:rPr>
              <w:t>/d</w:t>
            </w:r>
            <w:r>
              <w:rPr>
                <w:color w:val="000000"/>
                <w:sz w:val="24"/>
              </w:rPr>
              <w:t>。</w:t>
            </w:r>
            <w:r>
              <w:rPr>
                <w:rFonts w:hint="eastAsia"/>
                <w:color w:val="000000"/>
                <w:sz w:val="24"/>
              </w:rPr>
              <w:t>该污水处理厂于2022年4月1日调试结束，开始排水，目前收水量为6.6万m</w:t>
            </w:r>
            <w:r>
              <w:rPr>
                <w:rFonts w:hint="eastAsia"/>
                <w:color w:val="000000"/>
                <w:sz w:val="24"/>
                <w:vertAlign w:val="superscript"/>
              </w:rPr>
              <w:t>3</w:t>
            </w:r>
            <w:r>
              <w:rPr>
                <w:rFonts w:hint="eastAsia"/>
                <w:color w:val="000000"/>
                <w:sz w:val="24"/>
              </w:rPr>
              <w:t>/d，剩余收水量为</w:t>
            </w:r>
            <w:r>
              <w:rPr>
                <w:color w:val="000000"/>
                <w:sz w:val="24"/>
              </w:rPr>
              <w:t>8.4</w:t>
            </w:r>
            <w:r>
              <w:rPr>
                <w:rFonts w:hint="eastAsia"/>
                <w:color w:val="000000"/>
                <w:sz w:val="24"/>
              </w:rPr>
              <w:t>万m</w:t>
            </w:r>
            <w:r>
              <w:rPr>
                <w:rFonts w:hint="eastAsia"/>
                <w:color w:val="000000"/>
                <w:sz w:val="24"/>
                <w:vertAlign w:val="superscript"/>
              </w:rPr>
              <w:t>3</w:t>
            </w:r>
            <w:r>
              <w:rPr>
                <w:rFonts w:hint="eastAsia"/>
                <w:color w:val="000000"/>
                <w:sz w:val="24"/>
              </w:rPr>
              <w:t>/d。</w:t>
            </w:r>
            <w:r>
              <w:rPr>
                <w:color w:val="000000"/>
                <w:sz w:val="24"/>
              </w:rPr>
              <w:t>本项目新增外排废水</w:t>
            </w:r>
            <w:r>
              <w:rPr>
                <w:sz w:val="24"/>
              </w:rPr>
              <w:t>7.12m</w:t>
            </w:r>
            <w:r>
              <w:rPr>
                <w:sz w:val="24"/>
                <w:vertAlign w:val="superscript"/>
              </w:rPr>
              <w:t>3</w:t>
            </w:r>
            <w:r>
              <w:rPr>
                <w:sz w:val="24"/>
              </w:rPr>
              <w:t>/d</w:t>
            </w:r>
            <w:r>
              <w:rPr>
                <w:color w:val="000000"/>
                <w:sz w:val="24"/>
              </w:rPr>
              <w:t>，仅占其</w:t>
            </w:r>
            <w:r>
              <w:rPr>
                <w:rFonts w:hint="eastAsia"/>
                <w:color w:val="000000"/>
                <w:sz w:val="24"/>
              </w:rPr>
              <w:t>剩余</w:t>
            </w:r>
            <w:r>
              <w:rPr>
                <w:color w:val="000000"/>
                <w:sz w:val="24"/>
              </w:rPr>
              <w:t>处理能力的0.0085%，满足项目处理的需要，不会对污水处理厂造成冲击，评价认为本项目生活污水经化粪池处理后与经厂区内一体化污水处理设施处理的生产废水一起经污水管网排入新乡县综合污水处理厂处理是可行的。</w:t>
            </w:r>
          </w:p>
          <w:p>
            <w:pPr>
              <w:pStyle w:val="59"/>
              <w:snapToGrid w:val="0"/>
              <w:spacing w:line="460" w:lineRule="exact"/>
              <w:ind w:firstLine="480" w:firstLineChars="200"/>
              <w:rPr>
                <w:sz w:val="24"/>
              </w:rPr>
            </w:pPr>
            <w:r>
              <w:rPr>
                <w:sz w:val="24"/>
              </w:rPr>
              <w:t>新乡县综合污水处理厂出水水质COD、NH</w:t>
            </w:r>
            <w:r>
              <w:rPr>
                <w:sz w:val="24"/>
                <w:vertAlign w:val="subscript"/>
              </w:rPr>
              <w:t>3</w:t>
            </w:r>
            <w:r>
              <w:rPr>
                <w:sz w:val="24"/>
              </w:rPr>
              <w:t>-N、TP达到《地表水环境质量标准》（GB3838-2002）V类标准限值的要求，SS、TN达到《城镇污水处理厂污染物排放标准》（GB18918-2002）表1一级A的要求，即COD40mg/L、SS10mg/L、NH</w:t>
            </w:r>
            <w:r>
              <w:rPr>
                <w:sz w:val="24"/>
                <w:vertAlign w:val="subscript"/>
              </w:rPr>
              <w:t>3</w:t>
            </w:r>
            <w:r>
              <w:rPr>
                <w:sz w:val="24"/>
              </w:rPr>
              <w:t>-N2mg/L、TP0.4mg/L、TN15mg/L，最终排入东孟姜女河。</w:t>
            </w:r>
          </w:p>
          <w:p>
            <w:pPr>
              <w:spacing w:line="460" w:lineRule="exact"/>
              <w:ind w:firstLine="482" w:firstLineChars="200"/>
              <w:rPr>
                <w:b/>
                <w:sz w:val="24"/>
              </w:rPr>
            </w:pPr>
            <w:r>
              <w:rPr>
                <w:b/>
                <w:bCs/>
                <w:sz w:val="24"/>
              </w:rPr>
              <w:t>（三）</w:t>
            </w:r>
            <w:r>
              <w:rPr>
                <w:b/>
                <w:sz w:val="24"/>
              </w:rPr>
              <w:t>、污染物排放信息</w:t>
            </w:r>
          </w:p>
          <w:p>
            <w:pPr>
              <w:spacing w:line="460" w:lineRule="exact"/>
              <w:ind w:firstLine="480" w:firstLineChars="200"/>
              <w:rPr>
                <w:sz w:val="24"/>
              </w:rPr>
            </w:pPr>
            <w:r>
              <w:rPr>
                <w:rFonts w:hint="eastAsia" w:ascii="宋体" w:hAnsi="宋体" w:cs="宋体"/>
                <w:sz w:val="24"/>
              </w:rPr>
              <w:t>①</w:t>
            </w:r>
            <w:r>
              <w:rPr>
                <w:sz w:val="24"/>
              </w:rPr>
              <w:t>废水类别、污染物及污染治理设施信息表</w:t>
            </w:r>
          </w:p>
          <w:p>
            <w:pPr>
              <w:spacing w:line="460" w:lineRule="exact"/>
              <w:ind w:firstLine="480" w:firstLineChars="200"/>
              <w:jc w:val="left"/>
              <w:rPr>
                <w:rFonts w:eastAsia="黑体"/>
                <w:sz w:val="24"/>
                <w:lang w:val="pt-BR"/>
              </w:rPr>
            </w:pPr>
            <w:r>
              <w:rPr>
                <w:rFonts w:eastAsia="黑体"/>
                <w:sz w:val="24"/>
                <w:lang w:val="pt-BR"/>
              </w:rPr>
              <w:t>表26           废水类别、污染物及污染治理设施信息表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64"/>
              <w:gridCol w:w="567"/>
              <w:gridCol w:w="851"/>
              <w:gridCol w:w="709"/>
              <w:gridCol w:w="850"/>
              <w:gridCol w:w="709"/>
              <w:gridCol w:w="709"/>
              <w:gridCol w:w="567"/>
              <w:gridCol w:w="283"/>
              <w:gridCol w:w="567"/>
              <w:gridCol w:w="851"/>
              <w:gridCol w:w="114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4" w:type="dxa"/>
                  <w:vMerge w:val="restart"/>
                  <w:tcMar>
                    <w:left w:w="0" w:type="dxa"/>
                    <w:right w:w="0" w:type="dxa"/>
                  </w:tcMar>
                  <w:vAlign w:val="center"/>
                </w:tcPr>
                <w:p>
                  <w:pPr>
                    <w:jc w:val="center"/>
                    <w:rPr>
                      <w:b/>
                      <w:bCs/>
                      <w:szCs w:val="21"/>
                    </w:rPr>
                  </w:pPr>
                  <w:r>
                    <w:rPr>
                      <w:b/>
                      <w:bCs/>
                      <w:szCs w:val="21"/>
                    </w:rPr>
                    <w:t>序号</w:t>
                  </w:r>
                </w:p>
              </w:tc>
              <w:tc>
                <w:tcPr>
                  <w:tcW w:w="567" w:type="dxa"/>
                  <w:vMerge w:val="restart"/>
                  <w:vAlign w:val="center"/>
                </w:tcPr>
                <w:p>
                  <w:pPr>
                    <w:jc w:val="center"/>
                    <w:rPr>
                      <w:b/>
                      <w:bCs/>
                      <w:szCs w:val="21"/>
                    </w:rPr>
                  </w:pPr>
                  <w:r>
                    <w:rPr>
                      <w:b/>
                      <w:bCs/>
                      <w:szCs w:val="21"/>
                    </w:rPr>
                    <w:t>废水类别</w:t>
                  </w:r>
                </w:p>
              </w:tc>
              <w:tc>
                <w:tcPr>
                  <w:tcW w:w="851" w:type="dxa"/>
                  <w:vMerge w:val="restart"/>
                  <w:vAlign w:val="center"/>
                </w:tcPr>
                <w:p>
                  <w:pPr>
                    <w:jc w:val="center"/>
                    <w:rPr>
                      <w:b/>
                      <w:bCs/>
                      <w:szCs w:val="21"/>
                    </w:rPr>
                  </w:pPr>
                  <w:r>
                    <w:rPr>
                      <w:b/>
                      <w:bCs/>
                      <w:szCs w:val="21"/>
                    </w:rPr>
                    <w:t>污染物种类</w:t>
                  </w:r>
                </w:p>
              </w:tc>
              <w:tc>
                <w:tcPr>
                  <w:tcW w:w="709" w:type="dxa"/>
                  <w:vMerge w:val="restart"/>
                  <w:vAlign w:val="center"/>
                </w:tcPr>
                <w:p>
                  <w:pPr>
                    <w:jc w:val="center"/>
                    <w:rPr>
                      <w:b/>
                      <w:bCs/>
                      <w:szCs w:val="21"/>
                    </w:rPr>
                  </w:pPr>
                  <w:r>
                    <w:rPr>
                      <w:b/>
                      <w:bCs/>
                      <w:szCs w:val="21"/>
                    </w:rPr>
                    <w:t>排放去向</w:t>
                  </w:r>
                </w:p>
              </w:tc>
              <w:tc>
                <w:tcPr>
                  <w:tcW w:w="850" w:type="dxa"/>
                  <w:vMerge w:val="restart"/>
                  <w:vAlign w:val="center"/>
                </w:tcPr>
                <w:p>
                  <w:pPr>
                    <w:jc w:val="center"/>
                    <w:rPr>
                      <w:b/>
                      <w:bCs/>
                      <w:szCs w:val="21"/>
                    </w:rPr>
                  </w:pPr>
                  <w:r>
                    <w:rPr>
                      <w:b/>
                      <w:bCs/>
                      <w:szCs w:val="21"/>
                    </w:rPr>
                    <w:t>排放规律</w:t>
                  </w:r>
                </w:p>
              </w:tc>
              <w:tc>
                <w:tcPr>
                  <w:tcW w:w="2268" w:type="dxa"/>
                  <w:gridSpan w:val="4"/>
                  <w:vAlign w:val="center"/>
                </w:tcPr>
                <w:p>
                  <w:pPr>
                    <w:jc w:val="center"/>
                    <w:rPr>
                      <w:b/>
                      <w:bCs/>
                      <w:szCs w:val="21"/>
                    </w:rPr>
                  </w:pPr>
                  <w:r>
                    <w:rPr>
                      <w:b/>
                      <w:bCs/>
                      <w:szCs w:val="21"/>
                    </w:rPr>
                    <w:t>污染治理措施</w:t>
                  </w:r>
                </w:p>
              </w:tc>
              <w:tc>
                <w:tcPr>
                  <w:tcW w:w="567" w:type="dxa"/>
                  <w:vMerge w:val="restart"/>
                  <w:vAlign w:val="center"/>
                </w:tcPr>
                <w:p>
                  <w:pPr>
                    <w:jc w:val="center"/>
                    <w:rPr>
                      <w:b/>
                      <w:bCs/>
                      <w:szCs w:val="21"/>
                    </w:rPr>
                  </w:pPr>
                  <w:r>
                    <w:rPr>
                      <w:b/>
                      <w:bCs/>
                      <w:szCs w:val="21"/>
                    </w:rPr>
                    <w:t>排放口编号</w:t>
                  </w:r>
                </w:p>
              </w:tc>
              <w:tc>
                <w:tcPr>
                  <w:tcW w:w="851" w:type="dxa"/>
                  <w:vMerge w:val="restart"/>
                  <w:vAlign w:val="center"/>
                </w:tcPr>
                <w:p>
                  <w:pPr>
                    <w:jc w:val="center"/>
                    <w:rPr>
                      <w:b/>
                      <w:bCs/>
                      <w:szCs w:val="21"/>
                    </w:rPr>
                  </w:pPr>
                  <w:r>
                    <w:rPr>
                      <w:b/>
                      <w:bCs/>
                      <w:szCs w:val="21"/>
                    </w:rPr>
                    <w:t>排放口设置是否符合要求</w:t>
                  </w:r>
                </w:p>
              </w:tc>
              <w:tc>
                <w:tcPr>
                  <w:tcW w:w="1143" w:type="dxa"/>
                  <w:vMerge w:val="restart"/>
                  <w:vAlign w:val="center"/>
                </w:tcPr>
                <w:p>
                  <w:pPr>
                    <w:jc w:val="center"/>
                    <w:rPr>
                      <w:b/>
                      <w:bCs/>
                      <w:szCs w:val="21"/>
                    </w:rPr>
                  </w:pPr>
                  <w:r>
                    <w:rPr>
                      <w:b/>
                      <w:bCs/>
                      <w:szCs w:val="21"/>
                    </w:rPr>
                    <w:t>排放口类型</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4" w:type="dxa"/>
                  <w:vMerge w:val="continue"/>
                  <w:tcMar>
                    <w:left w:w="0" w:type="dxa"/>
                    <w:right w:w="0" w:type="dxa"/>
                  </w:tcMar>
                  <w:vAlign w:val="center"/>
                </w:tcPr>
                <w:p>
                  <w:pPr>
                    <w:jc w:val="center"/>
                    <w:rPr>
                      <w:b/>
                      <w:szCs w:val="21"/>
                      <w:highlight w:val="yellow"/>
                    </w:rPr>
                  </w:pPr>
                </w:p>
              </w:tc>
              <w:tc>
                <w:tcPr>
                  <w:tcW w:w="567" w:type="dxa"/>
                  <w:vMerge w:val="continue"/>
                  <w:vAlign w:val="center"/>
                </w:tcPr>
                <w:p>
                  <w:pPr>
                    <w:jc w:val="center"/>
                    <w:rPr>
                      <w:b/>
                      <w:szCs w:val="21"/>
                      <w:highlight w:val="yellow"/>
                    </w:rPr>
                  </w:pPr>
                </w:p>
              </w:tc>
              <w:tc>
                <w:tcPr>
                  <w:tcW w:w="851" w:type="dxa"/>
                  <w:vMerge w:val="continue"/>
                  <w:vAlign w:val="center"/>
                </w:tcPr>
                <w:p>
                  <w:pPr>
                    <w:jc w:val="center"/>
                    <w:rPr>
                      <w:b/>
                      <w:szCs w:val="21"/>
                      <w:highlight w:val="yellow"/>
                    </w:rPr>
                  </w:pPr>
                </w:p>
              </w:tc>
              <w:tc>
                <w:tcPr>
                  <w:tcW w:w="709" w:type="dxa"/>
                  <w:vMerge w:val="continue"/>
                  <w:vAlign w:val="center"/>
                </w:tcPr>
                <w:p>
                  <w:pPr>
                    <w:jc w:val="center"/>
                    <w:rPr>
                      <w:b/>
                      <w:szCs w:val="21"/>
                      <w:highlight w:val="yellow"/>
                    </w:rPr>
                  </w:pPr>
                </w:p>
              </w:tc>
              <w:tc>
                <w:tcPr>
                  <w:tcW w:w="850" w:type="dxa"/>
                  <w:vMerge w:val="continue"/>
                  <w:vAlign w:val="center"/>
                </w:tcPr>
                <w:p>
                  <w:pPr>
                    <w:jc w:val="center"/>
                    <w:rPr>
                      <w:b/>
                      <w:szCs w:val="21"/>
                      <w:highlight w:val="yellow"/>
                    </w:rPr>
                  </w:pPr>
                </w:p>
              </w:tc>
              <w:tc>
                <w:tcPr>
                  <w:tcW w:w="709" w:type="dxa"/>
                  <w:vAlign w:val="center"/>
                </w:tcPr>
                <w:p>
                  <w:pPr>
                    <w:jc w:val="center"/>
                    <w:rPr>
                      <w:b/>
                      <w:szCs w:val="21"/>
                    </w:rPr>
                  </w:pPr>
                  <w:r>
                    <w:rPr>
                      <w:b/>
                      <w:szCs w:val="21"/>
                    </w:rPr>
                    <w:t>污染治理措施编号</w:t>
                  </w:r>
                </w:p>
              </w:tc>
              <w:tc>
                <w:tcPr>
                  <w:tcW w:w="709" w:type="dxa"/>
                  <w:vAlign w:val="center"/>
                </w:tcPr>
                <w:p>
                  <w:pPr>
                    <w:jc w:val="center"/>
                    <w:rPr>
                      <w:b/>
                      <w:szCs w:val="21"/>
                    </w:rPr>
                  </w:pPr>
                  <w:r>
                    <w:rPr>
                      <w:b/>
                      <w:szCs w:val="21"/>
                    </w:rPr>
                    <w:t>污染治理措施名称</w:t>
                  </w:r>
                </w:p>
              </w:tc>
              <w:tc>
                <w:tcPr>
                  <w:tcW w:w="850" w:type="dxa"/>
                  <w:gridSpan w:val="2"/>
                  <w:vAlign w:val="center"/>
                </w:tcPr>
                <w:p>
                  <w:pPr>
                    <w:jc w:val="center"/>
                    <w:rPr>
                      <w:b/>
                      <w:szCs w:val="21"/>
                    </w:rPr>
                  </w:pPr>
                  <w:r>
                    <w:rPr>
                      <w:b/>
                      <w:szCs w:val="21"/>
                    </w:rPr>
                    <w:t>污染治理措施工艺</w:t>
                  </w:r>
                </w:p>
              </w:tc>
              <w:tc>
                <w:tcPr>
                  <w:tcW w:w="567" w:type="dxa"/>
                  <w:vMerge w:val="continue"/>
                  <w:vAlign w:val="center"/>
                </w:tcPr>
                <w:p>
                  <w:pPr>
                    <w:jc w:val="center"/>
                    <w:rPr>
                      <w:b/>
                      <w:szCs w:val="21"/>
                    </w:rPr>
                  </w:pPr>
                </w:p>
              </w:tc>
              <w:tc>
                <w:tcPr>
                  <w:tcW w:w="851" w:type="dxa"/>
                  <w:vMerge w:val="continue"/>
                  <w:vAlign w:val="center"/>
                </w:tcPr>
                <w:p>
                  <w:pPr>
                    <w:jc w:val="center"/>
                    <w:rPr>
                      <w:b/>
                      <w:szCs w:val="21"/>
                      <w:highlight w:val="yellow"/>
                    </w:rPr>
                  </w:pPr>
                </w:p>
              </w:tc>
              <w:tc>
                <w:tcPr>
                  <w:tcW w:w="1143" w:type="dxa"/>
                  <w:vMerge w:val="continue"/>
                  <w:vAlign w:val="center"/>
                </w:tcPr>
                <w:p>
                  <w:pPr>
                    <w:jc w:val="center"/>
                    <w:rPr>
                      <w:b/>
                      <w:szCs w:val="21"/>
                      <w:highlight w:val="yellow"/>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4" w:type="dxa"/>
                  <w:tcMar>
                    <w:left w:w="0" w:type="dxa"/>
                    <w:right w:w="0" w:type="dxa"/>
                  </w:tcMar>
                  <w:vAlign w:val="center"/>
                </w:tcPr>
                <w:p>
                  <w:pPr>
                    <w:jc w:val="center"/>
                    <w:rPr>
                      <w:szCs w:val="21"/>
                    </w:rPr>
                  </w:pPr>
                  <w:r>
                    <w:rPr>
                      <w:szCs w:val="21"/>
                    </w:rPr>
                    <w:t>1</w:t>
                  </w:r>
                </w:p>
              </w:tc>
              <w:tc>
                <w:tcPr>
                  <w:tcW w:w="567" w:type="dxa"/>
                  <w:vAlign w:val="center"/>
                </w:tcPr>
                <w:p>
                  <w:pPr>
                    <w:jc w:val="center"/>
                    <w:rPr>
                      <w:szCs w:val="21"/>
                    </w:rPr>
                  </w:pPr>
                  <w:r>
                    <w:rPr>
                      <w:szCs w:val="21"/>
                    </w:rPr>
                    <w:t>生活污水</w:t>
                  </w:r>
                </w:p>
              </w:tc>
              <w:tc>
                <w:tcPr>
                  <w:tcW w:w="851" w:type="dxa"/>
                  <w:vAlign w:val="center"/>
                </w:tcPr>
                <w:p>
                  <w:pPr>
                    <w:jc w:val="center"/>
                    <w:rPr>
                      <w:szCs w:val="21"/>
                    </w:rPr>
                  </w:pPr>
                  <w:r>
                    <w:rPr>
                      <w:bCs/>
                      <w:spacing w:val="-4"/>
                      <w:szCs w:val="21"/>
                    </w:rPr>
                    <w:t>COD、BOD</w:t>
                  </w:r>
                  <w:r>
                    <w:rPr>
                      <w:bCs/>
                      <w:spacing w:val="-4"/>
                      <w:szCs w:val="21"/>
                      <w:vertAlign w:val="subscript"/>
                    </w:rPr>
                    <w:t>5</w:t>
                  </w:r>
                  <w:r>
                    <w:rPr>
                      <w:rFonts w:hint="eastAsia"/>
                      <w:bCs/>
                      <w:spacing w:val="-4"/>
                      <w:szCs w:val="21"/>
                    </w:rPr>
                    <w:t>、</w:t>
                  </w:r>
                  <w:r>
                    <w:rPr>
                      <w:bCs/>
                      <w:spacing w:val="-4"/>
                      <w:szCs w:val="21"/>
                    </w:rPr>
                    <w:t>NH</w:t>
                  </w:r>
                  <w:r>
                    <w:rPr>
                      <w:bCs/>
                      <w:spacing w:val="-4"/>
                      <w:szCs w:val="21"/>
                      <w:vertAlign w:val="subscript"/>
                    </w:rPr>
                    <w:t>3</w:t>
                  </w:r>
                  <w:r>
                    <w:rPr>
                      <w:bCs/>
                      <w:spacing w:val="-4"/>
                      <w:szCs w:val="21"/>
                    </w:rPr>
                    <w:t>-N、SS、TP、TN</w:t>
                  </w:r>
                </w:p>
              </w:tc>
              <w:tc>
                <w:tcPr>
                  <w:tcW w:w="709" w:type="dxa"/>
                  <w:vMerge w:val="restart"/>
                  <w:vAlign w:val="center"/>
                </w:tcPr>
                <w:p>
                  <w:pPr>
                    <w:jc w:val="center"/>
                    <w:rPr>
                      <w:szCs w:val="21"/>
                    </w:rPr>
                  </w:pPr>
                  <w:r>
                    <w:rPr>
                      <w:szCs w:val="21"/>
                    </w:rPr>
                    <w:t>城市污水处理厂</w:t>
                  </w:r>
                </w:p>
              </w:tc>
              <w:tc>
                <w:tcPr>
                  <w:tcW w:w="850" w:type="dxa"/>
                  <w:vMerge w:val="restart"/>
                  <w:vAlign w:val="center"/>
                </w:tcPr>
                <w:p>
                  <w:pPr>
                    <w:rPr>
                      <w:szCs w:val="21"/>
                    </w:rPr>
                  </w:pPr>
                  <w:r>
                    <w:rPr>
                      <w:szCs w:val="21"/>
                    </w:rPr>
                    <w:t>间断排放，排放期间流量不稳定且无规律，但不属于冲击型排放</w:t>
                  </w:r>
                </w:p>
              </w:tc>
              <w:tc>
                <w:tcPr>
                  <w:tcW w:w="709" w:type="dxa"/>
                  <w:vAlign w:val="center"/>
                </w:tcPr>
                <w:p>
                  <w:pPr>
                    <w:jc w:val="center"/>
                    <w:rPr>
                      <w:szCs w:val="21"/>
                    </w:rPr>
                  </w:pPr>
                  <w:r>
                    <w:rPr>
                      <w:szCs w:val="21"/>
                    </w:rPr>
                    <w:t>TW001</w:t>
                  </w:r>
                </w:p>
              </w:tc>
              <w:tc>
                <w:tcPr>
                  <w:tcW w:w="709" w:type="dxa"/>
                  <w:vAlign w:val="center"/>
                </w:tcPr>
                <w:p>
                  <w:pPr>
                    <w:jc w:val="center"/>
                    <w:rPr>
                      <w:szCs w:val="21"/>
                    </w:rPr>
                  </w:pPr>
                  <w:r>
                    <w:rPr>
                      <w:szCs w:val="21"/>
                    </w:rPr>
                    <w:t>生活污水处理系统</w:t>
                  </w:r>
                </w:p>
              </w:tc>
              <w:tc>
                <w:tcPr>
                  <w:tcW w:w="567" w:type="dxa"/>
                  <w:vAlign w:val="center"/>
                </w:tcPr>
                <w:p>
                  <w:pPr>
                    <w:jc w:val="center"/>
                    <w:rPr>
                      <w:szCs w:val="21"/>
                    </w:rPr>
                  </w:pPr>
                  <w:r>
                    <w:rPr>
                      <w:szCs w:val="21"/>
                    </w:rPr>
                    <w:t>化粪池</w:t>
                  </w:r>
                </w:p>
              </w:tc>
              <w:tc>
                <w:tcPr>
                  <w:tcW w:w="283" w:type="dxa"/>
                  <w:vMerge w:val="restart"/>
                  <w:vAlign w:val="center"/>
                </w:tcPr>
                <w:p>
                  <w:pPr>
                    <w:jc w:val="center"/>
                    <w:rPr>
                      <w:szCs w:val="21"/>
                    </w:rPr>
                  </w:pPr>
                  <w:r>
                    <w:rPr>
                      <w:szCs w:val="21"/>
                    </w:rPr>
                    <w:t>/</w:t>
                  </w:r>
                </w:p>
              </w:tc>
              <w:tc>
                <w:tcPr>
                  <w:tcW w:w="567" w:type="dxa"/>
                  <w:vMerge w:val="restart"/>
                  <w:vAlign w:val="center"/>
                </w:tcPr>
                <w:p>
                  <w:pPr>
                    <w:jc w:val="center"/>
                    <w:rPr>
                      <w:szCs w:val="21"/>
                    </w:rPr>
                  </w:pPr>
                  <w:r>
                    <w:rPr>
                      <w:szCs w:val="21"/>
                    </w:rPr>
                    <w:t>DW001</w:t>
                  </w:r>
                </w:p>
              </w:tc>
              <w:tc>
                <w:tcPr>
                  <w:tcW w:w="851" w:type="dxa"/>
                  <w:vMerge w:val="restart"/>
                  <w:vAlign w:val="center"/>
                </w:tcPr>
                <w:p>
                  <w:pPr>
                    <w:jc w:val="center"/>
                    <w:rPr>
                      <w:szCs w:val="21"/>
                    </w:rPr>
                  </w:pPr>
                  <w:r>
                    <w:rPr>
                      <w:szCs w:val="21"/>
                    </w:rPr>
                    <w:sym w:font="Wingdings" w:char="F0FE"/>
                  </w:r>
                  <w:r>
                    <w:rPr>
                      <w:szCs w:val="21"/>
                    </w:rPr>
                    <w:t>是</w:t>
                  </w:r>
                </w:p>
                <w:p>
                  <w:pPr>
                    <w:jc w:val="center"/>
                    <w:rPr>
                      <w:szCs w:val="21"/>
                    </w:rPr>
                  </w:pPr>
                  <w:r>
                    <w:rPr>
                      <w:spacing w:val="-1"/>
                      <w:szCs w:val="21"/>
                    </w:rPr>
                    <w:t>□</w:t>
                  </w:r>
                  <w:r>
                    <w:rPr>
                      <w:szCs w:val="21"/>
                    </w:rPr>
                    <w:t>否</w:t>
                  </w:r>
                </w:p>
              </w:tc>
              <w:tc>
                <w:tcPr>
                  <w:tcW w:w="1143" w:type="dxa"/>
                  <w:vMerge w:val="restart"/>
                  <w:vAlign w:val="center"/>
                </w:tcPr>
                <w:p>
                  <w:pPr>
                    <w:rPr>
                      <w:szCs w:val="21"/>
                    </w:rPr>
                  </w:pPr>
                  <w:r>
                    <w:rPr>
                      <w:szCs w:val="21"/>
                    </w:rPr>
                    <w:sym w:font="Wingdings" w:char="F0FE"/>
                  </w:r>
                  <w:r>
                    <w:rPr>
                      <w:szCs w:val="21"/>
                    </w:rPr>
                    <w:t>企业总排</w:t>
                  </w:r>
                </w:p>
                <w:p>
                  <w:pPr>
                    <w:rPr>
                      <w:szCs w:val="21"/>
                    </w:rPr>
                  </w:pPr>
                  <w:r>
                    <w:rPr>
                      <w:spacing w:val="-1"/>
                      <w:szCs w:val="21"/>
                    </w:rPr>
                    <w:t>□</w:t>
                  </w:r>
                  <w:r>
                    <w:rPr>
                      <w:szCs w:val="21"/>
                    </w:rPr>
                    <w:t>雨水排放</w:t>
                  </w:r>
                </w:p>
                <w:p>
                  <w:pPr>
                    <w:rPr>
                      <w:szCs w:val="21"/>
                    </w:rPr>
                  </w:pPr>
                  <w:r>
                    <w:rPr>
                      <w:spacing w:val="-1"/>
                      <w:szCs w:val="21"/>
                    </w:rPr>
                    <w:t>□</w:t>
                  </w:r>
                  <w:r>
                    <w:rPr>
                      <w:szCs w:val="21"/>
                    </w:rPr>
                    <w:t>清净下水排放</w:t>
                  </w:r>
                </w:p>
                <w:p>
                  <w:pPr>
                    <w:rPr>
                      <w:szCs w:val="21"/>
                    </w:rPr>
                  </w:pPr>
                  <w:r>
                    <w:rPr>
                      <w:spacing w:val="-1"/>
                      <w:szCs w:val="21"/>
                    </w:rPr>
                    <w:t>□</w:t>
                  </w:r>
                  <w:r>
                    <w:rPr>
                      <w:szCs w:val="21"/>
                    </w:rPr>
                    <w:t>温排水排放</w:t>
                  </w:r>
                </w:p>
                <w:p>
                  <w:pPr>
                    <w:rPr>
                      <w:szCs w:val="21"/>
                    </w:rPr>
                  </w:pPr>
                  <w:r>
                    <w:rPr>
                      <w:spacing w:val="-1"/>
                      <w:szCs w:val="21"/>
                    </w:rPr>
                    <w:t>□</w:t>
                  </w:r>
                  <w:r>
                    <w:rPr>
                      <w:szCs w:val="21"/>
                    </w:rPr>
                    <w:t>车间或车间处理设施排放口排放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4" w:type="dxa"/>
                  <w:tcMar>
                    <w:left w:w="0" w:type="dxa"/>
                    <w:right w:w="0" w:type="dxa"/>
                  </w:tcMar>
                  <w:vAlign w:val="center"/>
                </w:tcPr>
                <w:p>
                  <w:pPr>
                    <w:jc w:val="center"/>
                    <w:rPr>
                      <w:szCs w:val="21"/>
                    </w:rPr>
                  </w:pPr>
                  <w:r>
                    <w:rPr>
                      <w:szCs w:val="21"/>
                    </w:rPr>
                    <w:t>2</w:t>
                  </w:r>
                </w:p>
              </w:tc>
              <w:tc>
                <w:tcPr>
                  <w:tcW w:w="567" w:type="dxa"/>
                  <w:vAlign w:val="center"/>
                </w:tcPr>
                <w:p>
                  <w:pPr>
                    <w:jc w:val="center"/>
                    <w:rPr>
                      <w:szCs w:val="21"/>
                    </w:rPr>
                  </w:pPr>
                  <w:r>
                    <w:rPr>
                      <w:szCs w:val="21"/>
                    </w:rPr>
                    <w:t>生产废水</w:t>
                  </w:r>
                </w:p>
              </w:tc>
              <w:tc>
                <w:tcPr>
                  <w:tcW w:w="851" w:type="dxa"/>
                  <w:vAlign w:val="center"/>
                </w:tcPr>
                <w:p>
                  <w:pPr>
                    <w:jc w:val="center"/>
                    <w:rPr>
                      <w:bCs/>
                      <w:spacing w:val="-4"/>
                      <w:szCs w:val="21"/>
                    </w:rPr>
                  </w:pPr>
                  <w:r>
                    <w:rPr>
                      <w:bCs/>
                      <w:spacing w:val="-4"/>
                      <w:szCs w:val="21"/>
                    </w:rPr>
                    <w:t>PH、COD、BOD</w:t>
                  </w:r>
                  <w:r>
                    <w:rPr>
                      <w:bCs/>
                      <w:spacing w:val="-4"/>
                      <w:szCs w:val="21"/>
                      <w:vertAlign w:val="subscript"/>
                    </w:rPr>
                    <w:t>5</w:t>
                  </w:r>
                  <w:r>
                    <w:rPr>
                      <w:bCs/>
                      <w:spacing w:val="-4"/>
                      <w:szCs w:val="21"/>
                    </w:rPr>
                    <w:t>、SS、NH</w:t>
                  </w:r>
                  <w:r>
                    <w:rPr>
                      <w:bCs/>
                      <w:spacing w:val="-4"/>
                      <w:szCs w:val="21"/>
                      <w:vertAlign w:val="subscript"/>
                    </w:rPr>
                    <w:t>3</w:t>
                  </w:r>
                  <w:r>
                    <w:rPr>
                      <w:bCs/>
                      <w:spacing w:val="-4"/>
                      <w:szCs w:val="21"/>
                    </w:rPr>
                    <w:t>-N、TP、TN</w:t>
                  </w:r>
                </w:p>
              </w:tc>
              <w:tc>
                <w:tcPr>
                  <w:tcW w:w="709" w:type="dxa"/>
                  <w:vMerge w:val="continue"/>
                  <w:vAlign w:val="center"/>
                </w:tcPr>
                <w:p>
                  <w:pPr>
                    <w:jc w:val="center"/>
                    <w:rPr>
                      <w:szCs w:val="21"/>
                      <w:highlight w:val="yellow"/>
                    </w:rPr>
                  </w:pPr>
                </w:p>
              </w:tc>
              <w:tc>
                <w:tcPr>
                  <w:tcW w:w="850" w:type="dxa"/>
                  <w:vMerge w:val="continue"/>
                  <w:vAlign w:val="center"/>
                </w:tcPr>
                <w:p>
                  <w:pPr>
                    <w:jc w:val="center"/>
                    <w:rPr>
                      <w:szCs w:val="21"/>
                    </w:rPr>
                  </w:pPr>
                </w:p>
              </w:tc>
              <w:tc>
                <w:tcPr>
                  <w:tcW w:w="709" w:type="dxa"/>
                  <w:vAlign w:val="center"/>
                </w:tcPr>
                <w:p>
                  <w:pPr>
                    <w:jc w:val="center"/>
                    <w:rPr>
                      <w:szCs w:val="21"/>
                    </w:rPr>
                  </w:pPr>
                  <w:r>
                    <w:rPr>
                      <w:szCs w:val="21"/>
                    </w:rPr>
                    <w:t>TW002</w:t>
                  </w:r>
                </w:p>
              </w:tc>
              <w:tc>
                <w:tcPr>
                  <w:tcW w:w="709" w:type="dxa"/>
                  <w:vAlign w:val="center"/>
                </w:tcPr>
                <w:p>
                  <w:pPr>
                    <w:jc w:val="center"/>
                    <w:rPr>
                      <w:szCs w:val="21"/>
                    </w:rPr>
                  </w:pPr>
                  <w:r>
                    <w:rPr>
                      <w:szCs w:val="21"/>
                    </w:rPr>
                    <w:t>生产废水处理系统</w:t>
                  </w:r>
                </w:p>
              </w:tc>
              <w:tc>
                <w:tcPr>
                  <w:tcW w:w="567" w:type="dxa"/>
                  <w:vAlign w:val="center"/>
                </w:tcPr>
                <w:p>
                  <w:pPr>
                    <w:jc w:val="center"/>
                    <w:rPr>
                      <w:szCs w:val="21"/>
                      <w:highlight w:val="yellow"/>
                    </w:rPr>
                  </w:pPr>
                  <w:r>
                    <w:rPr>
                      <w:szCs w:val="21"/>
                    </w:rPr>
                    <w:t>一体化污水处理设备</w:t>
                  </w:r>
                </w:p>
              </w:tc>
              <w:tc>
                <w:tcPr>
                  <w:tcW w:w="283" w:type="dxa"/>
                  <w:vMerge w:val="continue"/>
                  <w:vAlign w:val="center"/>
                </w:tcPr>
                <w:p>
                  <w:pPr>
                    <w:jc w:val="center"/>
                    <w:rPr>
                      <w:szCs w:val="21"/>
                      <w:highlight w:val="yellow"/>
                    </w:rPr>
                  </w:pPr>
                </w:p>
              </w:tc>
              <w:tc>
                <w:tcPr>
                  <w:tcW w:w="567" w:type="dxa"/>
                  <w:vMerge w:val="continue"/>
                  <w:vAlign w:val="center"/>
                </w:tcPr>
                <w:p>
                  <w:pPr>
                    <w:jc w:val="center"/>
                    <w:rPr>
                      <w:szCs w:val="21"/>
                      <w:highlight w:val="yellow"/>
                    </w:rPr>
                  </w:pPr>
                </w:p>
              </w:tc>
              <w:tc>
                <w:tcPr>
                  <w:tcW w:w="851" w:type="dxa"/>
                  <w:vMerge w:val="continue"/>
                  <w:vAlign w:val="center"/>
                </w:tcPr>
                <w:p>
                  <w:pPr>
                    <w:jc w:val="center"/>
                    <w:rPr>
                      <w:szCs w:val="21"/>
                      <w:highlight w:val="yellow"/>
                    </w:rPr>
                  </w:pPr>
                </w:p>
              </w:tc>
              <w:tc>
                <w:tcPr>
                  <w:tcW w:w="1143" w:type="dxa"/>
                  <w:vMerge w:val="continue"/>
                  <w:vAlign w:val="center"/>
                </w:tcPr>
                <w:p>
                  <w:pPr>
                    <w:rPr>
                      <w:szCs w:val="21"/>
                      <w:highlight w:val="yellow"/>
                    </w:rPr>
                  </w:pPr>
                </w:p>
              </w:tc>
            </w:tr>
          </w:tbl>
          <w:p>
            <w:pPr>
              <w:spacing w:line="460" w:lineRule="exact"/>
              <w:ind w:firstLine="480" w:firstLineChars="200"/>
              <w:rPr>
                <w:sz w:val="24"/>
              </w:rPr>
            </w:pPr>
            <w:r>
              <w:rPr>
                <w:rFonts w:hint="eastAsia" w:ascii="宋体" w:hAnsi="宋体" w:cs="宋体"/>
                <w:sz w:val="24"/>
              </w:rPr>
              <w:t>②</w:t>
            </w:r>
            <w:r>
              <w:rPr>
                <w:sz w:val="24"/>
              </w:rPr>
              <w:t>废水间接排放口基本情况</w:t>
            </w:r>
          </w:p>
          <w:p>
            <w:pPr>
              <w:spacing w:line="460" w:lineRule="exact"/>
              <w:ind w:firstLine="480" w:firstLineChars="200"/>
              <w:jc w:val="left"/>
              <w:rPr>
                <w:rFonts w:eastAsia="黑体"/>
                <w:sz w:val="24"/>
                <w:lang w:val="pt-BR"/>
              </w:rPr>
            </w:pPr>
            <w:r>
              <w:rPr>
                <w:rFonts w:eastAsia="黑体"/>
                <w:sz w:val="24"/>
                <w:lang w:val="pt-BR"/>
              </w:rPr>
              <w:t>表27                 废水间接排放口基本情况表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20"/>
              <w:gridCol w:w="698"/>
              <w:gridCol w:w="866"/>
              <w:gridCol w:w="780"/>
              <w:gridCol w:w="822"/>
              <w:gridCol w:w="464"/>
              <w:gridCol w:w="567"/>
              <w:gridCol w:w="709"/>
              <w:gridCol w:w="708"/>
              <w:gridCol w:w="747"/>
              <w:gridCol w:w="138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0" w:type="dxa"/>
                  <w:vMerge w:val="restart"/>
                  <w:tcBorders>
                    <w:top w:val="single" w:color="auto" w:sz="8" w:space="0"/>
                    <w:bottom w:val="single" w:color="auto" w:sz="4" w:space="0"/>
                    <w:right w:val="single" w:color="auto" w:sz="4" w:space="0"/>
                  </w:tcBorders>
                  <w:tcMar>
                    <w:left w:w="0" w:type="dxa"/>
                    <w:right w:w="0" w:type="dxa"/>
                  </w:tcMar>
                  <w:vAlign w:val="center"/>
                </w:tcPr>
                <w:p>
                  <w:pPr>
                    <w:jc w:val="center"/>
                    <w:rPr>
                      <w:b/>
                      <w:szCs w:val="21"/>
                    </w:rPr>
                  </w:pPr>
                  <w:r>
                    <w:rPr>
                      <w:b/>
                      <w:szCs w:val="21"/>
                    </w:rPr>
                    <w:t>序号</w:t>
                  </w:r>
                </w:p>
              </w:tc>
              <w:tc>
                <w:tcPr>
                  <w:tcW w:w="698" w:type="dxa"/>
                  <w:vMerge w:val="restart"/>
                  <w:tcBorders>
                    <w:top w:val="single" w:color="auto" w:sz="8" w:space="0"/>
                    <w:left w:val="single" w:color="auto" w:sz="4" w:space="0"/>
                    <w:bottom w:val="single" w:color="auto" w:sz="4" w:space="0"/>
                    <w:right w:val="single" w:color="auto" w:sz="4" w:space="0"/>
                  </w:tcBorders>
                  <w:vAlign w:val="center"/>
                </w:tcPr>
                <w:p>
                  <w:pPr>
                    <w:jc w:val="center"/>
                    <w:rPr>
                      <w:b/>
                      <w:szCs w:val="21"/>
                    </w:rPr>
                  </w:pPr>
                  <w:r>
                    <w:rPr>
                      <w:b/>
                      <w:szCs w:val="21"/>
                    </w:rPr>
                    <w:t>排放口编号</w:t>
                  </w:r>
                </w:p>
              </w:tc>
              <w:tc>
                <w:tcPr>
                  <w:tcW w:w="1646" w:type="dxa"/>
                  <w:gridSpan w:val="2"/>
                  <w:tcBorders>
                    <w:top w:val="single" w:color="auto" w:sz="8" w:space="0"/>
                    <w:left w:val="single" w:color="auto" w:sz="4" w:space="0"/>
                    <w:bottom w:val="single" w:color="auto" w:sz="4" w:space="0"/>
                    <w:right w:val="single" w:color="auto" w:sz="4" w:space="0"/>
                  </w:tcBorders>
                  <w:vAlign w:val="center"/>
                </w:tcPr>
                <w:p>
                  <w:pPr>
                    <w:jc w:val="center"/>
                    <w:rPr>
                      <w:b/>
                      <w:szCs w:val="21"/>
                    </w:rPr>
                  </w:pPr>
                  <w:r>
                    <w:rPr>
                      <w:b/>
                      <w:szCs w:val="21"/>
                    </w:rPr>
                    <w:t>排放口地理坐标</w:t>
                  </w:r>
                </w:p>
              </w:tc>
              <w:tc>
                <w:tcPr>
                  <w:tcW w:w="822" w:type="dxa"/>
                  <w:vMerge w:val="restart"/>
                  <w:tcBorders>
                    <w:top w:val="single" w:color="auto" w:sz="8" w:space="0"/>
                    <w:left w:val="single" w:color="auto" w:sz="4" w:space="0"/>
                    <w:bottom w:val="single" w:color="auto" w:sz="4" w:space="0"/>
                    <w:right w:val="single" w:color="auto" w:sz="4" w:space="0"/>
                  </w:tcBorders>
                  <w:vAlign w:val="center"/>
                </w:tcPr>
                <w:p>
                  <w:pPr>
                    <w:rPr>
                      <w:b/>
                      <w:szCs w:val="21"/>
                    </w:rPr>
                  </w:pPr>
                  <w:r>
                    <w:rPr>
                      <w:b/>
                      <w:szCs w:val="21"/>
                    </w:rPr>
                    <w:t>废水排放量/（万t/a）</w:t>
                  </w:r>
                </w:p>
              </w:tc>
              <w:tc>
                <w:tcPr>
                  <w:tcW w:w="464" w:type="dxa"/>
                  <w:vMerge w:val="restart"/>
                  <w:tcBorders>
                    <w:top w:val="single" w:color="auto" w:sz="8" w:space="0"/>
                    <w:left w:val="single" w:color="auto" w:sz="4" w:space="0"/>
                    <w:bottom w:val="single" w:color="auto" w:sz="4" w:space="0"/>
                    <w:right w:val="single" w:color="auto" w:sz="4" w:space="0"/>
                  </w:tcBorders>
                  <w:vAlign w:val="center"/>
                </w:tcPr>
                <w:p>
                  <w:pPr>
                    <w:jc w:val="center"/>
                    <w:rPr>
                      <w:b/>
                      <w:szCs w:val="21"/>
                    </w:rPr>
                  </w:pPr>
                  <w:r>
                    <w:rPr>
                      <w:b/>
                      <w:szCs w:val="21"/>
                    </w:rPr>
                    <w:t>排放去向</w:t>
                  </w:r>
                </w:p>
              </w:tc>
              <w:tc>
                <w:tcPr>
                  <w:tcW w:w="567" w:type="dxa"/>
                  <w:vMerge w:val="restart"/>
                  <w:tcBorders>
                    <w:top w:val="single" w:color="auto" w:sz="8" w:space="0"/>
                    <w:left w:val="single" w:color="auto" w:sz="4" w:space="0"/>
                    <w:bottom w:val="single" w:color="auto" w:sz="4" w:space="0"/>
                    <w:right w:val="single" w:color="auto" w:sz="4" w:space="0"/>
                  </w:tcBorders>
                  <w:vAlign w:val="center"/>
                </w:tcPr>
                <w:p>
                  <w:pPr>
                    <w:jc w:val="center"/>
                    <w:rPr>
                      <w:b/>
                      <w:szCs w:val="21"/>
                    </w:rPr>
                  </w:pPr>
                  <w:r>
                    <w:rPr>
                      <w:b/>
                      <w:szCs w:val="21"/>
                    </w:rPr>
                    <w:t>排放规律</w:t>
                  </w:r>
                </w:p>
              </w:tc>
              <w:tc>
                <w:tcPr>
                  <w:tcW w:w="709" w:type="dxa"/>
                  <w:vMerge w:val="restart"/>
                  <w:tcBorders>
                    <w:top w:val="single" w:color="auto" w:sz="8" w:space="0"/>
                    <w:left w:val="single" w:color="auto" w:sz="4" w:space="0"/>
                    <w:bottom w:val="single" w:color="auto" w:sz="4" w:space="0"/>
                    <w:right w:val="single" w:color="auto" w:sz="4" w:space="0"/>
                  </w:tcBorders>
                  <w:vAlign w:val="center"/>
                </w:tcPr>
                <w:p>
                  <w:pPr>
                    <w:jc w:val="center"/>
                    <w:rPr>
                      <w:b/>
                      <w:szCs w:val="21"/>
                    </w:rPr>
                  </w:pPr>
                  <w:r>
                    <w:rPr>
                      <w:b/>
                      <w:szCs w:val="21"/>
                    </w:rPr>
                    <w:t>间歇排放时段</w:t>
                  </w:r>
                </w:p>
              </w:tc>
              <w:tc>
                <w:tcPr>
                  <w:tcW w:w="2844" w:type="dxa"/>
                  <w:gridSpan w:val="3"/>
                  <w:tcBorders>
                    <w:top w:val="single" w:color="auto" w:sz="8" w:space="0"/>
                    <w:left w:val="single" w:color="auto" w:sz="4" w:space="0"/>
                    <w:bottom w:val="single" w:color="auto" w:sz="4" w:space="0"/>
                  </w:tcBorders>
                  <w:vAlign w:val="center"/>
                </w:tcPr>
                <w:p>
                  <w:pPr>
                    <w:jc w:val="center"/>
                    <w:rPr>
                      <w:b/>
                      <w:szCs w:val="21"/>
                    </w:rPr>
                  </w:pPr>
                  <w:r>
                    <w:rPr>
                      <w:b/>
                      <w:szCs w:val="21"/>
                    </w:rPr>
                    <w:t>受纳污水处理厂信息</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0" w:type="dxa"/>
                  <w:vMerge w:val="continue"/>
                  <w:tcBorders>
                    <w:top w:val="single" w:color="auto" w:sz="4" w:space="0"/>
                    <w:bottom w:val="single" w:color="auto" w:sz="4" w:space="0"/>
                    <w:right w:val="single" w:color="auto" w:sz="4" w:space="0"/>
                  </w:tcBorders>
                  <w:tcMar>
                    <w:left w:w="0" w:type="dxa"/>
                    <w:right w:w="0" w:type="dxa"/>
                  </w:tcMar>
                  <w:vAlign w:val="center"/>
                </w:tcPr>
                <w:p>
                  <w:pPr>
                    <w:jc w:val="center"/>
                    <w:rPr>
                      <w:b/>
                      <w:szCs w:val="21"/>
                    </w:rPr>
                  </w:pPr>
                </w:p>
              </w:tc>
              <w:tc>
                <w:tcPr>
                  <w:tcW w:w="698" w:type="dxa"/>
                  <w:vMerge w:val="continue"/>
                  <w:tcBorders>
                    <w:top w:val="single" w:color="auto" w:sz="4" w:space="0"/>
                    <w:left w:val="single" w:color="auto" w:sz="4" w:space="0"/>
                    <w:bottom w:val="single" w:color="auto" w:sz="4" w:space="0"/>
                    <w:right w:val="single" w:color="auto" w:sz="4" w:space="0"/>
                  </w:tcBorders>
                  <w:vAlign w:val="center"/>
                </w:tcPr>
                <w:p>
                  <w:pPr>
                    <w:jc w:val="center"/>
                    <w:rPr>
                      <w:b/>
                      <w:szCs w:val="21"/>
                    </w:rPr>
                  </w:pPr>
                </w:p>
              </w:tc>
              <w:tc>
                <w:tcPr>
                  <w:tcW w:w="866" w:type="dxa"/>
                  <w:tcBorders>
                    <w:top w:val="single" w:color="auto" w:sz="4" w:space="0"/>
                    <w:left w:val="single" w:color="auto" w:sz="4" w:space="0"/>
                    <w:bottom w:val="single" w:color="auto" w:sz="4" w:space="0"/>
                    <w:right w:val="single" w:color="auto" w:sz="4" w:space="0"/>
                  </w:tcBorders>
                  <w:vAlign w:val="center"/>
                </w:tcPr>
                <w:p>
                  <w:pPr>
                    <w:jc w:val="center"/>
                    <w:rPr>
                      <w:b/>
                      <w:szCs w:val="21"/>
                    </w:rPr>
                  </w:pPr>
                  <w:r>
                    <w:rPr>
                      <w:b/>
                      <w:szCs w:val="21"/>
                    </w:rPr>
                    <w:t>经度</w:t>
                  </w:r>
                </w:p>
              </w:tc>
              <w:tc>
                <w:tcPr>
                  <w:tcW w:w="780" w:type="dxa"/>
                  <w:tcBorders>
                    <w:top w:val="single" w:color="auto" w:sz="4" w:space="0"/>
                    <w:left w:val="single" w:color="auto" w:sz="4" w:space="0"/>
                    <w:bottom w:val="single" w:color="auto" w:sz="4" w:space="0"/>
                    <w:right w:val="single" w:color="auto" w:sz="4" w:space="0"/>
                  </w:tcBorders>
                  <w:vAlign w:val="center"/>
                </w:tcPr>
                <w:p>
                  <w:pPr>
                    <w:jc w:val="center"/>
                    <w:rPr>
                      <w:b/>
                      <w:szCs w:val="21"/>
                    </w:rPr>
                  </w:pPr>
                  <w:r>
                    <w:rPr>
                      <w:b/>
                      <w:szCs w:val="21"/>
                    </w:rPr>
                    <w:t>纬度</w:t>
                  </w:r>
                </w:p>
              </w:tc>
              <w:tc>
                <w:tcPr>
                  <w:tcW w:w="822" w:type="dxa"/>
                  <w:vMerge w:val="continue"/>
                  <w:tcBorders>
                    <w:top w:val="single" w:color="auto" w:sz="4" w:space="0"/>
                    <w:left w:val="single" w:color="auto" w:sz="4" w:space="0"/>
                    <w:bottom w:val="single" w:color="auto" w:sz="4" w:space="0"/>
                    <w:right w:val="single" w:color="auto" w:sz="4" w:space="0"/>
                  </w:tcBorders>
                  <w:vAlign w:val="center"/>
                </w:tcPr>
                <w:p>
                  <w:pPr>
                    <w:jc w:val="center"/>
                    <w:rPr>
                      <w:b/>
                      <w:szCs w:val="21"/>
                    </w:rPr>
                  </w:pPr>
                </w:p>
              </w:tc>
              <w:tc>
                <w:tcPr>
                  <w:tcW w:w="464" w:type="dxa"/>
                  <w:vMerge w:val="continue"/>
                  <w:tcBorders>
                    <w:top w:val="single" w:color="auto" w:sz="4" w:space="0"/>
                    <w:left w:val="single" w:color="auto" w:sz="4" w:space="0"/>
                    <w:bottom w:val="single" w:color="auto" w:sz="4" w:space="0"/>
                    <w:right w:val="single" w:color="auto" w:sz="4" w:space="0"/>
                  </w:tcBorders>
                  <w:vAlign w:val="center"/>
                </w:tcPr>
                <w:p>
                  <w:pPr>
                    <w:jc w:val="center"/>
                    <w:rPr>
                      <w:b/>
                      <w:szCs w:val="21"/>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pPr>
                    <w:jc w:val="center"/>
                    <w:rPr>
                      <w:b/>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jc w:val="center"/>
                    <w:rPr>
                      <w:b/>
                      <w:szCs w:val="21"/>
                    </w:rPr>
                  </w:pP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b/>
                      <w:szCs w:val="21"/>
                    </w:rPr>
                  </w:pPr>
                  <w:r>
                    <w:rPr>
                      <w:b/>
                      <w:szCs w:val="21"/>
                    </w:rPr>
                    <w:t>名称</w:t>
                  </w: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b/>
                      <w:szCs w:val="21"/>
                    </w:rPr>
                  </w:pPr>
                  <w:r>
                    <w:rPr>
                      <w:b/>
                      <w:szCs w:val="21"/>
                    </w:rPr>
                    <w:t>污染物种类</w:t>
                  </w:r>
                </w:p>
              </w:tc>
              <w:tc>
                <w:tcPr>
                  <w:tcW w:w="1389" w:type="dxa"/>
                  <w:tcBorders>
                    <w:top w:val="single" w:color="auto" w:sz="4" w:space="0"/>
                    <w:left w:val="single" w:color="auto" w:sz="4" w:space="0"/>
                    <w:bottom w:val="single" w:color="auto" w:sz="4" w:space="0"/>
                  </w:tcBorders>
                  <w:vAlign w:val="center"/>
                </w:tcPr>
                <w:p>
                  <w:pPr>
                    <w:jc w:val="center"/>
                    <w:rPr>
                      <w:b/>
                      <w:szCs w:val="21"/>
                    </w:rPr>
                  </w:pPr>
                  <w:r>
                    <w:rPr>
                      <w:b/>
                      <w:szCs w:val="21"/>
                    </w:rPr>
                    <w:t>国家或地方污染物排放标准浓度限值</w:t>
                  </w:r>
                </w:p>
                <w:p>
                  <w:pPr>
                    <w:jc w:val="center"/>
                    <w:rPr>
                      <w:b/>
                      <w:szCs w:val="21"/>
                    </w:rPr>
                  </w:pPr>
                  <w:r>
                    <w:rPr>
                      <w:b/>
                      <w:szCs w:val="21"/>
                    </w:rPr>
                    <w:t>/（mg/L）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0" w:type="dxa"/>
                  <w:vMerge w:val="restart"/>
                  <w:tcBorders>
                    <w:top w:val="single" w:color="auto" w:sz="4" w:space="0"/>
                    <w:right w:val="single" w:color="auto" w:sz="4" w:space="0"/>
                  </w:tcBorders>
                  <w:tcMar>
                    <w:left w:w="0" w:type="dxa"/>
                    <w:right w:w="0" w:type="dxa"/>
                  </w:tcMar>
                  <w:vAlign w:val="center"/>
                </w:tcPr>
                <w:p>
                  <w:pPr>
                    <w:jc w:val="center"/>
                    <w:rPr>
                      <w:szCs w:val="21"/>
                    </w:rPr>
                  </w:pPr>
                  <w:r>
                    <w:rPr>
                      <w:szCs w:val="21"/>
                    </w:rPr>
                    <w:t>1</w:t>
                  </w:r>
                </w:p>
              </w:tc>
              <w:tc>
                <w:tcPr>
                  <w:tcW w:w="698" w:type="dxa"/>
                  <w:vMerge w:val="restart"/>
                  <w:tcBorders>
                    <w:top w:val="single" w:color="auto" w:sz="4" w:space="0"/>
                    <w:left w:val="single" w:color="auto" w:sz="4" w:space="0"/>
                    <w:right w:val="single" w:color="auto" w:sz="4" w:space="0"/>
                  </w:tcBorders>
                  <w:vAlign w:val="center"/>
                </w:tcPr>
                <w:p>
                  <w:pPr>
                    <w:jc w:val="center"/>
                    <w:rPr>
                      <w:szCs w:val="21"/>
                    </w:rPr>
                  </w:pPr>
                  <w:r>
                    <w:rPr>
                      <w:szCs w:val="21"/>
                    </w:rPr>
                    <w:t>DW001</w:t>
                  </w:r>
                </w:p>
              </w:tc>
              <w:tc>
                <w:tcPr>
                  <w:tcW w:w="866" w:type="dxa"/>
                  <w:vMerge w:val="restart"/>
                  <w:tcBorders>
                    <w:top w:val="single" w:color="auto" w:sz="4" w:space="0"/>
                    <w:left w:val="single" w:color="auto" w:sz="4" w:space="0"/>
                    <w:right w:val="single" w:color="auto" w:sz="4" w:space="0"/>
                  </w:tcBorders>
                  <w:vAlign w:val="center"/>
                </w:tcPr>
                <w:p>
                  <w:pPr>
                    <w:jc w:val="center"/>
                    <w:rPr>
                      <w:szCs w:val="21"/>
                    </w:rPr>
                  </w:pPr>
                  <w:r>
                    <w:rPr>
                      <w:szCs w:val="21"/>
                    </w:rPr>
                    <w:t>113°47′38.792″</w:t>
                  </w:r>
                </w:p>
              </w:tc>
              <w:tc>
                <w:tcPr>
                  <w:tcW w:w="780" w:type="dxa"/>
                  <w:vMerge w:val="restart"/>
                  <w:tcBorders>
                    <w:top w:val="single" w:color="auto" w:sz="4" w:space="0"/>
                    <w:left w:val="single" w:color="auto" w:sz="4" w:space="0"/>
                    <w:right w:val="single" w:color="auto" w:sz="4" w:space="0"/>
                  </w:tcBorders>
                  <w:vAlign w:val="center"/>
                </w:tcPr>
                <w:p>
                  <w:pPr>
                    <w:jc w:val="center"/>
                    <w:rPr>
                      <w:szCs w:val="21"/>
                    </w:rPr>
                  </w:pPr>
                  <w:r>
                    <w:rPr>
                      <w:szCs w:val="21"/>
                    </w:rPr>
                    <w:t>35°05′34.172″</w:t>
                  </w:r>
                </w:p>
              </w:tc>
              <w:tc>
                <w:tcPr>
                  <w:tcW w:w="822" w:type="dxa"/>
                  <w:vMerge w:val="restart"/>
                  <w:tcBorders>
                    <w:top w:val="single" w:color="auto" w:sz="4" w:space="0"/>
                    <w:left w:val="single" w:color="auto" w:sz="4" w:space="0"/>
                    <w:right w:val="single" w:color="auto" w:sz="4" w:space="0"/>
                  </w:tcBorders>
                  <w:vAlign w:val="center"/>
                </w:tcPr>
                <w:p>
                  <w:pPr>
                    <w:jc w:val="center"/>
                    <w:rPr>
                      <w:szCs w:val="21"/>
                    </w:rPr>
                  </w:pPr>
                  <w:r>
                    <w:rPr>
                      <w:szCs w:val="21"/>
                    </w:rPr>
                    <w:t>0.1922</w:t>
                  </w:r>
                </w:p>
              </w:tc>
              <w:tc>
                <w:tcPr>
                  <w:tcW w:w="464" w:type="dxa"/>
                  <w:vMerge w:val="restart"/>
                  <w:tcBorders>
                    <w:top w:val="single" w:color="auto" w:sz="4" w:space="0"/>
                    <w:left w:val="single" w:color="auto" w:sz="4" w:space="0"/>
                    <w:right w:val="single" w:color="auto" w:sz="4" w:space="0"/>
                  </w:tcBorders>
                  <w:vAlign w:val="center"/>
                </w:tcPr>
                <w:p>
                  <w:pPr>
                    <w:jc w:val="center"/>
                    <w:rPr>
                      <w:szCs w:val="21"/>
                    </w:rPr>
                  </w:pPr>
                  <w:r>
                    <w:rPr>
                      <w:szCs w:val="21"/>
                    </w:rPr>
                    <w:t>城市污水处理厂</w:t>
                  </w:r>
                </w:p>
              </w:tc>
              <w:tc>
                <w:tcPr>
                  <w:tcW w:w="567" w:type="dxa"/>
                  <w:vMerge w:val="restart"/>
                  <w:tcBorders>
                    <w:top w:val="single" w:color="auto" w:sz="4" w:space="0"/>
                    <w:left w:val="single" w:color="auto" w:sz="4" w:space="0"/>
                    <w:right w:val="single" w:color="auto" w:sz="4" w:space="0"/>
                  </w:tcBorders>
                  <w:vAlign w:val="center"/>
                </w:tcPr>
                <w:p>
                  <w:pPr>
                    <w:jc w:val="center"/>
                    <w:rPr>
                      <w:szCs w:val="21"/>
                    </w:rPr>
                  </w:pPr>
                  <w:r>
                    <w:rPr>
                      <w:szCs w:val="21"/>
                    </w:rPr>
                    <w:t>间断排放</w:t>
                  </w:r>
                </w:p>
              </w:tc>
              <w:tc>
                <w:tcPr>
                  <w:tcW w:w="709" w:type="dxa"/>
                  <w:vMerge w:val="restart"/>
                  <w:tcBorders>
                    <w:top w:val="single" w:color="auto" w:sz="4" w:space="0"/>
                    <w:left w:val="single" w:color="auto" w:sz="4" w:space="0"/>
                    <w:right w:val="single" w:color="auto" w:sz="4" w:space="0"/>
                  </w:tcBorders>
                  <w:vAlign w:val="center"/>
                </w:tcPr>
                <w:p>
                  <w:pPr>
                    <w:jc w:val="center"/>
                    <w:rPr>
                      <w:szCs w:val="21"/>
                    </w:rPr>
                  </w:pPr>
                  <w:r>
                    <w:rPr>
                      <w:szCs w:val="21"/>
                    </w:rPr>
                    <w:t>00:00~</w:t>
                  </w:r>
                </w:p>
                <w:p>
                  <w:pPr>
                    <w:jc w:val="center"/>
                    <w:rPr>
                      <w:szCs w:val="21"/>
                    </w:rPr>
                  </w:pPr>
                  <w:r>
                    <w:rPr>
                      <w:szCs w:val="21"/>
                    </w:rPr>
                    <w:t>24:00</w:t>
                  </w:r>
                </w:p>
              </w:tc>
              <w:tc>
                <w:tcPr>
                  <w:tcW w:w="708" w:type="dxa"/>
                  <w:vMerge w:val="restart"/>
                  <w:tcBorders>
                    <w:top w:val="single" w:color="auto" w:sz="4" w:space="0"/>
                    <w:left w:val="single" w:color="auto" w:sz="4" w:space="0"/>
                    <w:right w:val="single" w:color="auto" w:sz="4" w:space="0"/>
                  </w:tcBorders>
                  <w:vAlign w:val="center"/>
                </w:tcPr>
                <w:p>
                  <w:pPr>
                    <w:rPr>
                      <w:szCs w:val="21"/>
                      <w:highlight w:val="yellow"/>
                    </w:rPr>
                  </w:pPr>
                  <w:r>
                    <w:rPr>
                      <w:bCs/>
                      <w:szCs w:val="21"/>
                    </w:rPr>
                    <w:t>新乡县综合污水处理厂</w:t>
                  </w: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bCs/>
                      <w:spacing w:val="-4"/>
                      <w:szCs w:val="21"/>
                    </w:rPr>
                    <w:t>COD</w:t>
                  </w:r>
                </w:p>
              </w:tc>
              <w:tc>
                <w:tcPr>
                  <w:tcW w:w="1389" w:type="dxa"/>
                  <w:tcBorders>
                    <w:top w:val="single" w:color="auto" w:sz="4" w:space="0"/>
                    <w:left w:val="single" w:color="auto" w:sz="4" w:space="0"/>
                    <w:bottom w:val="single" w:color="auto" w:sz="4" w:space="0"/>
                  </w:tcBorders>
                  <w:vAlign w:val="center"/>
                </w:tcPr>
                <w:p>
                  <w:pPr>
                    <w:jc w:val="center"/>
                    <w:rPr>
                      <w:szCs w:val="21"/>
                    </w:rPr>
                  </w:pPr>
                  <w:r>
                    <w:rPr>
                      <w:szCs w:val="21"/>
                    </w:rPr>
                    <w:t>40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0" w:type="dxa"/>
                  <w:vMerge w:val="continue"/>
                  <w:tcBorders>
                    <w:right w:val="single" w:color="auto" w:sz="4" w:space="0"/>
                  </w:tcBorders>
                  <w:tcMar>
                    <w:left w:w="0" w:type="dxa"/>
                    <w:right w:w="0" w:type="dxa"/>
                  </w:tcMar>
                  <w:vAlign w:val="center"/>
                </w:tcPr>
                <w:p>
                  <w:pPr>
                    <w:jc w:val="center"/>
                    <w:rPr>
                      <w:szCs w:val="21"/>
                      <w:highlight w:val="yellow"/>
                    </w:rPr>
                  </w:pPr>
                </w:p>
              </w:tc>
              <w:tc>
                <w:tcPr>
                  <w:tcW w:w="698" w:type="dxa"/>
                  <w:vMerge w:val="continue"/>
                  <w:tcBorders>
                    <w:left w:val="single" w:color="auto" w:sz="4" w:space="0"/>
                    <w:right w:val="single" w:color="auto" w:sz="4" w:space="0"/>
                  </w:tcBorders>
                  <w:vAlign w:val="center"/>
                </w:tcPr>
                <w:p>
                  <w:pPr>
                    <w:jc w:val="center"/>
                    <w:rPr>
                      <w:szCs w:val="21"/>
                      <w:highlight w:val="yellow"/>
                    </w:rPr>
                  </w:pPr>
                </w:p>
              </w:tc>
              <w:tc>
                <w:tcPr>
                  <w:tcW w:w="866" w:type="dxa"/>
                  <w:vMerge w:val="continue"/>
                  <w:tcBorders>
                    <w:left w:val="single" w:color="auto" w:sz="4" w:space="0"/>
                    <w:right w:val="single" w:color="auto" w:sz="4" w:space="0"/>
                  </w:tcBorders>
                  <w:vAlign w:val="center"/>
                </w:tcPr>
                <w:p>
                  <w:pPr>
                    <w:jc w:val="center"/>
                    <w:rPr>
                      <w:bCs/>
                      <w:spacing w:val="-4"/>
                      <w:szCs w:val="21"/>
                      <w:highlight w:val="yellow"/>
                    </w:rPr>
                  </w:pPr>
                </w:p>
              </w:tc>
              <w:tc>
                <w:tcPr>
                  <w:tcW w:w="780" w:type="dxa"/>
                  <w:vMerge w:val="continue"/>
                  <w:tcBorders>
                    <w:left w:val="single" w:color="auto" w:sz="4" w:space="0"/>
                    <w:right w:val="single" w:color="auto" w:sz="4" w:space="0"/>
                  </w:tcBorders>
                  <w:vAlign w:val="center"/>
                </w:tcPr>
                <w:p>
                  <w:pPr>
                    <w:jc w:val="center"/>
                    <w:rPr>
                      <w:szCs w:val="21"/>
                      <w:highlight w:val="yellow"/>
                    </w:rPr>
                  </w:pPr>
                </w:p>
              </w:tc>
              <w:tc>
                <w:tcPr>
                  <w:tcW w:w="822" w:type="dxa"/>
                  <w:vMerge w:val="continue"/>
                  <w:tcBorders>
                    <w:left w:val="single" w:color="auto" w:sz="4" w:space="0"/>
                    <w:right w:val="single" w:color="auto" w:sz="4" w:space="0"/>
                  </w:tcBorders>
                  <w:vAlign w:val="center"/>
                </w:tcPr>
                <w:p>
                  <w:pPr>
                    <w:jc w:val="center"/>
                    <w:rPr>
                      <w:b/>
                      <w:szCs w:val="21"/>
                      <w:highlight w:val="yellow"/>
                    </w:rPr>
                  </w:pPr>
                </w:p>
              </w:tc>
              <w:tc>
                <w:tcPr>
                  <w:tcW w:w="464" w:type="dxa"/>
                  <w:vMerge w:val="continue"/>
                  <w:tcBorders>
                    <w:left w:val="single" w:color="auto" w:sz="4" w:space="0"/>
                    <w:right w:val="single" w:color="auto" w:sz="4" w:space="0"/>
                  </w:tcBorders>
                  <w:vAlign w:val="center"/>
                </w:tcPr>
                <w:p>
                  <w:pPr>
                    <w:jc w:val="center"/>
                    <w:rPr>
                      <w:szCs w:val="21"/>
                      <w:highlight w:val="yellow"/>
                    </w:rPr>
                  </w:pPr>
                </w:p>
              </w:tc>
              <w:tc>
                <w:tcPr>
                  <w:tcW w:w="567" w:type="dxa"/>
                  <w:vMerge w:val="continue"/>
                  <w:tcBorders>
                    <w:left w:val="single" w:color="auto" w:sz="4" w:space="0"/>
                    <w:right w:val="single" w:color="auto" w:sz="4" w:space="0"/>
                  </w:tcBorders>
                  <w:vAlign w:val="center"/>
                </w:tcPr>
                <w:p>
                  <w:pPr>
                    <w:jc w:val="center"/>
                    <w:rPr>
                      <w:szCs w:val="21"/>
                      <w:highlight w:val="yellow"/>
                    </w:rPr>
                  </w:pPr>
                </w:p>
              </w:tc>
              <w:tc>
                <w:tcPr>
                  <w:tcW w:w="709" w:type="dxa"/>
                  <w:vMerge w:val="continue"/>
                  <w:tcBorders>
                    <w:left w:val="single" w:color="auto" w:sz="4" w:space="0"/>
                    <w:right w:val="single" w:color="auto" w:sz="4" w:space="0"/>
                  </w:tcBorders>
                  <w:vAlign w:val="center"/>
                </w:tcPr>
                <w:p>
                  <w:pPr>
                    <w:jc w:val="center"/>
                    <w:rPr>
                      <w:szCs w:val="21"/>
                      <w:highlight w:val="yellow"/>
                    </w:rPr>
                  </w:pPr>
                </w:p>
              </w:tc>
              <w:tc>
                <w:tcPr>
                  <w:tcW w:w="708" w:type="dxa"/>
                  <w:vMerge w:val="continue"/>
                  <w:tcBorders>
                    <w:left w:val="single" w:color="auto" w:sz="4" w:space="0"/>
                    <w:right w:val="single" w:color="auto" w:sz="4" w:space="0"/>
                  </w:tcBorders>
                  <w:vAlign w:val="center"/>
                </w:tcPr>
                <w:p>
                  <w:pPr>
                    <w:jc w:val="center"/>
                    <w:rPr>
                      <w:szCs w:val="21"/>
                      <w:highlight w:val="yellow"/>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bCs/>
                      <w:spacing w:val="-4"/>
                      <w:szCs w:val="21"/>
                    </w:rPr>
                    <w:t>NH</w:t>
                  </w:r>
                  <w:r>
                    <w:rPr>
                      <w:bCs/>
                      <w:spacing w:val="-4"/>
                      <w:szCs w:val="21"/>
                      <w:vertAlign w:val="subscript"/>
                    </w:rPr>
                    <w:t>3</w:t>
                  </w:r>
                  <w:r>
                    <w:rPr>
                      <w:bCs/>
                      <w:spacing w:val="-4"/>
                      <w:szCs w:val="21"/>
                    </w:rPr>
                    <w:t>-N</w:t>
                  </w:r>
                </w:p>
              </w:tc>
              <w:tc>
                <w:tcPr>
                  <w:tcW w:w="1389" w:type="dxa"/>
                  <w:tcBorders>
                    <w:top w:val="single" w:color="auto" w:sz="4" w:space="0"/>
                    <w:left w:val="single" w:color="auto" w:sz="4" w:space="0"/>
                    <w:bottom w:val="single" w:color="auto" w:sz="4" w:space="0"/>
                  </w:tcBorders>
                  <w:vAlign w:val="center"/>
                </w:tcPr>
                <w:p>
                  <w:pPr>
                    <w:jc w:val="center"/>
                    <w:rPr>
                      <w:szCs w:val="21"/>
                    </w:rPr>
                  </w:pPr>
                  <w:r>
                    <w:rPr>
                      <w:szCs w:val="21"/>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0" w:type="dxa"/>
                  <w:vMerge w:val="continue"/>
                  <w:tcBorders>
                    <w:right w:val="single" w:color="auto" w:sz="4" w:space="0"/>
                  </w:tcBorders>
                  <w:tcMar>
                    <w:left w:w="0" w:type="dxa"/>
                    <w:right w:w="0" w:type="dxa"/>
                  </w:tcMar>
                  <w:vAlign w:val="center"/>
                </w:tcPr>
                <w:p>
                  <w:pPr>
                    <w:jc w:val="center"/>
                    <w:rPr>
                      <w:szCs w:val="21"/>
                      <w:highlight w:val="yellow"/>
                    </w:rPr>
                  </w:pPr>
                </w:p>
              </w:tc>
              <w:tc>
                <w:tcPr>
                  <w:tcW w:w="698" w:type="dxa"/>
                  <w:vMerge w:val="continue"/>
                  <w:tcBorders>
                    <w:left w:val="single" w:color="auto" w:sz="4" w:space="0"/>
                    <w:right w:val="single" w:color="auto" w:sz="4" w:space="0"/>
                  </w:tcBorders>
                  <w:vAlign w:val="center"/>
                </w:tcPr>
                <w:p>
                  <w:pPr>
                    <w:jc w:val="center"/>
                    <w:rPr>
                      <w:szCs w:val="21"/>
                      <w:highlight w:val="yellow"/>
                    </w:rPr>
                  </w:pPr>
                </w:p>
              </w:tc>
              <w:tc>
                <w:tcPr>
                  <w:tcW w:w="866" w:type="dxa"/>
                  <w:vMerge w:val="continue"/>
                  <w:tcBorders>
                    <w:left w:val="single" w:color="auto" w:sz="4" w:space="0"/>
                    <w:right w:val="single" w:color="auto" w:sz="4" w:space="0"/>
                  </w:tcBorders>
                  <w:vAlign w:val="center"/>
                </w:tcPr>
                <w:p>
                  <w:pPr>
                    <w:jc w:val="center"/>
                    <w:rPr>
                      <w:bCs/>
                      <w:spacing w:val="-4"/>
                      <w:szCs w:val="21"/>
                      <w:highlight w:val="yellow"/>
                    </w:rPr>
                  </w:pPr>
                </w:p>
              </w:tc>
              <w:tc>
                <w:tcPr>
                  <w:tcW w:w="780" w:type="dxa"/>
                  <w:vMerge w:val="continue"/>
                  <w:tcBorders>
                    <w:left w:val="single" w:color="auto" w:sz="4" w:space="0"/>
                    <w:right w:val="single" w:color="auto" w:sz="4" w:space="0"/>
                  </w:tcBorders>
                  <w:vAlign w:val="center"/>
                </w:tcPr>
                <w:p>
                  <w:pPr>
                    <w:jc w:val="center"/>
                    <w:rPr>
                      <w:szCs w:val="21"/>
                      <w:highlight w:val="yellow"/>
                    </w:rPr>
                  </w:pPr>
                </w:p>
              </w:tc>
              <w:tc>
                <w:tcPr>
                  <w:tcW w:w="822" w:type="dxa"/>
                  <w:vMerge w:val="continue"/>
                  <w:tcBorders>
                    <w:left w:val="single" w:color="auto" w:sz="4" w:space="0"/>
                    <w:right w:val="single" w:color="auto" w:sz="4" w:space="0"/>
                  </w:tcBorders>
                  <w:vAlign w:val="center"/>
                </w:tcPr>
                <w:p>
                  <w:pPr>
                    <w:jc w:val="center"/>
                    <w:rPr>
                      <w:b/>
                      <w:szCs w:val="21"/>
                      <w:highlight w:val="yellow"/>
                    </w:rPr>
                  </w:pPr>
                </w:p>
              </w:tc>
              <w:tc>
                <w:tcPr>
                  <w:tcW w:w="464" w:type="dxa"/>
                  <w:vMerge w:val="continue"/>
                  <w:tcBorders>
                    <w:left w:val="single" w:color="auto" w:sz="4" w:space="0"/>
                    <w:right w:val="single" w:color="auto" w:sz="4" w:space="0"/>
                  </w:tcBorders>
                  <w:vAlign w:val="center"/>
                </w:tcPr>
                <w:p>
                  <w:pPr>
                    <w:jc w:val="center"/>
                    <w:rPr>
                      <w:szCs w:val="21"/>
                      <w:highlight w:val="yellow"/>
                    </w:rPr>
                  </w:pPr>
                </w:p>
              </w:tc>
              <w:tc>
                <w:tcPr>
                  <w:tcW w:w="567" w:type="dxa"/>
                  <w:vMerge w:val="continue"/>
                  <w:tcBorders>
                    <w:left w:val="single" w:color="auto" w:sz="4" w:space="0"/>
                    <w:right w:val="single" w:color="auto" w:sz="4" w:space="0"/>
                  </w:tcBorders>
                  <w:vAlign w:val="center"/>
                </w:tcPr>
                <w:p>
                  <w:pPr>
                    <w:jc w:val="center"/>
                    <w:rPr>
                      <w:szCs w:val="21"/>
                      <w:highlight w:val="yellow"/>
                    </w:rPr>
                  </w:pPr>
                </w:p>
              </w:tc>
              <w:tc>
                <w:tcPr>
                  <w:tcW w:w="709" w:type="dxa"/>
                  <w:vMerge w:val="continue"/>
                  <w:tcBorders>
                    <w:left w:val="single" w:color="auto" w:sz="4" w:space="0"/>
                    <w:right w:val="single" w:color="auto" w:sz="4" w:space="0"/>
                  </w:tcBorders>
                  <w:vAlign w:val="center"/>
                </w:tcPr>
                <w:p>
                  <w:pPr>
                    <w:jc w:val="center"/>
                    <w:rPr>
                      <w:szCs w:val="21"/>
                      <w:highlight w:val="yellow"/>
                    </w:rPr>
                  </w:pPr>
                </w:p>
              </w:tc>
              <w:tc>
                <w:tcPr>
                  <w:tcW w:w="708" w:type="dxa"/>
                  <w:vMerge w:val="continue"/>
                  <w:tcBorders>
                    <w:left w:val="single" w:color="auto" w:sz="4" w:space="0"/>
                    <w:right w:val="single" w:color="auto" w:sz="4" w:space="0"/>
                  </w:tcBorders>
                  <w:vAlign w:val="center"/>
                </w:tcPr>
                <w:p>
                  <w:pPr>
                    <w:jc w:val="center"/>
                    <w:rPr>
                      <w:szCs w:val="21"/>
                      <w:highlight w:val="yellow"/>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bCs/>
                      <w:spacing w:val="-4"/>
                      <w:szCs w:val="21"/>
                    </w:rPr>
                    <w:t>TP</w:t>
                  </w:r>
                </w:p>
              </w:tc>
              <w:tc>
                <w:tcPr>
                  <w:tcW w:w="1389" w:type="dxa"/>
                  <w:tcBorders>
                    <w:top w:val="single" w:color="auto" w:sz="4" w:space="0"/>
                    <w:left w:val="single" w:color="auto" w:sz="4" w:space="0"/>
                    <w:bottom w:val="single" w:color="auto" w:sz="4" w:space="0"/>
                  </w:tcBorders>
                  <w:vAlign w:val="center"/>
                </w:tcPr>
                <w:p>
                  <w:pPr>
                    <w:jc w:val="center"/>
                    <w:rPr>
                      <w:szCs w:val="21"/>
                    </w:rPr>
                  </w:pPr>
                  <w:r>
                    <w:rPr>
                      <w:szCs w:val="21"/>
                    </w:rPr>
                    <w:t>0.4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20" w:type="dxa"/>
                  <w:vMerge w:val="continue"/>
                  <w:tcBorders>
                    <w:right w:val="single" w:color="auto" w:sz="4" w:space="0"/>
                  </w:tcBorders>
                  <w:tcMar>
                    <w:left w:w="0" w:type="dxa"/>
                    <w:right w:w="0" w:type="dxa"/>
                  </w:tcMar>
                  <w:vAlign w:val="center"/>
                </w:tcPr>
                <w:p>
                  <w:pPr>
                    <w:jc w:val="center"/>
                    <w:rPr>
                      <w:szCs w:val="21"/>
                      <w:highlight w:val="yellow"/>
                    </w:rPr>
                  </w:pPr>
                </w:p>
              </w:tc>
              <w:tc>
                <w:tcPr>
                  <w:tcW w:w="698" w:type="dxa"/>
                  <w:vMerge w:val="continue"/>
                  <w:tcBorders>
                    <w:left w:val="single" w:color="auto" w:sz="4" w:space="0"/>
                    <w:right w:val="single" w:color="auto" w:sz="4" w:space="0"/>
                  </w:tcBorders>
                  <w:vAlign w:val="center"/>
                </w:tcPr>
                <w:p>
                  <w:pPr>
                    <w:jc w:val="center"/>
                    <w:rPr>
                      <w:szCs w:val="21"/>
                      <w:highlight w:val="yellow"/>
                    </w:rPr>
                  </w:pPr>
                </w:p>
              </w:tc>
              <w:tc>
                <w:tcPr>
                  <w:tcW w:w="866" w:type="dxa"/>
                  <w:vMerge w:val="continue"/>
                  <w:tcBorders>
                    <w:left w:val="single" w:color="auto" w:sz="4" w:space="0"/>
                    <w:right w:val="single" w:color="auto" w:sz="4" w:space="0"/>
                  </w:tcBorders>
                  <w:vAlign w:val="center"/>
                </w:tcPr>
                <w:p>
                  <w:pPr>
                    <w:jc w:val="center"/>
                    <w:rPr>
                      <w:bCs/>
                      <w:spacing w:val="-4"/>
                      <w:szCs w:val="21"/>
                      <w:highlight w:val="yellow"/>
                    </w:rPr>
                  </w:pPr>
                </w:p>
              </w:tc>
              <w:tc>
                <w:tcPr>
                  <w:tcW w:w="780" w:type="dxa"/>
                  <w:vMerge w:val="continue"/>
                  <w:tcBorders>
                    <w:left w:val="single" w:color="auto" w:sz="4" w:space="0"/>
                    <w:right w:val="single" w:color="auto" w:sz="4" w:space="0"/>
                  </w:tcBorders>
                  <w:vAlign w:val="center"/>
                </w:tcPr>
                <w:p>
                  <w:pPr>
                    <w:jc w:val="center"/>
                    <w:rPr>
                      <w:szCs w:val="21"/>
                      <w:highlight w:val="yellow"/>
                    </w:rPr>
                  </w:pPr>
                </w:p>
              </w:tc>
              <w:tc>
                <w:tcPr>
                  <w:tcW w:w="822" w:type="dxa"/>
                  <w:vMerge w:val="continue"/>
                  <w:tcBorders>
                    <w:left w:val="single" w:color="auto" w:sz="4" w:space="0"/>
                    <w:right w:val="single" w:color="auto" w:sz="4" w:space="0"/>
                  </w:tcBorders>
                  <w:vAlign w:val="center"/>
                </w:tcPr>
                <w:p>
                  <w:pPr>
                    <w:jc w:val="center"/>
                    <w:rPr>
                      <w:b/>
                      <w:szCs w:val="21"/>
                      <w:highlight w:val="yellow"/>
                    </w:rPr>
                  </w:pPr>
                </w:p>
              </w:tc>
              <w:tc>
                <w:tcPr>
                  <w:tcW w:w="464" w:type="dxa"/>
                  <w:vMerge w:val="continue"/>
                  <w:tcBorders>
                    <w:left w:val="single" w:color="auto" w:sz="4" w:space="0"/>
                    <w:right w:val="single" w:color="auto" w:sz="4" w:space="0"/>
                  </w:tcBorders>
                  <w:vAlign w:val="center"/>
                </w:tcPr>
                <w:p>
                  <w:pPr>
                    <w:jc w:val="center"/>
                    <w:rPr>
                      <w:szCs w:val="21"/>
                      <w:highlight w:val="yellow"/>
                    </w:rPr>
                  </w:pPr>
                </w:p>
              </w:tc>
              <w:tc>
                <w:tcPr>
                  <w:tcW w:w="567" w:type="dxa"/>
                  <w:vMerge w:val="continue"/>
                  <w:tcBorders>
                    <w:left w:val="single" w:color="auto" w:sz="4" w:space="0"/>
                    <w:right w:val="single" w:color="auto" w:sz="4" w:space="0"/>
                  </w:tcBorders>
                  <w:vAlign w:val="center"/>
                </w:tcPr>
                <w:p>
                  <w:pPr>
                    <w:jc w:val="center"/>
                    <w:rPr>
                      <w:szCs w:val="21"/>
                      <w:highlight w:val="yellow"/>
                    </w:rPr>
                  </w:pPr>
                </w:p>
              </w:tc>
              <w:tc>
                <w:tcPr>
                  <w:tcW w:w="709" w:type="dxa"/>
                  <w:vMerge w:val="continue"/>
                  <w:tcBorders>
                    <w:left w:val="single" w:color="auto" w:sz="4" w:space="0"/>
                    <w:right w:val="single" w:color="auto" w:sz="4" w:space="0"/>
                  </w:tcBorders>
                  <w:vAlign w:val="center"/>
                </w:tcPr>
                <w:p>
                  <w:pPr>
                    <w:jc w:val="center"/>
                    <w:rPr>
                      <w:szCs w:val="21"/>
                      <w:highlight w:val="yellow"/>
                    </w:rPr>
                  </w:pPr>
                </w:p>
              </w:tc>
              <w:tc>
                <w:tcPr>
                  <w:tcW w:w="708" w:type="dxa"/>
                  <w:vMerge w:val="continue"/>
                  <w:tcBorders>
                    <w:left w:val="single" w:color="auto" w:sz="4" w:space="0"/>
                    <w:right w:val="single" w:color="auto" w:sz="4" w:space="0"/>
                  </w:tcBorders>
                  <w:vAlign w:val="center"/>
                </w:tcPr>
                <w:p>
                  <w:pPr>
                    <w:jc w:val="center"/>
                    <w:rPr>
                      <w:szCs w:val="21"/>
                      <w:highlight w:val="yellow"/>
                    </w:rPr>
                  </w:pPr>
                </w:p>
              </w:tc>
              <w:tc>
                <w:tcPr>
                  <w:tcW w:w="747" w:type="dxa"/>
                  <w:tcBorders>
                    <w:top w:val="single" w:color="auto" w:sz="4" w:space="0"/>
                    <w:left w:val="single" w:color="auto" w:sz="4" w:space="0"/>
                    <w:bottom w:val="single" w:color="auto" w:sz="4" w:space="0"/>
                    <w:right w:val="single" w:color="auto" w:sz="4" w:space="0"/>
                  </w:tcBorders>
                  <w:vAlign w:val="center"/>
                </w:tcPr>
                <w:p>
                  <w:pPr>
                    <w:jc w:val="center"/>
                    <w:rPr>
                      <w:bCs/>
                      <w:spacing w:val="-4"/>
                      <w:szCs w:val="21"/>
                    </w:rPr>
                  </w:pPr>
                  <w:r>
                    <w:rPr>
                      <w:bCs/>
                      <w:spacing w:val="-4"/>
                      <w:szCs w:val="21"/>
                    </w:rPr>
                    <w:t>TN</w:t>
                  </w:r>
                </w:p>
              </w:tc>
              <w:tc>
                <w:tcPr>
                  <w:tcW w:w="1389" w:type="dxa"/>
                  <w:tcBorders>
                    <w:top w:val="single" w:color="auto" w:sz="4" w:space="0"/>
                    <w:left w:val="single" w:color="auto" w:sz="4" w:space="0"/>
                    <w:bottom w:val="single" w:color="auto" w:sz="4" w:space="0"/>
                  </w:tcBorders>
                  <w:vAlign w:val="center"/>
                </w:tcPr>
                <w:p>
                  <w:pPr>
                    <w:jc w:val="center"/>
                    <w:rPr>
                      <w:szCs w:val="21"/>
                    </w:rPr>
                  </w:pPr>
                  <w:r>
                    <w:rPr>
                      <w:szCs w:val="21"/>
                    </w:rPr>
                    <w:t>15</w:t>
                  </w:r>
                </w:p>
              </w:tc>
            </w:tr>
          </w:tbl>
          <w:p>
            <w:pPr>
              <w:spacing w:line="460" w:lineRule="exact"/>
              <w:ind w:firstLine="480" w:firstLineChars="200"/>
              <w:rPr>
                <w:sz w:val="24"/>
              </w:rPr>
            </w:pPr>
            <w:r>
              <w:rPr>
                <w:rFonts w:hint="eastAsia" w:ascii="宋体" w:hAnsi="宋体" w:cs="宋体"/>
                <w:sz w:val="24"/>
              </w:rPr>
              <w:t>③</w:t>
            </w:r>
            <w:r>
              <w:rPr>
                <w:sz w:val="24"/>
              </w:rPr>
              <w:t>废水污染物排放执行标准表</w:t>
            </w:r>
          </w:p>
          <w:p>
            <w:pPr>
              <w:spacing w:line="460" w:lineRule="exact"/>
              <w:ind w:firstLine="480" w:firstLineChars="200"/>
              <w:jc w:val="left"/>
              <w:rPr>
                <w:rFonts w:eastAsia="黑体"/>
                <w:sz w:val="24"/>
                <w:lang w:val="pt-BR"/>
              </w:rPr>
            </w:pPr>
            <w:r>
              <w:rPr>
                <w:rFonts w:eastAsia="黑体"/>
                <w:sz w:val="24"/>
                <w:lang w:val="pt-BR"/>
              </w:rPr>
              <w:t>表28               废水污染物排放执行标准表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90"/>
              <w:gridCol w:w="708"/>
              <w:gridCol w:w="850"/>
              <w:gridCol w:w="4252"/>
              <w:gridCol w:w="157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0" w:type="dxa"/>
                  <w:vMerge w:val="restart"/>
                  <w:vAlign w:val="center"/>
                </w:tcPr>
                <w:p>
                  <w:pPr>
                    <w:jc w:val="center"/>
                    <w:rPr>
                      <w:b/>
                      <w:szCs w:val="21"/>
                    </w:rPr>
                  </w:pPr>
                  <w:r>
                    <w:rPr>
                      <w:b/>
                      <w:szCs w:val="21"/>
                    </w:rPr>
                    <w:t>序号</w:t>
                  </w:r>
                </w:p>
              </w:tc>
              <w:tc>
                <w:tcPr>
                  <w:tcW w:w="708" w:type="dxa"/>
                  <w:vMerge w:val="restart"/>
                  <w:vAlign w:val="center"/>
                </w:tcPr>
                <w:p>
                  <w:pPr>
                    <w:jc w:val="center"/>
                    <w:rPr>
                      <w:b/>
                      <w:szCs w:val="21"/>
                    </w:rPr>
                  </w:pPr>
                  <w:r>
                    <w:rPr>
                      <w:b/>
                      <w:szCs w:val="21"/>
                    </w:rPr>
                    <w:t>排放口编号</w:t>
                  </w:r>
                </w:p>
              </w:tc>
              <w:tc>
                <w:tcPr>
                  <w:tcW w:w="850" w:type="dxa"/>
                  <w:vMerge w:val="restart"/>
                  <w:vAlign w:val="center"/>
                </w:tcPr>
                <w:p>
                  <w:pPr>
                    <w:jc w:val="center"/>
                    <w:rPr>
                      <w:b/>
                      <w:szCs w:val="21"/>
                    </w:rPr>
                  </w:pPr>
                  <w:r>
                    <w:rPr>
                      <w:b/>
                      <w:szCs w:val="21"/>
                    </w:rPr>
                    <w:t>污染物种类</w:t>
                  </w:r>
                </w:p>
              </w:tc>
              <w:tc>
                <w:tcPr>
                  <w:tcW w:w="5822" w:type="dxa"/>
                  <w:gridSpan w:val="2"/>
                  <w:vAlign w:val="center"/>
                </w:tcPr>
                <w:p>
                  <w:pPr>
                    <w:jc w:val="center"/>
                    <w:rPr>
                      <w:b/>
                      <w:szCs w:val="21"/>
                    </w:rPr>
                  </w:pPr>
                  <w:r>
                    <w:rPr>
                      <w:b/>
                      <w:szCs w:val="21"/>
                    </w:rPr>
                    <w:t>国家或地方污染物排放标准及其他按规定商定的排放协议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0" w:type="dxa"/>
                  <w:vMerge w:val="continue"/>
                  <w:vAlign w:val="center"/>
                </w:tcPr>
                <w:p>
                  <w:pPr>
                    <w:jc w:val="center"/>
                    <w:rPr>
                      <w:b/>
                      <w:szCs w:val="21"/>
                    </w:rPr>
                  </w:pPr>
                </w:p>
              </w:tc>
              <w:tc>
                <w:tcPr>
                  <w:tcW w:w="708" w:type="dxa"/>
                  <w:vMerge w:val="continue"/>
                  <w:vAlign w:val="center"/>
                </w:tcPr>
                <w:p>
                  <w:pPr>
                    <w:jc w:val="center"/>
                    <w:rPr>
                      <w:b/>
                      <w:szCs w:val="21"/>
                    </w:rPr>
                  </w:pPr>
                </w:p>
              </w:tc>
              <w:tc>
                <w:tcPr>
                  <w:tcW w:w="850" w:type="dxa"/>
                  <w:vMerge w:val="continue"/>
                  <w:vAlign w:val="center"/>
                </w:tcPr>
                <w:p>
                  <w:pPr>
                    <w:jc w:val="center"/>
                    <w:rPr>
                      <w:b/>
                      <w:szCs w:val="21"/>
                    </w:rPr>
                  </w:pPr>
                </w:p>
              </w:tc>
              <w:tc>
                <w:tcPr>
                  <w:tcW w:w="4252" w:type="dxa"/>
                  <w:vAlign w:val="center"/>
                </w:tcPr>
                <w:p>
                  <w:pPr>
                    <w:jc w:val="center"/>
                    <w:rPr>
                      <w:b/>
                      <w:szCs w:val="21"/>
                    </w:rPr>
                  </w:pPr>
                  <w:r>
                    <w:rPr>
                      <w:b/>
                      <w:szCs w:val="21"/>
                    </w:rPr>
                    <w:t>名称</w:t>
                  </w:r>
                </w:p>
              </w:tc>
              <w:tc>
                <w:tcPr>
                  <w:tcW w:w="1570" w:type="dxa"/>
                  <w:vAlign w:val="center"/>
                </w:tcPr>
                <w:p>
                  <w:pPr>
                    <w:jc w:val="center"/>
                    <w:rPr>
                      <w:b/>
                      <w:szCs w:val="21"/>
                    </w:rPr>
                  </w:pPr>
                  <w:r>
                    <w:rPr>
                      <w:b/>
                      <w:szCs w:val="21"/>
                    </w:rPr>
                    <w:t>浓度限值/（mg/L）</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0" w:type="dxa"/>
                  <w:vAlign w:val="center"/>
                </w:tcPr>
                <w:p>
                  <w:pPr>
                    <w:snapToGrid w:val="0"/>
                    <w:jc w:val="center"/>
                    <w:rPr>
                      <w:szCs w:val="21"/>
                    </w:rPr>
                  </w:pPr>
                  <w:r>
                    <w:rPr>
                      <w:szCs w:val="21"/>
                    </w:rPr>
                    <w:t>1</w:t>
                  </w:r>
                </w:p>
              </w:tc>
              <w:tc>
                <w:tcPr>
                  <w:tcW w:w="708" w:type="dxa"/>
                  <w:vMerge w:val="restart"/>
                  <w:vAlign w:val="center"/>
                </w:tcPr>
                <w:p>
                  <w:pPr>
                    <w:snapToGrid w:val="0"/>
                    <w:jc w:val="center"/>
                    <w:rPr>
                      <w:szCs w:val="21"/>
                    </w:rPr>
                  </w:pPr>
                  <w:r>
                    <w:rPr>
                      <w:szCs w:val="21"/>
                    </w:rPr>
                    <w:t>DW001</w:t>
                  </w:r>
                </w:p>
              </w:tc>
              <w:tc>
                <w:tcPr>
                  <w:tcW w:w="850" w:type="dxa"/>
                  <w:vAlign w:val="center"/>
                </w:tcPr>
                <w:p>
                  <w:pPr>
                    <w:jc w:val="center"/>
                    <w:rPr>
                      <w:szCs w:val="21"/>
                    </w:rPr>
                  </w:pPr>
                  <w:r>
                    <w:rPr>
                      <w:bCs/>
                      <w:spacing w:val="-4"/>
                      <w:szCs w:val="21"/>
                    </w:rPr>
                    <w:t>COD</w:t>
                  </w:r>
                </w:p>
              </w:tc>
              <w:tc>
                <w:tcPr>
                  <w:tcW w:w="4252" w:type="dxa"/>
                  <w:vMerge w:val="restart"/>
                  <w:vAlign w:val="center"/>
                </w:tcPr>
                <w:p>
                  <w:pPr>
                    <w:snapToGrid w:val="0"/>
                    <w:jc w:val="center"/>
                    <w:rPr>
                      <w:bCs/>
                      <w:szCs w:val="21"/>
                      <w:highlight w:val="yellow"/>
                    </w:rPr>
                  </w:pPr>
                  <w:r>
                    <w:rPr>
                      <w:bCs/>
                      <w:szCs w:val="21"/>
                    </w:rPr>
                    <w:t>新乡县综合污水处理厂收水水质标准</w:t>
                  </w:r>
                </w:p>
              </w:tc>
              <w:tc>
                <w:tcPr>
                  <w:tcW w:w="1570" w:type="dxa"/>
                  <w:vAlign w:val="center"/>
                </w:tcPr>
                <w:p>
                  <w:pPr>
                    <w:snapToGrid w:val="0"/>
                    <w:jc w:val="center"/>
                    <w:rPr>
                      <w:szCs w:val="21"/>
                    </w:rPr>
                  </w:pPr>
                  <w:r>
                    <w:rPr>
                      <w:szCs w:val="21"/>
                    </w:rPr>
                    <w:t>400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0" w:type="dxa"/>
                  <w:vAlign w:val="center"/>
                </w:tcPr>
                <w:p>
                  <w:pPr>
                    <w:snapToGrid w:val="0"/>
                    <w:jc w:val="center"/>
                    <w:rPr>
                      <w:szCs w:val="21"/>
                    </w:rPr>
                  </w:pPr>
                  <w:r>
                    <w:rPr>
                      <w:szCs w:val="21"/>
                    </w:rPr>
                    <w:t>2</w:t>
                  </w:r>
                </w:p>
              </w:tc>
              <w:tc>
                <w:tcPr>
                  <w:tcW w:w="708" w:type="dxa"/>
                  <w:vMerge w:val="continue"/>
                  <w:vAlign w:val="center"/>
                </w:tcPr>
                <w:p>
                  <w:pPr>
                    <w:snapToGrid w:val="0"/>
                    <w:jc w:val="center"/>
                    <w:rPr>
                      <w:szCs w:val="21"/>
                    </w:rPr>
                  </w:pPr>
                </w:p>
              </w:tc>
              <w:tc>
                <w:tcPr>
                  <w:tcW w:w="850" w:type="dxa"/>
                  <w:vAlign w:val="center"/>
                </w:tcPr>
                <w:p>
                  <w:pPr>
                    <w:jc w:val="center"/>
                    <w:rPr>
                      <w:bCs/>
                      <w:spacing w:val="-4"/>
                      <w:szCs w:val="21"/>
                    </w:rPr>
                  </w:pPr>
                  <w:r>
                    <w:rPr>
                      <w:bCs/>
                      <w:spacing w:val="-4"/>
                      <w:szCs w:val="21"/>
                    </w:rPr>
                    <w:t>SS</w:t>
                  </w:r>
                </w:p>
              </w:tc>
              <w:tc>
                <w:tcPr>
                  <w:tcW w:w="4252" w:type="dxa"/>
                  <w:vMerge w:val="continue"/>
                  <w:vAlign w:val="center"/>
                </w:tcPr>
                <w:p>
                  <w:pPr>
                    <w:snapToGrid w:val="0"/>
                    <w:jc w:val="center"/>
                    <w:rPr>
                      <w:bCs/>
                      <w:szCs w:val="21"/>
                      <w:highlight w:val="yellow"/>
                    </w:rPr>
                  </w:pPr>
                </w:p>
              </w:tc>
              <w:tc>
                <w:tcPr>
                  <w:tcW w:w="1570" w:type="dxa"/>
                  <w:vAlign w:val="center"/>
                </w:tcPr>
                <w:p>
                  <w:pPr>
                    <w:snapToGrid w:val="0"/>
                    <w:jc w:val="center"/>
                    <w:rPr>
                      <w:szCs w:val="21"/>
                    </w:rPr>
                  </w:pPr>
                  <w:r>
                    <w:rPr>
                      <w:szCs w:val="21"/>
                    </w:rPr>
                    <w:t>180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0" w:type="dxa"/>
                  <w:vAlign w:val="center"/>
                </w:tcPr>
                <w:p>
                  <w:pPr>
                    <w:snapToGrid w:val="0"/>
                    <w:jc w:val="center"/>
                    <w:rPr>
                      <w:szCs w:val="21"/>
                    </w:rPr>
                  </w:pPr>
                  <w:r>
                    <w:rPr>
                      <w:szCs w:val="21"/>
                    </w:rPr>
                    <w:t>3</w:t>
                  </w:r>
                </w:p>
              </w:tc>
              <w:tc>
                <w:tcPr>
                  <w:tcW w:w="708" w:type="dxa"/>
                  <w:vMerge w:val="continue"/>
                  <w:vAlign w:val="center"/>
                </w:tcPr>
                <w:p>
                  <w:pPr>
                    <w:snapToGrid w:val="0"/>
                    <w:jc w:val="center"/>
                    <w:rPr>
                      <w:szCs w:val="21"/>
                    </w:rPr>
                  </w:pPr>
                </w:p>
              </w:tc>
              <w:tc>
                <w:tcPr>
                  <w:tcW w:w="850" w:type="dxa"/>
                  <w:vAlign w:val="center"/>
                </w:tcPr>
                <w:p>
                  <w:pPr>
                    <w:jc w:val="center"/>
                    <w:rPr>
                      <w:szCs w:val="21"/>
                    </w:rPr>
                  </w:pPr>
                  <w:r>
                    <w:rPr>
                      <w:bCs/>
                      <w:spacing w:val="-4"/>
                      <w:szCs w:val="21"/>
                    </w:rPr>
                    <w:t>NH</w:t>
                  </w:r>
                  <w:r>
                    <w:rPr>
                      <w:bCs/>
                      <w:spacing w:val="-4"/>
                      <w:szCs w:val="21"/>
                      <w:vertAlign w:val="subscript"/>
                    </w:rPr>
                    <w:t>3</w:t>
                  </w:r>
                  <w:r>
                    <w:rPr>
                      <w:bCs/>
                      <w:spacing w:val="-4"/>
                      <w:szCs w:val="21"/>
                    </w:rPr>
                    <w:t>-N</w:t>
                  </w:r>
                </w:p>
              </w:tc>
              <w:tc>
                <w:tcPr>
                  <w:tcW w:w="4252" w:type="dxa"/>
                  <w:vMerge w:val="continue"/>
                  <w:vAlign w:val="center"/>
                </w:tcPr>
                <w:p>
                  <w:pPr>
                    <w:snapToGrid w:val="0"/>
                    <w:jc w:val="center"/>
                    <w:rPr>
                      <w:bCs/>
                      <w:szCs w:val="21"/>
                      <w:highlight w:val="yellow"/>
                    </w:rPr>
                  </w:pPr>
                </w:p>
              </w:tc>
              <w:tc>
                <w:tcPr>
                  <w:tcW w:w="1570" w:type="dxa"/>
                  <w:vAlign w:val="center"/>
                </w:tcPr>
                <w:p>
                  <w:pPr>
                    <w:snapToGrid w:val="0"/>
                    <w:jc w:val="center"/>
                    <w:rPr>
                      <w:szCs w:val="21"/>
                    </w:rPr>
                  </w:pPr>
                  <w:r>
                    <w:rPr>
                      <w:szCs w:val="21"/>
                    </w:rPr>
                    <w:t>59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0" w:type="dxa"/>
                  <w:vAlign w:val="center"/>
                </w:tcPr>
                <w:p>
                  <w:pPr>
                    <w:snapToGrid w:val="0"/>
                    <w:jc w:val="center"/>
                    <w:rPr>
                      <w:szCs w:val="21"/>
                    </w:rPr>
                  </w:pPr>
                  <w:r>
                    <w:rPr>
                      <w:szCs w:val="21"/>
                    </w:rPr>
                    <w:t>4</w:t>
                  </w:r>
                </w:p>
              </w:tc>
              <w:tc>
                <w:tcPr>
                  <w:tcW w:w="708" w:type="dxa"/>
                  <w:vMerge w:val="continue"/>
                  <w:vAlign w:val="center"/>
                </w:tcPr>
                <w:p>
                  <w:pPr>
                    <w:snapToGrid w:val="0"/>
                    <w:jc w:val="center"/>
                    <w:rPr>
                      <w:szCs w:val="21"/>
                    </w:rPr>
                  </w:pPr>
                </w:p>
              </w:tc>
              <w:tc>
                <w:tcPr>
                  <w:tcW w:w="850" w:type="dxa"/>
                  <w:vAlign w:val="center"/>
                </w:tcPr>
                <w:p>
                  <w:pPr>
                    <w:jc w:val="center"/>
                    <w:rPr>
                      <w:bCs/>
                      <w:spacing w:val="-4"/>
                      <w:szCs w:val="21"/>
                    </w:rPr>
                  </w:pPr>
                  <w:r>
                    <w:rPr>
                      <w:bCs/>
                      <w:spacing w:val="-4"/>
                      <w:szCs w:val="21"/>
                    </w:rPr>
                    <w:t>TP</w:t>
                  </w:r>
                </w:p>
              </w:tc>
              <w:tc>
                <w:tcPr>
                  <w:tcW w:w="4252" w:type="dxa"/>
                  <w:vMerge w:val="continue"/>
                  <w:vAlign w:val="center"/>
                </w:tcPr>
                <w:p>
                  <w:pPr>
                    <w:snapToGrid w:val="0"/>
                    <w:jc w:val="center"/>
                    <w:rPr>
                      <w:bCs/>
                      <w:szCs w:val="21"/>
                      <w:highlight w:val="yellow"/>
                    </w:rPr>
                  </w:pPr>
                </w:p>
              </w:tc>
              <w:tc>
                <w:tcPr>
                  <w:tcW w:w="1570" w:type="dxa"/>
                  <w:vAlign w:val="center"/>
                </w:tcPr>
                <w:p>
                  <w:pPr>
                    <w:snapToGrid w:val="0"/>
                    <w:jc w:val="center"/>
                    <w:rPr>
                      <w:szCs w:val="21"/>
                      <w:highlight w:val="yellow"/>
                    </w:rPr>
                  </w:pPr>
                  <w:r>
                    <w:rPr>
                      <w:szCs w:val="21"/>
                    </w:rPr>
                    <w:t>4.0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0" w:type="dxa"/>
                  <w:vAlign w:val="center"/>
                </w:tcPr>
                <w:p>
                  <w:pPr>
                    <w:snapToGrid w:val="0"/>
                    <w:jc w:val="center"/>
                    <w:rPr>
                      <w:szCs w:val="21"/>
                    </w:rPr>
                  </w:pPr>
                  <w:r>
                    <w:rPr>
                      <w:szCs w:val="21"/>
                    </w:rPr>
                    <w:t>5</w:t>
                  </w:r>
                </w:p>
              </w:tc>
              <w:tc>
                <w:tcPr>
                  <w:tcW w:w="708" w:type="dxa"/>
                  <w:vMerge w:val="continue"/>
                  <w:vAlign w:val="center"/>
                </w:tcPr>
                <w:p>
                  <w:pPr>
                    <w:snapToGrid w:val="0"/>
                    <w:jc w:val="center"/>
                    <w:rPr>
                      <w:szCs w:val="21"/>
                      <w:highlight w:val="yellow"/>
                    </w:rPr>
                  </w:pPr>
                </w:p>
              </w:tc>
              <w:tc>
                <w:tcPr>
                  <w:tcW w:w="850" w:type="dxa"/>
                  <w:vAlign w:val="center"/>
                </w:tcPr>
                <w:p>
                  <w:pPr>
                    <w:jc w:val="center"/>
                    <w:rPr>
                      <w:bCs/>
                      <w:spacing w:val="-4"/>
                      <w:szCs w:val="21"/>
                    </w:rPr>
                  </w:pPr>
                  <w:r>
                    <w:rPr>
                      <w:bCs/>
                      <w:spacing w:val="-4"/>
                      <w:szCs w:val="21"/>
                    </w:rPr>
                    <w:t>TN</w:t>
                  </w:r>
                </w:p>
              </w:tc>
              <w:tc>
                <w:tcPr>
                  <w:tcW w:w="4252" w:type="dxa"/>
                  <w:vMerge w:val="continue"/>
                  <w:vAlign w:val="center"/>
                </w:tcPr>
                <w:p>
                  <w:pPr>
                    <w:snapToGrid w:val="0"/>
                    <w:jc w:val="center"/>
                    <w:rPr>
                      <w:bCs/>
                      <w:szCs w:val="21"/>
                    </w:rPr>
                  </w:pPr>
                </w:p>
              </w:tc>
              <w:tc>
                <w:tcPr>
                  <w:tcW w:w="1570" w:type="dxa"/>
                  <w:vAlign w:val="center"/>
                </w:tcPr>
                <w:p>
                  <w:pPr>
                    <w:snapToGrid w:val="0"/>
                    <w:jc w:val="center"/>
                    <w:rPr>
                      <w:szCs w:val="21"/>
                    </w:rPr>
                  </w:pPr>
                  <w:r>
                    <w:rPr>
                      <w:szCs w:val="21"/>
                    </w:rPr>
                    <w:t>70</w:t>
                  </w:r>
                </w:p>
              </w:tc>
            </w:tr>
          </w:tbl>
          <w:p>
            <w:pPr>
              <w:spacing w:line="460" w:lineRule="exact"/>
              <w:ind w:firstLine="480" w:firstLineChars="200"/>
              <w:rPr>
                <w:sz w:val="24"/>
              </w:rPr>
            </w:pPr>
            <w:r>
              <w:rPr>
                <w:rFonts w:hint="eastAsia" w:ascii="宋体" w:hAnsi="宋体" w:cs="宋体"/>
                <w:sz w:val="24"/>
              </w:rPr>
              <w:t>④</w:t>
            </w:r>
            <w:r>
              <w:rPr>
                <w:sz w:val="24"/>
              </w:rPr>
              <w:t>废水污染物排放信息表</w:t>
            </w:r>
          </w:p>
          <w:p>
            <w:pPr>
              <w:spacing w:line="460" w:lineRule="exact"/>
              <w:ind w:firstLine="480" w:firstLineChars="200"/>
              <w:jc w:val="left"/>
              <w:rPr>
                <w:sz w:val="24"/>
              </w:rPr>
            </w:pPr>
            <w:r>
              <w:rPr>
                <w:sz w:val="24"/>
              </w:rPr>
              <w:t>本项目污染物产排情况见下表。</w:t>
            </w:r>
          </w:p>
          <w:p>
            <w:pPr>
              <w:spacing w:line="460" w:lineRule="exact"/>
              <w:ind w:firstLine="480" w:firstLineChars="200"/>
              <w:jc w:val="left"/>
              <w:rPr>
                <w:rFonts w:eastAsia="黑体"/>
                <w:sz w:val="24"/>
                <w:lang w:val="pt-BR"/>
              </w:rPr>
            </w:pPr>
            <w:r>
              <w:rPr>
                <w:rFonts w:eastAsia="黑体"/>
                <w:sz w:val="24"/>
                <w:lang w:val="pt-BR"/>
              </w:rPr>
              <w:t>表29              废水污染物排放信息表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90"/>
              <w:gridCol w:w="1134"/>
              <w:gridCol w:w="992"/>
              <w:gridCol w:w="850"/>
              <w:gridCol w:w="3119"/>
              <w:gridCol w:w="128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0" w:type="dxa"/>
                  <w:vAlign w:val="center"/>
                </w:tcPr>
                <w:p>
                  <w:pPr>
                    <w:jc w:val="center"/>
                    <w:rPr>
                      <w:b/>
                      <w:szCs w:val="21"/>
                    </w:rPr>
                  </w:pPr>
                  <w:r>
                    <w:rPr>
                      <w:b/>
                      <w:szCs w:val="21"/>
                    </w:rPr>
                    <w:t>污染物</w:t>
                  </w:r>
                </w:p>
              </w:tc>
              <w:tc>
                <w:tcPr>
                  <w:tcW w:w="1134" w:type="dxa"/>
                  <w:vAlign w:val="center"/>
                </w:tcPr>
                <w:p>
                  <w:pPr>
                    <w:widowControl/>
                    <w:jc w:val="center"/>
                    <w:rPr>
                      <w:b/>
                      <w:szCs w:val="21"/>
                    </w:rPr>
                  </w:pPr>
                  <w:r>
                    <w:rPr>
                      <w:b/>
                      <w:szCs w:val="21"/>
                    </w:rPr>
                    <w:t>排放口编号</w:t>
                  </w:r>
                </w:p>
              </w:tc>
              <w:tc>
                <w:tcPr>
                  <w:tcW w:w="992" w:type="dxa"/>
                  <w:vAlign w:val="center"/>
                </w:tcPr>
                <w:p>
                  <w:pPr>
                    <w:jc w:val="center"/>
                    <w:rPr>
                      <w:b/>
                      <w:szCs w:val="21"/>
                    </w:rPr>
                  </w:pPr>
                  <w:r>
                    <w:rPr>
                      <w:b/>
                      <w:szCs w:val="21"/>
                    </w:rPr>
                    <w:t>产生浓度/(mg/L)</w:t>
                  </w:r>
                </w:p>
              </w:tc>
              <w:tc>
                <w:tcPr>
                  <w:tcW w:w="850" w:type="dxa"/>
                  <w:vAlign w:val="center"/>
                </w:tcPr>
                <w:p>
                  <w:pPr>
                    <w:jc w:val="center"/>
                    <w:rPr>
                      <w:b/>
                      <w:szCs w:val="21"/>
                    </w:rPr>
                  </w:pPr>
                  <w:r>
                    <w:rPr>
                      <w:b/>
                      <w:szCs w:val="21"/>
                    </w:rPr>
                    <w:t>产生量/(t/a)</w:t>
                  </w:r>
                </w:p>
              </w:tc>
              <w:tc>
                <w:tcPr>
                  <w:tcW w:w="3119" w:type="dxa"/>
                  <w:vAlign w:val="center"/>
                </w:tcPr>
                <w:p>
                  <w:pPr>
                    <w:jc w:val="center"/>
                    <w:rPr>
                      <w:b/>
                      <w:szCs w:val="21"/>
                    </w:rPr>
                  </w:pPr>
                  <w:r>
                    <w:rPr>
                      <w:b/>
                      <w:szCs w:val="21"/>
                    </w:rPr>
                    <w:t>预测排放总量（新乡县综合污水处理厂处理后）/(t/a)</w:t>
                  </w:r>
                </w:p>
              </w:tc>
              <w:tc>
                <w:tcPr>
                  <w:tcW w:w="1285" w:type="dxa"/>
                  <w:vAlign w:val="center"/>
                </w:tcPr>
                <w:p>
                  <w:pPr>
                    <w:jc w:val="center"/>
                    <w:rPr>
                      <w:b/>
                      <w:szCs w:val="21"/>
                    </w:rPr>
                  </w:pPr>
                  <w:r>
                    <w:rPr>
                      <w:b/>
                      <w:szCs w:val="21"/>
                    </w:rPr>
                    <w:t>排入环境总量/(t/a)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0" w:type="dxa"/>
                  <w:vAlign w:val="center"/>
                </w:tcPr>
                <w:p>
                  <w:pPr>
                    <w:jc w:val="center"/>
                    <w:rPr>
                      <w:bCs/>
                      <w:spacing w:val="-4"/>
                      <w:szCs w:val="21"/>
                    </w:rPr>
                  </w:pPr>
                  <w:r>
                    <w:rPr>
                      <w:bCs/>
                      <w:spacing w:val="-4"/>
                      <w:szCs w:val="21"/>
                    </w:rPr>
                    <w:t>PH</w:t>
                  </w:r>
                </w:p>
              </w:tc>
              <w:tc>
                <w:tcPr>
                  <w:tcW w:w="1134" w:type="dxa"/>
                  <w:vMerge w:val="restart"/>
                  <w:vAlign w:val="center"/>
                </w:tcPr>
                <w:p>
                  <w:pPr>
                    <w:snapToGrid w:val="0"/>
                    <w:jc w:val="center"/>
                    <w:rPr>
                      <w:szCs w:val="21"/>
                    </w:rPr>
                  </w:pPr>
                  <w:r>
                    <w:rPr>
                      <w:szCs w:val="21"/>
                    </w:rPr>
                    <w:t>DW001</w:t>
                  </w:r>
                </w:p>
              </w:tc>
              <w:tc>
                <w:tcPr>
                  <w:tcW w:w="992" w:type="dxa"/>
                  <w:vAlign w:val="center"/>
                </w:tcPr>
                <w:p>
                  <w:pPr>
                    <w:jc w:val="center"/>
                    <w:rPr>
                      <w:szCs w:val="21"/>
                    </w:rPr>
                  </w:pPr>
                  <w:r>
                    <w:rPr>
                      <w:szCs w:val="21"/>
                    </w:rPr>
                    <w:t>6-9</w:t>
                  </w:r>
                </w:p>
              </w:tc>
              <w:tc>
                <w:tcPr>
                  <w:tcW w:w="850" w:type="dxa"/>
                  <w:vAlign w:val="center"/>
                </w:tcPr>
                <w:p>
                  <w:pPr>
                    <w:jc w:val="center"/>
                    <w:rPr>
                      <w:szCs w:val="21"/>
                    </w:rPr>
                  </w:pPr>
                  <w:r>
                    <w:rPr>
                      <w:szCs w:val="21"/>
                    </w:rPr>
                    <w:t>/</w:t>
                  </w:r>
                </w:p>
              </w:tc>
              <w:tc>
                <w:tcPr>
                  <w:tcW w:w="3119" w:type="dxa"/>
                  <w:vAlign w:val="center"/>
                </w:tcPr>
                <w:p>
                  <w:pPr>
                    <w:jc w:val="center"/>
                    <w:rPr>
                      <w:szCs w:val="21"/>
                    </w:rPr>
                  </w:pPr>
                  <w:r>
                    <w:rPr>
                      <w:szCs w:val="21"/>
                    </w:rPr>
                    <w:t>/</w:t>
                  </w:r>
                </w:p>
              </w:tc>
              <w:tc>
                <w:tcPr>
                  <w:tcW w:w="1285" w:type="dxa"/>
                  <w:vAlign w:val="center"/>
                </w:tcPr>
                <w:p>
                  <w:pPr>
                    <w:jc w:val="center"/>
                    <w:rPr>
                      <w:szCs w:val="21"/>
                    </w:rPr>
                  </w:pPr>
                  <w:r>
                    <w:rPr>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0" w:type="dxa"/>
                  <w:vAlign w:val="center"/>
                </w:tcPr>
                <w:p>
                  <w:pPr>
                    <w:jc w:val="center"/>
                    <w:rPr>
                      <w:szCs w:val="21"/>
                    </w:rPr>
                  </w:pPr>
                  <w:r>
                    <w:rPr>
                      <w:bCs/>
                      <w:spacing w:val="-4"/>
                      <w:szCs w:val="21"/>
                    </w:rPr>
                    <w:t>COD</w:t>
                  </w:r>
                </w:p>
              </w:tc>
              <w:tc>
                <w:tcPr>
                  <w:tcW w:w="1134" w:type="dxa"/>
                  <w:vMerge w:val="continue"/>
                  <w:vAlign w:val="center"/>
                </w:tcPr>
                <w:p>
                  <w:pPr>
                    <w:snapToGrid w:val="0"/>
                    <w:jc w:val="center"/>
                    <w:rPr>
                      <w:szCs w:val="21"/>
                    </w:rPr>
                  </w:pPr>
                </w:p>
              </w:tc>
              <w:tc>
                <w:tcPr>
                  <w:tcW w:w="992" w:type="dxa"/>
                  <w:vAlign w:val="center"/>
                </w:tcPr>
                <w:p>
                  <w:pPr>
                    <w:jc w:val="center"/>
                    <w:rPr>
                      <w:szCs w:val="21"/>
                    </w:rPr>
                  </w:pPr>
                  <w:r>
                    <w:rPr>
                      <w:rFonts w:hint="eastAsia"/>
                      <w:szCs w:val="21"/>
                    </w:rPr>
                    <w:t>1</w:t>
                  </w:r>
                  <w:r>
                    <w:rPr>
                      <w:szCs w:val="21"/>
                    </w:rPr>
                    <w:t>89.2</w:t>
                  </w:r>
                </w:p>
              </w:tc>
              <w:tc>
                <w:tcPr>
                  <w:tcW w:w="850" w:type="dxa"/>
                  <w:vAlign w:val="center"/>
                </w:tcPr>
                <w:p>
                  <w:pPr>
                    <w:jc w:val="center"/>
                    <w:rPr>
                      <w:szCs w:val="21"/>
                    </w:rPr>
                  </w:pPr>
                  <w:r>
                    <w:rPr>
                      <w:rFonts w:hint="eastAsia"/>
                      <w:szCs w:val="21"/>
                    </w:rPr>
                    <w:t>0</w:t>
                  </w:r>
                  <w:r>
                    <w:rPr>
                      <w:szCs w:val="21"/>
                    </w:rPr>
                    <w:t>.3637</w:t>
                  </w:r>
                </w:p>
              </w:tc>
              <w:tc>
                <w:tcPr>
                  <w:tcW w:w="3119" w:type="dxa"/>
                  <w:vAlign w:val="center"/>
                </w:tcPr>
                <w:p>
                  <w:pPr>
                    <w:jc w:val="center"/>
                    <w:rPr>
                      <w:szCs w:val="21"/>
                    </w:rPr>
                  </w:pPr>
                  <w:r>
                    <w:rPr>
                      <w:rFonts w:hint="eastAsia"/>
                      <w:szCs w:val="21"/>
                    </w:rPr>
                    <w:t>0</w:t>
                  </w:r>
                  <w:r>
                    <w:rPr>
                      <w:szCs w:val="21"/>
                    </w:rPr>
                    <w:t>.0769</w:t>
                  </w:r>
                </w:p>
              </w:tc>
              <w:tc>
                <w:tcPr>
                  <w:tcW w:w="1285" w:type="dxa"/>
                  <w:vAlign w:val="center"/>
                </w:tcPr>
                <w:p>
                  <w:pPr>
                    <w:jc w:val="center"/>
                    <w:rPr>
                      <w:szCs w:val="21"/>
                    </w:rPr>
                  </w:pPr>
                  <w:r>
                    <w:rPr>
                      <w:rFonts w:hint="eastAsia"/>
                      <w:szCs w:val="21"/>
                    </w:rPr>
                    <w:t>0</w:t>
                  </w:r>
                  <w:r>
                    <w:rPr>
                      <w:szCs w:val="21"/>
                    </w:rPr>
                    <w:t>.0769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0" w:type="dxa"/>
                  <w:vAlign w:val="center"/>
                </w:tcPr>
                <w:p>
                  <w:pPr>
                    <w:jc w:val="center"/>
                    <w:rPr>
                      <w:szCs w:val="21"/>
                    </w:rPr>
                  </w:pPr>
                  <w:r>
                    <w:rPr>
                      <w:szCs w:val="21"/>
                    </w:rPr>
                    <w:t>BOD</w:t>
                  </w:r>
                  <w:r>
                    <w:rPr>
                      <w:szCs w:val="21"/>
                      <w:vertAlign w:val="subscript"/>
                    </w:rPr>
                    <w:t>5</w:t>
                  </w:r>
                </w:p>
              </w:tc>
              <w:tc>
                <w:tcPr>
                  <w:tcW w:w="1134" w:type="dxa"/>
                  <w:vMerge w:val="continue"/>
                  <w:vAlign w:val="center"/>
                </w:tcPr>
                <w:p>
                  <w:pPr>
                    <w:jc w:val="center"/>
                    <w:rPr>
                      <w:szCs w:val="21"/>
                    </w:rPr>
                  </w:pPr>
                </w:p>
              </w:tc>
              <w:tc>
                <w:tcPr>
                  <w:tcW w:w="992" w:type="dxa"/>
                  <w:vAlign w:val="center"/>
                </w:tcPr>
                <w:p>
                  <w:pPr>
                    <w:jc w:val="center"/>
                    <w:rPr>
                      <w:szCs w:val="21"/>
                    </w:rPr>
                  </w:pPr>
                  <w:r>
                    <w:rPr>
                      <w:rFonts w:hint="eastAsia"/>
                      <w:szCs w:val="21"/>
                    </w:rPr>
                    <w:t>7</w:t>
                  </w:r>
                  <w:r>
                    <w:rPr>
                      <w:szCs w:val="21"/>
                    </w:rPr>
                    <w:t>9.5</w:t>
                  </w:r>
                </w:p>
              </w:tc>
              <w:tc>
                <w:tcPr>
                  <w:tcW w:w="850" w:type="dxa"/>
                  <w:vAlign w:val="center"/>
                </w:tcPr>
                <w:p>
                  <w:pPr>
                    <w:jc w:val="center"/>
                    <w:rPr>
                      <w:szCs w:val="21"/>
                    </w:rPr>
                  </w:pPr>
                  <w:r>
                    <w:rPr>
                      <w:rFonts w:hint="eastAsia"/>
                      <w:szCs w:val="21"/>
                    </w:rPr>
                    <w:t>0</w:t>
                  </w:r>
                  <w:r>
                    <w:rPr>
                      <w:szCs w:val="21"/>
                    </w:rPr>
                    <w:t>.1528</w:t>
                  </w:r>
                </w:p>
              </w:tc>
              <w:tc>
                <w:tcPr>
                  <w:tcW w:w="3119" w:type="dxa"/>
                  <w:vAlign w:val="center"/>
                </w:tcPr>
                <w:p>
                  <w:pPr>
                    <w:jc w:val="center"/>
                    <w:rPr>
                      <w:szCs w:val="21"/>
                    </w:rPr>
                  </w:pPr>
                  <w:r>
                    <w:rPr>
                      <w:szCs w:val="21"/>
                    </w:rPr>
                    <w:t>/</w:t>
                  </w:r>
                </w:p>
              </w:tc>
              <w:tc>
                <w:tcPr>
                  <w:tcW w:w="1285" w:type="dxa"/>
                  <w:vAlign w:val="center"/>
                </w:tcPr>
                <w:p>
                  <w:pPr>
                    <w:jc w:val="center"/>
                    <w:rPr>
                      <w:szCs w:val="21"/>
                    </w:rPr>
                  </w:pPr>
                  <w:r>
                    <w:rPr>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0" w:type="dxa"/>
                  <w:vAlign w:val="center"/>
                </w:tcPr>
                <w:p>
                  <w:pPr>
                    <w:jc w:val="center"/>
                    <w:rPr>
                      <w:bCs/>
                      <w:spacing w:val="-4"/>
                      <w:szCs w:val="21"/>
                    </w:rPr>
                  </w:pPr>
                  <w:r>
                    <w:rPr>
                      <w:bCs/>
                      <w:spacing w:val="-4"/>
                      <w:szCs w:val="21"/>
                    </w:rPr>
                    <w:t>SS</w:t>
                  </w:r>
                </w:p>
              </w:tc>
              <w:tc>
                <w:tcPr>
                  <w:tcW w:w="1134" w:type="dxa"/>
                  <w:vMerge w:val="continue"/>
                  <w:vAlign w:val="center"/>
                </w:tcPr>
                <w:p>
                  <w:pPr>
                    <w:jc w:val="center"/>
                    <w:rPr>
                      <w:szCs w:val="21"/>
                    </w:rPr>
                  </w:pPr>
                </w:p>
              </w:tc>
              <w:tc>
                <w:tcPr>
                  <w:tcW w:w="992" w:type="dxa"/>
                  <w:vAlign w:val="center"/>
                </w:tcPr>
                <w:p>
                  <w:pPr>
                    <w:jc w:val="center"/>
                    <w:rPr>
                      <w:szCs w:val="21"/>
                    </w:rPr>
                  </w:pPr>
                  <w:r>
                    <w:rPr>
                      <w:rFonts w:hint="eastAsia"/>
                      <w:szCs w:val="21"/>
                    </w:rPr>
                    <w:t>4</w:t>
                  </w:r>
                  <w:r>
                    <w:rPr>
                      <w:szCs w:val="21"/>
                    </w:rPr>
                    <w:t>9</w:t>
                  </w:r>
                </w:p>
              </w:tc>
              <w:tc>
                <w:tcPr>
                  <w:tcW w:w="850" w:type="dxa"/>
                  <w:vAlign w:val="center"/>
                </w:tcPr>
                <w:p>
                  <w:pPr>
                    <w:jc w:val="center"/>
                    <w:rPr>
                      <w:szCs w:val="21"/>
                    </w:rPr>
                  </w:pPr>
                  <w:r>
                    <w:rPr>
                      <w:rFonts w:hint="eastAsia"/>
                      <w:szCs w:val="21"/>
                    </w:rPr>
                    <w:t>0</w:t>
                  </w:r>
                  <w:r>
                    <w:rPr>
                      <w:szCs w:val="21"/>
                    </w:rPr>
                    <w:t>.0942</w:t>
                  </w:r>
                </w:p>
              </w:tc>
              <w:tc>
                <w:tcPr>
                  <w:tcW w:w="3119" w:type="dxa"/>
                  <w:vAlign w:val="center"/>
                </w:tcPr>
                <w:p>
                  <w:pPr>
                    <w:jc w:val="center"/>
                    <w:rPr>
                      <w:szCs w:val="21"/>
                    </w:rPr>
                  </w:pPr>
                  <w:r>
                    <w:rPr>
                      <w:szCs w:val="21"/>
                    </w:rPr>
                    <w:t>/</w:t>
                  </w:r>
                </w:p>
              </w:tc>
              <w:tc>
                <w:tcPr>
                  <w:tcW w:w="1285" w:type="dxa"/>
                  <w:vAlign w:val="center"/>
                </w:tcPr>
                <w:p>
                  <w:pPr>
                    <w:jc w:val="center"/>
                    <w:rPr>
                      <w:szCs w:val="21"/>
                    </w:rPr>
                  </w:pPr>
                  <w:r>
                    <w:rPr>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0" w:type="dxa"/>
                  <w:vAlign w:val="center"/>
                </w:tcPr>
                <w:p>
                  <w:pPr>
                    <w:jc w:val="center"/>
                    <w:rPr>
                      <w:szCs w:val="21"/>
                    </w:rPr>
                  </w:pPr>
                  <w:r>
                    <w:rPr>
                      <w:bCs/>
                      <w:spacing w:val="-4"/>
                      <w:szCs w:val="21"/>
                    </w:rPr>
                    <w:t>NH</w:t>
                  </w:r>
                  <w:r>
                    <w:rPr>
                      <w:bCs/>
                      <w:spacing w:val="-4"/>
                      <w:szCs w:val="21"/>
                      <w:vertAlign w:val="subscript"/>
                    </w:rPr>
                    <w:t>3</w:t>
                  </w:r>
                  <w:r>
                    <w:rPr>
                      <w:bCs/>
                      <w:spacing w:val="-4"/>
                      <w:szCs w:val="21"/>
                    </w:rPr>
                    <w:t>-N</w:t>
                  </w:r>
                </w:p>
              </w:tc>
              <w:tc>
                <w:tcPr>
                  <w:tcW w:w="1134" w:type="dxa"/>
                  <w:vMerge w:val="continue"/>
                  <w:vAlign w:val="center"/>
                </w:tcPr>
                <w:p>
                  <w:pPr>
                    <w:jc w:val="center"/>
                    <w:rPr>
                      <w:szCs w:val="21"/>
                    </w:rPr>
                  </w:pPr>
                </w:p>
              </w:tc>
              <w:tc>
                <w:tcPr>
                  <w:tcW w:w="992" w:type="dxa"/>
                  <w:vAlign w:val="center"/>
                </w:tcPr>
                <w:p>
                  <w:pPr>
                    <w:jc w:val="center"/>
                    <w:rPr>
                      <w:szCs w:val="21"/>
                    </w:rPr>
                  </w:pPr>
                  <w:r>
                    <w:rPr>
                      <w:rFonts w:hint="eastAsia"/>
                      <w:szCs w:val="21"/>
                    </w:rPr>
                    <w:t>1</w:t>
                  </w:r>
                  <w:r>
                    <w:rPr>
                      <w:szCs w:val="21"/>
                    </w:rPr>
                    <w:t>1.4</w:t>
                  </w:r>
                </w:p>
              </w:tc>
              <w:tc>
                <w:tcPr>
                  <w:tcW w:w="850" w:type="dxa"/>
                  <w:vAlign w:val="center"/>
                </w:tcPr>
                <w:p>
                  <w:pPr>
                    <w:jc w:val="center"/>
                    <w:rPr>
                      <w:szCs w:val="21"/>
                    </w:rPr>
                  </w:pPr>
                  <w:r>
                    <w:rPr>
                      <w:rFonts w:hint="eastAsia"/>
                      <w:szCs w:val="21"/>
                    </w:rPr>
                    <w:t>0</w:t>
                  </w:r>
                  <w:r>
                    <w:rPr>
                      <w:szCs w:val="21"/>
                    </w:rPr>
                    <w:t>.0219</w:t>
                  </w:r>
                </w:p>
              </w:tc>
              <w:tc>
                <w:tcPr>
                  <w:tcW w:w="3119" w:type="dxa"/>
                  <w:vAlign w:val="center"/>
                </w:tcPr>
                <w:p>
                  <w:pPr>
                    <w:jc w:val="center"/>
                    <w:rPr>
                      <w:szCs w:val="21"/>
                    </w:rPr>
                  </w:pPr>
                  <w:r>
                    <w:rPr>
                      <w:rFonts w:hint="eastAsia"/>
                      <w:szCs w:val="21"/>
                    </w:rPr>
                    <w:t>0</w:t>
                  </w:r>
                  <w:r>
                    <w:rPr>
                      <w:szCs w:val="21"/>
                    </w:rPr>
                    <w:t>.0038</w:t>
                  </w:r>
                </w:p>
              </w:tc>
              <w:tc>
                <w:tcPr>
                  <w:tcW w:w="1285" w:type="dxa"/>
                  <w:vAlign w:val="center"/>
                </w:tcPr>
                <w:p>
                  <w:pPr>
                    <w:jc w:val="center"/>
                    <w:rPr>
                      <w:szCs w:val="21"/>
                    </w:rPr>
                  </w:pPr>
                  <w:r>
                    <w:rPr>
                      <w:rFonts w:hint="eastAsia"/>
                      <w:szCs w:val="21"/>
                    </w:rPr>
                    <w:t>0</w:t>
                  </w:r>
                  <w:r>
                    <w:rPr>
                      <w:szCs w:val="21"/>
                    </w:rPr>
                    <w:t>.0038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0" w:type="dxa"/>
                  <w:vAlign w:val="center"/>
                </w:tcPr>
                <w:p>
                  <w:pPr>
                    <w:jc w:val="center"/>
                    <w:rPr>
                      <w:szCs w:val="21"/>
                    </w:rPr>
                  </w:pPr>
                  <w:r>
                    <w:rPr>
                      <w:bCs/>
                      <w:spacing w:val="-4"/>
                      <w:szCs w:val="21"/>
                    </w:rPr>
                    <w:t>TP</w:t>
                  </w:r>
                </w:p>
              </w:tc>
              <w:tc>
                <w:tcPr>
                  <w:tcW w:w="1134" w:type="dxa"/>
                  <w:vMerge w:val="continue"/>
                  <w:vAlign w:val="center"/>
                </w:tcPr>
                <w:p>
                  <w:pPr>
                    <w:jc w:val="center"/>
                    <w:rPr>
                      <w:szCs w:val="21"/>
                    </w:rPr>
                  </w:pPr>
                </w:p>
              </w:tc>
              <w:tc>
                <w:tcPr>
                  <w:tcW w:w="992" w:type="dxa"/>
                  <w:vAlign w:val="center"/>
                </w:tcPr>
                <w:p>
                  <w:pPr>
                    <w:jc w:val="center"/>
                    <w:rPr>
                      <w:szCs w:val="21"/>
                    </w:rPr>
                  </w:pPr>
                  <w:r>
                    <w:rPr>
                      <w:rFonts w:hint="eastAsia"/>
                      <w:szCs w:val="21"/>
                    </w:rPr>
                    <w:t>1</w:t>
                  </w:r>
                  <w:r>
                    <w:rPr>
                      <w:szCs w:val="21"/>
                    </w:rPr>
                    <w:t>.2</w:t>
                  </w:r>
                </w:p>
              </w:tc>
              <w:tc>
                <w:tcPr>
                  <w:tcW w:w="850" w:type="dxa"/>
                  <w:vAlign w:val="center"/>
                </w:tcPr>
                <w:p>
                  <w:pPr>
                    <w:jc w:val="center"/>
                    <w:rPr>
                      <w:szCs w:val="21"/>
                    </w:rPr>
                  </w:pPr>
                  <w:r>
                    <w:rPr>
                      <w:rFonts w:hint="eastAsia"/>
                      <w:szCs w:val="21"/>
                    </w:rPr>
                    <w:t>0</w:t>
                  </w:r>
                  <w:r>
                    <w:rPr>
                      <w:szCs w:val="21"/>
                    </w:rPr>
                    <w:t>.0023</w:t>
                  </w:r>
                </w:p>
              </w:tc>
              <w:tc>
                <w:tcPr>
                  <w:tcW w:w="3119" w:type="dxa"/>
                  <w:vAlign w:val="center"/>
                </w:tcPr>
                <w:p>
                  <w:pPr>
                    <w:jc w:val="center"/>
                    <w:rPr>
                      <w:szCs w:val="21"/>
                    </w:rPr>
                  </w:pPr>
                  <w:r>
                    <w:rPr>
                      <w:rFonts w:hint="eastAsia"/>
                      <w:szCs w:val="21"/>
                    </w:rPr>
                    <w:t>0</w:t>
                  </w:r>
                  <w:r>
                    <w:rPr>
                      <w:szCs w:val="21"/>
                    </w:rPr>
                    <w:t>.0008</w:t>
                  </w:r>
                </w:p>
              </w:tc>
              <w:tc>
                <w:tcPr>
                  <w:tcW w:w="1285" w:type="dxa"/>
                  <w:vAlign w:val="center"/>
                </w:tcPr>
                <w:p>
                  <w:pPr>
                    <w:jc w:val="center"/>
                    <w:rPr>
                      <w:szCs w:val="21"/>
                    </w:rPr>
                  </w:pPr>
                  <w:r>
                    <w:rPr>
                      <w:rFonts w:hint="eastAsia"/>
                      <w:szCs w:val="21"/>
                    </w:rPr>
                    <w:t>0</w:t>
                  </w:r>
                  <w:r>
                    <w:rPr>
                      <w:szCs w:val="21"/>
                    </w:rPr>
                    <w:t>.0008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0" w:type="dxa"/>
                  <w:vAlign w:val="center"/>
                </w:tcPr>
                <w:p>
                  <w:pPr>
                    <w:jc w:val="center"/>
                    <w:rPr>
                      <w:szCs w:val="21"/>
                    </w:rPr>
                  </w:pPr>
                  <w:r>
                    <w:rPr>
                      <w:bCs/>
                      <w:spacing w:val="-4"/>
                      <w:szCs w:val="21"/>
                    </w:rPr>
                    <w:t>TN</w:t>
                  </w:r>
                </w:p>
              </w:tc>
              <w:tc>
                <w:tcPr>
                  <w:tcW w:w="1134" w:type="dxa"/>
                  <w:vMerge w:val="continue"/>
                  <w:vAlign w:val="center"/>
                </w:tcPr>
                <w:p>
                  <w:pPr>
                    <w:jc w:val="center"/>
                    <w:rPr>
                      <w:szCs w:val="21"/>
                    </w:rPr>
                  </w:pPr>
                </w:p>
              </w:tc>
              <w:tc>
                <w:tcPr>
                  <w:tcW w:w="992" w:type="dxa"/>
                  <w:vAlign w:val="center"/>
                </w:tcPr>
                <w:p>
                  <w:pPr>
                    <w:jc w:val="center"/>
                    <w:rPr>
                      <w:szCs w:val="21"/>
                    </w:rPr>
                  </w:pPr>
                  <w:r>
                    <w:rPr>
                      <w:rFonts w:hint="eastAsia"/>
                      <w:szCs w:val="21"/>
                    </w:rPr>
                    <w:t>1</w:t>
                  </w:r>
                  <w:r>
                    <w:rPr>
                      <w:szCs w:val="21"/>
                    </w:rPr>
                    <w:t>4</w:t>
                  </w:r>
                </w:p>
              </w:tc>
              <w:tc>
                <w:tcPr>
                  <w:tcW w:w="850" w:type="dxa"/>
                  <w:vAlign w:val="center"/>
                </w:tcPr>
                <w:p>
                  <w:pPr>
                    <w:jc w:val="center"/>
                    <w:rPr>
                      <w:szCs w:val="21"/>
                    </w:rPr>
                  </w:pPr>
                  <w:r>
                    <w:rPr>
                      <w:rFonts w:hint="eastAsia"/>
                      <w:szCs w:val="21"/>
                    </w:rPr>
                    <w:t>0</w:t>
                  </w:r>
                  <w:r>
                    <w:rPr>
                      <w:szCs w:val="21"/>
                    </w:rPr>
                    <w:t>.0269</w:t>
                  </w:r>
                </w:p>
              </w:tc>
              <w:tc>
                <w:tcPr>
                  <w:tcW w:w="3119" w:type="dxa"/>
                  <w:vAlign w:val="center"/>
                </w:tcPr>
                <w:p>
                  <w:pPr>
                    <w:jc w:val="center"/>
                    <w:rPr>
                      <w:szCs w:val="21"/>
                    </w:rPr>
                  </w:pPr>
                  <w:r>
                    <w:rPr>
                      <w:rFonts w:hint="eastAsia"/>
                      <w:szCs w:val="21"/>
                    </w:rPr>
                    <w:t>0</w:t>
                  </w:r>
                  <w:r>
                    <w:rPr>
                      <w:szCs w:val="21"/>
                    </w:rPr>
                    <w:t>.0288</w:t>
                  </w:r>
                </w:p>
              </w:tc>
              <w:tc>
                <w:tcPr>
                  <w:tcW w:w="1285" w:type="dxa"/>
                  <w:vAlign w:val="center"/>
                </w:tcPr>
                <w:p>
                  <w:pPr>
                    <w:jc w:val="center"/>
                    <w:rPr>
                      <w:szCs w:val="21"/>
                    </w:rPr>
                  </w:pPr>
                  <w:r>
                    <w:rPr>
                      <w:rFonts w:hint="eastAsia"/>
                      <w:szCs w:val="21"/>
                    </w:rPr>
                    <w:t>0</w:t>
                  </w:r>
                  <w:r>
                    <w:rPr>
                      <w:szCs w:val="21"/>
                    </w:rPr>
                    <w:t>.0288</w:t>
                  </w:r>
                </w:p>
              </w:tc>
            </w:tr>
          </w:tbl>
          <w:p>
            <w:pPr>
              <w:spacing w:line="460" w:lineRule="exact"/>
              <w:ind w:firstLine="480" w:firstLineChars="200"/>
              <w:rPr>
                <w:sz w:val="24"/>
              </w:rPr>
            </w:pPr>
            <w:r>
              <w:rPr>
                <w:sz w:val="24"/>
              </w:rPr>
              <w:t>由上表可知，本项目废水污染物出厂排放总量：COD0.3637t/a、BOD</w:t>
            </w:r>
            <w:r>
              <w:rPr>
                <w:sz w:val="24"/>
                <w:vertAlign w:val="subscript"/>
              </w:rPr>
              <w:t>5</w:t>
            </w:r>
            <w:r>
              <w:rPr>
                <w:sz w:val="24"/>
              </w:rPr>
              <w:t>0.1528t/a、SS0.0942t/a、NH</w:t>
            </w:r>
            <w:r>
              <w:rPr>
                <w:sz w:val="24"/>
                <w:vertAlign w:val="subscript"/>
              </w:rPr>
              <w:t>3</w:t>
            </w:r>
            <w:r>
              <w:rPr>
                <w:sz w:val="24"/>
              </w:rPr>
              <w:t>-N</w:t>
            </w:r>
            <w:r>
              <w:rPr>
                <w:rFonts w:hint="eastAsia"/>
                <w:sz w:val="24"/>
              </w:rPr>
              <w:t>0.0</w:t>
            </w:r>
            <w:r>
              <w:rPr>
                <w:sz w:val="24"/>
              </w:rPr>
              <w:t>219t/a、TP0.0023t/a、TN</w:t>
            </w:r>
            <w:r>
              <w:rPr>
                <w:rFonts w:hint="eastAsia"/>
                <w:sz w:val="24"/>
              </w:rPr>
              <w:t>0.0</w:t>
            </w:r>
            <w:r>
              <w:rPr>
                <w:sz w:val="24"/>
              </w:rPr>
              <w:t>269t/a，经新乡县综合污水处理厂处理后的废水污染物排放量为COD0.0769t/a、NH</w:t>
            </w:r>
            <w:r>
              <w:rPr>
                <w:sz w:val="24"/>
                <w:vertAlign w:val="subscript"/>
              </w:rPr>
              <w:t>3</w:t>
            </w:r>
            <w:r>
              <w:rPr>
                <w:sz w:val="24"/>
              </w:rPr>
              <w:t>-N0.0038t/a、TP0.0008t/a、TN0.0288t/a</w:t>
            </w:r>
            <w:r>
              <w:rPr>
                <w:rFonts w:hint="eastAsia"/>
                <w:sz w:val="24"/>
              </w:rPr>
              <w:t>。</w:t>
            </w:r>
          </w:p>
          <w:p>
            <w:pPr>
              <w:widowControl/>
              <w:spacing w:line="460" w:lineRule="exact"/>
              <w:ind w:firstLine="482" w:firstLineChars="200"/>
              <w:jc w:val="left"/>
              <w:rPr>
                <w:b/>
                <w:kern w:val="0"/>
                <w:sz w:val="24"/>
              </w:rPr>
            </w:pPr>
            <w:r>
              <w:rPr>
                <w:b/>
                <w:kern w:val="0"/>
                <w:sz w:val="24"/>
              </w:rPr>
              <w:t>5、监测要求</w:t>
            </w:r>
          </w:p>
          <w:p>
            <w:pPr>
              <w:spacing w:line="460" w:lineRule="exact"/>
              <w:ind w:firstLine="480" w:firstLineChars="200"/>
              <w:rPr>
                <w:sz w:val="24"/>
              </w:rPr>
            </w:pPr>
            <w:r>
              <w:rPr>
                <w:sz w:val="24"/>
              </w:rPr>
              <w:t>本项目生活污水经化粪池处理后与经厂区内一体化污水处理设施处理的生产废水一起经污水管网排入新乡县综合污水处理厂进一步处理，最终排入东孟姜女河，属于间接排放。</w:t>
            </w:r>
          </w:p>
          <w:p>
            <w:pPr>
              <w:spacing w:line="460" w:lineRule="exact"/>
              <w:ind w:firstLine="480" w:firstLineChars="200"/>
              <w:rPr>
                <w:sz w:val="24"/>
              </w:rPr>
            </w:pPr>
            <w:r>
              <w:rPr>
                <w:sz w:val="24"/>
              </w:rPr>
              <w:t>根据《排污单位自行监测技术指南总则》（HJ819-2017）的规定，评价提出项目在生产运行阶段的污染物监测计划，具体监测计划见下表。</w:t>
            </w:r>
          </w:p>
          <w:p>
            <w:pPr>
              <w:spacing w:line="460" w:lineRule="exact"/>
              <w:ind w:firstLine="480" w:firstLineChars="200"/>
              <w:jc w:val="left"/>
              <w:rPr>
                <w:rFonts w:eastAsia="黑体"/>
                <w:sz w:val="24"/>
                <w:lang w:val="pt-BR"/>
              </w:rPr>
            </w:pPr>
            <w:r>
              <w:rPr>
                <w:rFonts w:eastAsia="黑体"/>
                <w:sz w:val="24"/>
                <w:lang w:val="pt-BR"/>
              </w:rPr>
              <w:t>表30                     环境监测计划表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80"/>
              <w:gridCol w:w="2443"/>
              <w:gridCol w:w="1440"/>
              <w:gridCol w:w="1152"/>
              <w:gridCol w:w="2255"/>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69" w:type="dxa"/>
                  <w:vAlign w:val="center"/>
                </w:tcPr>
                <w:p>
                  <w:pPr>
                    <w:widowControl/>
                    <w:jc w:val="center"/>
                    <w:rPr>
                      <w:b/>
                      <w:szCs w:val="21"/>
                    </w:rPr>
                  </w:pPr>
                  <w:r>
                    <w:rPr>
                      <w:b/>
                      <w:szCs w:val="21"/>
                    </w:rPr>
                    <w:t>监控类别</w:t>
                  </w:r>
                </w:p>
              </w:tc>
              <w:tc>
                <w:tcPr>
                  <w:tcW w:w="2405" w:type="dxa"/>
                  <w:vAlign w:val="center"/>
                </w:tcPr>
                <w:p>
                  <w:pPr>
                    <w:widowControl/>
                    <w:jc w:val="center"/>
                    <w:rPr>
                      <w:b/>
                      <w:szCs w:val="21"/>
                    </w:rPr>
                  </w:pPr>
                  <w:r>
                    <w:rPr>
                      <w:b/>
                      <w:szCs w:val="21"/>
                    </w:rPr>
                    <w:t>监测指南</w:t>
                  </w:r>
                </w:p>
              </w:tc>
              <w:tc>
                <w:tcPr>
                  <w:tcW w:w="1418" w:type="dxa"/>
                  <w:vAlign w:val="center"/>
                </w:tcPr>
                <w:p>
                  <w:pPr>
                    <w:widowControl/>
                    <w:jc w:val="center"/>
                    <w:rPr>
                      <w:b/>
                      <w:szCs w:val="21"/>
                    </w:rPr>
                  </w:pPr>
                  <w:r>
                    <w:rPr>
                      <w:b/>
                      <w:szCs w:val="21"/>
                    </w:rPr>
                    <w:t>监测点位</w:t>
                  </w:r>
                </w:p>
              </w:tc>
              <w:tc>
                <w:tcPr>
                  <w:tcW w:w="1134" w:type="dxa"/>
                  <w:vAlign w:val="center"/>
                </w:tcPr>
                <w:p>
                  <w:pPr>
                    <w:widowControl/>
                    <w:jc w:val="center"/>
                    <w:rPr>
                      <w:b/>
                      <w:szCs w:val="21"/>
                    </w:rPr>
                  </w:pPr>
                  <w:r>
                    <w:rPr>
                      <w:b/>
                      <w:szCs w:val="21"/>
                    </w:rPr>
                    <w:t>监测频次</w:t>
                  </w:r>
                </w:p>
              </w:tc>
              <w:tc>
                <w:tcPr>
                  <w:tcW w:w="2220" w:type="dxa"/>
                  <w:vAlign w:val="center"/>
                </w:tcPr>
                <w:p>
                  <w:pPr>
                    <w:widowControl/>
                    <w:jc w:val="center"/>
                    <w:rPr>
                      <w:b/>
                      <w:szCs w:val="21"/>
                    </w:rPr>
                  </w:pPr>
                  <w:r>
                    <w:rPr>
                      <w:b/>
                      <w:szCs w:val="21"/>
                    </w:rPr>
                    <w:t>执行排放标准</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69" w:type="dxa"/>
                  <w:vAlign w:val="center"/>
                </w:tcPr>
                <w:p>
                  <w:pPr>
                    <w:ind w:firstLine="35" w:firstLineChars="17"/>
                    <w:jc w:val="center"/>
                    <w:rPr>
                      <w:bCs/>
                      <w:szCs w:val="21"/>
                    </w:rPr>
                  </w:pPr>
                  <w:r>
                    <w:rPr>
                      <w:bCs/>
                      <w:szCs w:val="21"/>
                    </w:rPr>
                    <w:t>废水</w:t>
                  </w:r>
                </w:p>
              </w:tc>
              <w:tc>
                <w:tcPr>
                  <w:tcW w:w="2405" w:type="dxa"/>
                  <w:vAlign w:val="center"/>
                </w:tcPr>
                <w:p>
                  <w:pPr>
                    <w:ind w:firstLine="35" w:firstLineChars="17"/>
                    <w:jc w:val="center"/>
                    <w:rPr>
                      <w:bCs/>
                      <w:szCs w:val="21"/>
                    </w:rPr>
                  </w:pPr>
                  <w:r>
                    <w:rPr>
                      <w:bCs/>
                      <w:szCs w:val="21"/>
                    </w:rPr>
                    <w:t>PH</w:t>
                  </w:r>
                  <w:r>
                    <w:rPr>
                      <w:rFonts w:hint="eastAsia"/>
                      <w:bCs/>
                      <w:szCs w:val="21"/>
                    </w:rPr>
                    <w:t>、</w:t>
                  </w:r>
                  <w:r>
                    <w:rPr>
                      <w:bCs/>
                      <w:szCs w:val="21"/>
                    </w:rPr>
                    <w:t>化学需氧量、五日生化需氧量、氨氮、悬浮物、总磷、总氮</w:t>
                  </w:r>
                </w:p>
              </w:tc>
              <w:tc>
                <w:tcPr>
                  <w:tcW w:w="1418" w:type="dxa"/>
                  <w:vAlign w:val="center"/>
                </w:tcPr>
                <w:p>
                  <w:pPr>
                    <w:spacing w:line="460" w:lineRule="exact"/>
                    <w:jc w:val="center"/>
                    <w:rPr>
                      <w:bCs/>
                      <w:szCs w:val="21"/>
                    </w:rPr>
                  </w:pPr>
                  <w:r>
                    <w:rPr>
                      <w:bCs/>
                      <w:color w:val="000000"/>
                      <w:szCs w:val="21"/>
                    </w:rPr>
                    <w:t>废水总排口</w:t>
                  </w:r>
                </w:p>
              </w:tc>
              <w:tc>
                <w:tcPr>
                  <w:tcW w:w="1134" w:type="dxa"/>
                  <w:vAlign w:val="center"/>
                </w:tcPr>
                <w:p>
                  <w:pPr>
                    <w:spacing w:line="460" w:lineRule="exact"/>
                    <w:jc w:val="center"/>
                    <w:rPr>
                      <w:bCs/>
                      <w:szCs w:val="21"/>
                    </w:rPr>
                  </w:pPr>
                  <w:r>
                    <w:rPr>
                      <w:bCs/>
                      <w:szCs w:val="21"/>
                    </w:rPr>
                    <w:t>1次/季度</w:t>
                  </w:r>
                </w:p>
              </w:tc>
              <w:tc>
                <w:tcPr>
                  <w:tcW w:w="2220" w:type="dxa"/>
                  <w:vAlign w:val="center"/>
                </w:tcPr>
                <w:p>
                  <w:pPr>
                    <w:ind w:firstLine="35" w:firstLineChars="17"/>
                    <w:jc w:val="center"/>
                    <w:rPr>
                      <w:bCs/>
                      <w:szCs w:val="21"/>
                    </w:rPr>
                  </w:pPr>
                  <w:r>
                    <w:rPr>
                      <w:szCs w:val="21"/>
                    </w:rPr>
                    <w:t>新乡县综合污水处理厂收水</w:t>
                  </w:r>
                  <w:r>
                    <w:rPr>
                      <w:bCs/>
                      <w:szCs w:val="21"/>
                    </w:rPr>
                    <w:t>标准</w:t>
                  </w:r>
                </w:p>
              </w:tc>
            </w:tr>
          </w:tbl>
          <w:p>
            <w:pPr>
              <w:adjustRightInd w:val="0"/>
              <w:spacing w:line="460" w:lineRule="exact"/>
              <w:ind w:firstLine="482" w:firstLineChars="200"/>
              <w:rPr>
                <w:b/>
                <w:color w:val="000000"/>
                <w:sz w:val="24"/>
              </w:rPr>
            </w:pPr>
            <w:r>
              <w:rPr>
                <w:b/>
                <w:color w:val="000000"/>
                <w:sz w:val="24"/>
              </w:rPr>
              <w:t>二、废气</w:t>
            </w:r>
          </w:p>
          <w:p>
            <w:pPr>
              <w:adjustRightInd w:val="0"/>
              <w:spacing w:line="460" w:lineRule="exact"/>
              <w:ind w:firstLine="482" w:firstLineChars="200"/>
              <w:rPr>
                <w:b/>
                <w:color w:val="000000"/>
                <w:sz w:val="24"/>
              </w:rPr>
            </w:pPr>
            <w:r>
              <w:rPr>
                <w:b/>
                <w:color w:val="000000"/>
                <w:sz w:val="24"/>
              </w:rPr>
              <w:t>1、有组织废气</w:t>
            </w:r>
          </w:p>
          <w:p>
            <w:pPr>
              <w:spacing w:line="460" w:lineRule="exact"/>
              <w:ind w:firstLine="480" w:firstLineChars="200"/>
              <w:rPr>
                <w:sz w:val="24"/>
              </w:rPr>
            </w:pPr>
            <w:r>
              <w:rPr>
                <w:sz w:val="24"/>
              </w:rPr>
              <w:t>本项目运营期产生的废气主要为有机前处理、液相、气相分析、理化分析及实验试剂配制</w:t>
            </w:r>
            <w:r>
              <w:rPr>
                <w:rFonts w:hint="eastAsia"/>
                <w:sz w:val="24"/>
              </w:rPr>
              <w:t>、微生物检测</w:t>
            </w:r>
            <w:r>
              <w:rPr>
                <w:sz w:val="24"/>
              </w:rPr>
              <w:t>产生的</w:t>
            </w:r>
            <w:r>
              <w:rPr>
                <w:rFonts w:hint="eastAsia"/>
                <w:sz w:val="24"/>
              </w:rPr>
              <w:t>少量</w:t>
            </w:r>
            <w:r>
              <w:rPr>
                <w:sz w:val="24"/>
              </w:rPr>
              <w:t>废气，主要污染物为</w:t>
            </w:r>
            <w:r>
              <w:rPr>
                <w:rFonts w:hint="eastAsia"/>
                <w:sz w:val="24"/>
              </w:rPr>
              <w:t>微生物气溶胶、有机废气</w:t>
            </w:r>
            <w:r>
              <w:rPr>
                <w:sz w:val="24"/>
              </w:rPr>
              <w:t>、</w:t>
            </w:r>
            <w:r>
              <w:rPr>
                <w:rFonts w:hint="eastAsia"/>
                <w:sz w:val="24"/>
              </w:rPr>
              <w:t>酸碱废气</w:t>
            </w:r>
            <w:r>
              <w:rPr>
                <w:sz w:val="24"/>
              </w:rPr>
              <w:t>。</w:t>
            </w:r>
          </w:p>
          <w:p>
            <w:pPr>
              <w:spacing w:line="460" w:lineRule="exact"/>
              <w:ind w:firstLine="480" w:firstLineChars="200"/>
              <w:rPr>
                <w:sz w:val="24"/>
              </w:rPr>
            </w:pPr>
            <w:r>
              <w:rPr>
                <w:rFonts w:hint="eastAsia"/>
                <w:sz w:val="24"/>
              </w:rPr>
              <w:t>（1）微生物气溶胶</w:t>
            </w:r>
          </w:p>
          <w:p>
            <w:pPr>
              <w:spacing w:line="460" w:lineRule="exact"/>
              <w:ind w:firstLine="480" w:firstLineChars="200"/>
              <w:rPr>
                <w:sz w:val="24"/>
              </w:rPr>
            </w:pPr>
            <w:r>
              <w:rPr>
                <w:sz w:val="24"/>
              </w:rPr>
              <w:t>微生物实验室设有1个二级生物安全柜，用于微生物检测。微生物样本的处理、接种检验主要是在微生物安全柜进行操作，用来保护操作者本人、实验室环境以及实验材料，使其避免于上述操作过程中可能产生的微生物气溶胶和溅出物。生物安全柜自带高效空气过滤器，柜里实验平台相对于实验室内环境处于负压状态，B2型生物安全柜平均气流速度为0.5</w:t>
            </w:r>
            <w:r>
              <w:rPr>
                <w:rFonts w:hint="eastAsia"/>
                <w:sz w:val="24"/>
              </w:rPr>
              <w:t>5</w:t>
            </w:r>
            <w:r>
              <w:rPr>
                <w:sz w:val="24"/>
              </w:rPr>
              <w:t>m/s，为</w:t>
            </w:r>
            <w:r>
              <w:rPr>
                <w:rFonts w:hint="eastAsia"/>
                <w:sz w:val="24"/>
              </w:rPr>
              <w:t>70</w:t>
            </w:r>
            <w:r>
              <w:rPr>
                <w:sz w:val="24"/>
              </w:rPr>
              <w:t>%</w:t>
            </w:r>
            <w:r>
              <w:rPr>
                <w:rFonts w:hint="eastAsia"/>
                <w:sz w:val="24"/>
              </w:rPr>
              <w:t>半</w:t>
            </w:r>
            <w:r>
              <w:rPr>
                <w:sz w:val="24"/>
              </w:rPr>
              <w:t>排</w:t>
            </w:r>
            <w:r>
              <w:rPr>
                <w:rFonts w:hint="eastAsia"/>
                <w:sz w:val="24"/>
              </w:rPr>
              <w:t>型</w:t>
            </w:r>
            <w:r>
              <w:rPr>
                <w:sz w:val="24"/>
              </w:rPr>
              <w:t>安全柜，</w:t>
            </w:r>
            <w:r>
              <w:rPr>
                <w:rFonts w:hint="eastAsia"/>
                <w:sz w:val="24"/>
              </w:rPr>
              <w:t>30%</w:t>
            </w:r>
            <w:r>
              <w:rPr>
                <w:sz w:val="24"/>
              </w:rPr>
              <w:t>内部循环气流。高效过滤器对粒径</w:t>
            </w:r>
            <w:r>
              <w:rPr>
                <w:rFonts w:hint="eastAsia"/>
                <w:sz w:val="24"/>
              </w:rPr>
              <w:t>0.1</w:t>
            </w:r>
            <w:r>
              <w:rPr>
                <w:sz w:val="24"/>
              </w:rPr>
              <w:t>~</w:t>
            </w:r>
            <w:r>
              <w:rPr>
                <w:rFonts w:hint="eastAsia"/>
                <w:sz w:val="24"/>
              </w:rPr>
              <w:t>0.3</w:t>
            </w:r>
            <w:r>
              <w:rPr>
                <w:sz w:val="24"/>
              </w:rPr>
              <w:t>μm的气溶胶和挥发物，</w:t>
            </w:r>
            <w:r>
              <w:rPr>
                <w:rFonts w:hint="eastAsia"/>
                <w:sz w:val="24"/>
              </w:rPr>
              <w:t>去除</w:t>
            </w:r>
            <w:r>
              <w:rPr>
                <w:sz w:val="24"/>
              </w:rPr>
              <w:t>效率达到99.9</w:t>
            </w:r>
            <w:r>
              <w:rPr>
                <w:rFonts w:hint="eastAsia"/>
                <w:sz w:val="24"/>
              </w:rPr>
              <w:t>9</w:t>
            </w:r>
            <w:r>
              <w:rPr>
                <w:sz w:val="24"/>
              </w:rPr>
              <w:t>%，能够有效过滤微生物气溶</w:t>
            </w:r>
            <w:r>
              <w:rPr>
                <w:rFonts w:hint="eastAsia"/>
                <w:sz w:val="24"/>
              </w:rPr>
              <w:t>胶，微生物气溶胶经</w:t>
            </w:r>
            <w:r>
              <w:rPr>
                <w:sz w:val="24"/>
              </w:rPr>
              <w:t>生物安全柜自带高效空气过滤器</w:t>
            </w:r>
            <w:r>
              <w:rPr>
                <w:rFonts w:hint="eastAsia"/>
                <w:sz w:val="24"/>
              </w:rPr>
              <w:t>处理后通过1根1</w:t>
            </w:r>
            <w:r>
              <w:rPr>
                <w:sz w:val="24"/>
              </w:rPr>
              <w:t>5</w:t>
            </w:r>
            <w:r>
              <w:rPr>
                <w:rFonts w:hint="eastAsia"/>
                <w:sz w:val="24"/>
              </w:rPr>
              <w:t>米高排气筒P</w:t>
            </w:r>
            <w:r>
              <w:rPr>
                <w:sz w:val="24"/>
              </w:rPr>
              <w:t>1</w:t>
            </w:r>
            <w:r>
              <w:rPr>
                <w:rFonts w:hint="eastAsia"/>
                <w:sz w:val="24"/>
              </w:rPr>
              <w:t>排放</w:t>
            </w:r>
            <w:r>
              <w:rPr>
                <w:sz w:val="24"/>
              </w:rPr>
              <w:t>。</w:t>
            </w:r>
          </w:p>
          <w:p>
            <w:pPr>
              <w:spacing w:line="460" w:lineRule="exact"/>
              <w:ind w:firstLine="480" w:firstLineChars="200"/>
              <w:rPr>
                <w:sz w:val="24"/>
              </w:rPr>
            </w:pPr>
            <w:r>
              <w:rPr>
                <w:sz w:val="24"/>
              </w:rPr>
              <w:t>（2）有机废气</w:t>
            </w:r>
          </w:p>
          <w:p>
            <w:pPr>
              <w:spacing w:line="460" w:lineRule="exact"/>
              <w:ind w:firstLine="480" w:firstLineChars="200"/>
              <w:rPr>
                <w:sz w:val="24"/>
              </w:rPr>
            </w:pPr>
            <w:r>
              <w:rPr>
                <w:sz w:val="24"/>
              </w:rPr>
              <w:t>本项目所使用的易挥发有机溶剂主要为醇类、醚类、烷烃类、酮类、乙腈及苯烯类等，其实验室试剂配制和检测使用过程中将挥发出少量的有机废气，以非甲烷总烃计。</w:t>
            </w:r>
          </w:p>
          <w:p>
            <w:pPr>
              <w:adjustRightInd w:val="0"/>
              <w:snapToGrid w:val="0"/>
              <w:spacing w:line="460" w:lineRule="exact"/>
              <w:ind w:firstLine="440" w:firstLineChars="200"/>
              <w:rPr>
                <w:bCs/>
                <w:spacing w:val="-10"/>
                <w:sz w:val="24"/>
              </w:rPr>
            </w:pPr>
            <w:r>
              <w:rPr>
                <w:bCs/>
                <w:spacing w:val="-10"/>
                <w:sz w:val="24"/>
              </w:rPr>
              <w:t>依据《</w:t>
            </w:r>
            <w:r>
              <w:fldChar w:fldCharType="begin"/>
            </w:r>
            <w:r>
              <w:instrText xml:space="preserve"> HYPERLINK "https://www.mee.gov.cn/ywgz/fgbz/bz/bzwb/wrfzjszc/201803/W020180329581021613517.pdf" </w:instrText>
            </w:r>
            <w:r>
              <w:fldChar w:fldCharType="separate"/>
            </w:r>
            <w:r>
              <w:rPr>
                <w:bCs/>
                <w:spacing w:val="-10"/>
                <w:sz w:val="24"/>
              </w:rPr>
              <w:t>污染源源强核算技术指南准则》（HJ884—2018</w:t>
            </w:r>
            <w:r>
              <w:rPr>
                <w:bCs/>
                <w:spacing w:val="-10"/>
                <w:sz w:val="24"/>
              </w:rPr>
              <w:fldChar w:fldCharType="end"/>
            </w:r>
            <w:r>
              <w:rPr>
                <w:bCs/>
                <w:spacing w:val="-10"/>
                <w:sz w:val="24"/>
              </w:rPr>
              <w:t>）</w:t>
            </w:r>
            <w:r>
              <w:rPr>
                <w:rFonts w:hint="eastAsia"/>
                <w:bCs/>
                <w:spacing w:val="-10"/>
                <w:sz w:val="24"/>
              </w:rPr>
              <w:t>，本项目采用类比法，参照河南中弘国泰检测技术有限公司企业实验室运行期间实际数据，</w:t>
            </w:r>
            <w:r>
              <w:rPr>
                <w:sz w:val="24"/>
              </w:rPr>
              <w:t>实验室试剂</w:t>
            </w:r>
            <w:r>
              <w:rPr>
                <w:rFonts w:hint="eastAsia"/>
                <w:sz w:val="24"/>
              </w:rPr>
              <w:t>损耗量约</w:t>
            </w:r>
            <w:r>
              <w:rPr>
                <w:sz w:val="24"/>
              </w:rPr>
              <w:t>为原料量的1%~50%之间，</w:t>
            </w:r>
            <w:r>
              <w:rPr>
                <w:rFonts w:hint="eastAsia"/>
                <w:sz w:val="24"/>
              </w:rPr>
              <w:t>其中8</w:t>
            </w:r>
            <w:r>
              <w:rPr>
                <w:sz w:val="24"/>
              </w:rPr>
              <w:t>0%</w:t>
            </w:r>
            <w:r>
              <w:rPr>
                <w:rFonts w:hint="eastAsia"/>
                <w:sz w:val="24"/>
              </w:rPr>
              <w:t>左右进入废气中，本项目按照环评最不利因素考虑，按照</w:t>
            </w:r>
            <w:r>
              <w:rPr>
                <w:sz w:val="24"/>
              </w:rPr>
              <w:t>50%</w:t>
            </w:r>
            <w:r>
              <w:rPr>
                <w:rFonts w:hint="eastAsia"/>
                <w:sz w:val="24"/>
              </w:rPr>
              <w:t>的损耗量进行考虑，损耗的量全部作为废气挥发进行废气源强核算。</w:t>
            </w:r>
            <w:r>
              <w:rPr>
                <w:bCs/>
                <w:spacing w:val="-10"/>
                <w:sz w:val="24"/>
              </w:rPr>
              <w:t>则本项目污染物产排情况见下表。</w:t>
            </w:r>
          </w:p>
          <w:p>
            <w:pPr>
              <w:spacing w:line="460" w:lineRule="exact"/>
              <w:ind w:firstLine="480" w:firstLineChars="200"/>
              <w:jc w:val="left"/>
              <w:rPr>
                <w:rFonts w:eastAsia="黑体"/>
                <w:color w:val="000000"/>
                <w:sz w:val="24"/>
              </w:rPr>
            </w:pPr>
            <w:r>
              <w:rPr>
                <w:rFonts w:eastAsia="黑体"/>
                <w:color w:val="000000"/>
                <w:sz w:val="24"/>
              </w:rPr>
              <w:t>表31             本项目有机废气物料衡算结果一览表</w:t>
            </w:r>
          </w:p>
          <w:tbl>
            <w:tblPr>
              <w:tblStyle w:val="21"/>
              <w:tblW w:w="8078"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0" w:type="dxa"/>
                <w:bottom w:w="0" w:type="dxa"/>
                <w:right w:w="0" w:type="dxa"/>
              </w:tblCellMar>
            </w:tblPr>
            <w:tblGrid>
              <w:gridCol w:w="626"/>
              <w:gridCol w:w="1210"/>
              <w:gridCol w:w="989"/>
              <w:gridCol w:w="1131"/>
              <w:gridCol w:w="863"/>
              <w:gridCol w:w="721"/>
              <w:gridCol w:w="863"/>
              <w:gridCol w:w="822"/>
              <w:gridCol w:w="85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8" w:space="0"/>
                    <w:left w:val="nil"/>
                    <w:bottom w:val="single" w:color="auto" w:sz="6" w:space="0"/>
                    <w:right w:val="single" w:color="auto" w:sz="4" w:space="0"/>
                  </w:tcBorders>
                  <w:vAlign w:val="center"/>
                </w:tcPr>
                <w:p>
                  <w:pPr>
                    <w:widowControl/>
                    <w:jc w:val="center"/>
                    <w:rPr>
                      <w:b/>
                      <w:color w:val="000000"/>
                      <w:kern w:val="0"/>
                      <w:szCs w:val="21"/>
                    </w:rPr>
                  </w:pPr>
                  <w:r>
                    <w:rPr>
                      <w:b/>
                      <w:color w:val="000000"/>
                      <w:szCs w:val="21"/>
                    </w:rPr>
                    <w:t>序号</w:t>
                  </w:r>
                </w:p>
              </w:tc>
              <w:tc>
                <w:tcPr>
                  <w:tcW w:w="749" w:type="pct"/>
                  <w:tcBorders>
                    <w:top w:val="single" w:color="auto" w:sz="8" w:space="0"/>
                    <w:left w:val="single" w:color="auto" w:sz="4" w:space="0"/>
                    <w:bottom w:val="single" w:color="auto" w:sz="6" w:space="0"/>
                  </w:tcBorders>
                  <w:vAlign w:val="center"/>
                </w:tcPr>
                <w:p>
                  <w:pPr>
                    <w:widowControl/>
                    <w:jc w:val="center"/>
                    <w:rPr>
                      <w:b/>
                      <w:color w:val="000000"/>
                      <w:kern w:val="0"/>
                      <w:szCs w:val="21"/>
                    </w:rPr>
                  </w:pPr>
                  <w:r>
                    <w:rPr>
                      <w:b/>
                      <w:color w:val="000000"/>
                      <w:szCs w:val="21"/>
                    </w:rPr>
                    <w:t>原辅料名</w:t>
                  </w:r>
                </w:p>
              </w:tc>
              <w:tc>
                <w:tcPr>
                  <w:tcW w:w="612" w:type="pct"/>
                  <w:tcBorders>
                    <w:top w:val="single" w:color="auto" w:sz="8" w:space="0"/>
                    <w:bottom w:val="single" w:color="auto" w:sz="6" w:space="0"/>
                  </w:tcBorders>
                  <w:vAlign w:val="center"/>
                </w:tcPr>
                <w:p>
                  <w:pPr>
                    <w:widowControl/>
                    <w:jc w:val="center"/>
                    <w:rPr>
                      <w:b/>
                      <w:color w:val="000000"/>
                      <w:szCs w:val="21"/>
                    </w:rPr>
                  </w:pPr>
                  <w:r>
                    <w:rPr>
                      <w:b/>
                      <w:color w:val="000000"/>
                      <w:szCs w:val="21"/>
                    </w:rPr>
                    <w:t>消耗量量（L/a）</w:t>
                  </w:r>
                </w:p>
              </w:tc>
              <w:tc>
                <w:tcPr>
                  <w:tcW w:w="700" w:type="pct"/>
                  <w:tcBorders>
                    <w:top w:val="single" w:color="auto" w:sz="8" w:space="0"/>
                    <w:bottom w:val="single" w:color="auto" w:sz="6" w:space="0"/>
                  </w:tcBorders>
                  <w:vAlign w:val="center"/>
                </w:tcPr>
                <w:p>
                  <w:pPr>
                    <w:widowControl/>
                    <w:jc w:val="center"/>
                    <w:rPr>
                      <w:b/>
                      <w:color w:val="000000"/>
                      <w:szCs w:val="21"/>
                    </w:rPr>
                  </w:pPr>
                  <w:r>
                    <w:rPr>
                      <w:b/>
                      <w:color w:val="000000"/>
                      <w:szCs w:val="21"/>
                    </w:rPr>
                    <w:t>有机物比例</w:t>
                  </w:r>
                </w:p>
              </w:tc>
              <w:tc>
                <w:tcPr>
                  <w:tcW w:w="534" w:type="pct"/>
                  <w:tcBorders>
                    <w:top w:val="single" w:color="auto" w:sz="8" w:space="0"/>
                    <w:bottom w:val="single" w:color="auto" w:sz="6" w:space="0"/>
                  </w:tcBorders>
                  <w:vAlign w:val="center"/>
                </w:tcPr>
                <w:p>
                  <w:pPr>
                    <w:widowControl/>
                    <w:jc w:val="center"/>
                    <w:rPr>
                      <w:b/>
                      <w:color w:val="000000"/>
                      <w:szCs w:val="21"/>
                    </w:rPr>
                  </w:pPr>
                  <w:r>
                    <w:rPr>
                      <w:b/>
                      <w:color w:val="000000"/>
                      <w:szCs w:val="21"/>
                    </w:rPr>
                    <w:t>有机物年耗量(L)</w:t>
                  </w:r>
                </w:p>
              </w:tc>
              <w:tc>
                <w:tcPr>
                  <w:tcW w:w="446" w:type="pct"/>
                  <w:tcBorders>
                    <w:top w:val="single" w:color="auto" w:sz="8" w:space="0"/>
                    <w:bottom w:val="single" w:color="auto" w:sz="6" w:space="0"/>
                    <w:right w:val="single" w:color="auto" w:sz="4" w:space="0"/>
                  </w:tcBorders>
                  <w:vAlign w:val="center"/>
                </w:tcPr>
                <w:p>
                  <w:pPr>
                    <w:widowControl/>
                    <w:jc w:val="center"/>
                    <w:rPr>
                      <w:b/>
                      <w:color w:val="000000"/>
                      <w:szCs w:val="21"/>
                    </w:rPr>
                  </w:pPr>
                  <w:r>
                    <w:rPr>
                      <w:b/>
                      <w:color w:val="000000"/>
                      <w:szCs w:val="21"/>
                    </w:rPr>
                    <w:t>密度(kg/L)</w:t>
                  </w:r>
                </w:p>
              </w:tc>
              <w:tc>
                <w:tcPr>
                  <w:tcW w:w="534" w:type="pct"/>
                  <w:tcBorders>
                    <w:top w:val="single" w:color="auto" w:sz="8" w:space="0"/>
                    <w:left w:val="single" w:color="auto" w:sz="4" w:space="0"/>
                    <w:bottom w:val="single" w:color="auto" w:sz="6" w:space="0"/>
                  </w:tcBorders>
                  <w:vAlign w:val="center"/>
                </w:tcPr>
                <w:p>
                  <w:pPr>
                    <w:widowControl/>
                    <w:jc w:val="center"/>
                    <w:rPr>
                      <w:bCs/>
                      <w:color w:val="000000"/>
                      <w:szCs w:val="21"/>
                    </w:rPr>
                  </w:pPr>
                  <w:r>
                    <w:rPr>
                      <w:b/>
                      <w:color w:val="000000"/>
                      <w:szCs w:val="21"/>
                    </w:rPr>
                    <w:t>有机物年耗量(t)</w:t>
                  </w:r>
                </w:p>
              </w:tc>
              <w:tc>
                <w:tcPr>
                  <w:tcW w:w="508" w:type="pct"/>
                  <w:tcBorders>
                    <w:top w:val="single" w:color="auto" w:sz="8" w:space="0"/>
                    <w:left w:val="single" w:color="auto" w:sz="4" w:space="0"/>
                    <w:bottom w:val="single" w:color="auto" w:sz="6" w:space="0"/>
                  </w:tcBorders>
                  <w:vAlign w:val="center"/>
                </w:tcPr>
                <w:p>
                  <w:pPr>
                    <w:widowControl/>
                    <w:jc w:val="center"/>
                    <w:rPr>
                      <w:b/>
                      <w:color w:val="000000"/>
                      <w:szCs w:val="21"/>
                    </w:rPr>
                  </w:pPr>
                  <w:r>
                    <w:rPr>
                      <w:b/>
                      <w:color w:val="000000"/>
                      <w:szCs w:val="21"/>
                    </w:rPr>
                    <w:t>VOC产生比例</w:t>
                  </w:r>
                </w:p>
              </w:tc>
              <w:tc>
                <w:tcPr>
                  <w:tcW w:w="528" w:type="pct"/>
                  <w:tcBorders>
                    <w:top w:val="single" w:color="auto" w:sz="8" w:space="0"/>
                    <w:left w:val="single" w:color="auto" w:sz="4" w:space="0"/>
                    <w:bottom w:val="single" w:color="auto" w:sz="6" w:space="0"/>
                    <w:right w:val="nil"/>
                  </w:tcBorders>
                  <w:vAlign w:val="center"/>
                </w:tcPr>
                <w:p>
                  <w:pPr>
                    <w:widowControl/>
                    <w:jc w:val="center"/>
                    <w:rPr>
                      <w:b/>
                      <w:color w:val="000000"/>
                      <w:szCs w:val="21"/>
                    </w:rPr>
                  </w:pPr>
                  <w:r>
                    <w:rPr>
                      <w:b/>
                      <w:color w:val="000000"/>
                      <w:szCs w:val="21"/>
                    </w:rPr>
                    <w:t>VOC产生量</w:t>
                  </w:r>
                </w:p>
                <w:p>
                  <w:pPr>
                    <w:widowControl/>
                    <w:jc w:val="center"/>
                    <w:rPr>
                      <w:b/>
                      <w:color w:val="000000"/>
                      <w:szCs w:val="21"/>
                    </w:rPr>
                  </w:pPr>
                  <w:r>
                    <w:rPr>
                      <w:b/>
                      <w:color w:val="000000"/>
                      <w:szCs w:val="21"/>
                    </w:rPr>
                    <w:t>（t）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1</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甲醇</w:t>
                  </w:r>
                </w:p>
              </w:tc>
              <w:tc>
                <w:tcPr>
                  <w:tcW w:w="612" w:type="pct"/>
                  <w:tcBorders>
                    <w:top w:val="single" w:color="auto" w:sz="6" w:space="0"/>
                    <w:bottom w:val="single" w:color="auto" w:sz="6" w:space="0"/>
                  </w:tcBorders>
                  <w:vAlign w:val="center"/>
                </w:tcPr>
                <w:p>
                  <w:pPr>
                    <w:jc w:val="center"/>
                    <w:rPr>
                      <w:szCs w:val="21"/>
                    </w:rPr>
                  </w:pPr>
                  <w:r>
                    <w:rPr>
                      <w:szCs w:val="21"/>
                    </w:rPr>
                    <w:t>50</w:t>
                  </w:r>
                </w:p>
              </w:tc>
              <w:tc>
                <w:tcPr>
                  <w:tcW w:w="700" w:type="pct"/>
                  <w:tcBorders>
                    <w:top w:val="single" w:color="auto" w:sz="6" w:space="0"/>
                    <w:bottom w:val="single" w:color="auto" w:sz="6" w:space="0"/>
                  </w:tcBorders>
                  <w:vAlign w:val="center"/>
                </w:tcPr>
                <w:p>
                  <w:pPr>
                    <w:jc w:val="center"/>
                    <w:rPr>
                      <w:szCs w:val="21"/>
                    </w:rPr>
                  </w:pPr>
                  <w:r>
                    <w:rPr>
                      <w:szCs w:val="21"/>
                    </w:rPr>
                    <w:t>100.0%</w:t>
                  </w:r>
                </w:p>
              </w:tc>
              <w:tc>
                <w:tcPr>
                  <w:tcW w:w="534" w:type="pct"/>
                  <w:tcBorders>
                    <w:top w:val="single" w:color="auto" w:sz="6" w:space="0"/>
                    <w:bottom w:val="single" w:color="auto" w:sz="6" w:space="0"/>
                  </w:tcBorders>
                  <w:vAlign w:val="center"/>
                </w:tcPr>
                <w:p>
                  <w:pPr>
                    <w:jc w:val="center"/>
                    <w:rPr>
                      <w:szCs w:val="21"/>
                    </w:rPr>
                  </w:pPr>
                  <w:r>
                    <w:rPr>
                      <w:szCs w:val="21"/>
                    </w:rPr>
                    <w:t>50</w:t>
                  </w:r>
                </w:p>
              </w:tc>
              <w:tc>
                <w:tcPr>
                  <w:tcW w:w="446" w:type="pct"/>
                  <w:tcBorders>
                    <w:top w:val="single" w:color="auto" w:sz="6" w:space="0"/>
                    <w:bottom w:val="single" w:color="auto" w:sz="6" w:space="0"/>
                    <w:right w:val="single" w:color="auto" w:sz="4" w:space="0"/>
                  </w:tcBorders>
                  <w:vAlign w:val="center"/>
                </w:tcPr>
                <w:p>
                  <w:pPr>
                    <w:jc w:val="center"/>
                    <w:rPr>
                      <w:szCs w:val="21"/>
                    </w:rPr>
                  </w:pPr>
                  <w:r>
                    <w:rPr>
                      <w:szCs w:val="21"/>
                    </w:rPr>
                    <w:t>0.791</w:t>
                  </w:r>
                </w:p>
              </w:tc>
              <w:tc>
                <w:tcPr>
                  <w:tcW w:w="534" w:type="pct"/>
                  <w:tcBorders>
                    <w:top w:val="single" w:color="auto" w:sz="6" w:space="0"/>
                    <w:left w:val="single" w:color="auto" w:sz="4" w:space="0"/>
                    <w:bottom w:val="single" w:color="auto" w:sz="6" w:space="0"/>
                  </w:tcBorders>
                  <w:vAlign w:val="center"/>
                </w:tcPr>
                <w:p>
                  <w:pPr>
                    <w:jc w:val="center"/>
                    <w:rPr>
                      <w:szCs w:val="21"/>
                    </w:rPr>
                  </w:pPr>
                  <w:r>
                    <w:rPr>
                      <w:szCs w:val="21"/>
                    </w:rPr>
                    <w:t>0.0396</w:t>
                  </w:r>
                </w:p>
              </w:tc>
              <w:tc>
                <w:tcPr>
                  <w:tcW w:w="508" w:type="pct"/>
                  <w:tcBorders>
                    <w:top w:val="single" w:color="auto" w:sz="6" w:space="0"/>
                    <w:left w:val="single" w:color="auto" w:sz="4" w:space="0"/>
                    <w:bottom w:val="single" w:color="auto" w:sz="6" w:space="0"/>
                  </w:tcBorders>
                  <w:vAlign w:val="center"/>
                </w:tcPr>
                <w:p>
                  <w:pPr>
                    <w:jc w:val="center"/>
                    <w:rPr>
                      <w:szCs w:val="21"/>
                    </w:rPr>
                  </w:pPr>
                  <w:r>
                    <w:rPr>
                      <w:szCs w:val="21"/>
                    </w:rPr>
                    <w:t>50%</w:t>
                  </w:r>
                </w:p>
              </w:tc>
              <w:tc>
                <w:tcPr>
                  <w:tcW w:w="528" w:type="pct"/>
                  <w:tcBorders>
                    <w:top w:val="single" w:color="auto" w:sz="6" w:space="0"/>
                    <w:left w:val="single" w:color="auto" w:sz="4" w:space="0"/>
                    <w:bottom w:val="single" w:color="auto" w:sz="6" w:space="0"/>
                    <w:right w:val="nil"/>
                  </w:tcBorders>
                  <w:vAlign w:val="center"/>
                </w:tcPr>
                <w:p>
                  <w:pPr>
                    <w:jc w:val="center"/>
                    <w:rPr>
                      <w:szCs w:val="21"/>
                    </w:rPr>
                  </w:pPr>
                  <w:r>
                    <w:rPr>
                      <w:color w:val="000000"/>
                      <w:szCs w:val="21"/>
                    </w:rPr>
                    <w:t>0.0198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2</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乙腈</w:t>
                  </w:r>
                </w:p>
              </w:tc>
              <w:tc>
                <w:tcPr>
                  <w:tcW w:w="612" w:type="pct"/>
                  <w:tcBorders>
                    <w:top w:val="single" w:color="auto" w:sz="6" w:space="0"/>
                    <w:bottom w:val="single" w:color="auto" w:sz="6" w:space="0"/>
                  </w:tcBorders>
                  <w:vAlign w:val="center"/>
                </w:tcPr>
                <w:p>
                  <w:pPr>
                    <w:jc w:val="center"/>
                    <w:rPr>
                      <w:szCs w:val="21"/>
                    </w:rPr>
                  </w:pPr>
                  <w:r>
                    <w:rPr>
                      <w:szCs w:val="21"/>
                    </w:rPr>
                    <w:t>10</w:t>
                  </w:r>
                </w:p>
              </w:tc>
              <w:tc>
                <w:tcPr>
                  <w:tcW w:w="700" w:type="pct"/>
                  <w:tcBorders>
                    <w:top w:val="single" w:color="auto" w:sz="6" w:space="0"/>
                    <w:bottom w:val="single" w:color="auto" w:sz="6" w:space="0"/>
                  </w:tcBorders>
                  <w:vAlign w:val="center"/>
                </w:tcPr>
                <w:p>
                  <w:pPr>
                    <w:jc w:val="center"/>
                    <w:rPr>
                      <w:szCs w:val="21"/>
                    </w:rPr>
                  </w:pPr>
                  <w:r>
                    <w:rPr>
                      <w:szCs w:val="21"/>
                    </w:rPr>
                    <w:t>100.0%</w:t>
                  </w:r>
                </w:p>
              </w:tc>
              <w:tc>
                <w:tcPr>
                  <w:tcW w:w="534" w:type="pct"/>
                  <w:tcBorders>
                    <w:top w:val="single" w:color="auto" w:sz="6" w:space="0"/>
                    <w:bottom w:val="single" w:color="auto" w:sz="6" w:space="0"/>
                  </w:tcBorders>
                  <w:vAlign w:val="center"/>
                </w:tcPr>
                <w:p>
                  <w:pPr>
                    <w:jc w:val="center"/>
                    <w:rPr>
                      <w:szCs w:val="21"/>
                    </w:rPr>
                  </w:pPr>
                  <w:r>
                    <w:rPr>
                      <w:szCs w:val="21"/>
                    </w:rPr>
                    <w:t>10</w:t>
                  </w:r>
                </w:p>
              </w:tc>
              <w:tc>
                <w:tcPr>
                  <w:tcW w:w="446" w:type="pct"/>
                  <w:tcBorders>
                    <w:top w:val="single" w:color="auto" w:sz="6" w:space="0"/>
                    <w:bottom w:val="single" w:color="auto" w:sz="6" w:space="0"/>
                    <w:right w:val="single" w:color="auto" w:sz="4" w:space="0"/>
                  </w:tcBorders>
                  <w:vAlign w:val="center"/>
                </w:tcPr>
                <w:p>
                  <w:pPr>
                    <w:jc w:val="center"/>
                    <w:rPr>
                      <w:szCs w:val="21"/>
                    </w:rPr>
                  </w:pPr>
                  <w:r>
                    <w:rPr>
                      <w:szCs w:val="21"/>
                    </w:rPr>
                    <w:t>0.786</w:t>
                  </w:r>
                </w:p>
              </w:tc>
              <w:tc>
                <w:tcPr>
                  <w:tcW w:w="534" w:type="pct"/>
                  <w:tcBorders>
                    <w:top w:val="single" w:color="auto" w:sz="6" w:space="0"/>
                    <w:left w:val="single" w:color="auto" w:sz="4" w:space="0"/>
                    <w:bottom w:val="single" w:color="auto" w:sz="6" w:space="0"/>
                  </w:tcBorders>
                  <w:vAlign w:val="center"/>
                </w:tcPr>
                <w:p>
                  <w:pPr>
                    <w:jc w:val="center"/>
                    <w:rPr>
                      <w:szCs w:val="21"/>
                    </w:rPr>
                  </w:pPr>
                  <w:r>
                    <w:rPr>
                      <w:szCs w:val="21"/>
                    </w:rPr>
                    <w:t>0.0079</w:t>
                  </w:r>
                </w:p>
              </w:tc>
              <w:tc>
                <w:tcPr>
                  <w:tcW w:w="508" w:type="pct"/>
                  <w:tcBorders>
                    <w:top w:val="single" w:color="auto" w:sz="6" w:space="0"/>
                    <w:left w:val="single" w:color="auto" w:sz="4" w:space="0"/>
                    <w:bottom w:val="single" w:color="auto" w:sz="6" w:space="0"/>
                  </w:tcBorders>
                  <w:vAlign w:val="center"/>
                </w:tcPr>
                <w:p>
                  <w:pPr>
                    <w:jc w:val="center"/>
                    <w:rPr>
                      <w:szCs w:val="21"/>
                    </w:rPr>
                  </w:pPr>
                  <w:r>
                    <w:rPr>
                      <w:szCs w:val="21"/>
                    </w:rPr>
                    <w:t>50%</w:t>
                  </w:r>
                </w:p>
              </w:tc>
              <w:tc>
                <w:tcPr>
                  <w:tcW w:w="528" w:type="pct"/>
                  <w:tcBorders>
                    <w:top w:val="single" w:color="auto" w:sz="6" w:space="0"/>
                    <w:left w:val="single" w:color="auto" w:sz="4" w:space="0"/>
                    <w:bottom w:val="single" w:color="auto" w:sz="6" w:space="0"/>
                    <w:right w:val="nil"/>
                  </w:tcBorders>
                  <w:vAlign w:val="center"/>
                </w:tcPr>
                <w:p>
                  <w:pPr>
                    <w:jc w:val="center"/>
                    <w:rPr>
                      <w:szCs w:val="21"/>
                    </w:rPr>
                  </w:pPr>
                  <w:r>
                    <w:rPr>
                      <w:color w:val="000000"/>
                      <w:szCs w:val="21"/>
                    </w:rPr>
                    <w:t>0.0039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3</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二氯甲烷</w:t>
                  </w:r>
                </w:p>
              </w:tc>
              <w:tc>
                <w:tcPr>
                  <w:tcW w:w="612" w:type="pct"/>
                  <w:tcBorders>
                    <w:top w:val="single" w:color="auto" w:sz="6" w:space="0"/>
                    <w:bottom w:val="single" w:color="auto" w:sz="6" w:space="0"/>
                  </w:tcBorders>
                  <w:vAlign w:val="center"/>
                </w:tcPr>
                <w:p>
                  <w:pPr>
                    <w:jc w:val="center"/>
                    <w:rPr>
                      <w:szCs w:val="21"/>
                    </w:rPr>
                  </w:pPr>
                  <w:r>
                    <w:rPr>
                      <w:szCs w:val="21"/>
                    </w:rPr>
                    <w:t>2</w:t>
                  </w:r>
                </w:p>
              </w:tc>
              <w:tc>
                <w:tcPr>
                  <w:tcW w:w="700" w:type="pct"/>
                  <w:tcBorders>
                    <w:top w:val="single" w:color="auto" w:sz="6" w:space="0"/>
                    <w:bottom w:val="single" w:color="auto" w:sz="6" w:space="0"/>
                  </w:tcBorders>
                  <w:vAlign w:val="center"/>
                </w:tcPr>
                <w:p>
                  <w:pPr>
                    <w:jc w:val="center"/>
                    <w:rPr>
                      <w:szCs w:val="21"/>
                    </w:rPr>
                  </w:pPr>
                  <w:r>
                    <w:rPr>
                      <w:szCs w:val="21"/>
                    </w:rPr>
                    <w:t>99.0%</w:t>
                  </w:r>
                </w:p>
              </w:tc>
              <w:tc>
                <w:tcPr>
                  <w:tcW w:w="534" w:type="pct"/>
                  <w:tcBorders>
                    <w:top w:val="single" w:color="auto" w:sz="6" w:space="0"/>
                    <w:bottom w:val="single" w:color="auto" w:sz="6" w:space="0"/>
                  </w:tcBorders>
                  <w:vAlign w:val="center"/>
                </w:tcPr>
                <w:p>
                  <w:pPr>
                    <w:jc w:val="center"/>
                    <w:rPr>
                      <w:szCs w:val="21"/>
                    </w:rPr>
                  </w:pPr>
                  <w:r>
                    <w:rPr>
                      <w:szCs w:val="21"/>
                    </w:rPr>
                    <w:t>1.98</w:t>
                  </w:r>
                </w:p>
              </w:tc>
              <w:tc>
                <w:tcPr>
                  <w:tcW w:w="446" w:type="pct"/>
                  <w:tcBorders>
                    <w:top w:val="single" w:color="auto" w:sz="6" w:space="0"/>
                    <w:bottom w:val="single" w:color="auto" w:sz="6" w:space="0"/>
                    <w:right w:val="single" w:color="auto" w:sz="4" w:space="0"/>
                  </w:tcBorders>
                  <w:vAlign w:val="center"/>
                </w:tcPr>
                <w:p>
                  <w:pPr>
                    <w:jc w:val="center"/>
                    <w:rPr>
                      <w:szCs w:val="21"/>
                    </w:rPr>
                  </w:pPr>
                  <w:r>
                    <w:rPr>
                      <w:szCs w:val="21"/>
                    </w:rPr>
                    <w:t>1.325</w:t>
                  </w:r>
                </w:p>
              </w:tc>
              <w:tc>
                <w:tcPr>
                  <w:tcW w:w="534" w:type="pct"/>
                  <w:tcBorders>
                    <w:top w:val="single" w:color="auto" w:sz="6" w:space="0"/>
                    <w:left w:val="single" w:color="auto" w:sz="4" w:space="0"/>
                    <w:bottom w:val="single" w:color="auto" w:sz="6" w:space="0"/>
                  </w:tcBorders>
                  <w:vAlign w:val="center"/>
                </w:tcPr>
                <w:p>
                  <w:pPr>
                    <w:jc w:val="center"/>
                    <w:rPr>
                      <w:szCs w:val="21"/>
                    </w:rPr>
                  </w:pPr>
                  <w:r>
                    <w:rPr>
                      <w:szCs w:val="21"/>
                    </w:rPr>
                    <w:t>0.0026</w:t>
                  </w:r>
                </w:p>
              </w:tc>
              <w:tc>
                <w:tcPr>
                  <w:tcW w:w="508" w:type="pct"/>
                  <w:tcBorders>
                    <w:top w:val="single" w:color="auto" w:sz="6" w:space="0"/>
                    <w:left w:val="single" w:color="auto" w:sz="4" w:space="0"/>
                    <w:bottom w:val="single" w:color="auto" w:sz="6" w:space="0"/>
                  </w:tcBorders>
                  <w:vAlign w:val="center"/>
                </w:tcPr>
                <w:p>
                  <w:pPr>
                    <w:jc w:val="center"/>
                    <w:rPr>
                      <w:szCs w:val="21"/>
                    </w:rPr>
                  </w:pPr>
                  <w:r>
                    <w:rPr>
                      <w:szCs w:val="21"/>
                    </w:rPr>
                    <w:t>50%</w:t>
                  </w:r>
                </w:p>
              </w:tc>
              <w:tc>
                <w:tcPr>
                  <w:tcW w:w="528" w:type="pct"/>
                  <w:tcBorders>
                    <w:top w:val="single" w:color="auto" w:sz="6" w:space="0"/>
                    <w:left w:val="single" w:color="auto" w:sz="4" w:space="0"/>
                    <w:bottom w:val="single" w:color="auto" w:sz="6" w:space="0"/>
                    <w:right w:val="nil"/>
                  </w:tcBorders>
                  <w:vAlign w:val="center"/>
                </w:tcPr>
                <w:p>
                  <w:pPr>
                    <w:jc w:val="center"/>
                    <w:rPr>
                      <w:szCs w:val="21"/>
                    </w:rPr>
                  </w:pPr>
                  <w:r>
                    <w:rPr>
                      <w:color w:val="000000"/>
                      <w:szCs w:val="21"/>
                    </w:rPr>
                    <w:t>0.0013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4</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苯</w:t>
                  </w:r>
                </w:p>
              </w:tc>
              <w:tc>
                <w:tcPr>
                  <w:tcW w:w="612" w:type="pct"/>
                  <w:tcBorders>
                    <w:top w:val="single" w:color="auto" w:sz="6" w:space="0"/>
                    <w:bottom w:val="single" w:color="auto" w:sz="6" w:space="0"/>
                  </w:tcBorders>
                  <w:vAlign w:val="center"/>
                </w:tcPr>
                <w:p>
                  <w:pPr>
                    <w:jc w:val="center"/>
                    <w:rPr>
                      <w:szCs w:val="21"/>
                    </w:rPr>
                  </w:pPr>
                  <w:r>
                    <w:rPr>
                      <w:szCs w:val="21"/>
                    </w:rPr>
                    <w:t>2</w:t>
                  </w:r>
                </w:p>
              </w:tc>
              <w:tc>
                <w:tcPr>
                  <w:tcW w:w="700" w:type="pct"/>
                  <w:tcBorders>
                    <w:top w:val="single" w:color="auto" w:sz="6" w:space="0"/>
                    <w:bottom w:val="single" w:color="auto" w:sz="6" w:space="0"/>
                  </w:tcBorders>
                  <w:vAlign w:val="center"/>
                </w:tcPr>
                <w:p>
                  <w:pPr>
                    <w:jc w:val="center"/>
                    <w:rPr>
                      <w:szCs w:val="21"/>
                    </w:rPr>
                  </w:pPr>
                  <w:r>
                    <w:rPr>
                      <w:szCs w:val="21"/>
                    </w:rPr>
                    <w:t>99.0%</w:t>
                  </w:r>
                </w:p>
              </w:tc>
              <w:tc>
                <w:tcPr>
                  <w:tcW w:w="534" w:type="pct"/>
                  <w:tcBorders>
                    <w:top w:val="single" w:color="auto" w:sz="6" w:space="0"/>
                    <w:bottom w:val="single" w:color="auto" w:sz="6" w:space="0"/>
                  </w:tcBorders>
                  <w:vAlign w:val="center"/>
                </w:tcPr>
                <w:p>
                  <w:pPr>
                    <w:jc w:val="center"/>
                    <w:rPr>
                      <w:szCs w:val="21"/>
                    </w:rPr>
                  </w:pPr>
                  <w:r>
                    <w:rPr>
                      <w:szCs w:val="21"/>
                    </w:rPr>
                    <w:t>1.98</w:t>
                  </w:r>
                </w:p>
              </w:tc>
              <w:tc>
                <w:tcPr>
                  <w:tcW w:w="446" w:type="pct"/>
                  <w:tcBorders>
                    <w:top w:val="single" w:color="auto" w:sz="6" w:space="0"/>
                    <w:bottom w:val="single" w:color="auto" w:sz="6" w:space="0"/>
                    <w:right w:val="single" w:color="auto" w:sz="4" w:space="0"/>
                  </w:tcBorders>
                  <w:vAlign w:val="center"/>
                </w:tcPr>
                <w:p>
                  <w:pPr>
                    <w:jc w:val="center"/>
                    <w:rPr>
                      <w:szCs w:val="21"/>
                    </w:rPr>
                  </w:pPr>
                  <w:r>
                    <w:rPr>
                      <w:szCs w:val="21"/>
                    </w:rPr>
                    <w:t>0.88</w:t>
                  </w:r>
                </w:p>
              </w:tc>
              <w:tc>
                <w:tcPr>
                  <w:tcW w:w="534" w:type="pct"/>
                  <w:tcBorders>
                    <w:top w:val="single" w:color="auto" w:sz="6" w:space="0"/>
                    <w:left w:val="single" w:color="auto" w:sz="4" w:space="0"/>
                    <w:bottom w:val="single" w:color="auto" w:sz="6" w:space="0"/>
                  </w:tcBorders>
                  <w:vAlign w:val="center"/>
                </w:tcPr>
                <w:p>
                  <w:pPr>
                    <w:jc w:val="center"/>
                    <w:rPr>
                      <w:szCs w:val="21"/>
                    </w:rPr>
                  </w:pPr>
                  <w:r>
                    <w:rPr>
                      <w:szCs w:val="21"/>
                    </w:rPr>
                    <w:t>0.0017</w:t>
                  </w:r>
                </w:p>
              </w:tc>
              <w:tc>
                <w:tcPr>
                  <w:tcW w:w="508" w:type="pct"/>
                  <w:tcBorders>
                    <w:top w:val="single" w:color="auto" w:sz="6" w:space="0"/>
                    <w:left w:val="single" w:color="auto" w:sz="4" w:space="0"/>
                    <w:bottom w:val="single" w:color="auto" w:sz="6" w:space="0"/>
                  </w:tcBorders>
                  <w:vAlign w:val="center"/>
                </w:tcPr>
                <w:p>
                  <w:pPr>
                    <w:jc w:val="center"/>
                    <w:rPr>
                      <w:szCs w:val="21"/>
                    </w:rPr>
                  </w:pPr>
                  <w:r>
                    <w:rPr>
                      <w:szCs w:val="21"/>
                    </w:rPr>
                    <w:t>50%</w:t>
                  </w:r>
                </w:p>
              </w:tc>
              <w:tc>
                <w:tcPr>
                  <w:tcW w:w="528" w:type="pct"/>
                  <w:tcBorders>
                    <w:top w:val="single" w:color="auto" w:sz="6" w:space="0"/>
                    <w:left w:val="single" w:color="auto" w:sz="4" w:space="0"/>
                    <w:bottom w:val="single" w:color="auto" w:sz="6" w:space="0"/>
                    <w:right w:val="nil"/>
                  </w:tcBorders>
                  <w:vAlign w:val="center"/>
                </w:tcPr>
                <w:p>
                  <w:pPr>
                    <w:jc w:val="center"/>
                    <w:rPr>
                      <w:szCs w:val="21"/>
                    </w:rPr>
                  </w:pPr>
                  <w:r>
                    <w:rPr>
                      <w:color w:val="000000"/>
                      <w:szCs w:val="21"/>
                    </w:rPr>
                    <w:t>0.0009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5</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甲醛</w:t>
                  </w:r>
                </w:p>
              </w:tc>
              <w:tc>
                <w:tcPr>
                  <w:tcW w:w="612" w:type="pct"/>
                  <w:tcBorders>
                    <w:top w:val="single" w:color="auto" w:sz="6" w:space="0"/>
                    <w:bottom w:val="single" w:color="auto" w:sz="6" w:space="0"/>
                  </w:tcBorders>
                  <w:vAlign w:val="center"/>
                </w:tcPr>
                <w:p>
                  <w:pPr>
                    <w:jc w:val="center"/>
                    <w:rPr>
                      <w:szCs w:val="21"/>
                    </w:rPr>
                  </w:pPr>
                  <w:r>
                    <w:rPr>
                      <w:szCs w:val="21"/>
                    </w:rPr>
                    <w:t>2</w:t>
                  </w:r>
                </w:p>
              </w:tc>
              <w:tc>
                <w:tcPr>
                  <w:tcW w:w="700" w:type="pct"/>
                  <w:tcBorders>
                    <w:top w:val="single" w:color="auto" w:sz="6" w:space="0"/>
                    <w:bottom w:val="single" w:color="auto" w:sz="6" w:space="0"/>
                  </w:tcBorders>
                  <w:vAlign w:val="center"/>
                </w:tcPr>
                <w:p>
                  <w:pPr>
                    <w:jc w:val="center"/>
                    <w:rPr>
                      <w:szCs w:val="21"/>
                    </w:rPr>
                  </w:pPr>
                  <w:r>
                    <w:rPr>
                      <w:szCs w:val="21"/>
                    </w:rPr>
                    <w:t>99.0%</w:t>
                  </w:r>
                </w:p>
              </w:tc>
              <w:tc>
                <w:tcPr>
                  <w:tcW w:w="534" w:type="pct"/>
                  <w:tcBorders>
                    <w:top w:val="single" w:color="auto" w:sz="6" w:space="0"/>
                    <w:bottom w:val="single" w:color="auto" w:sz="6" w:space="0"/>
                  </w:tcBorders>
                  <w:vAlign w:val="center"/>
                </w:tcPr>
                <w:p>
                  <w:pPr>
                    <w:jc w:val="center"/>
                    <w:rPr>
                      <w:szCs w:val="21"/>
                    </w:rPr>
                  </w:pPr>
                  <w:r>
                    <w:rPr>
                      <w:szCs w:val="21"/>
                    </w:rPr>
                    <w:t>1.98</w:t>
                  </w:r>
                </w:p>
              </w:tc>
              <w:tc>
                <w:tcPr>
                  <w:tcW w:w="446" w:type="pct"/>
                  <w:tcBorders>
                    <w:top w:val="single" w:color="auto" w:sz="6" w:space="0"/>
                    <w:bottom w:val="single" w:color="auto" w:sz="6" w:space="0"/>
                    <w:right w:val="single" w:color="auto" w:sz="4" w:space="0"/>
                  </w:tcBorders>
                  <w:vAlign w:val="center"/>
                </w:tcPr>
                <w:p>
                  <w:pPr>
                    <w:jc w:val="center"/>
                    <w:rPr>
                      <w:szCs w:val="21"/>
                    </w:rPr>
                  </w:pPr>
                  <w:r>
                    <w:rPr>
                      <w:szCs w:val="21"/>
                    </w:rPr>
                    <w:t>0.815</w:t>
                  </w:r>
                </w:p>
              </w:tc>
              <w:tc>
                <w:tcPr>
                  <w:tcW w:w="534" w:type="pct"/>
                  <w:tcBorders>
                    <w:top w:val="single" w:color="auto" w:sz="6" w:space="0"/>
                    <w:left w:val="single" w:color="auto" w:sz="4" w:space="0"/>
                    <w:bottom w:val="single" w:color="auto" w:sz="6" w:space="0"/>
                  </w:tcBorders>
                  <w:vAlign w:val="center"/>
                </w:tcPr>
                <w:p>
                  <w:pPr>
                    <w:jc w:val="center"/>
                    <w:rPr>
                      <w:szCs w:val="21"/>
                    </w:rPr>
                  </w:pPr>
                  <w:r>
                    <w:rPr>
                      <w:szCs w:val="21"/>
                    </w:rPr>
                    <w:t>0.0016</w:t>
                  </w:r>
                </w:p>
              </w:tc>
              <w:tc>
                <w:tcPr>
                  <w:tcW w:w="508" w:type="pct"/>
                  <w:tcBorders>
                    <w:top w:val="single" w:color="auto" w:sz="6" w:space="0"/>
                    <w:left w:val="single" w:color="auto" w:sz="4" w:space="0"/>
                    <w:bottom w:val="single" w:color="auto" w:sz="6" w:space="0"/>
                  </w:tcBorders>
                  <w:vAlign w:val="center"/>
                </w:tcPr>
                <w:p>
                  <w:pPr>
                    <w:jc w:val="center"/>
                    <w:rPr>
                      <w:szCs w:val="21"/>
                    </w:rPr>
                  </w:pPr>
                  <w:r>
                    <w:rPr>
                      <w:szCs w:val="21"/>
                    </w:rPr>
                    <w:t>50%</w:t>
                  </w:r>
                </w:p>
              </w:tc>
              <w:tc>
                <w:tcPr>
                  <w:tcW w:w="528" w:type="pct"/>
                  <w:tcBorders>
                    <w:top w:val="single" w:color="auto" w:sz="6" w:space="0"/>
                    <w:left w:val="single" w:color="auto" w:sz="4" w:space="0"/>
                    <w:bottom w:val="single" w:color="auto" w:sz="6" w:space="0"/>
                    <w:right w:val="nil"/>
                  </w:tcBorders>
                  <w:vAlign w:val="center"/>
                </w:tcPr>
                <w:p>
                  <w:pPr>
                    <w:jc w:val="center"/>
                    <w:rPr>
                      <w:szCs w:val="21"/>
                    </w:rPr>
                  </w:pPr>
                  <w:r>
                    <w:rPr>
                      <w:color w:val="000000"/>
                      <w:szCs w:val="21"/>
                    </w:rPr>
                    <w:t>0.0008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6</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无水乙醚</w:t>
                  </w:r>
                </w:p>
              </w:tc>
              <w:tc>
                <w:tcPr>
                  <w:tcW w:w="612" w:type="pct"/>
                  <w:tcBorders>
                    <w:top w:val="single" w:color="auto" w:sz="6" w:space="0"/>
                    <w:bottom w:val="single" w:color="auto" w:sz="6" w:space="0"/>
                  </w:tcBorders>
                  <w:vAlign w:val="center"/>
                </w:tcPr>
                <w:p>
                  <w:pPr>
                    <w:jc w:val="center"/>
                    <w:rPr>
                      <w:szCs w:val="21"/>
                    </w:rPr>
                  </w:pPr>
                  <w:r>
                    <w:rPr>
                      <w:szCs w:val="21"/>
                    </w:rPr>
                    <w:t>3</w:t>
                  </w:r>
                </w:p>
              </w:tc>
              <w:tc>
                <w:tcPr>
                  <w:tcW w:w="700" w:type="pct"/>
                  <w:tcBorders>
                    <w:top w:val="single" w:color="auto" w:sz="6" w:space="0"/>
                    <w:bottom w:val="single" w:color="auto" w:sz="6" w:space="0"/>
                  </w:tcBorders>
                  <w:vAlign w:val="center"/>
                </w:tcPr>
                <w:p>
                  <w:pPr>
                    <w:jc w:val="center"/>
                    <w:rPr>
                      <w:szCs w:val="21"/>
                    </w:rPr>
                  </w:pPr>
                  <w:r>
                    <w:rPr>
                      <w:szCs w:val="21"/>
                    </w:rPr>
                    <w:t>99.0%</w:t>
                  </w:r>
                </w:p>
              </w:tc>
              <w:tc>
                <w:tcPr>
                  <w:tcW w:w="534" w:type="pct"/>
                  <w:tcBorders>
                    <w:top w:val="single" w:color="auto" w:sz="6" w:space="0"/>
                    <w:bottom w:val="single" w:color="auto" w:sz="6" w:space="0"/>
                  </w:tcBorders>
                  <w:vAlign w:val="center"/>
                </w:tcPr>
                <w:p>
                  <w:pPr>
                    <w:jc w:val="center"/>
                    <w:rPr>
                      <w:szCs w:val="21"/>
                    </w:rPr>
                  </w:pPr>
                  <w:r>
                    <w:rPr>
                      <w:szCs w:val="21"/>
                    </w:rPr>
                    <w:t>2.97</w:t>
                  </w:r>
                </w:p>
              </w:tc>
              <w:tc>
                <w:tcPr>
                  <w:tcW w:w="446" w:type="pct"/>
                  <w:tcBorders>
                    <w:top w:val="single" w:color="auto" w:sz="6" w:space="0"/>
                    <w:bottom w:val="single" w:color="auto" w:sz="6" w:space="0"/>
                    <w:right w:val="single" w:color="auto" w:sz="4" w:space="0"/>
                  </w:tcBorders>
                  <w:vAlign w:val="center"/>
                </w:tcPr>
                <w:p>
                  <w:pPr>
                    <w:jc w:val="center"/>
                    <w:rPr>
                      <w:szCs w:val="21"/>
                    </w:rPr>
                  </w:pPr>
                  <w:r>
                    <w:rPr>
                      <w:szCs w:val="21"/>
                    </w:rPr>
                    <w:t>0.714</w:t>
                  </w:r>
                </w:p>
              </w:tc>
              <w:tc>
                <w:tcPr>
                  <w:tcW w:w="534" w:type="pct"/>
                  <w:tcBorders>
                    <w:top w:val="single" w:color="auto" w:sz="6" w:space="0"/>
                    <w:left w:val="single" w:color="auto" w:sz="4" w:space="0"/>
                    <w:bottom w:val="single" w:color="auto" w:sz="6" w:space="0"/>
                  </w:tcBorders>
                  <w:vAlign w:val="center"/>
                </w:tcPr>
                <w:p>
                  <w:pPr>
                    <w:jc w:val="center"/>
                    <w:rPr>
                      <w:szCs w:val="21"/>
                    </w:rPr>
                  </w:pPr>
                  <w:r>
                    <w:rPr>
                      <w:szCs w:val="21"/>
                    </w:rPr>
                    <w:t>0.0021</w:t>
                  </w:r>
                </w:p>
              </w:tc>
              <w:tc>
                <w:tcPr>
                  <w:tcW w:w="508" w:type="pct"/>
                  <w:tcBorders>
                    <w:top w:val="single" w:color="auto" w:sz="6" w:space="0"/>
                    <w:left w:val="single" w:color="auto" w:sz="4" w:space="0"/>
                    <w:bottom w:val="single" w:color="auto" w:sz="6" w:space="0"/>
                  </w:tcBorders>
                  <w:vAlign w:val="center"/>
                </w:tcPr>
                <w:p>
                  <w:pPr>
                    <w:jc w:val="center"/>
                    <w:rPr>
                      <w:szCs w:val="21"/>
                    </w:rPr>
                  </w:pPr>
                  <w:r>
                    <w:rPr>
                      <w:szCs w:val="21"/>
                    </w:rPr>
                    <w:t>50%</w:t>
                  </w:r>
                </w:p>
              </w:tc>
              <w:tc>
                <w:tcPr>
                  <w:tcW w:w="528" w:type="pct"/>
                  <w:tcBorders>
                    <w:top w:val="single" w:color="auto" w:sz="6" w:space="0"/>
                    <w:left w:val="single" w:color="auto" w:sz="4" w:space="0"/>
                    <w:bottom w:val="single" w:color="auto" w:sz="6" w:space="0"/>
                    <w:right w:val="nil"/>
                  </w:tcBorders>
                  <w:vAlign w:val="center"/>
                </w:tcPr>
                <w:p>
                  <w:pPr>
                    <w:jc w:val="center"/>
                    <w:rPr>
                      <w:szCs w:val="21"/>
                    </w:rPr>
                  </w:pPr>
                  <w:r>
                    <w:rPr>
                      <w:color w:val="000000"/>
                      <w:szCs w:val="21"/>
                    </w:rPr>
                    <w:t>0.0011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7</w:t>
                  </w:r>
                </w:p>
              </w:tc>
              <w:tc>
                <w:tcPr>
                  <w:tcW w:w="749" w:type="pct"/>
                  <w:tcBorders>
                    <w:top w:val="single" w:color="auto" w:sz="6" w:space="0"/>
                    <w:left w:val="single" w:color="auto" w:sz="4" w:space="0"/>
                    <w:bottom w:val="single" w:color="auto" w:sz="6" w:space="0"/>
                  </w:tcBorders>
                  <w:vAlign w:val="center"/>
                </w:tcPr>
                <w:p>
                  <w:pPr>
                    <w:jc w:val="center"/>
                    <w:rPr>
                      <w:color w:val="000000"/>
                      <w:szCs w:val="21"/>
                    </w:rPr>
                  </w:pPr>
                  <w:r>
                    <w:rPr>
                      <w:color w:val="000000"/>
                      <w:szCs w:val="21"/>
                    </w:rPr>
                    <w:t>95%</w:t>
                  </w:r>
                  <w:r>
                    <w:rPr>
                      <w:color w:val="000000"/>
                    </w:rPr>
                    <w:t>乙醇</w:t>
                  </w:r>
                </w:p>
              </w:tc>
              <w:tc>
                <w:tcPr>
                  <w:tcW w:w="612" w:type="pct"/>
                  <w:tcBorders>
                    <w:top w:val="single" w:color="auto" w:sz="6" w:space="0"/>
                    <w:bottom w:val="single" w:color="auto" w:sz="6" w:space="0"/>
                  </w:tcBorders>
                  <w:vAlign w:val="center"/>
                </w:tcPr>
                <w:p>
                  <w:pPr>
                    <w:jc w:val="center"/>
                    <w:rPr>
                      <w:szCs w:val="21"/>
                    </w:rPr>
                  </w:pPr>
                  <w:r>
                    <w:rPr>
                      <w:szCs w:val="21"/>
                    </w:rPr>
                    <w:t>10</w:t>
                  </w:r>
                </w:p>
              </w:tc>
              <w:tc>
                <w:tcPr>
                  <w:tcW w:w="700" w:type="pct"/>
                  <w:tcBorders>
                    <w:top w:val="single" w:color="auto" w:sz="6" w:space="0"/>
                    <w:bottom w:val="single" w:color="auto" w:sz="6" w:space="0"/>
                  </w:tcBorders>
                  <w:vAlign w:val="center"/>
                </w:tcPr>
                <w:p>
                  <w:pPr>
                    <w:jc w:val="center"/>
                    <w:rPr>
                      <w:szCs w:val="21"/>
                    </w:rPr>
                  </w:pPr>
                  <w:r>
                    <w:rPr>
                      <w:szCs w:val="21"/>
                    </w:rPr>
                    <w:t>95.0%</w:t>
                  </w:r>
                </w:p>
              </w:tc>
              <w:tc>
                <w:tcPr>
                  <w:tcW w:w="534" w:type="pct"/>
                  <w:tcBorders>
                    <w:top w:val="single" w:color="auto" w:sz="6" w:space="0"/>
                    <w:bottom w:val="single" w:color="auto" w:sz="6" w:space="0"/>
                  </w:tcBorders>
                  <w:vAlign w:val="center"/>
                </w:tcPr>
                <w:p>
                  <w:pPr>
                    <w:jc w:val="center"/>
                    <w:rPr>
                      <w:szCs w:val="21"/>
                    </w:rPr>
                  </w:pPr>
                  <w:r>
                    <w:rPr>
                      <w:color w:val="000000"/>
                      <w:szCs w:val="21"/>
                    </w:rPr>
                    <w:t>9.5</w:t>
                  </w:r>
                </w:p>
              </w:tc>
              <w:tc>
                <w:tcPr>
                  <w:tcW w:w="446" w:type="pct"/>
                  <w:tcBorders>
                    <w:top w:val="single" w:color="auto" w:sz="6" w:space="0"/>
                    <w:bottom w:val="single" w:color="auto" w:sz="6" w:space="0"/>
                    <w:right w:val="single" w:color="auto" w:sz="4" w:space="0"/>
                  </w:tcBorders>
                  <w:vAlign w:val="center"/>
                </w:tcPr>
                <w:p>
                  <w:pPr>
                    <w:jc w:val="center"/>
                    <w:rPr>
                      <w:color w:val="000000"/>
                      <w:szCs w:val="21"/>
                    </w:rPr>
                  </w:pPr>
                  <w:r>
                    <w:rPr>
                      <w:color w:val="000000"/>
                      <w:szCs w:val="21"/>
                    </w:rPr>
                    <w:t>0.7890</w:t>
                  </w:r>
                </w:p>
              </w:tc>
              <w:tc>
                <w:tcPr>
                  <w:tcW w:w="534" w:type="pct"/>
                  <w:tcBorders>
                    <w:top w:val="single" w:color="auto" w:sz="6" w:space="0"/>
                    <w:left w:val="single" w:color="auto" w:sz="4" w:space="0"/>
                    <w:bottom w:val="single" w:color="auto" w:sz="6" w:space="0"/>
                  </w:tcBorders>
                  <w:vAlign w:val="center"/>
                </w:tcPr>
                <w:p>
                  <w:pPr>
                    <w:jc w:val="center"/>
                    <w:rPr>
                      <w:color w:val="000000"/>
                      <w:szCs w:val="21"/>
                    </w:rPr>
                  </w:pPr>
                  <w:r>
                    <w:rPr>
                      <w:color w:val="000000"/>
                      <w:szCs w:val="21"/>
                    </w:rPr>
                    <w:t>0.0075</w:t>
                  </w:r>
                </w:p>
              </w:tc>
              <w:tc>
                <w:tcPr>
                  <w:tcW w:w="508" w:type="pct"/>
                  <w:tcBorders>
                    <w:top w:val="single" w:color="auto" w:sz="6" w:space="0"/>
                    <w:left w:val="single" w:color="auto" w:sz="4" w:space="0"/>
                    <w:bottom w:val="single" w:color="auto" w:sz="6" w:space="0"/>
                  </w:tcBorders>
                  <w:vAlign w:val="center"/>
                </w:tcPr>
                <w:p>
                  <w:pPr>
                    <w:jc w:val="center"/>
                    <w:rPr>
                      <w:color w:val="000000"/>
                      <w:szCs w:val="21"/>
                    </w:rPr>
                  </w:pPr>
                  <w:r>
                    <w:rPr>
                      <w:color w:val="000000"/>
                      <w:szCs w:val="21"/>
                    </w:rPr>
                    <w:t>50%</w:t>
                  </w:r>
                </w:p>
              </w:tc>
              <w:tc>
                <w:tcPr>
                  <w:tcW w:w="528" w:type="pct"/>
                  <w:tcBorders>
                    <w:top w:val="single" w:color="auto" w:sz="6" w:space="0"/>
                    <w:left w:val="single" w:color="auto" w:sz="4" w:space="0"/>
                    <w:bottom w:val="single" w:color="auto" w:sz="6" w:space="0"/>
                    <w:right w:val="nil"/>
                  </w:tcBorders>
                  <w:vAlign w:val="center"/>
                </w:tcPr>
                <w:p>
                  <w:pPr>
                    <w:jc w:val="center"/>
                    <w:rPr>
                      <w:color w:val="000000"/>
                      <w:szCs w:val="21"/>
                    </w:rPr>
                  </w:pPr>
                  <w:r>
                    <w:rPr>
                      <w:color w:val="000000"/>
                      <w:szCs w:val="21"/>
                    </w:rPr>
                    <w:t>0.0037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8</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无水乙醇</w:t>
                  </w:r>
                </w:p>
              </w:tc>
              <w:tc>
                <w:tcPr>
                  <w:tcW w:w="612" w:type="pct"/>
                  <w:tcBorders>
                    <w:top w:val="single" w:color="auto" w:sz="6" w:space="0"/>
                    <w:bottom w:val="single" w:color="auto" w:sz="6" w:space="0"/>
                  </w:tcBorders>
                  <w:vAlign w:val="center"/>
                </w:tcPr>
                <w:p>
                  <w:pPr>
                    <w:jc w:val="center"/>
                    <w:rPr>
                      <w:szCs w:val="21"/>
                    </w:rPr>
                  </w:pPr>
                  <w:r>
                    <w:rPr>
                      <w:szCs w:val="21"/>
                    </w:rPr>
                    <w:t>10</w:t>
                  </w:r>
                </w:p>
              </w:tc>
              <w:tc>
                <w:tcPr>
                  <w:tcW w:w="700" w:type="pct"/>
                  <w:tcBorders>
                    <w:top w:val="single" w:color="auto" w:sz="6" w:space="0"/>
                    <w:bottom w:val="single" w:color="auto" w:sz="6" w:space="0"/>
                  </w:tcBorders>
                  <w:vAlign w:val="center"/>
                </w:tcPr>
                <w:p>
                  <w:pPr>
                    <w:jc w:val="center"/>
                    <w:rPr>
                      <w:szCs w:val="21"/>
                    </w:rPr>
                  </w:pPr>
                  <w:r>
                    <w:rPr>
                      <w:szCs w:val="21"/>
                    </w:rPr>
                    <w:t>99.0%</w:t>
                  </w:r>
                </w:p>
              </w:tc>
              <w:tc>
                <w:tcPr>
                  <w:tcW w:w="534" w:type="pct"/>
                  <w:tcBorders>
                    <w:top w:val="single" w:color="auto" w:sz="6" w:space="0"/>
                    <w:bottom w:val="single" w:color="auto" w:sz="6" w:space="0"/>
                  </w:tcBorders>
                  <w:vAlign w:val="center"/>
                </w:tcPr>
                <w:p>
                  <w:pPr>
                    <w:jc w:val="center"/>
                    <w:rPr>
                      <w:szCs w:val="21"/>
                    </w:rPr>
                  </w:pPr>
                  <w:r>
                    <w:rPr>
                      <w:szCs w:val="21"/>
                    </w:rPr>
                    <w:t>9.9</w:t>
                  </w:r>
                </w:p>
              </w:tc>
              <w:tc>
                <w:tcPr>
                  <w:tcW w:w="446" w:type="pct"/>
                  <w:tcBorders>
                    <w:top w:val="single" w:color="auto" w:sz="6" w:space="0"/>
                    <w:bottom w:val="single" w:color="auto" w:sz="6" w:space="0"/>
                    <w:right w:val="single" w:color="auto" w:sz="4" w:space="0"/>
                  </w:tcBorders>
                  <w:vAlign w:val="center"/>
                </w:tcPr>
                <w:p>
                  <w:pPr>
                    <w:jc w:val="center"/>
                    <w:rPr>
                      <w:color w:val="000000"/>
                      <w:szCs w:val="21"/>
                    </w:rPr>
                  </w:pPr>
                  <w:r>
                    <w:rPr>
                      <w:color w:val="000000"/>
                      <w:szCs w:val="21"/>
                    </w:rPr>
                    <w:t>0.789</w:t>
                  </w:r>
                </w:p>
              </w:tc>
              <w:tc>
                <w:tcPr>
                  <w:tcW w:w="534" w:type="pct"/>
                  <w:tcBorders>
                    <w:top w:val="single" w:color="auto" w:sz="6" w:space="0"/>
                    <w:left w:val="single" w:color="auto" w:sz="4" w:space="0"/>
                    <w:bottom w:val="single" w:color="auto" w:sz="6" w:space="0"/>
                  </w:tcBorders>
                  <w:vAlign w:val="center"/>
                </w:tcPr>
                <w:p>
                  <w:pPr>
                    <w:jc w:val="center"/>
                    <w:rPr>
                      <w:color w:val="000000"/>
                      <w:szCs w:val="21"/>
                    </w:rPr>
                  </w:pPr>
                  <w:r>
                    <w:rPr>
                      <w:color w:val="000000"/>
                      <w:szCs w:val="21"/>
                    </w:rPr>
                    <w:t>0.0078</w:t>
                  </w:r>
                </w:p>
              </w:tc>
              <w:tc>
                <w:tcPr>
                  <w:tcW w:w="508" w:type="pct"/>
                  <w:tcBorders>
                    <w:top w:val="single" w:color="auto" w:sz="6" w:space="0"/>
                    <w:left w:val="single" w:color="auto" w:sz="4" w:space="0"/>
                    <w:bottom w:val="single" w:color="auto" w:sz="6" w:space="0"/>
                  </w:tcBorders>
                  <w:vAlign w:val="center"/>
                </w:tcPr>
                <w:p>
                  <w:pPr>
                    <w:jc w:val="center"/>
                    <w:rPr>
                      <w:color w:val="000000"/>
                      <w:szCs w:val="21"/>
                    </w:rPr>
                  </w:pPr>
                  <w:r>
                    <w:rPr>
                      <w:color w:val="000000"/>
                      <w:szCs w:val="21"/>
                    </w:rPr>
                    <w:t>50%</w:t>
                  </w:r>
                </w:p>
              </w:tc>
              <w:tc>
                <w:tcPr>
                  <w:tcW w:w="528" w:type="pct"/>
                  <w:tcBorders>
                    <w:top w:val="single" w:color="auto" w:sz="6" w:space="0"/>
                    <w:left w:val="single" w:color="auto" w:sz="4" w:space="0"/>
                    <w:bottom w:val="single" w:color="auto" w:sz="6" w:space="0"/>
                    <w:right w:val="nil"/>
                  </w:tcBorders>
                  <w:vAlign w:val="center"/>
                </w:tcPr>
                <w:p>
                  <w:pPr>
                    <w:jc w:val="center"/>
                    <w:rPr>
                      <w:color w:val="000000"/>
                      <w:szCs w:val="21"/>
                    </w:rPr>
                  </w:pPr>
                  <w:r>
                    <w:rPr>
                      <w:color w:val="000000"/>
                      <w:szCs w:val="21"/>
                    </w:rPr>
                    <w:t>0.0039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9</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三氯甲烷</w:t>
                  </w:r>
                </w:p>
              </w:tc>
              <w:tc>
                <w:tcPr>
                  <w:tcW w:w="612" w:type="pct"/>
                  <w:tcBorders>
                    <w:top w:val="single" w:color="auto" w:sz="6" w:space="0"/>
                    <w:bottom w:val="single" w:color="auto" w:sz="6" w:space="0"/>
                  </w:tcBorders>
                  <w:vAlign w:val="center"/>
                </w:tcPr>
                <w:p>
                  <w:pPr>
                    <w:jc w:val="center"/>
                    <w:rPr>
                      <w:szCs w:val="21"/>
                    </w:rPr>
                  </w:pPr>
                  <w:r>
                    <w:rPr>
                      <w:szCs w:val="21"/>
                    </w:rPr>
                    <w:t>2</w:t>
                  </w:r>
                </w:p>
              </w:tc>
              <w:tc>
                <w:tcPr>
                  <w:tcW w:w="700" w:type="pct"/>
                  <w:tcBorders>
                    <w:top w:val="single" w:color="auto" w:sz="6" w:space="0"/>
                    <w:bottom w:val="single" w:color="auto" w:sz="6" w:space="0"/>
                  </w:tcBorders>
                  <w:vAlign w:val="center"/>
                </w:tcPr>
                <w:p>
                  <w:pPr>
                    <w:jc w:val="center"/>
                    <w:rPr>
                      <w:szCs w:val="21"/>
                    </w:rPr>
                  </w:pPr>
                  <w:r>
                    <w:rPr>
                      <w:szCs w:val="21"/>
                    </w:rPr>
                    <w:t>99.0%</w:t>
                  </w:r>
                </w:p>
              </w:tc>
              <w:tc>
                <w:tcPr>
                  <w:tcW w:w="534" w:type="pct"/>
                  <w:tcBorders>
                    <w:top w:val="single" w:color="auto" w:sz="6" w:space="0"/>
                    <w:bottom w:val="single" w:color="auto" w:sz="6" w:space="0"/>
                  </w:tcBorders>
                  <w:vAlign w:val="center"/>
                </w:tcPr>
                <w:p>
                  <w:pPr>
                    <w:jc w:val="center"/>
                    <w:rPr>
                      <w:szCs w:val="21"/>
                    </w:rPr>
                  </w:pPr>
                  <w:r>
                    <w:rPr>
                      <w:szCs w:val="21"/>
                    </w:rPr>
                    <w:t>1.98</w:t>
                  </w:r>
                </w:p>
              </w:tc>
              <w:tc>
                <w:tcPr>
                  <w:tcW w:w="446" w:type="pct"/>
                  <w:tcBorders>
                    <w:top w:val="single" w:color="auto" w:sz="6" w:space="0"/>
                    <w:bottom w:val="single" w:color="auto" w:sz="6" w:space="0"/>
                    <w:right w:val="single" w:color="auto" w:sz="4" w:space="0"/>
                  </w:tcBorders>
                  <w:vAlign w:val="center"/>
                </w:tcPr>
                <w:p>
                  <w:pPr>
                    <w:jc w:val="center"/>
                    <w:rPr>
                      <w:color w:val="000000"/>
                      <w:szCs w:val="21"/>
                    </w:rPr>
                  </w:pPr>
                  <w:r>
                    <w:rPr>
                      <w:color w:val="000000"/>
                      <w:szCs w:val="21"/>
                    </w:rPr>
                    <w:t>1.48</w:t>
                  </w:r>
                </w:p>
              </w:tc>
              <w:tc>
                <w:tcPr>
                  <w:tcW w:w="534" w:type="pct"/>
                  <w:tcBorders>
                    <w:top w:val="single" w:color="auto" w:sz="6" w:space="0"/>
                    <w:left w:val="single" w:color="auto" w:sz="4" w:space="0"/>
                    <w:bottom w:val="single" w:color="auto" w:sz="6" w:space="0"/>
                  </w:tcBorders>
                  <w:vAlign w:val="center"/>
                </w:tcPr>
                <w:p>
                  <w:pPr>
                    <w:jc w:val="center"/>
                    <w:rPr>
                      <w:color w:val="000000"/>
                      <w:szCs w:val="21"/>
                    </w:rPr>
                  </w:pPr>
                  <w:r>
                    <w:rPr>
                      <w:color w:val="000000"/>
                      <w:szCs w:val="21"/>
                    </w:rPr>
                    <w:t>0.0029</w:t>
                  </w:r>
                </w:p>
              </w:tc>
              <w:tc>
                <w:tcPr>
                  <w:tcW w:w="508" w:type="pct"/>
                  <w:tcBorders>
                    <w:top w:val="single" w:color="auto" w:sz="6" w:space="0"/>
                    <w:left w:val="single" w:color="auto" w:sz="4" w:space="0"/>
                    <w:bottom w:val="single" w:color="auto" w:sz="6" w:space="0"/>
                  </w:tcBorders>
                  <w:vAlign w:val="center"/>
                </w:tcPr>
                <w:p>
                  <w:pPr>
                    <w:jc w:val="center"/>
                    <w:rPr>
                      <w:color w:val="000000"/>
                      <w:szCs w:val="21"/>
                    </w:rPr>
                  </w:pPr>
                  <w:r>
                    <w:rPr>
                      <w:color w:val="000000"/>
                      <w:szCs w:val="21"/>
                    </w:rPr>
                    <w:t>50%</w:t>
                  </w:r>
                </w:p>
              </w:tc>
              <w:tc>
                <w:tcPr>
                  <w:tcW w:w="528" w:type="pct"/>
                  <w:tcBorders>
                    <w:top w:val="single" w:color="auto" w:sz="6" w:space="0"/>
                    <w:left w:val="single" w:color="auto" w:sz="4" w:space="0"/>
                    <w:bottom w:val="single" w:color="auto" w:sz="6" w:space="0"/>
                    <w:right w:val="nil"/>
                  </w:tcBorders>
                  <w:vAlign w:val="center"/>
                </w:tcPr>
                <w:p>
                  <w:pPr>
                    <w:jc w:val="center"/>
                    <w:rPr>
                      <w:color w:val="000000"/>
                      <w:szCs w:val="21"/>
                    </w:rPr>
                  </w:pPr>
                  <w:r>
                    <w:rPr>
                      <w:color w:val="000000"/>
                      <w:szCs w:val="21"/>
                    </w:rPr>
                    <w:t>0.0015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color w:val="000000"/>
                      <w:szCs w:val="21"/>
                    </w:rPr>
                  </w:pPr>
                  <w:r>
                    <w:rPr>
                      <w:color w:val="000000"/>
                      <w:szCs w:val="21"/>
                    </w:rPr>
                    <w:t>10</w:t>
                  </w:r>
                </w:p>
              </w:tc>
              <w:tc>
                <w:tcPr>
                  <w:tcW w:w="749" w:type="pct"/>
                  <w:tcBorders>
                    <w:top w:val="single" w:color="auto" w:sz="6" w:space="0"/>
                    <w:left w:val="single" w:color="auto" w:sz="4" w:space="0"/>
                    <w:bottom w:val="single" w:color="auto" w:sz="6" w:space="0"/>
                  </w:tcBorders>
                  <w:vAlign w:val="center"/>
                </w:tcPr>
                <w:p>
                  <w:pPr>
                    <w:jc w:val="center"/>
                    <w:rPr>
                      <w:color w:val="000000"/>
                      <w:szCs w:val="21"/>
                    </w:rPr>
                  </w:pPr>
                  <w:r>
                    <w:rPr>
                      <w:color w:val="000000"/>
                      <w:kern w:val="0"/>
                      <w:szCs w:val="21"/>
                    </w:rPr>
                    <w:t>四氯化碳</w:t>
                  </w:r>
                </w:p>
              </w:tc>
              <w:tc>
                <w:tcPr>
                  <w:tcW w:w="612" w:type="pct"/>
                  <w:tcBorders>
                    <w:top w:val="single" w:color="auto" w:sz="6" w:space="0"/>
                    <w:bottom w:val="single" w:color="auto" w:sz="6" w:space="0"/>
                  </w:tcBorders>
                  <w:vAlign w:val="center"/>
                </w:tcPr>
                <w:p>
                  <w:pPr>
                    <w:jc w:val="center"/>
                    <w:rPr>
                      <w:szCs w:val="21"/>
                    </w:rPr>
                  </w:pPr>
                  <w:r>
                    <w:rPr>
                      <w:color w:val="000000"/>
                      <w:kern w:val="0"/>
                      <w:szCs w:val="21"/>
                    </w:rPr>
                    <w:t>10</w:t>
                  </w:r>
                </w:p>
              </w:tc>
              <w:tc>
                <w:tcPr>
                  <w:tcW w:w="700" w:type="pct"/>
                  <w:tcBorders>
                    <w:top w:val="single" w:color="auto" w:sz="6" w:space="0"/>
                    <w:bottom w:val="single" w:color="auto" w:sz="6" w:space="0"/>
                  </w:tcBorders>
                  <w:vAlign w:val="center"/>
                </w:tcPr>
                <w:p>
                  <w:pPr>
                    <w:jc w:val="center"/>
                    <w:rPr>
                      <w:szCs w:val="21"/>
                    </w:rPr>
                  </w:pPr>
                  <w:r>
                    <w:rPr>
                      <w:szCs w:val="21"/>
                    </w:rPr>
                    <w:t>99.0%</w:t>
                  </w:r>
                </w:p>
              </w:tc>
              <w:tc>
                <w:tcPr>
                  <w:tcW w:w="534" w:type="pct"/>
                  <w:tcBorders>
                    <w:top w:val="single" w:color="auto" w:sz="6" w:space="0"/>
                    <w:bottom w:val="single" w:color="auto" w:sz="6" w:space="0"/>
                  </w:tcBorders>
                  <w:vAlign w:val="center"/>
                </w:tcPr>
                <w:p>
                  <w:pPr>
                    <w:jc w:val="center"/>
                    <w:rPr>
                      <w:szCs w:val="21"/>
                    </w:rPr>
                  </w:pPr>
                  <w:r>
                    <w:rPr>
                      <w:color w:val="000000"/>
                      <w:szCs w:val="21"/>
                    </w:rPr>
                    <w:t>9.9</w:t>
                  </w:r>
                </w:p>
              </w:tc>
              <w:tc>
                <w:tcPr>
                  <w:tcW w:w="446" w:type="pct"/>
                  <w:tcBorders>
                    <w:top w:val="single" w:color="auto" w:sz="6" w:space="0"/>
                    <w:bottom w:val="single" w:color="auto" w:sz="6" w:space="0"/>
                    <w:right w:val="single" w:color="auto" w:sz="4" w:space="0"/>
                  </w:tcBorders>
                  <w:vAlign w:val="center"/>
                </w:tcPr>
                <w:p>
                  <w:pPr>
                    <w:jc w:val="center"/>
                    <w:rPr>
                      <w:szCs w:val="21"/>
                    </w:rPr>
                  </w:pPr>
                  <w:r>
                    <w:rPr>
                      <w:color w:val="000000"/>
                      <w:szCs w:val="21"/>
                    </w:rPr>
                    <w:t>1.5900</w:t>
                  </w:r>
                </w:p>
              </w:tc>
              <w:tc>
                <w:tcPr>
                  <w:tcW w:w="534" w:type="pct"/>
                  <w:tcBorders>
                    <w:top w:val="single" w:color="auto" w:sz="6" w:space="0"/>
                    <w:left w:val="single" w:color="auto" w:sz="4" w:space="0"/>
                    <w:bottom w:val="single" w:color="auto" w:sz="6" w:space="0"/>
                  </w:tcBorders>
                  <w:vAlign w:val="center"/>
                </w:tcPr>
                <w:p>
                  <w:pPr>
                    <w:jc w:val="center"/>
                    <w:rPr>
                      <w:szCs w:val="21"/>
                    </w:rPr>
                  </w:pPr>
                  <w:r>
                    <w:rPr>
                      <w:color w:val="000000"/>
                      <w:szCs w:val="21"/>
                    </w:rPr>
                    <w:t>0.0157</w:t>
                  </w:r>
                </w:p>
              </w:tc>
              <w:tc>
                <w:tcPr>
                  <w:tcW w:w="508" w:type="pct"/>
                  <w:tcBorders>
                    <w:top w:val="single" w:color="auto" w:sz="6" w:space="0"/>
                    <w:left w:val="single" w:color="auto" w:sz="4" w:space="0"/>
                    <w:bottom w:val="single" w:color="auto" w:sz="6" w:space="0"/>
                  </w:tcBorders>
                  <w:vAlign w:val="center"/>
                </w:tcPr>
                <w:p>
                  <w:pPr>
                    <w:jc w:val="center"/>
                    <w:rPr>
                      <w:szCs w:val="21"/>
                    </w:rPr>
                  </w:pPr>
                  <w:r>
                    <w:rPr>
                      <w:color w:val="000000"/>
                      <w:szCs w:val="21"/>
                    </w:rPr>
                    <w:t>50%</w:t>
                  </w:r>
                </w:p>
              </w:tc>
              <w:tc>
                <w:tcPr>
                  <w:tcW w:w="528" w:type="pct"/>
                  <w:tcBorders>
                    <w:top w:val="single" w:color="auto" w:sz="6" w:space="0"/>
                    <w:left w:val="single" w:color="auto" w:sz="4" w:space="0"/>
                    <w:bottom w:val="single" w:color="auto" w:sz="6" w:space="0"/>
                    <w:right w:val="nil"/>
                  </w:tcBorders>
                  <w:vAlign w:val="center"/>
                </w:tcPr>
                <w:p>
                  <w:pPr>
                    <w:jc w:val="center"/>
                    <w:rPr>
                      <w:color w:val="000000"/>
                      <w:szCs w:val="21"/>
                    </w:rPr>
                  </w:pPr>
                  <w:r>
                    <w:rPr>
                      <w:color w:val="000000"/>
                      <w:szCs w:val="21"/>
                    </w:rPr>
                    <w:t>0.0079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11</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正己烷</w:t>
                  </w:r>
                </w:p>
              </w:tc>
              <w:tc>
                <w:tcPr>
                  <w:tcW w:w="612" w:type="pct"/>
                  <w:tcBorders>
                    <w:top w:val="single" w:color="auto" w:sz="6" w:space="0"/>
                    <w:bottom w:val="single" w:color="auto" w:sz="6" w:space="0"/>
                  </w:tcBorders>
                  <w:vAlign w:val="center"/>
                </w:tcPr>
                <w:p>
                  <w:pPr>
                    <w:jc w:val="center"/>
                    <w:rPr>
                      <w:szCs w:val="21"/>
                    </w:rPr>
                  </w:pPr>
                  <w:r>
                    <w:rPr>
                      <w:szCs w:val="21"/>
                    </w:rPr>
                    <w:t>2</w:t>
                  </w:r>
                </w:p>
              </w:tc>
              <w:tc>
                <w:tcPr>
                  <w:tcW w:w="700" w:type="pct"/>
                  <w:tcBorders>
                    <w:top w:val="single" w:color="auto" w:sz="6" w:space="0"/>
                    <w:bottom w:val="single" w:color="auto" w:sz="6" w:space="0"/>
                  </w:tcBorders>
                  <w:vAlign w:val="center"/>
                </w:tcPr>
                <w:p>
                  <w:pPr>
                    <w:jc w:val="center"/>
                    <w:rPr>
                      <w:szCs w:val="21"/>
                    </w:rPr>
                  </w:pPr>
                  <w:r>
                    <w:rPr>
                      <w:szCs w:val="21"/>
                    </w:rPr>
                    <w:t>99.0%</w:t>
                  </w:r>
                </w:p>
              </w:tc>
              <w:tc>
                <w:tcPr>
                  <w:tcW w:w="534" w:type="pct"/>
                  <w:tcBorders>
                    <w:top w:val="single" w:color="auto" w:sz="6" w:space="0"/>
                    <w:bottom w:val="single" w:color="auto" w:sz="6" w:space="0"/>
                  </w:tcBorders>
                  <w:vAlign w:val="center"/>
                </w:tcPr>
                <w:p>
                  <w:pPr>
                    <w:jc w:val="center"/>
                    <w:rPr>
                      <w:szCs w:val="21"/>
                    </w:rPr>
                  </w:pPr>
                  <w:r>
                    <w:rPr>
                      <w:szCs w:val="21"/>
                    </w:rPr>
                    <w:t>1.98</w:t>
                  </w:r>
                </w:p>
              </w:tc>
              <w:tc>
                <w:tcPr>
                  <w:tcW w:w="446" w:type="pct"/>
                  <w:tcBorders>
                    <w:top w:val="single" w:color="auto" w:sz="6" w:space="0"/>
                    <w:bottom w:val="single" w:color="auto" w:sz="6" w:space="0"/>
                    <w:right w:val="single" w:color="auto" w:sz="4" w:space="0"/>
                  </w:tcBorders>
                  <w:vAlign w:val="center"/>
                </w:tcPr>
                <w:p>
                  <w:pPr>
                    <w:jc w:val="center"/>
                    <w:rPr>
                      <w:szCs w:val="21"/>
                    </w:rPr>
                  </w:pPr>
                  <w:r>
                    <w:rPr>
                      <w:szCs w:val="21"/>
                    </w:rPr>
                    <w:t>0.659</w:t>
                  </w:r>
                </w:p>
              </w:tc>
              <w:tc>
                <w:tcPr>
                  <w:tcW w:w="534" w:type="pct"/>
                  <w:tcBorders>
                    <w:top w:val="single" w:color="auto" w:sz="6" w:space="0"/>
                    <w:left w:val="single" w:color="auto" w:sz="4" w:space="0"/>
                    <w:bottom w:val="single" w:color="auto" w:sz="6" w:space="0"/>
                  </w:tcBorders>
                  <w:vAlign w:val="center"/>
                </w:tcPr>
                <w:p>
                  <w:pPr>
                    <w:jc w:val="center"/>
                    <w:rPr>
                      <w:szCs w:val="21"/>
                    </w:rPr>
                  </w:pPr>
                  <w:r>
                    <w:rPr>
                      <w:szCs w:val="21"/>
                    </w:rPr>
                    <w:t>0.0013</w:t>
                  </w:r>
                </w:p>
              </w:tc>
              <w:tc>
                <w:tcPr>
                  <w:tcW w:w="508" w:type="pct"/>
                  <w:tcBorders>
                    <w:top w:val="single" w:color="auto" w:sz="6" w:space="0"/>
                    <w:left w:val="single" w:color="auto" w:sz="4" w:space="0"/>
                    <w:bottom w:val="single" w:color="auto" w:sz="6" w:space="0"/>
                  </w:tcBorders>
                  <w:vAlign w:val="center"/>
                </w:tcPr>
                <w:p>
                  <w:pPr>
                    <w:jc w:val="center"/>
                    <w:rPr>
                      <w:szCs w:val="21"/>
                    </w:rPr>
                  </w:pPr>
                  <w:r>
                    <w:rPr>
                      <w:szCs w:val="21"/>
                    </w:rPr>
                    <w:t>50%</w:t>
                  </w:r>
                </w:p>
              </w:tc>
              <w:tc>
                <w:tcPr>
                  <w:tcW w:w="528" w:type="pct"/>
                  <w:tcBorders>
                    <w:top w:val="single" w:color="auto" w:sz="6" w:space="0"/>
                    <w:left w:val="single" w:color="auto" w:sz="4" w:space="0"/>
                    <w:bottom w:val="single" w:color="auto" w:sz="6" w:space="0"/>
                    <w:right w:val="nil"/>
                  </w:tcBorders>
                  <w:vAlign w:val="center"/>
                </w:tcPr>
                <w:p>
                  <w:pPr>
                    <w:jc w:val="center"/>
                    <w:rPr>
                      <w:szCs w:val="21"/>
                    </w:rPr>
                  </w:pPr>
                  <w:r>
                    <w:rPr>
                      <w:color w:val="000000"/>
                      <w:szCs w:val="21"/>
                    </w:rPr>
                    <w:t>0.0007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12</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丙酮</w:t>
                  </w:r>
                </w:p>
              </w:tc>
              <w:tc>
                <w:tcPr>
                  <w:tcW w:w="612" w:type="pct"/>
                  <w:tcBorders>
                    <w:top w:val="single" w:color="auto" w:sz="6" w:space="0"/>
                    <w:bottom w:val="single" w:color="auto" w:sz="6" w:space="0"/>
                  </w:tcBorders>
                  <w:vAlign w:val="center"/>
                </w:tcPr>
                <w:p>
                  <w:pPr>
                    <w:jc w:val="center"/>
                    <w:rPr>
                      <w:szCs w:val="21"/>
                    </w:rPr>
                  </w:pPr>
                  <w:r>
                    <w:rPr>
                      <w:szCs w:val="21"/>
                    </w:rPr>
                    <w:t>2</w:t>
                  </w:r>
                </w:p>
              </w:tc>
              <w:tc>
                <w:tcPr>
                  <w:tcW w:w="700" w:type="pct"/>
                  <w:tcBorders>
                    <w:top w:val="single" w:color="auto" w:sz="6" w:space="0"/>
                    <w:bottom w:val="single" w:color="auto" w:sz="6" w:space="0"/>
                  </w:tcBorders>
                  <w:vAlign w:val="center"/>
                </w:tcPr>
                <w:p>
                  <w:pPr>
                    <w:jc w:val="center"/>
                    <w:rPr>
                      <w:szCs w:val="21"/>
                    </w:rPr>
                  </w:pPr>
                  <w:r>
                    <w:rPr>
                      <w:szCs w:val="21"/>
                    </w:rPr>
                    <w:t>99.0%</w:t>
                  </w:r>
                </w:p>
              </w:tc>
              <w:tc>
                <w:tcPr>
                  <w:tcW w:w="534" w:type="pct"/>
                  <w:tcBorders>
                    <w:top w:val="single" w:color="auto" w:sz="6" w:space="0"/>
                    <w:bottom w:val="single" w:color="auto" w:sz="6" w:space="0"/>
                  </w:tcBorders>
                  <w:vAlign w:val="center"/>
                </w:tcPr>
                <w:p>
                  <w:pPr>
                    <w:jc w:val="center"/>
                    <w:rPr>
                      <w:szCs w:val="21"/>
                    </w:rPr>
                  </w:pPr>
                  <w:r>
                    <w:rPr>
                      <w:szCs w:val="21"/>
                    </w:rPr>
                    <w:t>1.98</w:t>
                  </w:r>
                </w:p>
              </w:tc>
              <w:tc>
                <w:tcPr>
                  <w:tcW w:w="446" w:type="pct"/>
                  <w:tcBorders>
                    <w:top w:val="single" w:color="auto" w:sz="6" w:space="0"/>
                    <w:bottom w:val="single" w:color="auto" w:sz="6" w:space="0"/>
                    <w:right w:val="single" w:color="auto" w:sz="4" w:space="0"/>
                  </w:tcBorders>
                  <w:vAlign w:val="center"/>
                </w:tcPr>
                <w:p>
                  <w:pPr>
                    <w:jc w:val="center"/>
                    <w:rPr>
                      <w:szCs w:val="21"/>
                    </w:rPr>
                  </w:pPr>
                  <w:r>
                    <w:rPr>
                      <w:szCs w:val="21"/>
                    </w:rPr>
                    <w:t>0.789</w:t>
                  </w:r>
                </w:p>
              </w:tc>
              <w:tc>
                <w:tcPr>
                  <w:tcW w:w="534" w:type="pct"/>
                  <w:tcBorders>
                    <w:top w:val="single" w:color="auto" w:sz="6" w:space="0"/>
                    <w:left w:val="single" w:color="auto" w:sz="4" w:space="0"/>
                    <w:bottom w:val="single" w:color="auto" w:sz="6" w:space="0"/>
                  </w:tcBorders>
                  <w:vAlign w:val="center"/>
                </w:tcPr>
                <w:p>
                  <w:pPr>
                    <w:jc w:val="center"/>
                    <w:rPr>
                      <w:szCs w:val="21"/>
                    </w:rPr>
                  </w:pPr>
                  <w:r>
                    <w:rPr>
                      <w:szCs w:val="21"/>
                    </w:rPr>
                    <w:t>0.0016</w:t>
                  </w:r>
                </w:p>
              </w:tc>
              <w:tc>
                <w:tcPr>
                  <w:tcW w:w="508" w:type="pct"/>
                  <w:tcBorders>
                    <w:top w:val="single" w:color="auto" w:sz="6" w:space="0"/>
                    <w:left w:val="single" w:color="auto" w:sz="4" w:space="0"/>
                    <w:bottom w:val="single" w:color="auto" w:sz="6" w:space="0"/>
                  </w:tcBorders>
                  <w:vAlign w:val="center"/>
                </w:tcPr>
                <w:p>
                  <w:pPr>
                    <w:jc w:val="center"/>
                    <w:rPr>
                      <w:szCs w:val="21"/>
                    </w:rPr>
                  </w:pPr>
                  <w:r>
                    <w:rPr>
                      <w:szCs w:val="21"/>
                    </w:rPr>
                    <w:t>50%</w:t>
                  </w:r>
                </w:p>
              </w:tc>
              <w:tc>
                <w:tcPr>
                  <w:tcW w:w="528" w:type="pct"/>
                  <w:tcBorders>
                    <w:top w:val="single" w:color="auto" w:sz="6" w:space="0"/>
                    <w:left w:val="single" w:color="auto" w:sz="4" w:space="0"/>
                    <w:bottom w:val="single" w:color="auto" w:sz="6" w:space="0"/>
                    <w:right w:val="nil"/>
                  </w:tcBorders>
                  <w:vAlign w:val="center"/>
                </w:tcPr>
                <w:p>
                  <w:pPr>
                    <w:jc w:val="center"/>
                    <w:rPr>
                      <w:szCs w:val="21"/>
                    </w:rPr>
                  </w:pPr>
                  <w:r>
                    <w:rPr>
                      <w:color w:val="000000"/>
                      <w:szCs w:val="21"/>
                    </w:rPr>
                    <w:t>0.0008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13</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石油醚</w:t>
                  </w:r>
                </w:p>
              </w:tc>
              <w:tc>
                <w:tcPr>
                  <w:tcW w:w="612" w:type="pct"/>
                  <w:tcBorders>
                    <w:top w:val="single" w:color="auto" w:sz="6" w:space="0"/>
                    <w:bottom w:val="single" w:color="auto" w:sz="6" w:space="0"/>
                  </w:tcBorders>
                  <w:vAlign w:val="center"/>
                </w:tcPr>
                <w:p>
                  <w:pPr>
                    <w:jc w:val="center"/>
                    <w:rPr>
                      <w:szCs w:val="21"/>
                    </w:rPr>
                  </w:pPr>
                  <w:r>
                    <w:rPr>
                      <w:szCs w:val="21"/>
                    </w:rPr>
                    <w:t>2</w:t>
                  </w:r>
                </w:p>
              </w:tc>
              <w:tc>
                <w:tcPr>
                  <w:tcW w:w="700" w:type="pct"/>
                  <w:tcBorders>
                    <w:top w:val="single" w:color="auto" w:sz="6" w:space="0"/>
                    <w:bottom w:val="single" w:color="auto" w:sz="6" w:space="0"/>
                  </w:tcBorders>
                  <w:vAlign w:val="center"/>
                </w:tcPr>
                <w:p>
                  <w:pPr>
                    <w:jc w:val="center"/>
                    <w:rPr>
                      <w:szCs w:val="21"/>
                    </w:rPr>
                  </w:pPr>
                  <w:r>
                    <w:rPr>
                      <w:szCs w:val="21"/>
                    </w:rPr>
                    <w:t>99.0%</w:t>
                  </w:r>
                </w:p>
              </w:tc>
              <w:tc>
                <w:tcPr>
                  <w:tcW w:w="534" w:type="pct"/>
                  <w:tcBorders>
                    <w:top w:val="single" w:color="auto" w:sz="6" w:space="0"/>
                    <w:bottom w:val="single" w:color="auto" w:sz="6" w:space="0"/>
                  </w:tcBorders>
                  <w:vAlign w:val="center"/>
                </w:tcPr>
                <w:p>
                  <w:pPr>
                    <w:jc w:val="center"/>
                    <w:rPr>
                      <w:szCs w:val="21"/>
                    </w:rPr>
                  </w:pPr>
                  <w:r>
                    <w:rPr>
                      <w:szCs w:val="21"/>
                    </w:rPr>
                    <w:t>1.98</w:t>
                  </w:r>
                </w:p>
              </w:tc>
              <w:tc>
                <w:tcPr>
                  <w:tcW w:w="446" w:type="pct"/>
                  <w:tcBorders>
                    <w:top w:val="single" w:color="auto" w:sz="6" w:space="0"/>
                    <w:bottom w:val="single" w:color="auto" w:sz="6" w:space="0"/>
                    <w:right w:val="single" w:color="auto" w:sz="4" w:space="0"/>
                  </w:tcBorders>
                  <w:vAlign w:val="center"/>
                </w:tcPr>
                <w:p>
                  <w:pPr>
                    <w:jc w:val="center"/>
                    <w:rPr>
                      <w:szCs w:val="21"/>
                    </w:rPr>
                  </w:pPr>
                  <w:r>
                    <w:rPr>
                      <w:szCs w:val="21"/>
                    </w:rPr>
                    <w:t>0.66</w:t>
                  </w:r>
                </w:p>
              </w:tc>
              <w:tc>
                <w:tcPr>
                  <w:tcW w:w="534" w:type="pct"/>
                  <w:tcBorders>
                    <w:top w:val="single" w:color="auto" w:sz="6" w:space="0"/>
                    <w:left w:val="single" w:color="auto" w:sz="4" w:space="0"/>
                    <w:bottom w:val="single" w:color="auto" w:sz="6" w:space="0"/>
                  </w:tcBorders>
                  <w:vAlign w:val="center"/>
                </w:tcPr>
                <w:p>
                  <w:pPr>
                    <w:jc w:val="center"/>
                    <w:rPr>
                      <w:szCs w:val="21"/>
                    </w:rPr>
                  </w:pPr>
                  <w:r>
                    <w:rPr>
                      <w:szCs w:val="21"/>
                    </w:rPr>
                    <w:t>0.0013</w:t>
                  </w:r>
                </w:p>
              </w:tc>
              <w:tc>
                <w:tcPr>
                  <w:tcW w:w="508" w:type="pct"/>
                  <w:tcBorders>
                    <w:top w:val="single" w:color="auto" w:sz="6" w:space="0"/>
                    <w:left w:val="single" w:color="auto" w:sz="4" w:space="0"/>
                    <w:bottom w:val="single" w:color="auto" w:sz="6" w:space="0"/>
                  </w:tcBorders>
                  <w:vAlign w:val="center"/>
                </w:tcPr>
                <w:p>
                  <w:pPr>
                    <w:jc w:val="center"/>
                    <w:rPr>
                      <w:szCs w:val="21"/>
                    </w:rPr>
                  </w:pPr>
                  <w:r>
                    <w:rPr>
                      <w:szCs w:val="21"/>
                    </w:rPr>
                    <w:t>50%</w:t>
                  </w:r>
                </w:p>
              </w:tc>
              <w:tc>
                <w:tcPr>
                  <w:tcW w:w="528" w:type="pct"/>
                  <w:tcBorders>
                    <w:top w:val="single" w:color="auto" w:sz="6" w:space="0"/>
                    <w:left w:val="single" w:color="auto" w:sz="4" w:space="0"/>
                    <w:bottom w:val="single" w:color="auto" w:sz="6" w:space="0"/>
                    <w:right w:val="nil"/>
                  </w:tcBorders>
                  <w:vAlign w:val="center"/>
                </w:tcPr>
                <w:p>
                  <w:pPr>
                    <w:jc w:val="center"/>
                    <w:rPr>
                      <w:szCs w:val="21"/>
                    </w:rPr>
                  </w:pPr>
                  <w:r>
                    <w:rPr>
                      <w:color w:val="000000"/>
                      <w:szCs w:val="21"/>
                    </w:rPr>
                    <w:t>0.0007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14</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甲酸</w:t>
                  </w:r>
                </w:p>
              </w:tc>
              <w:tc>
                <w:tcPr>
                  <w:tcW w:w="612" w:type="pct"/>
                  <w:tcBorders>
                    <w:top w:val="single" w:color="auto" w:sz="6" w:space="0"/>
                    <w:bottom w:val="single" w:color="auto" w:sz="6" w:space="0"/>
                  </w:tcBorders>
                  <w:vAlign w:val="center"/>
                </w:tcPr>
                <w:p>
                  <w:pPr>
                    <w:jc w:val="center"/>
                    <w:rPr>
                      <w:szCs w:val="21"/>
                    </w:rPr>
                  </w:pPr>
                  <w:r>
                    <w:rPr>
                      <w:szCs w:val="21"/>
                    </w:rPr>
                    <w:t>2</w:t>
                  </w:r>
                </w:p>
              </w:tc>
              <w:tc>
                <w:tcPr>
                  <w:tcW w:w="700" w:type="pct"/>
                  <w:tcBorders>
                    <w:top w:val="single" w:color="auto" w:sz="6" w:space="0"/>
                    <w:bottom w:val="single" w:color="auto" w:sz="6" w:space="0"/>
                  </w:tcBorders>
                  <w:vAlign w:val="center"/>
                </w:tcPr>
                <w:p>
                  <w:pPr>
                    <w:jc w:val="center"/>
                    <w:rPr>
                      <w:szCs w:val="21"/>
                    </w:rPr>
                  </w:pPr>
                  <w:r>
                    <w:rPr>
                      <w:szCs w:val="21"/>
                    </w:rPr>
                    <w:t>99.0%</w:t>
                  </w:r>
                </w:p>
              </w:tc>
              <w:tc>
                <w:tcPr>
                  <w:tcW w:w="534" w:type="pct"/>
                  <w:tcBorders>
                    <w:top w:val="single" w:color="auto" w:sz="6" w:space="0"/>
                    <w:bottom w:val="single" w:color="auto" w:sz="6" w:space="0"/>
                  </w:tcBorders>
                  <w:vAlign w:val="center"/>
                </w:tcPr>
                <w:p>
                  <w:pPr>
                    <w:jc w:val="center"/>
                    <w:rPr>
                      <w:szCs w:val="21"/>
                    </w:rPr>
                  </w:pPr>
                  <w:r>
                    <w:rPr>
                      <w:szCs w:val="21"/>
                    </w:rPr>
                    <w:t>1.98</w:t>
                  </w:r>
                </w:p>
              </w:tc>
              <w:tc>
                <w:tcPr>
                  <w:tcW w:w="446" w:type="pct"/>
                  <w:tcBorders>
                    <w:top w:val="single" w:color="auto" w:sz="6" w:space="0"/>
                    <w:bottom w:val="single" w:color="auto" w:sz="6" w:space="0"/>
                    <w:right w:val="single" w:color="auto" w:sz="4" w:space="0"/>
                  </w:tcBorders>
                  <w:vAlign w:val="center"/>
                </w:tcPr>
                <w:p>
                  <w:pPr>
                    <w:jc w:val="center"/>
                    <w:rPr>
                      <w:szCs w:val="21"/>
                    </w:rPr>
                  </w:pPr>
                  <w:r>
                    <w:rPr>
                      <w:szCs w:val="21"/>
                    </w:rPr>
                    <w:t>1.22</w:t>
                  </w:r>
                </w:p>
              </w:tc>
              <w:tc>
                <w:tcPr>
                  <w:tcW w:w="534" w:type="pct"/>
                  <w:tcBorders>
                    <w:top w:val="single" w:color="auto" w:sz="6" w:space="0"/>
                    <w:left w:val="single" w:color="auto" w:sz="4" w:space="0"/>
                    <w:bottom w:val="single" w:color="auto" w:sz="6" w:space="0"/>
                  </w:tcBorders>
                  <w:vAlign w:val="center"/>
                </w:tcPr>
                <w:p>
                  <w:pPr>
                    <w:jc w:val="center"/>
                    <w:rPr>
                      <w:szCs w:val="21"/>
                    </w:rPr>
                  </w:pPr>
                  <w:r>
                    <w:rPr>
                      <w:szCs w:val="21"/>
                    </w:rPr>
                    <w:t>0.0024</w:t>
                  </w:r>
                </w:p>
              </w:tc>
              <w:tc>
                <w:tcPr>
                  <w:tcW w:w="508" w:type="pct"/>
                  <w:tcBorders>
                    <w:top w:val="single" w:color="auto" w:sz="6" w:space="0"/>
                    <w:left w:val="single" w:color="auto" w:sz="4" w:space="0"/>
                    <w:bottom w:val="single" w:color="auto" w:sz="6" w:space="0"/>
                  </w:tcBorders>
                  <w:vAlign w:val="center"/>
                </w:tcPr>
                <w:p>
                  <w:pPr>
                    <w:jc w:val="center"/>
                    <w:rPr>
                      <w:szCs w:val="21"/>
                    </w:rPr>
                  </w:pPr>
                  <w:r>
                    <w:rPr>
                      <w:szCs w:val="21"/>
                    </w:rPr>
                    <w:t>50%</w:t>
                  </w:r>
                </w:p>
              </w:tc>
              <w:tc>
                <w:tcPr>
                  <w:tcW w:w="528" w:type="pct"/>
                  <w:tcBorders>
                    <w:top w:val="single" w:color="auto" w:sz="6" w:space="0"/>
                    <w:left w:val="single" w:color="auto" w:sz="4" w:space="0"/>
                    <w:bottom w:val="single" w:color="auto" w:sz="6" w:space="0"/>
                    <w:right w:val="nil"/>
                  </w:tcBorders>
                  <w:vAlign w:val="center"/>
                </w:tcPr>
                <w:p>
                  <w:pPr>
                    <w:jc w:val="center"/>
                    <w:rPr>
                      <w:szCs w:val="21"/>
                    </w:rPr>
                  </w:pPr>
                  <w:r>
                    <w:rPr>
                      <w:color w:val="000000"/>
                      <w:szCs w:val="21"/>
                    </w:rPr>
                    <w:t>0.0012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15</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乙酸</w:t>
                  </w:r>
                </w:p>
              </w:tc>
              <w:tc>
                <w:tcPr>
                  <w:tcW w:w="612" w:type="pct"/>
                  <w:tcBorders>
                    <w:top w:val="single" w:color="auto" w:sz="6" w:space="0"/>
                    <w:bottom w:val="single" w:color="auto" w:sz="6" w:space="0"/>
                  </w:tcBorders>
                  <w:vAlign w:val="center"/>
                </w:tcPr>
                <w:p>
                  <w:pPr>
                    <w:jc w:val="center"/>
                    <w:rPr>
                      <w:szCs w:val="21"/>
                    </w:rPr>
                  </w:pPr>
                  <w:r>
                    <w:rPr>
                      <w:szCs w:val="21"/>
                    </w:rPr>
                    <w:t>2</w:t>
                  </w:r>
                </w:p>
              </w:tc>
              <w:tc>
                <w:tcPr>
                  <w:tcW w:w="700" w:type="pct"/>
                  <w:tcBorders>
                    <w:top w:val="single" w:color="auto" w:sz="6" w:space="0"/>
                    <w:bottom w:val="single" w:color="auto" w:sz="6" w:space="0"/>
                  </w:tcBorders>
                  <w:vAlign w:val="center"/>
                </w:tcPr>
                <w:p>
                  <w:pPr>
                    <w:jc w:val="center"/>
                    <w:rPr>
                      <w:szCs w:val="21"/>
                    </w:rPr>
                  </w:pPr>
                  <w:r>
                    <w:rPr>
                      <w:szCs w:val="21"/>
                    </w:rPr>
                    <w:t>99.0%</w:t>
                  </w:r>
                </w:p>
              </w:tc>
              <w:tc>
                <w:tcPr>
                  <w:tcW w:w="534" w:type="pct"/>
                  <w:tcBorders>
                    <w:top w:val="single" w:color="auto" w:sz="6" w:space="0"/>
                    <w:bottom w:val="single" w:color="auto" w:sz="6" w:space="0"/>
                  </w:tcBorders>
                  <w:vAlign w:val="center"/>
                </w:tcPr>
                <w:p>
                  <w:pPr>
                    <w:jc w:val="center"/>
                    <w:rPr>
                      <w:szCs w:val="21"/>
                    </w:rPr>
                  </w:pPr>
                  <w:r>
                    <w:rPr>
                      <w:szCs w:val="21"/>
                    </w:rPr>
                    <w:t>1.98</w:t>
                  </w:r>
                </w:p>
              </w:tc>
              <w:tc>
                <w:tcPr>
                  <w:tcW w:w="446" w:type="pct"/>
                  <w:tcBorders>
                    <w:top w:val="single" w:color="auto" w:sz="6" w:space="0"/>
                    <w:bottom w:val="single" w:color="auto" w:sz="6" w:space="0"/>
                    <w:right w:val="single" w:color="auto" w:sz="4" w:space="0"/>
                  </w:tcBorders>
                  <w:vAlign w:val="center"/>
                </w:tcPr>
                <w:p>
                  <w:pPr>
                    <w:jc w:val="center"/>
                    <w:rPr>
                      <w:szCs w:val="21"/>
                    </w:rPr>
                  </w:pPr>
                  <w:r>
                    <w:rPr>
                      <w:szCs w:val="21"/>
                    </w:rPr>
                    <w:t>1.05</w:t>
                  </w:r>
                </w:p>
              </w:tc>
              <w:tc>
                <w:tcPr>
                  <w:tcW w:w="534" w:type="pct"/>
                  <w:tcBorders>
                    <w:top w:val="single" w:color="auto" w:sz="6" w:space="0"/>
                    <w:left w:val="single" w:color="auto" w:sz="4" w:space="0"/>
                    <w:bottom w:val="single" w:color="auto" w:sz="6" w:space="0"/>
                  </w:tcBorders>
                  <w:vAlign w:val="center"/>
                </w:tcPr>
                <w:p>
                  <w:pPr>
                    <w:jc w:val="center"/>
                    <w:rPr>
                      <w:szCs w:val="21"/>
                    </w:rPr>
                  </w:pPr>
                  <w:r>
                    <w:rPr>
                      <w:szCs w:val="21"/>
                    </w:rPr>
                    <w:t>0.0021</w:t>
                  </w:r>
                </w:p>
              </w:tc>
              <w:tc>
                <w:tcPr>
                  <w:tcW w:w="508" w:type="pct"/>
                  <w:tcBorders>
                    <w:top w:val="single" w:color="auto" w:sz="6" w:space="0"/>
                    <w:left w:val="single" w:color="auto" w:sz="4" w:space="0"/>
                    <w:bottom w:val="single" w:color="auto" w:sz="6" w:space="0"/>
                  </w:tcBorders>
                  <w:vAlign w:val="center"/>
                </w:tcPr>
                <w:p>
                  <w:pPr>
                    <w:jc w:val="center"/>
                    <w:rPr>
                      <w:szCs w:val="21"/>
                    </w:rPr>
                  </w:pPr>
                  <w:r>
                    <w:rPr>
                      <w:szCs w:val="21"/>
                    </w:rPr>
                    <w:t>50%</w:t>
                  </w:r>
                </w:p>
              </w:tc>
              <w:tc>
                <w:tcPr>
                  <w:tcW w:w="528" w:type="pct"/>
                  <w:tcBorders>
                    <w:top w:val="single" w:color="auto" w:sz="6" w:space="0"/>
                    <w:left w:val="single" w:color="auto" w:sz="4" w:space="0"/>
                    <w:bottom w:val="single" w:color="auto" w:sz="6" w:space="0"/>
                    <w:right w:val="nil"/>
                  </w:tcBorders>
                  <w:vAlign w:val="center"/>
                </w:tcPr>
                <w:p>
                  <w:pPr>
                    <w:jc w:val="center"/>
                    <w:rPr>
                      <w:szCs w:val="21"/>
                    </w:rPr>
                  </w:pPr>
                  <w:r>
                    <w:rPr>
                      <w:color w:val="000000"/>
                      <w:szCs w:val="21"/>
                    </w:rPr>
                    <w:t>0.0010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16</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异丙酮</w:t>
                  </w:r>
                </w:p>
              </w:tc>
              <w:tc>
                <w:tcPr>
                  <w:tcW w:w="612" w:type="pct"/>
                  <w:tcBorders>
                    <w:top w:val="single" w:color="auto" w:sz="6" w:space="0"/>
                    <w:bottom w:val="single" w:color="auto" w:sz="6" w:space="0"/>
                  </w:tcBorders>
                  <w:vAlign w:val="center"/>
                </w:tcPr>
                <w:p>
                  <w:pPr>
                    <w:jc w:val="center"/>
                    <w:rPr>
                      <w:szCs w:val="21"/>
                    </w:rPr>
                  </w:pPr>
                  <w:r>
                    <w:rPr>
                      <w:szCs w:val="21"/>
                    </w:rPr>
                    <w:t>2</w:t>
                  </w:r>
                </w:p>
              </w:tc>
              <w:tc>
                <w:tcPr>
                  <w:tcW w:w="700" w:type="pct"/>
                  <w:tcBorders>
                    <w:top w:val="single" w:color="auto" w:sz="6" w:space="0"/>
                    <w:bottom w:val="single" w:color="auto" w:sz="6" w:space="0"/>
                  </w:tcBorders>
                  <w:vAlign w:val="center"/>
                </w:tcPr>
                <w:p>
                  <w:pPr>
                    <w:jc w:val="center"/>
                    <w:rPr>
                      <w:szCs w:val="21"/>
                    </w:rPr>
                  </w:pPr>
                  <w:r>
                    <w:rPr>
                      <w:szCs w:val="21"/>
                    </w:rPr>
                    <w:t>99.0%</w:t>
                  </w:r>
                </w:p>
              </w:tc>
              <w:tc>
                <w:tcPr>
                  <w:tcW w:w="534" w:type="pct"/>
                  <w:tcBorders>
                    <w:top w:val="single" w:color="auto" w:sz="6" w:space="0"/>
                    <w:bottom w:val="single" w:color="auto" w:sz="6" w:space="0"/>
                  </w:tcBorders>
                  <w:vAlign w:val="center"/>
                </w:tcPr>
                <w:p>
                  <w:pPr>
                    <w:jc w:val="center"/>
                    <w:rPr>
                      <w:szCs w:val="21"/>
                    </w:rPr>
                  </w:pPr>
                  <w:r>
                    <w:rPr>
                      <w:szCs w:val="21"/>
                    </w:rPr>
                    <w:t>1.98</w:t>
                  </w:r>
                </w:p>
              </w:tc>
              <w:tc>
                <w:tcPr>
                  <w:tcW w:w="446" w:type="pct"/>
                  <w:tcBorders>
                    <w:top w:val="single" w:color="auto" w:sz="6" w:space="0"/>
                    <w:bottom w:val="single" w:color="auto" w:sz="6" w:space="0"/>
                    <w:right w:val="single" w:color="auto" w:sz="4" w:space="0"/>
                  </w:tcBorders>
                  <w:vAlign w:val="center"/>
                </w:tcPr>
                <w:p>
                  <w:pPr>
                    <w:jc w:val="center"/>
                    <w:rPr>
                      <w:szCs w:val="21"/>
                    </w:rPr>
                  </w:pPr>
                  <w:r>
                    <w:rPr>
                      <w:szCs w:val="21"/>
                    </w:rPr>
                    <w:t>0.786</w:t>
                  </w:r>
                </w:p>
              </w:tc>
              <w:tc>
                <w:tcPr>
                  <w:tcW w:w="534" w:type="pct"/>
                  <w:tcBorders>
                    <w:top w:val="single" w:color="auto" w:sz="6" w:space="0"/>
                    <w:left w:val="single" w:color="auto" w:sz="4" w:space="0"/>
                    <w:bottom w:val="single" w:color="auto" w:sz="6" w:space="0"/>
                  </w:tcBorders>
                  <w:vAlign w:val="center"/>
                </w:tcPr>
                <w:p>
                  <w:pPr>
                    <w:jc w:val="center"/>
                    <w:rPr>
                      <w:szCs w:val="21"/>
                    </w:rPr>
                  </w:pPr>
                  <w:r>
                    <w:rPr>
                      <w:szCs w:val="21"/>
                    </w:rPr>
                    <w:t>0.0016</w:t>
                  </w:r>
                </w:p>
              </w:tc>
              <w:tc>
                <w:tcPr>
                  <w:tcW w:w="508" w:type="pct"/>
                  <w:tcBorders>
                    <w:top w:val="single" w:color="auto" w:sz="6" w:space="0"/>
                    <w:left w:val="single" w:color="auto" w:sz="4" w:space="0"/>
                    <w:bottom w:val="single" w:color="auto" w:sz="6" w:space="0"/>
                  </w:tcBorders>
                  <w:vAlign w:val="center"/>
                </w:tcPr>
                <w:p>
                  <w:pPr>
                    <w:jc w:val="center"/>
                    <w:rPr>
                      <w:szCs w:val="21"/>
                    </w:rPr>
                  </w:pPr>
                  <w:r>
                    <w:rPr>
                      <w:szCs w:val="21"/>
                    </w:rPr>
                    <w:t>50%</w:t>
                  </w:r>
                </w:p>
              </w:tc>
              <w:tc>
                <w:tcPr>
                  <w:tcW w:w="528" w:type="pct"/>
                  <w:tcBorders>
                    <w:top w:val="single" w:color="auto" w:sz="6" w:space="0"/>
                    <w:left w:val="single" w:color="auto" w:sz="4" w:space="0"/>
                    <w:bottom w:val="single" w:color="auto" w:sz="6" w:space="0"/>
                    <w:right w:val="nil"/>
                  </w:tcBorders>
                  <w:vAlign w:val="center"/>
                </w:tcPr>
                <w:p>
                  <w:pPr>
                    <w:jc w:val="center"/>
                    <w:rPr>
                      <w:szCs w:val="21"/>
                    </w:rPr>
                  </w:pPr>
                  <w:r>
                    <w:rPr>
                      <w:color w:val="000000"/>
                      <w:szCs w:val="21"/>
                    </w:rPr>
                    <w:t>0.0008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17</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甲苯</w:t>
                  </w:r>
                </w:p>
              </w:tc>
              <w:tc>
                <w:tcPr>
                  <w:tcW w:w="612" w:type="pct"/>
                  <w:tcBorders>
                    <w:top w:val="single" w:color="auto" w:sz="6" w:space="0"/>
                    <w:bottom w:val="single" w:color="auto" w:sz="6" w:space="0"/>
                  </w:tcBorders>
                  <w:vAlign w:val="center"/>
                </w:tcPr>
                <w:p>
                  <w:pPr>
                    <w:jc w:val="center"/>
                    <w:rPr>
                      <w:szCs w:val="21"/>
                    </w:rPr>
                  </w:pPr>
                  <w:r>
                    <w:rPr>
                      <w:szCs w:val="21"/>
                    </w:rPr>
                    <w:t>2</w:t>
                  </w:r>
                </w:p>
              </w:tc>
              <w:tc>
                <w:tcPr>
                  <w:tcW w:w="700" w:type="pct"/>
                  <w:tcBorders>
                    <w:top w:val="single" w:color="auto" w:sz="6" w:space="0"/>
                    <w:bottom w:val="single" w:color="auto" w:sz="6" w:space="0"/>
                  </w:tcBorders>
                  <w:vAlign w:val="center"/>
                </w:tcPr>
                <w:p>
                  <w:pPr>
                    <w:jc w:val="center"/>
                    <w:rPr>
                      <w:szCs w:val="21"/>
                    </w:rPr>
                  </w:pPr>
                  <w:r>
                    <w:rPr>
                      <w:szCs w:val="21"/>
                    </w:rPr>
                    <w:t>99.0%</w:t>
                  </w:r>
                </w:p>
              </w:tc>
              <w:tc>
                <w:tcPr>
                  <w:tcW w:w="534" w:type="pct"/>
                  <w:tcBorders>
                    <w:top w:val="single" w:color="auto" w:sz="6" w:space="0"/>
                    <w:bottom w:val="single" w:color="auto" w:sz="6" w:space="0"/>
                  </w:tcBorders>
                  <w:vAlign w:val="center"/>
                </w:tcPr>
                <w:p>
                  <w:pPr>
                    <w:jc w:val="center"/>
                    <w:rPr>
                      <w:szCs w:val="21"/>
                    </w:rPr>
                  </w:pPr>
                  <w:r>
                    <w:rPr>
                      <w:szCs w:val="21"/>
                    </w:rPr>
                    <w:t>1.98</w:t>
                  </w:r>
                </w:p>
              </w:tc>
              <w:tc>
                <w:tcPr>
                  <w:tcW w:w="446" w:type="pct"/>
                  <w:tcBorders>
                    <w:top w:val="single" w:color="auto" w:sz="6" w:space="0"/>
                    <w:bottom w:val="single" w:color="auto" w:sz="6" w:space="0"/>
                    <w:right w:val="single" w:color="auto" w:sz="4" w:space="0"/>
                  </w:tcBorders>
                  <w:vAlign w:val="center"/>
                </w:tcPr>
                <w:p>
                  <w:pPr>
                    <w:jc w:val="center"/>
                    <w:rPr>
                      <w:szCs w:val="21"/>
                    </w:rPr>
                  </w:pPr>
                  <w:r>
                    <w:rPr>
                      <w:szCs w:val="21"/>
                    </w:rPr>
                    <w:t>0.872</w:t>
                  </w:r>
                </w:p>
              </w:tc>
              <w:tc>
                <w:tcPr>
                  <w:tcW w:w="534" w:type="pct"/>
                  <w:tcBorders>
                    <w:top w:val="single" w:color="auto" w:sz="6" w:space="0"/>
                    <w:left w:val="single" w:color="auto" w:sz="4" w:space="0"/>
                    <w:bottom w:val="single" w:color="auto" w:sz="6" w:space="0"/>
                  </w:tcBorders>
                  <w:vAlign w:val="center"/>
                </w:tcPr>
                <w:p>
                  <w:pPr>
                    <w:jc w:val="center"/>
                    <w:rPr>
                      <w:szCs w:val="21"/>
                    </w:rPr>
                  </w:pPr>
                  <w:r>
                    <w:rPr>
                      <w:szCs w:val="21"/>
                    </w:rPr>
                    <w:t>0.0017</w:t>
                  </w:r>
                </w:p>
              </w:tc>
              <w:tc>
                <w:tcPr>
                  <w:tcW w:w="508" w:type="pct"/>
                  <w:tcBorders>
                    <w:top w:val="single" w:color="auto" w:sz="6" w:space="0"/>
                    <w:left w:val="single" w:color="auto" w:sz="4" w:space="0"/>
                    <w:bottom w:val="single" w:color="auto" w:sz="6" w:space="0"/>
                  </w:tcBorders>
                  <w:vAlign w:val="center"/>
                </w:tcPr>
                <w:p>
                  <w:pPr>
                    <w:jc w:val="center"/>
                    <w:rPr>
                      <w:szCs w:val="21"/>
                    </w:rPr>
                  </w:pPr>
                  <w:r>
                    <w:rPr>
                      <w:szCs w:val="21"/>
                    </w:rPr>
                    <w:t>50%</w:t>
                  </w:r>
                </w:p>
              </w:tc>
              <w:tc>
                <w:tcPr>
                  <w:tcW w:w="528" w:type="pct"/>
                  <w:tcBorders>
                    <w:top w:val="single" w:color="auto" w:sz="6" w:space="0"/>
                    <w:left w:val="single" w:color="auto" w:sz="4" w:space="0"/>
                    <w:bottom w:val="single" w:color="auto" w:sz="6" w:space="0"/>
                    <w:right w:val="nil"/>
                  </w:tcBorders>
                  <w:vAlign w:val="center"/>
                </w:tcPr>
                <w:p>
                  <w:pPr>
                    <w:jc w:val="center"/>
                    <w:rPr>
                      <w:szCs w:val="21"/>
                    </w:rPr>
                  </w:pPr>
                  <w:r>
                    <w:rPr>
                      <w:color w:val="000000"/>
                      <w:szCs w:val="21"/>
                    </w:rPr>
                    <w:t>0.0009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18</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氯仿</w:t>
                  </w:r>
                </w:p>
              </w:tc>
              <w:tc>
                <w:tcPr>
                  <w:tcW w:w="612"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2</w:t>
                  </w:r>
                </w:p>
              </w:tc>
              <w:tc>
                <w:tcPr>
                  <w:tcW w:w="700" w:type="pct"/>
                  <w:tcBorders>
                    <w:top w:val="single" w:color="auto" w:sz="6" w:space="0"/>
                    <w:bottom w:val="single" w:color="auto" w:sz="6" w:space="0"/>
                  </w:tcBorders>
                  <w:vAlign w:val="center"/>
                </w:tcPr>
                <w:p>
                  <w:pPr>
                    <w:pStyle w:val="12"/>
                    <w:snapToGrid w:val="0"/>
                    <w:jc w:val="center"/>
                    <w:rPr>
                      <w:rFonts w:ascii="Times New Roman" w:hAnsi="Times New Roman" w:eastAsia="Times New Roman"/>
                      <w:spacing w:val="-1"/>
                    </w:rPr>
                  </w:pPr>
                  <w:r>
                    <w:rPr>
                      <w:rFonts w:ascii="Times New Roman" w:hAnsi="Times New Roman"/>
                      <w:color w:val="000000"/>
                    </w:rPr>
                    <w:t>99.0%</w:t>
                  </w:r>
                </w:p>
              </w:tc>
              <w:tc>
                <w:tcPr>
                  <w:tcW w:w="534"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1.98</w:t>
                  </w:r>
                </w:p>
              </w:tc>
              <w:tc>
                <w:tcPr>
                  <w:tcW w:w="446" w:type="pct"/>
                  <w:tcBorders>
                    <w:top w:val="single" w:color="auto" w:sz="6" w:space="0"/>
                    <w:bottom w:val="single" w:color="auto" w:sz="6" w:space="0"/>
                    <w:right w:val="single" w:color="auto" w:sz="4" w:space="0"/>
                  </w:tcBorders>
                  <w:vAlign w:val="center"/>
                </w:tcPr>
                <w:p>
                  <w:pPr>
                    <w:pStyle w:val="12"/>
                    <w:snapToGrid w:val="0"/>
                    <w:jc w:val="center"/>
                    <w:rPr>
                      <w:rFonts w:ascii="Times New Roman" w:hAnsi="Times New Roman" w:eastAsia="Times New Roman"/>
                    </w:rPr>
                  </w:pPr>
                  <w:r>
                    <w:rPr>
                      <w:rFonts w:ascii="Times New Roman" w:hAnsi="Times New Roman"/>
                      <w:color w:val="000000"/>
                    </w:rPr>
                    <w:t>1.48</w:t>
                  </w:r>
                </w:p>
              </w:tc>
              <w:tc>
                <w:tcPr>
                  <w:tcW w:w="534"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0.0029</w:t>
                  </w:r>
                </w:p>
              </w:tc>
              <w:tc>
                <w:tcPr>
                  <w:tcW w:w="508"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eastAsia="Times New Roman"/>
                      <w:spacing w:val="-2"/>
                    </w:rPr>
                  </w:pPr>
                  <w:r>
                    <w:rPr>
                      <w:rFonts w:ascii="Times New Roman" w:hAnsi="Times New Roman"/>
                    </w:rPr>
                    <w:t>50%</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0.0015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19</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异辛烷</w:t>
                  </w:r>
                </w:p>
              </w:tc>
              <w:tc>
                <w:tcPr>
                  <w:tcW w:w="612"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2</w:t>
                  </w:r>
                </w:p>
              </w:tc>
              <w:tc>
                <w:tcPr>
                  <w:tcW w:w="700" w:type="pct"/>
                  <w:tcBorders>
                    <w:top w:val="single" w:color="auto" w:sz="6" w:space="0"/>
                    <w:bottom w:val="single" w:color="auto" w:sz="6" w:space="0"/>
                  </w:tcBorders>
                  <w:vAlign w:val="center"/>
                </w:tcPr>
                <w:p>
                  <w:pPr>
                    <w:pStyle w:val="12"/>
                    <w:snapToGrid w:val="0"/>
                    <w:jc w:val="center"/>
                    <w:rPr>
                      <w:rFonts w:ascii="Times New Roman" w:hAnsi="Times New Roman" w:eastAsia="Times New Roman"/>
                      <w:spacing w:val="-1"/>
                    </w:rPr>
                  </w:pPr>
                  <w:r>
                    <w:rPr>
                      <w:rFonts w:ascii="Times New Roman" w:hAnsi="Times New Roman"/>
                      <w:color w:val="000000"/>
                    </w:rPr>
                    <w:t>99.0%</w:t>
                  </w:r>
                </w:p>
              </w:tc>
              <w:tc>
                <w:tcPr>
                  <w:tcW w:w="534"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1.98</w:t>
                  </w:r>
                </w:p>
              </w:tc>
              <w:tc>
                <w:tcPr>
                  <w:tcW w:w="446" w:type="pct"/>
                  <w:tcBorders>
                    <w:top w:val="single" w:color="auto" w:sz="6" w:space="0"/>
                    <w:bottom w:val="single" w:color="auto" w:sz="6" w:space="0"/>
                    <w:right w:val="single" w:color="auto" w:sz="4" w:space="0"/>
                  </w:tcBorders>
                  <w:vAlign w:val="center"/>
                </w:tcPr>
                <w:p>
                  <w:pPr>
                    <w:pStyle w:val="12"/>
                    <w:snapToGrid w:val="0"/>
                    <w:jc w:val="center"/>
                    <w:rPr>
                      <w:rFonts w:ascii="Times New Roman" w:hAnsi="Times New Roman" w:eastAsia="Times New Roman"/>
                    </w:rPr>
                  </w:pPr>
                  <w:r>
                    <w:rPr>
                      <w:rFonts w:ascii="Times New Roman" w:hAnsi="Times New Roman"/>
                      <w:color w:val="000000"/>
                    </w:rPr>
                    <w:t>0.691</w:t>
                  </w:r>
                </w:p>
              </w:tc>
              <w:tc>
                <w:tcPr>
                  <w:tcW w:w="534"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0.0014</w:t>
                  </w:r>
                </w:p>
              </w:tc>
              <w:tc>
                <w:tcPr>
                  <w:tcW w:w="508"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eastAsia="Times New Roman"/>
                      <w:spacing w:val="-2"/>
                    </w:rPr>
                  </w:pPr>
                  <w:r>
                    <w:rPr>
                      <w:rFonts w:ascii="Times New Roman" w:hAnsi="Times New Roman"/>
                    </w:rPr>
                    <w:t>50%</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20</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环乙烷</w:t>
                  </w:r>
                </w:p>
              </w:tc>
              <w:tc>
                <w:tcPr>
                  <w:tcW w:w="612"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2</w:t>
                  </w:r>
                </w:p>
              </w:tc>
              <w:tc>
                <w:tcPr>
                  <w:tcW w:w="700" w:type="pct"/>
                  <w:tcBorders>
                    <w:top w:val="single" w:color="auto" w:sz="6" w:space="0"/>
                    <w:bottom w:val="single" w:color="auto" w:sz="6" w:space="0"/>
                  </w:tcBorders>
                  <w:vAlign w:val="center"/>
                </w:tcPr>
                <w:p>
                  <w:pPr>
                    <w:pStyle w:val="12"/>
                    <w:snapToGrid w:val="0"/>
                    <w:jc w:val="center"/>
                    <w:rPr>
                      <w:rFonts w:ascii="Times New Roman" w:hAnsi="Times New Roman" w:eastAsia="Times New Roman"/>
                      <w:spacing w:val="-1"/>
                    </w:rPr>
                  </w:pPr>
                  <w:r>
                    <w:rPr>
                      <w:rFonts w:ascii="Times New Roman" w:hAnsi="Times New Roman"/>
                      <w:color w:val="000000"/>
                    </w:rPr>
                    <w:t>99.0%</w:t>
                  </w:r>
                </w:p>
              </w:tc>
              <w:tc>
                <w:tcPr>
                  <w:tcW w:w="534"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1.98</w:t>
                  </w:r>
                </w:p>
              </w:tc>
              <w:tc>
                <w:tcPr>
                  <w:tcW w:w="446" w:type="pct"/>
                  <w:tcBorders>
                    <w:top w:val="single" w:color="auto" w:sz="6" w:space="0"/>
                    <w:bottom w:val="single" w:color="auto" w:sz="6" w:space="0"/>
                    <w:right w:val="single" w:color="auto" w:sz="4" w:space="0"/>
                  </w:tcBorders>
                  <w:vAlign w:val="center"/>
                </w:tcPr>
                <w:p>
                  <w:pPr>
                    <w:pStyle w:val="12"/>
                    <w:snapToGrid w:val="0"/>
                    <w:jc w:val="center"/>
                    <w:rPr>
                      <w:rFonts w:ascii="Times New Roman" w:hAnsi="Times New Roman" w:eastAsia="Times New Roman"/>
                    </w:rPr>
                  </w:pPr>
                  <w:r>
                    <w:rPr>
                      <w:rFonts w:ascii="Times New Roman" w:hAnsi="Times New Roman"/>
                      <w:color w:val="000000"/>
                    </w:rPr>
                    <w:t>0.79</w:t>
                  </w:r>
                </w:p>
              </w:tc>
              <w:tc>
                <w:tcPr>
                  <w:tcW w:w="534"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0.0016</w:t>
                  </w:r>
                </w:p>
              </w:tc>
              <w:tc>
                <w:tcPr>
                  <w:tcW w:w="508"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eastAsia="Times New Roman"/>
                      <w:spacing w:val="-2"/>
                    </w:rPr>
                  </w:pPr>
                  <w:r>
                    <w:rPr>
                      <w:rFonts w:ascii="Times New Roman" w:hAnsi="Times New Roman"/>
                    </w:rPr>
                    <w:t>50%</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21</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环已烷</w:t>
                  </w:r>
                </w:p>
              </w:tc>
              <w:tc>
                <w:tcPr>
                  <w:tcW w:w="612" w:type="pct"/>
                  <w:tcBorders>
                    <w:top w:val="single" w:color="auto" w:sz="6" w:space="0"/>
                    <w:bottom w:val="single" w:color="auto" w:sz="6" w:space="0"/>
                  </w:tcBorders>
                  <w:vAlign w:val="center"/>
                </w:tcPr>
                <w:p>
                  <w:pPr>
                    <w:jc w:val="center"/>
                    <w:rPr>
                      <w:szCs w:val="21"/>
                    </w:rPr>
                  </w:pPr>
                  <w:r>
                    <w:rPr>
                      <w:szCs w:val="21"/>
                    </w:rPr>
                    <w:t>2</w:t>
                  </w:r>
                </w:p>
              </w:tc>
              <w:tc>
                <w:tcPr>
                  <w:tcW w:w="700" w:type="pct"/>
                  <w:tcBorders>
                    <w:top w:val="single" w:color="auto" w:sz="6" w:space="0"/>
                    <w:bottom w:val="single" w:color="auto" w:sz="6" w:space="0"/>
                  </w:tcBorders>
                  <w:vAlign w:val="center"/>
                </w:tcPr>
                <w:p>
                  <w:pPr>
                    <w:jc w:val="center"/>
                    <w:rPr>
                      <w:szCs w:val="21"/>
                    </w:rPr>
                  </w:pPr>
                  <w:r>
                    <w:rPr>
                      <w:szCs w:val="21"/>
                    </w:rPr>
                    <w:t>99.0%</w:t>
                  </w:r>
                </w:p>
              </w:tc>
              <w:tc>
                <w:tcPr>
                  <w:tcW w:w="534" w:type="pct"/>
                  <w:tcBorders>
                    <w:top w:val="single" w:color="auto" w:sz="6" w:space="0"/>
                    <w:bottom w:val="single" w:color="auto" w:sz="6" w:space="0"/>
                  </w:tcBorders>
                  <w:vAlign w:val="center"/>
                </w:tcPr>
                <w:p>
                  <w:pPr>
                    <w:jc w:val="center"/>
                    <w:rPr>
                      <w:szCs w:val="21"/>
                    </w:rPr>
                  </w:pPr>
                  <w:r>
                    <w:rPr>
                      <w:szCs w:val="21"/>
                    </w:rPr>
                    <w:t>1.98</w:t>
                  </w:r>
                </w:p>
              </w:tc>
              <w:tc>
                <w:tcPr>
                  <w:tcW w:w="446" w:type="pct"/>
                  <w:tcBorders>
                    <w:top w:val="single" w:color="auto" w:sz="6" w:space="0"/>
                    <w:bottom w:val="single" w:color="auto" w:sz="6" w:space="0"/>
                    <w:right w:val="single" w:color="auto" w:sz="4" w:space="0"/>
                  </w:tcBorders>
                  <w:vAlign w:val="center"/>
                </w:tcPr>
                <w:p>
                  <w:pPr>
                    <w:jc w:val="center"/>
                    <w:rPr>
                      <w:szCs w:val="21"/>
                    </w:rPr>
                  </w:pPr>
                  <w:r>
                    <w:rPr>
                      <w:szCs w:val="21"/>
                    </w:rPr>
                    <w:t>0.79</w:t>
                  </w:r>
                </w:p>
              </w:tc>
              <w:tc>
                <w:tcPr>
                  <w:tcW w:w="534" w:type="pct"/>
                  <w:tcBorders>
                    <w:top w:val="single" w:color="auto" w:sz="6" w:space="0"/>
                    <w:left w:val="single" w:color="auto" w:sz="4" w:space="0"/>
                    <w:bottom w:val="single" w:color="auto" w:sz="6" w:space="0"/>
                  </w:tcBorders>
                  <w:vAlign w:val="center"/>
                </w:tcPr>
                <w:p>
                  <w:pPr>
                    <w:jc w:val="center"/>
                    <w:rPr>
                      <w:szCs w:val="21"/>
                    </w:rPr>
                  </w:pPr>
                  <w:r>
                    <w:rPr>
                      <w:szCs w:val="21"/>
                    </w:rPr>
                    <w:t>0.0016</w:t>
                  </w:r>
                </w:p>
              </w:tc>
              <w:tc>
                <w:tcPr>
                  <w:tcW w:w="508" w:type="pct"/>
                  <w:tcBorders>
                    <w:top w:val="single" w:color="auto" w:sz="6" w:space="0"/>
                    <w:left w:val="single" w:color="auto" w:sz="4" w:space="0"/>
                    <w:bottom w:val="single" w:color="auto" w:sz="6" w:space="0"/>
                  </w:tcBorders>
                  <w:vAlign w:val="center"/>
                </w:tcPr>
                <w:p>
                  <w:pPr>
                    <w:jc w:val="center"/>
                    <w:rPr>
                      <w:szCs w:val="21"/>
                    </w:rPr>
                  </w:pPr>
                  <w:r>
                    <w:rPr>
                      <w:szCs w:val="21"/>
                    </w:rPr>
                    <w:t>50%</w:t>
                  </w:r>
                </w:p>
              </w:tc>
              <w:tc>
                <w:tcPr>
                  <w:tcW w:w="528" w:type="pct"/>
                  <w:tcBorders>
                    <w:top w:val="single" w:color="auto" w:sz="6" w:space="0"/>
                    <w:left w:val="single" w:color="auto" w:sz="4" w:space="0"/>
                    <w:bottom w:val="single" w:color="auto" w:sz="6" w:space="0"/>
                    <w:right w:val="nil"/>
                  </w:tcBorders>
                  <w:vAlign w:val="center"/>
                </w:tcPr>
                <w:p>
                  <w:pPr>
                    <w:jc w:val="center"/>
                    <w:rPr>
                      <w:szCs w:val="21"/>
                    </w:rPr>
                  </w:pPr>
                  <w:r>
                    <w:rPr>
                      <w:color w:val="000000"/>
                      <w:szCs w:val="21"/>
                    </w:rPr>
                    <w:t>0.0008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22</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苯甲酸</w:t>
                  </w:r>
                </w:p>
              </w:tc>
              <w:tc>
                <w:tcPr>
                  <w:tcW w:w="612" w:type="pct"/>
                  <w:tcBorders>
                    <w:top w:val="single" w:color="auto" w:sz="6" w:space="0"/>
                    <w:bottom w:val="single" w:color="auto" w:sz="6" w:space="0"/>
                  </w:tcBorders>
                  <w:vAlign w:val="center"/>
                </w:tcPr>
                <w:p>
                  <w:pPr>
                    <w:jc w:val="center"/>
                    <w:rPr>
                      <w:szCs w:val="21"/>
                    </w:rPr>
                  </w:pPr>
                  <w:r>
                    <w:rPr>
                      <w:szCs w:val="21"/>
                    </w:rPr>
                    <w:t>0.05</w:t>
                  </w:r>
                </w:p>
              </w:tc>
              <w:tc>
                <w:tcPr>
                  <w:tcW w:w="700" w:type="pct"/>
                  <w:tcBorders>
                    <w:top w:val="single" w:color="auto" w:sz="6" w:space="0"/>
                    <w:bottom w:val="single" w:color="auto" w:sz="6" w:space="0"/>
                  </w:tcBorders>
                  <w:vAlign w:val="center"/>
                </w:tcPr>
                <w:p>
                  <w:pPr>
                    <w:jc w:val="center"/>
                    <w:rPr>
                      <w:szCs w:val="21"/>
                    </w:rPr>
                  </w:pPr>
                  <w:r>
                    <w:rPr>
                      <w:szCs w:val="21"/>
                    </w:rPr>
                    <w:t>100.0%</w:t>
                  </w:r>
                </w:p>
              </w:tc>
              <w:tc>
                <w:tcPr>
                  <w:tcW w:w="534" w:type="pct"/>
                  <w:tcBorders>
                    <w:top w:val="single" w:color="auto" w:sz="6" w:space="0"/>
                    <w:bottom w:val="single" w:color="auto" w:sz="6" w:space="0"/>
                  </w:tcBorders>
                  <w:vAlign w:val="center"/>
                </w:tcPr>
                <w:p>
                  <w:pPr>
                    <w:jc w:val="center"/>
                    <w:rPr>
                      <w:szCs w:val="21"/>
                    </w:rPr>
                  </w:pPr>
                  <w:r>
                    <w:rPr>
                      <w:szCs w:val="21"/>
                    </w:rPr>
                    <w:t>0.05</w:t>
                  </w:r>
                </w:p>
              </w:tc>
              <w:tc>
                <w:tcPr>
                  <w:tcW w:w="446" w:type="pct"/>
                  <w:tcBorders>
                    <w:top w:val="single" w:color="auto" w:sz="6" w:space="0"/>
                    <w:bottom w:val="single" w:color="auto" w:sz="6" w:space="0"/>
                    <w:right w:val="single" w:color="auto" w:sz="4" w:space="0"/>
                  </w:tcBorders>
                  <w:vAlign w:val="center"/>
                </w:tcPr>
                <w:p>
                  <w:pPr>
                    <w:jc w:val="center"/>
                    <w:rPr>
                      <w:szCs w:val="21"/>
                    </w:rPr>
                  </w:pPr>
                  <w:r>
                    <w:rPr>
                      <w:szCs w:val="21"/>
                    </w:rPr>
                    <w:t>1.266</w:t>
                  </w:r>
                </w:p>
              </w:tc>
              <w:tc>
                <w:tcPr>
                  <w:tcW w:w="534" w:type="pct"/>
                  <w:tcBorders>
                    <w:top w:val="single" w:color="auto" w:sz="6" w:space="0"/>
                    <w:left w:val="single" w:color="auto" w:sz="4" w:space="0"/>
                    <w:bottom w:val="single" w:color="auto" w:sz="6" w:space="0"/>
                  </w:tcBorders>
                  <w:vAlign w:val="center"/>
                </w:tcPr>
                <w:p>
                  <w:pPr>
                    <w:jc w:val="center"/>
                    <w:rPr>
                      <w:szCs w:val="21"/>
                    </w:rPr>
                  </w:pPr>
                  <w:r>
                    <w:rPr>
                      <w:szCs w:val="21"/>
                    </w:rPr>
                    <w:t>0.0001</w:t>
                  </w:r>
                </w:p>
              </w:tc>
              <w:tc>
                <w:tcPr>
                  <w:tcW w:w="508" w:type="pct"/>
                  <w:tcBorders>
                    <w:top w:val="single" w:color="auto" w:sz="6" w:space="0"/>
                    <w:left w:val="single" w:color="auto" w:sz="4" w:space="0"/>
                    <w:bottom w:val="single" w:color="auto" w:sz="6" w:space="0"/>
                  </w:tcBorders>
                  <w:vAlign w:val="center"/>
                </w:tcPr>
                <w:p>
                  <w:pPr>
                    <w:jc w:val="center"/>
                    <w:rPr>
                      <w:szCs w:val="21"/>
                    </w:rPr>
                  </w:pPr>
                  <w:r>
                    <w:rPr>
                      <w:szCs w:val="21"/>
                    </w:rPr>
                    <w:t>50%</w:t>
                  </w:r>
                </w:p>
              </w:tc>
              <w:tc>
                <w:tcPr>
                  <w:tcW w:w="528" w:type="pct"/>
                  <w:tcBorders>
                    <w:top w:val="single" w:color="auto" w:sz="6" w:space="0"/>
                    <w:left w:val="single" w:color="auto" w:sz="4" w:space="0"/>
                    <w:bottom w:val="single" w:color="auto" w:sz="6" w:space="0"/>
                    <w:right w:val="nil"/>
                  </w:tcBorders>
                  <w:vAlign w:val="center"/>
                </w:tcPr>
                <w:p>
                  <w:pPr>
                    <w:jc w:val="center"/>
                    <w:rPr>
                      <w:szCs w:val="21"/>
                    </w:rPr>
                  </w:pPr>
                  <w:r>
                    <w:rPr>
                      <w:color w:val="000000"/>
                      <w:szCs w:val="21"/>
                    </w:rPr>
                    <w:t>0.00003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23</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山梨酸</w:t>
                  </w:r>
                </w:p>
              </w:tc>
              <w:tc>
                <w:tcPr>
                  <w:tcW w:w="612" w:type="pct"/>
                  <w:tcBorders>
                    <w:top w:val="single" w:color="auto" w:sz="6" w:space="0"/>
                    <w:bottom w:val="single" w:color="auto" w:sz="6" w:space="0"/>
                  </w:tcBorders>
                  <w:vAlign w:val="center"/>
                </w:tcPr>
                <w:p>
                  <w:pPr>
                    <w:jc w:val="center"/>
                    <w:rPr>
                      <w:szCs w:val="21"/>
                    </w:rPr>
                  </w:pPr>
                  <w:r>
                    <w:rPr>
                      <w:szCs w:val="21"/>
                    </w:rPr>
                    <w:t>0.05</w:t>
                  </w:r>
                </w:p>
              </w:tc>
              <w:tc>
                <w:tcPr>
                  <w:tcW w:w="700" w:type="pct"/>
                  <w:tcBorders>
                    <w:top w:val="single" w:color="auto" w:sz="6" w:space="0"/>
                    <w:bottom w:val="single" w:color="auto" w:sz="6" w:space="0"/>
                  </w:tcBorders>
                  <w:vAlign w:val="center"/>
                </w:tcPr>
                <w:p>
                  <w:pPr>
                    <w:jc w:val="center"/>
                    <w:rPr>
                      <w:szCs w:val="21"/>
                    </w:rPr>
                  </w:pPr>
                  <w:r>
                    <w:rPr>
                      <w:szCs w:val="21"/>
                    </w:rPr>
                    <w:t>100.0%</w:t>
                  </w:r>
                </w:p>
              </w:tc>
              <w:tc>
                <w:tcPr>
                  <w:tcW w:w="534" w:type="pct"/>
                  <w:tcBorders>
                    <w:top w:val="single" w:color="auto" w:sz="6" w:space="0"/>
                    <w:bottom w:val="single" w:color="auto" w:sz="6" w:space="0"/>
                  </w:tcBorders>
                  <w:vAlign w:val="center"/>
                </w:tcPr>
                <w:p>
                  <w:pPr>
                    <w:jc w:val="center"/>
                    <w:rPr>
                      <w:szCs w:val="21"/>
                    </w:rPr>
                  </w:pPr>
                  <w:r>
                    <w:rPr>
                      <w:szCs w:val="21"/>
                    </w:rPr>
                    <w:t>0.05</w:t>
                  </w:r>
                </w:p>
              </w:tc>
              <w:tc>
                <w:tcPr>
                  <w:tcW w:w="446" w:type="pct"/>
                  <w:tcBorders>
                    <w:top w:val="single" w:color="auto" w:sz="6" w:space="0"/>
                    <w:bottom w:val="single" w:color="auto" w:sz="6" w:space="0"/>
                    <w:right w:val="single" w:color="auto" w:sz="4" w:space="0"/>
                  </w:tcBorders>
                  <w:vAlign w:val="center"/>
                </w:tcPr>
                <w:p>
                  <w:pPr>
                    <w:jc w:val="center"/>
                    <w:rPr>
                      <w:szCs w:val="21"/>
                    </w:rPr>
                  </w:pPr>
                  <w:r>
                    <w:rPr>
                      <w:szCs w:val="21"/>
                    </w:rPr>
                    <w:t>1.204</w:t>
                  </w:r>
                </w:p>
              </w:tc>
              <w:tc>
                <w:tcPr>
                  <w:tcW w:w="534" w:type="pct"/>
                  <w:tcBorders>
                    <w:top w:val="single" w:color="auto" w:sz="6" w:space="0"/>
                    <w:left w:val="single" w:color="auto" w:sz="4" w:space="0"/>
                    <w:bottom w:val="single" w:color="auto" w:sz="6" w:space="0"/>
                  </w:tcBorders>
                  <w:vAlign w:val="center"/>
                </w:tcPr>
                <w:p>
                  <w:pPr>
                    <w:jc w:val="center"/>
                    <w:rPr>
                      <w:szCs w:val="21"/>
                    </w:rPr>
                  </w:pPr>
                  <w:r>
                    <w:rPr>
                      <w:szCs w:val="21"/>
                    </w:rPr>
                    <w:t>0.0001</w:t>
                  </w:r>
                </w:p>
              </w:tc>
              <w:tc>
                <w:tcPr>
                  <w:tcW w:w="508" w:type="pct"/>
                  <w:tcBorders>
                    <w:top w:val="single" w:color="auto" w:sz="6" w:space="0"/>
                    <w:left w:val="single" w:color="auto" w:sz="4" w:space="0"/>
                    <w:bottom w:val="single" w:color="auto" w:sz="6" w:space="0"/>
                  </w:tcBorders>
                  <w:vAlign w:val="center"/>
                </w:tcPr>
                <w:p>
                  <w:pPr>
                    <w:jc w:val="center"/>
                    <w:rPr>
                      <w:szCs w:val="21"/>
                    </w:rPr>
                  </w:pPr>
                  <w:r>
                    <w:rPr>
                      <w:szCs w:val="21"/>
                    </w:rPr>
                    <w:t>50%</w:t>
                  </w:r>
                </w:p>
              </w:tc>
              <w:tc>
                <w:tcPr>
                  <w:tcW w:w="528" w:type="pct"/>
                  <w:tcBorders>
                    <w:top w:val="single" w:color="auto" w:sz="6" w:space="0"/>
                    <w:left w:val="single" w:color="auto" w:sz="4" w:space="0"/>
                    <w:bottom w:val="single" w:color="auto" w:sz="6" w:space="0"/>
                    <w:right w:val="nil"/>
                  </w:tcBorders>
                  <w:vAlign w:val="center"/>
                </w:tcPr>
                <w:p>
                  <w:pPr>
                    <w:jc w:val="center"/>
                    <w:rPr>
                      <w:szCs w:val="21"/>
                    </w:rPr>
                  </w:pPr>
                  <w:r>
                    <w:rPr>
                      <w:color w:val="000000"/>
                      <w:szCs w:val="21"/>
                    </w:rPr>
                    <w:t>0.00003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color w:val="000000"/>
                      <w:szCs w:val="21"/>
                    </w:rPr>
                  </w:pPr>
                  <w:r>
                    <w:rPr>
                      <w:color w:val="000000"/>
                      <w:szCs w:val="21"/>
                    </w:rPr>
                    <w:t>24</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叔丁基羟基茴香醚</w:t>
                  </w:r>
                  <w:r>
                    <w:rPr>
                      <w:rStyle w:val="66"/>
                      <w:rFonts w:hint="default" w:ascii="Times New Roman" w:hAnsi="Times New Roman" w:cs="Times New Roman"/>
                    </w:rPr>
                    <w:t>(BHA)</w:t>
                  </w:r>
                </w:p>
              </w:tc>
              <w:tc>
                <w:tcPr>
                  <w:tcW w:w="612" w:type="pct"/>
                  <w:tcBorders>
                    <w:top w:val="single" w:color="auto" w:sz="6" w:space="0"/>
                    <w:bottom w:val="single" w:color="auto" w:sz="6" w:space="0"/>
                  </w:tcBorders>
                  <w:vAlign w:val="center"/>
                </w:tcPr>
                <w:p>
                  <w:pPr>
                    <w:jc w:val="center"/>
                    <w:rPr>
                      <w:szCs w:val="21"/>
                    </w:rPr>
                  </w:pPr>
                  <w:r>
                    <w:rPr>
                      <w:szCs w:val="21"/>
                    </w:rPr>
                    <w:t>0.05</w:t>
                  </w:r>
                </w:p>
              </w:tc>
              <w:tc>
                <w:tcPr>
                  <w:tcW w:w="700" w:type="pct"/>
                  <w:tcBorders>
                    <w:top w:val="single" w:color="auto" w:sz="6" w:space="0"/>
                    <w:bottom w:val="single" w:color="auto" w:sz="6" w:space="0"/>
                  </w:tcBorders>
                  <w:vAlign w:val="center"/>
                </w:tcPr>
                <w:p>
                  <w:pPr>
                    <w:jc w:val="center"/>
                    <w:rPr>
                      <w:szCs w:val="21"/>
                    </w:rPr>
                  </w:pPr>
                  <w:r>
                    <w:rPr>
                      <w:szCs w:val="21"/>
                    </w:rPr>
                    <w:t>100.0%</w:t>
                  </w:r>
                </w:p>
              </w:tc>
              <w:tc>
                <w:tcPr>
                  <w:tcW w:w="534" w:type="pct"/>
                  <w:tcBorders>
                    <w:top w:val="single" w:color="auto" w:sz="6" w:space="0"/>
                    <w:bottom w:val="single" w:color="auto" w:sz="6" w:space="0"/>
                  </w:tcBorders>
                  <w:vAlign w:val="center"/>
                </w:tcPr>
                <w:p>
                  <w:pPr>
                    <w:jc w:val="center"/>
                    <w:rPr>
                      <w:szCs w:val="21"/>
                    </w:rPr>
                  </w:pPr>
                  <w:r>
                    <w:rPr>
                      <w:szCs w:val="21"/>
                    </w:rPr>
                    <w:t>0.05</w:t>
                  </w:r>
                </w:p>
              </w:tc>
              <w:tc>
                <w:tcPr>
                  <w:tcW w:w="446" w:type="pct"/>
                  <w:tcBorders>
                    <w:top w:val="single" w:color="auto" w:sz="6" w:space="0"/>
                    <w:bottom w:val="single" w:color="auto" w:sz="6" w:space="0"/>
                    <w:right w:val="single" w:color="auto" w:sz="4" w:space="0"/>
                  </w:tcBorders>
                  <w:vAlign w:val="center"/>
                </w:tcPr>
                <w:p>
                  <w:pPr>
                    <w:jc w:val="center"/>
                    <w:rPr>
                      <w:szCs w:val="21"/>
                    </w:rPr>
                  </w:pPr>
                  <w:r>
                    <w:rPr>
                      <w:szCs w:val="21"/>
                    </w:rPr>
                    <w:t>1.014</w:t>
                  </w:r>
                </w:p>
              </w:tc>
              <w:tc>
                <w:tcPr>
                  <w:tcW w:w="534" w:type="pct"/>
                  <w:tcBorders>
                    <w:top w:val="single" w:color="auto" w:sz="6" w:space="0"/>
                    <w:left w:val="single" w:color="auto" w:sz="4" w:space="0"/>
                    <w:bottom w:val="single" w:color="auto" w:sz="6" w:space="0"/>
                  </w:tcBorders>
                  <w:vAlign w:val="center"/>
                </w:tcPr>
                <w:p>
                  <w:pPr>
                    <w:jc w:val="center"/>
                    <w:rPr>
                      <w:szCs w:val="21"/>
                    </w:rPr>
                  </w:pPr>
                  <w:r>
                    <w:rPr>
                      <w:szCs w:val="21"/>
                    </w:rPr>
                    <w:t>0.0001</w:t>
                  </w:r>
                </w:p>
              </w:tc>
              <w:tc>
                <w:tcPr>
                  <w:tcW w:w="508" w:type="pct"/>
                  <w:tcBorders>
                    <w:top w:val="single" w:color="auto" w:sz="6" w:space="0"/>
                    <w:left w:val="single" w:color="auto" w:sz="4" w:space="0"/>
                    <w:bottom w:val="single" w:color="auto" w:sz="6" w:space="0"/>
                  </w:tcBorders>
                  <w:vAlign w:val="center"/>
                </w:tcPr>
                <w:p>
                  <w:pPr>
                    <w:jc w:val="center"/>
                    <w:rPr>
                      <w:szCs w:val="21"/>
                    </w:rPr>
                  </w:pPr>
                  <w:r>
                    <w:rPr>
                      <w:szCs w:val="21"/>
                    </w:rPr>
                    <w:t>50%</w:t>
                  </w:r>
                </w:p>
              </w:tc>
              <w:tc>
                <w:tcPr>
                  <w:tcW w:w="528" w:type="pct"/>
                  <w:tcBorders>
                    <w:top w:val="single" w:color="auto" w:sz="6" w:space="0"/>
                    <w:left w:val="single" w:color="auto" w:sz="4" w:space="0"/>
                    <w:bottom w:val="single" w:color="auto" w:sz="6" w:space="0"/>
                    <w:right w:val="nil"/>
                  </w:tcBorders>
                  <w:vAlign w:val="center"/>
                </w:tcPr>
                <w:p>
                  <w:pPr>
                    <w:jc w:val="center"/>
                    <w:rPr>
                      <w:szCs w:val="21"/>
                    </w:rPr>
                  </w:pPr>
                  <w:r>
                    <w:rPr>
                      <w:color w:val="000000"/>
                      <w:szCs w:val="21"/>
                    </w:rPr>
                    <w:t>0.00003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25</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2,6</w:t>
                  </w:r>
                  <w:r>
                    <w:rPr>
                      <w:rStyle w:val="91"/>
                      <w:rFonts w:hint="default" w:ascii="Times New Roman" w:hAnsi="Times New Roman"/>
                    </w:rPr>
                    <w:t>二叔丁基对甲酚</w:t>
                  </w:r>
                  <w:r>
                    <w:rPr>
                      <w:rStyle w:val="66"/>
                      <w:rFonts w:hint="default" w:ascii="Times New Roman" w:hAnsi="Times New Roman" w:cs="Times New Roman"/>
                    </w:rPr>
                    <w:t>(BHT)</w:t>
                  </w:r>
                </w:p>
              </w:tc>
              <w:tc>
                <w:tcPr>
                  <w:tcW w:w="612" w:type="pct"/>
                  <w:tcBorders>
                    <w:top w:val="single" w:color="auto" w:sz="6" w:space="0"/>
                    <w:bottom w:val="single" w:color="auto" w:sz="6" w:space="0"/>
                  </w:tcBorders>
                  <w:vAlign w:val="center"/>
                </w:tcPr>
                <w:p>
                  <w:pPr>
                    <w:jc w:val="center"/>
                    <w:rPr>
                      <w:szCs w:val="21"/>
                    </w:rPr>
                  </w:pPr>
                  <w:r>
                    <w:rPr>
                      <w:szCs w:val="21"/>
                    </w:rPr>
                    <w:t>0.05</w:t>
                  </w:r>
                </w:p>
              </w:tc>
              <w:tc>
                <w:tcPr>
                  <w:tcW w:w="700" w:type="pct"/>
                  <w:tcBorders>
                    <w:top w:val="single" w:color="auto" w:sz="6" w:space="0"/>
                    <w:bottom w:val="single" w:color="auto" w:sz="6" w:space="0"/>
                  </w:tcBorders>
                  <w:vAlign w:val="center"/>
                </w:tcPr>
                <w:p>
                  <w:pPr>
                    <w:jc w:val="center"/>
                    <w:rPr>
                      <w:szCs w:val="21"/>
                    </w:rPr>
                  </w:pPr>
                  <w:r>
                    <w:rPr>
                      <w:szCs w:val="21"/>
                    </w:rPr>
                    <w:t>100.0%</w:t>
                  </w:r>
                </w:p>
              </w:tc>
              <w:tc>
                <w:tcPr>
                  <w:tcW w:w="534" w:type="pct"/>
                  <w:tcBorders>
                    <w:top w:val="single" w:color="auto" w:sz="6" w:space="0"/>
                    <w:bottom w:val="single" w:color="auto" w:sz="6" w:space="0"/>
                  </w:tcBorders>
                  <w:vAlign w:val="center"/>
                </w:tcPr>
                <w:p>
                  <w:pPr>
                    <w:jc w:val="center"/>
                    <w:rPr>
                      <w:szCs w:val="21"/>
                    </w:rPr>
                  </w:pPr>
                  <w:r>
                    <w:rPr>
                      <w:szCs w:val="21"/>
                    </w:rPr>
                    <w:t>0.05</w:t>
                  </w:r>
                </w:p>
              </w:tc>
              <w:tc>
                <w:tcPr>
                  <w:tcW w:w="446" w:type="pct"/>
                  <w:tcBorders>
                    <w:top w:val="single" w:color="auto" w:sz="6" w:space="0"/>
                    <w:bottom w:val="single" w:color="auto" w:sz="6" w:space="0"/>
                    <w:right w:val="single" w:color="auto" w:sz="4" w:space="0"/>
                  </w:tcBorders>
                  <w:vAlign w:val="center"/>
                </w:tcPr>
                <w:p>
                  <w:pPr>
                    <w:jc w:val="center"/>
                    <w:rPr>
                      <w:szCs w:val="21"/>
                    </w:rPr>
                  </w:pPr>
                  <w:r>
                    <w:rPr>
                      <w:szCs w:val="21"/>
                    </w:rPr>
                    <w:t>1.048</w:t>
                  </w:r>
                </w:p>
              </w:tc>
              <w:tc>
                <w:tcPr>
                  <w:tcW w:w="534" w:type="pct"/>
                  <w:tcBorders>
                    <w:top w:val="single" w:color="auto" w:sz="6" w:space="0"/>
                    <w:left w:val="single" w:color="auto" w:sz="4" w:space="0"/>
                    <w:bottom w:val="single" w:color="auto" w:sz="6" w:space="0"/>
                  </w:tcBorders>
                  <w:vAlign w:val="center"/>
                </w:tcPr>
                <w:p>
                  <w:pPr>
                    <w:jc w:val="center"/>
                    <w:rPr>
                      <w:szCs w:val="21"/>
                    </w:rPr>
                  </w:pPr>
                  <w:r>
                    <w:rPr>
                      <w:szCs w:val="21"/>
                    </w:rPr>
                    <w:t>0.0001</w:t>
                  </w:r>
                </w:p>
              </w:tc>
              <w:tc>
                <w:tcPr>
                  <w:tcW w:w="508" w:type="pct"/>
                  <w:tcBorders>
                    <w:top w:val="single" w:color="auto" w:sz="6" w:space="0"/>
                    <w:left w:val="single" w:color="auto" w:sz="4" w:space="0"/>
                    <w:bottom w:val="single" w:color="auto" w:sz="6" w:space="0"/>
                  </w:tcBorders>
                  <w:vAlign w:val="center"/>
                </w:tcPr>
                <w:p>
                  <w:pPr>
                    <w:jc w:val="center"/>
                    <w:rPr>
                      <w:szCs w:val="21"/>
                    </w:rPr>
                  </w:pPr>
                  <w:r>
                    <w:rPr>
                      <w:szCs w:val="21"/>
                    </w:rPr>
                    <w:t>50%</w:t>
                  </w:r>
                </w:p>
              </w:tc>
              <w:tc>
                <w:tcPr>
                  <w:tcW w:w="528" w:type="pct"/>
                  <w:tcBorders>
                    <w:top w:val="single" w:color="auto" w:sz="6" w:space="0"/>
                    <w:left w:val="single" w:color="auto" w:sz="4" w:space="0"/>
                    <w:bottom w:val="single" w:color="auto" w:sz="6" w:space="0"/>
                    <w:right w:val="nil"/>
                  </w:tcBorders>
                  <w:vAlign w:val="center"/>
                </w:tcPr>
                <w:p>
                  <w:pPr>
                    <w:jc w:val="center"/>
                    <w:rPr>
                      <w:szCs w:val="21"/>
                    </w:rPr>
                  </w:pPr>
                  <w:r>
                    <w:rPr>
                      <w:color w:val="000000"/>
                      <w:szCs w:val="21"/>
                    </w:rPr>
                    <w:t>0.00003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26</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三氯甲烷</w:t>
                  </w:r>
                </w:p>
              </w:tc>
              <w:tc>
                <w:tcPr>
                  <w:tcW w:w="612"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700" w:type="pct"/>
                  <w:tcBorders>
                    <w:top w:val="single" w:color="auto" w:sz="6" w:space="0"/>
                    <w:bottom w:val="single" w:color="auto" w:sz="6" w:space="0"/>
                  </w:tcBorders>
                  <w:vAlign w:val="center"/>
                </w:tcPr>
                <w:p>
                  <w:pPr>
                    <w:pStyle w:val="12"/>
                    <w:snapToGrid w:val="0"/>
                    <w:jc w:val="center"/>
                    <w:rPr>
                      <w:rFonts w:ascii="Times New Roman" w:hAnsi="Times New Roman" w:eastAsia="Times New Roman"/>
                      <w:spacing w:val="-1"/>
                    </w:rPr>
                  </w:pPr>
                  <w:r>
                    <w:rPr>
                      <w:rFonts w:ascii="Times New Roman" w:hAnsi="Times New Roman"/>
                      <w:color w:val="000000"/>
                    </w:rPr>
                    <w:t>100.0%</w:t>
                  </w:r>
                </w:p>
              </w:tc>
              <w:tc>
                <w:tcPr>
                  <w:tcW w:w="534"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446" w:type="pct"/>
                  <w:tcBorders>
                    <w:top w:val="single" w:color="auto" w:sz="6" w:space="0"/>
                    <w:bottom w:val="single" w:color="auto" w:sz="6" w:space="0"/>
                    <w:right w:val="single" w:color="auto" w:sz="4" w:space="0"/>
                  </w:tcBorders>
                  <w:vAlign w:val="center"/>
                </w:tcPr>
                <w:p>
                  <w:pPr>
                    <w:pStyle w:val="12"/>
                    <w:snapToGrid w:val="0"/>
                    <w:jc w:val="center"/>
                    <w:rPr>
                      <w:rFonts w:ascii="Times New Roman" w:hAnsi="Times New Roman" w:eastAsia="Times New Roman"/>
                    </w:rPr>
                  </w:pPr>
                  <w:r>
                    <w:rPr>
                      <w:rFonts w:ascii="Times New Roman" w:hAnsi="Times New Roman"/>
                      <w:color w:val="000000"/>
                    </w:rPr>
                    <w:t>1.48</w:t>
                  </w:r>
                </w:p>
              </w:tc>
              <w:tc>
                <w:tcPr>
                  <w:tcW w:w="534"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0.00001</w:t>
                  </w:r>
                </w:p>
              </w:tc>
              <w:tc>
                <w:tcPr>
                  <w:tcW w:w="508"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eastAsia="Times New Roman"/>
                      <w:spacing w:val="-2"/>
                    </w:rPr>
                  </w:pPr>
                  <w:r>
                    <w:rPr>
                      <w:rFonts w:ascii="Times New Roman" w:hAnsi="Times New Roman"/>
                    </w:rPr>
                    <w:t>50%</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0.000007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27</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一氯二溴甲烷</w:t>
                  </w:r>
                </w:p>
              </w:tc>
              <w:tc>
                <w:tcPr>
                  <w:tcW w:w="612"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700" w:type="pct"/>
                  <w:tcBorders>
                    <w:top w:val="single" w:color="auto" w:sz="6" w:space="0"/>
                    <w:bottom w:val="single" w:color="auto" w:sz="6" w:space="0"/>
                  </w:tcBorders>
                  <w:vAlign w:val="center"/>
                </w:tcPr>
                <w:p>
                  <w:pPr>
                    <w:pStyle w:val="12"/>
                    <w:snapToGrid w:val="0"/>
                    <w:jc w:val="center"/>
                    <w:rPr>
                      <w:rFonts w:ascii="Times New Roman" w:hAnsi="Times New Roman" w:eastAsia="Times New Roman"/>
                      <w:spacing w:val="-1"/>
                    </w:rPr>
                  </w:pPr>
                  <w:r>
                    <w:rPr>
                      <w:rFonts w:ascii="Times New Roman" w:hAnsi="Times New Roman"/>
                      <w:color w:val="000000"/>
                    </w:rPr>
                    <w:t>100.0%</w:t>
                  </w:r>
                </w:p>
              </w:tc>
              <w:tc>
                <w:tcPr>
                  <w:tcW w:w="534"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446" w:type="pct"/>
                  <w:tcBorders>
                    <w:top w:val="single" w:color="auto" w:sz="6" w:space="0"/>
                    <w:bottom w:val="single" w:color="auto" w:sz="6" w:space="0"/>
                    <w:right w:val="single" w:color="auto" w:sz="4" w:space="0"/>
                  </w:tcBorders>
                  <w:vAlign w:val="center"/>
                </w:tcPr>
                <w:p>
                  <w:pPr>
                    <w:pStyle w:val="12"/>
                    <w:snapToGrid w:val="0"/>
                    <w:jc w:val="center"/>
                    <w:rPr>
                      <w:rFonts w:ascii="Times New Roman" w:hAnsi="Times New Roman" w:eastAsia="Times New Roman"/>
                    </w:rPr>
                  </w:pPr>
                  <w:r>
                    <w:rPr>
                      <w:rFonts w:ascii="Times New Roman" w:hAnsi="Times New Roman"/>
                      <w:color w:val="000000"/>
                    </w:rPr>
                    <w:t>2.445</w:t>
                  </w:r>
                </w:p>
              </w:tc>
              <w:tc>
                <w:tcPr>
                  <w:tcW w:w="534"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0.00002</w:t>
                  </w:r>
                </w:p>
              </w:tc>
              <w:tc>
                <w:tcPr>
                  <w:tcW w:w="508"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eastAsia="Times New Roman"/>
                      <w:spacing w:val="-2"/>
                    </w:rPr>
                  </w:pPr>
                  <w:r>
                    <w:rPr>
                      <w:rFonts w:ascii="Times New Roman" w:hAnsi="Times New Roman"/>
                    </w:rPr>
                    <w:t>50%</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0.000012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28</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二氯一溴甲烷</w:t>
                  </w:r>
                </w:p>
              </w:tc>
              <w:tc>
                <w:tcPr>
                  <w:tcW w:w="612"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700" w:type="pct"/>
                  <w:tcBorders>
                    <w:top w:val="single" w:color="auto" w:sz="6" w:space="0"/>
                    <w:bottom w:val="single" w:color="auto" w:sz="6" w:space="0"/>
                  </w:tcBorders>
                  <w:vAlign w:val="center"/>
                </w:tcPr>
                <w:p>
                  <w:pPr>
                    <w:pStyle w:val="12"/>
                    <w:snapToGrid w:val="0"/>
                    <w:jc w:val="center"/>
                    <w:rPr>
                      <w:rFonts w:ascii="Times New Roman" w:hAnsi="Times New Roman" w:eastAsia="Times New Roman"/>
                      <w:spacing w:val="-1"/>
                    </w:rPr>
                  </w:pPr>
                  <w:r>
                    <w:rPr>
                      <w:rFonts w:ascii="Times New Roman" w:hAnsi="Times New Roman"/>
                      <w:color w:val="000000"/>
                    </w:rPr>
                    <w:t>100.0%</w:t>
                  </w:r>
                </w:p>
              </w:tc>
              <w:tc>
                <w:tcPr>
                  <w:tcW w:w="534"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446" w:type="pct"/>
                  <w:tcBorders>
                    <w:top w:val="single" w:color="auto" w:sz="6" w:space="0"/>
                    <w:bottom w:val="single" w:color="auto" w:sz="6" w:space="0"/>
                    <w:right w:val="single" w:color="auto" w:sz="4" w:space="0"/>
                  </w:tcBorders>
                  <w:vAlign w:val="center"/>
                </w:tcPr>
                <w:p>
                  <w:pPr>
                    <w:pStyle w:val="12"/>
                    <w:snapToGrid w:val="0"/>
                    <w:jc w:val="center"/>
                    <w:rPr>
                      <w:rFonts w:ascii="Times New Roman" w:hAnsi="Times New Roman" w:eastAsia="Times New Roman"/>
                    </w:rPr>
                  </w:pPr>
                  <w:r>
                    <w:rPr>
                      <w:rFonts w:ascii="Times New Roman" w:hAnsi="Times New Roman"/>
                      <w:color w:val="000000"/>
                    </w:rPr>
                    <w:t>1.98</w:t>
                  </w:r>
                </w:p>
              </w:tc>
              <w:tc>
                <w:tcPr>
                  <w:tcW w:w="534"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0.00002</w:t>
                  </w:r>
                </w:p>
              </w:tc>
              <w:tc>
                <w:tcPr>
                  <w:tcW w:w="508"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eastAsia="Times New Roman"/>
                      <w:spacing w:val="-2"/>
                    </w:rPr>
                  </w:pPr>
                  <w:r>
                    <w:rPr>
                      <w:rFonts w:ascii="Times New Roman" w:hAnsi="Times New Roman"/>
                    </w:rPr>
                    <w:t>50%</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0.000010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29</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三溴甲烷</w:t>
                  </w:r>
                </w:p>
              </w:tc>
              <w:tc>
                <w:tcPr>
                  <w:tcW w:w="612"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700" w:type="pct"/>
                  <w:tcBorders>
                    <w:top w:val="single" w:color="auto" w:sz="6" w:space="0"/>
                    <w:bottom w:val="single" w:color="auto" w:sz="6" w:space="0"/>
                  </w:tcBorders>
                  <w:vAlign w:val="center"/>
                </w:tcPr>
                <w:p>
                  <w:pPr>
                    <w:pStyle w:val="12"/>
                    <w:snapToGrid w:val="0"/>
                    <w:jc w:val="center"/>
                    <w:rPr>
                      <w:rFonts w:ascii="Times New Roman" w:hAnsi="Times New Roman" w:eastAsia="Times New Roman"/>
                      <w:spacing w:val="-1"/>
                    </w:rPr>
                  </w:pPr>
                  <w:r>
                    <w:rPr>
                      <w:rFonts w:ascii="Times New Roman" w:hAnsi="Times New Roman"/>
                      <w:color w:val="000000"/>
                    </w:rPr>
                    <w:t>100.0%</w:t>
                  </w:r>
                </w:p>
              </w:tc>
              <w:tc>
                <w:tcPr>
                  <w:tcW w:w="534"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446" w:type="pct"/>
                  <w:tcBorders>
                    <w:top w:val="single" w:color="auto" w:sz="6" w:space="0"/>
                    <w:bottom w:val="single" w:color="auto" w:sz="6" w:space="0"/>
                    <w:right w:val="single" w:color="auto" w:sz="4" w:space="0"/>
                  </w:tcBorders>
                  <w:vAlign w:val="center"/>
                </w:tcPr>
                <w:p>
                  <w:pPr>
                    <w:pStyle w:val="12"/>
                    <w:snapToGrid w:val="0"/>
                    <w:jc w:val="center"/>
                    <w:rPr>
                      <w:rFonts w:ascii="Times New Roman" w:hAnsi="Times New Roman" w:eastAsia="Times New Roman"/>
                    </w:rPr>
                  </w:pPr>
                  <w:r>
                    <w:rPr>
                      <w:rFonts w:ascii="Times New Roman" w:hAnsi="Times New Roman"/>
                      <w:color w:val="000000"/>
                    </w:rPr>
                    <w:t>2.89</w:t>
                  </w:r>
                </w:p>
              </w:tc>
              <w:tc>
                <w:tcPr>
                  <w:tcW w:w="534"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0.00003</w:t>
                  </w:r>
                </w:p>
              </w:tc>
              <w:tc>
                <w:tcPr>
                  <w:tcW w:w="508"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eastAsia="Times New Roman"/>
                      <w:spacing w:val="-2"/>
                    </w:rPr>
                  </w:pPr>
                  <w:r>
                    <w:rPr>
                      <w:rFonts w:ascii="Times New Roman" w:hAnsi="Times New Roman"/>
                    </w:rPr>
                    <w:t>50%</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0.000014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30</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三氯乙烯</w:t>
                  </w:r>
                </w:p>
              </w:tc>
              <w:tc>
                <w:tcPr>
                  <w:tcW w:w="612"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700" w:type="pct"/>
                  <w:tcBorders>
                    <w:top w:val="single" w:color="auto" w:sz="6" w:space="0"/>
                    <w:bottom w:val="single" w:color="auto" w:sz="6" w:space="0"/>
                  </w:tcBorders>
                  <w:vAlign w:val="center"/>
                </w:tcPr>
                <w:p>
                  <w:pPr>
                    <w:pStyle w:val="12"/>
                    <w:snapToGrid w:val="0"/>
                    <w:jc w:val="center"/>
                    <w:rPr>
                      <w:rFonts w:ascii="Times New Roman" w:hAnsi="Times New Roman" w:eastAsia="Times New Roman"/>
                      <w:spacing w:val="-1"/>
                    </w:rPr>
                  </w:pPr>
                  <w:r>
                    <w:rPr>
                      <w:rFonts w:ascii="Times New Roman" w:hAnsi="Times New Roman"/>
                      <w:color w:val="000000"/>
                    </w:rPr>
                    <w:t>100.0%</w:t>
                  </w:r>
                </w:p>
              </w:tc>
              <w:tc>
                <w:tcPr>
                  <w:tcW w:w="534"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446" w:type="pct"/>
                  <w:tcBorders>
                    <w:top w:val="single" w:color="auto" w:sz="6" w:space="0"/>
                    <w:bottom w:val="single" w:color="auto" w:sz="6" w:space="0"/>
                    <w:right w:val="single" w:color="auto" w:sz="4" w:space="0"/>
                  </w:tcBorders>
                  <w:vAlign w:val="center"/>
                </w:tcPr>
                <w:p>
                  <w:pPr>
                    <w:pStyle w:val="12"/>
                    <w:snapToGrid w:val="0"/>
                    <w:jc w:val="center"/>
                    <w:rPr>
                      <w:rFonts w:ascii="Times New Roman" w:hAnsi="Times New Roman" w:eastAsia="Times New Roman"/>
                    </w:rPr>
                  </w:pPr>
                  <w:r>
                    <w:rPr>
                      <w:rFonts w:ascii="Times New Roman" w:hAnsi="Times New Roman"/>
                      <w:color w:val="000000"/>
                    </w:rPr>
                    <w:t>1.463</w:t>
                  </w:r>
                </w:p>
              </w:tc>
              <w:tc>
                <w:tcPr>
                  <w:tcW w:w="534"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0.00001</w:t>
                  </w:r>
                </w:p>
              </w:tc>
              <w:tc>
                <w:tcPr>
                  <w:tcW w:w="508"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eastAsia="Times New Roman"/>
                      <w:spacing w:val="-2"/>
                    </w:rPr>
                  </w:pPr>
                  <w:r>
                    <w:rPr>
                      <w:rFonts w:ascii="Times New Roman" w:hAnsi="Times New Roman"/>
                    </w:rPr>
                    <w:t>50%</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0.000007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31</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四氯乙烯</w:t>
                  </w:r>
                </w:p>
              </w:tc>
              <w:tc>
                <w:tcPr>
                  <w:tcW w:w="612"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700" w:type="pct"/>
                  <w:tcBorders>
                    <w:top w:val="single" w:color="auto" w:sz="6" w:space="0"/>
                    <w:bottom w:val="single" w:color="auto" w:sz="6" w:space="0"/>
                  </w:tcBorders>
                  <w:vAlign w:val="center"/>
                </w:tcPr>
                <w:p>
                  <w:pPr>
                    <w:pStyle w:val="12"/>
                    <w:snapToGrid w:val="0"/>
                    <w:jc w:val="center"/>
                    <w:rPr>
                      <w:rFonts w:ascii="Times New Roman" w:hAnsi="Times New Roman" w:eastAsia="Times New Roman"/>
                      <w:spacing w:val="-1"/>
                    </w:rPr>
                  </w:pPr>
                  <w:r>
                    <w:rPr>
                      <w:rFonts w:ascii="Times New Roman" w:hAnsi="Times New Roman"/>
                      <w:color w:val="000000"/>
                    </w:rPr>
                    <w:t>100.0%</w:t>
                  </w:r>
                </w:p>
              </w:tc>
              <w:tc>
                <w:tcPr>
                  <w:tcW w:w="534"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446" w:type="pct"/>
                  <w:tcBorders>
                    <w:top w:val="single" w:color="auto" w:sz="6" w:space="0"/>
                    <w:bottom w:val="single" w:color="auto" w:sz="6" w:space="0"/>
                    <w:right w:val="single" w:color="auto" w:sz="4" w:space="0"/>
                  </w:tcBorders>
                  <w:vAlign w:val="center"/>
                </w:tcPr>
                <w:p>
                  <w:pPr>
                    <w:pStyle w:val="12"/>
                    <w:snapToGrid w:val="0"/>
                    <w:jc w:val="center"/>
                    <w:rPr>
                      <w:rFonts w:ascii="Times New Roman" w:hAnsi="Times New Roman" w:eastAsia="Times New Roman"/>
                    </w:rPr>
                  </w:pPr>
                  <w:r>
                    <w:rPr>
                      <w:rFonts w:ascii="Times New Roman" w:hAnsi="Times New Roman"/>
                      <w:color w:val="000000"/>
                    </w:rPr>
                    <w:t>1.622</w:t>
                  </w:r>
                </w:p>
              </w:tc>
              <w:tc>
                <w:tcPr>
                  <w:tcW w:w="534"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0.00002</w:t>
                  </w:r>
                </w:p>
              </w:tc>
              <w:tc>
                <w:tcPr>
                  <w:tcW w:w="508"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eastAsia="Times New Roman"/>
                      <w:spacing w:val="-2"/>
                    </w:rPr>
                  </w:pPr>
                  <w:r>
                    <w:rPr>
                      <w:rFonts w:ascii="Times New Roman" w:hAnsi="Times New Roman"/>
                    </w:rPr>
                    <w:t>50%</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0.000008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32</w:t>
                  </w:r>
                </w:p>
              </w:tc>
              <w:tc>
                <w:tcPr>
                  <w:tcW w:w="749" w:type="pct"/>
                  <w:tcBorders>
                    <w:top w:val="single" w:color="auto" w:sz="6" w:space="0"/>
                    <w:left w:val="single" w:color="auto" w:sz="4" w:space="0"/>
                    <w:bottom w:val="single" w:color="auto" w:sz="6" w:space="0"/>
                  </w:tcBorders>
                  <w:vAlign w:val="center"/>
                </w:tcPr>
                <w:p>
                  <w:pPr>
                    <w:jc w:val="center"/>
                    <w:rPr>
                      <w:color w:val="000000"/>
                      <w:szCs w:val="21"/>
                    </w:rPr>
                  </w:pPr>
                  <w:r>
                    <w:rPr>
                      <w:color w:val="000000"/>
                      <w:szCs w:val="21"/>
                    </w:rPr>
                    <w:t>1,1,1-</w:t>
                  </w:r>
                  <w:r>
                    <w:rPr>
                      <w:color w:val="000000"/>
                    </w:rPr>
                    <w:t>三氯乙烷</w:t>
                  </w:r>
                </w:p>
              </w:tc>
              <w:tc>
                <w:tcPr>
                  <w:tcW w:w="612"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700" w:type="pct"/>
                  <w:tcBorders>
                    <w:top w:val="single" w:color="auto" w:sz="6" w:space="0"/>
                    <w:bottom w:val="single" w:color="auto" w:sz="6" w:space="0"/>
                  </w:tcBorders>
                  <w:vAlign w:val="center"/>
                </w:tcPr>
                <w:p>
                  <w:pPr>
                    <w:pStyle w:val="12"/>
                    <w:snapToGrid w:val="0"/>
                    <w:jc w:val="center"/>
                    <w:rPr>
                      <w:rFonts w:ascii="Times New Roman" w:hAnsi="Times New Roman" w:eastAsia="Times New Roman"/>
                      <w:spacing w:val="-1"/>
                    </w:rPr>
                  </w:pPr>
                  <w:r>
                    <w:rPr>
                      <w:rFonts w:ascii="Times New Roman" w:hAnsi="Times New Roman"/>
                      <w:color w:val="000000"/>
                    </w:rPr>
                    <w:t>100.0%</w:t>
                  </w:r>
                </w:p>
              </w:tc>
              <w:tc>
                <w:tcPr>
                  <w:tcW w:w="534"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446" w:type="pct"/>
                  <w:tcBorders>
                    <w:top w:val="single" w:color="auto" w:sz="6" w:space="0"/>
                    <w:bottom w:val="single" w:color="auto" w:sz="6" w:space="0"/>
                    <w:right w:val="single" w:color="auto" w:sz="4" w:space="0"/>
                  </w:tcBorders>
                  <w:vAlign w:val="center"/>
                </w:tcPr>
                <w:p>
                  <w:pPr>
                    <w:pStyle w:val="12"/>
                    <w:snapToGrid w:val="0"/>
                    <w:jc w:val="center"/>
                    <w:rPr>
                      <w:rFonts w:ascii="Times New Roman" w:hAnsi="Times New Roman" w:eastAsia="Times New Roman"/>
                    </w:rPr>
                  </w:pPr>
                  <w:r>
                    <w:rPr>
                      <w:rFonts w:ascii="Times New Roman" w:hAnsi="Times New Roman"/>
                      <w:color w:val="000000"/>
                    </w:rPr>
                    <w:t>1.336</w:t>
                  </w:r>
                </w:p>
              </w:tc>
              <w:tc>
                <w:tcPr>
                  <w:tcW w:w="534"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0.00001</w:t>
                  </w:r>
                </w:p>
              </w:tc>
              <w:tc>
                <w:tcPr>
                  <w:tcW w:w="508"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eastAsia="Times New Roman"/>
                      <w:spacing w:val="-2"/>
                    </w:rPr>
                  </w:pPr>
                  <w:r>
                    <w:rPr>
                      <w:rFonts w:ascii="Times New Roman" w:hAnsi="Times New Roman"/>
                    </w:rPr>
                    <w:t>50%</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0.000007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33</w:t>
                  </w:r>
                </w:p>
              </w:tc>
              <w:tc>
                <w:tcPr>
                  <w:tcW w:w="749" w:type="pct"/>
                  <w:tcBorders>
                    <w:top w:val="single" w:color="auto" w:sz="6" w:space="0"/>
                    <w:left w:val="single" w:color="auto" w:sz="4" w:space="0"/>
                    <w:bottom w:val="single" w:color="auto" w:sz="6" w:space="0"/>
                  </w:tcBorders>
                  <w:vAlign w:val="center"/>
                </w:tcPr>
                <w:p>
                  <w:pPr>
                    <w:jc w:val="center"/>
                    <w:rPr>
                      <w:color w:val="000000"/>
                      <w:szCs w:val="21"/>
                    </w:rPr>
                  </w:pPr>
                  <w:r>
                    <w:rPr>
                      <w:color w:val="000000"/>
                      <w:szCs w:val="21"/>
                    </w:rPr>
                    <w:t>1</w:t>
                  </w:r>
                  <w:r>
                    <w:rPr>
                      <w:color w:val="000000"/>
                    </w:rPr>
                    <w:t>，</w:t>
                  </w:r>
                  <w:r>
                    <w:rPr>
                      <w:szCs w:val="21"/>
                    </w:rPr>
                    <w:t>1-</w:t>
                  </w:r>
                  <w:r>
                    <w:rPr>
                      <w:color w:val="000000"/>
                    </w:rPr>
                    <w:t>二氯乙烯</w:t>
                  </w:r>
                </w:p>
              </w:tc>
              <w:tc>
                <w:tcPr>
                  <w:tcW w:w="612"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700" w:type="pct"/>
                  <w:tcBorders>
                    <w:top w:val="single" w:color="auto" w:sz="6" w:space="0"/>
                    <w:bottom w:val="single" w:color="auto" w:sz="6" w:space="0"/>
                  </w:tcBorders>
                  <w:vAlign w:val="center"/>
                </w:tcPr>
                <w:p>
                  <w:pPr>
                    <w:pStyle w:val="12"/>
                    <w:snapToGrid w:val="0"/>
                    <w:jc w:val="center"/>
                    <w:rPr>
                      <w:rFonts w:ascii="Times New Roman" w:hAnsi="Times New Roman" w:eastAsia="Times New Roman"/>
                      <w:spacing w:val="-1"/>
                    </w:rPr>
                  </w:pPr>
                  <w:r>
                    <w:rPr>
                      <w:rFonts w:ascii="Times New Roman" w:hAnsi="Times New Roman"/>
                      <w:color w:val="000000"/>
                    </w:rPr>
                    <w:t>100.0%</w:t>
                  </w:r>
                </w:p>
              </w:tc>
              <w:tc>
                <w:tcPr>
                  <w:tcW w:w="534"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446" w:type="pct"/>
                  <w:tcBorders>
                    <w:top w:val="single" w:color="auto" w:sz="6" w:space="0"/>
                    <w:bottom w:val="single" w:color="auto" w:sz="6" w:space="0"/>
                    <w:right w:val="single" w:color="auto" w:sz="4" w:space="0"/>
                  </w:tcBorders>
                  <w:vAlign w:val="center"/>
                </w:tcPr>
                <w:p>
                  <w:pPr>
                    <w:pStyle w:val="12"/>
                    <w:snapToGrid w:val="0"/>
                    <w:jc w:val="center"/>
                    <w:rPr>
                      <w:rFonts w:ascii="Times New Roman" w:hAnsi="Times New Roman" w:eastAsia="Times New Roman"/>
                    </w:rPr>
                  </w:pPr>
                  <w:r>
                    <w:rPr>
                      <w:rFonts w:ascii="Times New Roman" w:hAnsi="Times New Roman"/>
                      <w:color w:val="000000"/>
                    </w:rPr>
                    <w:t>1.218</w:t>
                  </w:r>
                </w:p>
              </w:tc>
              <w:tc>
                <w:tcPr>
                  <w:tcW w:w="534"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0.00001</w:t>
                  </w:r>
                </w:p>
              </w:tc>
              <w:tc>
                <w:tcPr>
                  <w:tcW w:w="508"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eastAsia="Times New Roman"/>
                      <w:spacing w:val="-2"/>
                    </w:rPr>
                  </w:pPr>
                  <w:r>
                    <w:rPr>
                      <w:rFonts w:ascii="Times New Roman" w:hAnsi="Times New Roman"/>
                    </w:rPr>
                    <w:t>50%</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0.000006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34</w:t>
                  </w:r>
                </w:p>
              </w:tc>
              <w:tc>
                <w:tcPr>
                  <w:tcW w:w="749" w:type="pct"/>
                  <w:tcBorders>
                    <w:top w:val="single" w:color="auto" w:sz="6" w:space="0"/>
                    <w:left w:val="single" w:color="auto" w:sz="4" w:space="0"/>
                    <w:bottom w:val="single" w:color="auto" w:sz="6" w:space="0"/>
                  </w:tcBorders>
                  <w:vAlign w:val="center"/>
                </w:tcPr>
                <w:p>
                  <w:pPr>
                    <w:jc w:val="center"/>
                    <w:rPr>
                      <w:color w:val="000000"/>
                      <w:szCs w:val="21"/>
                    </w:rPr>
                  </w:pPr>
                  <w:r>
                    <w:rPr>
                      <w:color w:val="000000"/>
                      <w:szCs w:val="21"/>
                    </w:rPr>
                    <w:t>1</w:t>
                  </w:r>
                  <w:r>
                    <w:rPr>
                      <w:color w:val="000000"/>
                    </w:rPr>
                    <w:t>，</w:t>
                  </w:r>
                  <w:r>
                    <w:rPr>
                      <w:szCs w:val="21"/>
                    </w:rPr>
                    <w:t>2-</w:t>
                  </w:r>
                  <w:r>
                    <w:rPr>
                      <w:color w:val="000000"/>
                    </w:rPr>
                    <w:t>二氯乙烯</w:t>
                  </w:r>
                </w:p>
              </w:tc>
              <w:tc>
                <w:tcPr>
                  <w:tcW w:w="612"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700" w:type="pct"/>
                  <w:tcBorders>
                    <w:top w:val="single" w:color="auto" w:sz="6" w:space="0"/>
                    <w:bottom w:val="single" w:color="auto" w:sz="6" w:space="0"/>
                  </w:tcBorders>
                  <w:vAlign w:val="center"/>
                </w:tcPr>
                <w:p>
                  <w:pPr>
                    <w:pStyle w:val="12"/>
                    <w:snapToGrid w:val="0"/>
                    <w:jc w:val="center"/>
                    <w:rPr>
                      <w:rFonts w:ascii="Times New Roman" w:hAnsi="Times New Roman" w:eastAsia="Times New Roman"/>
                      <w:spacing w:val="-1"/>
                    </w:rPr>
                  </w:pPr>
                  <w:r>
                    <w:rPr>
                      <w:rFonts w:ascii="Times New Roman" w:hAnsi="Times New Roman"/>
                      <w:color w:val="000000"/>
                    </w:rPr>
                    <w:t>100.0%</w:t>
                  </w:r>
                </w:p>
              </w:tc>
              <w:tc>
                <w:tcPr>
                  <w:tcW w:w="534"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446" w:type="pct"/>
                  <w:tcBorders>
                    <w:top w:val="single" w:color="auto" w:sz="6" w:space="0"/>
                    <w:bottom w:val="single" w:color="auto" w:sz="6" w:space="0"/>
                    <w:right w:val="single" w:color="auto" w:sz="4" w:space="0"/>
                  </w:tcBorders>
                  <w:vAlign w:val="center"/>
                </w:tcPr>
                <w:p>
                  <w:pPr>
                    <w:pStyle w:val="12"/>
                    <w:snapToGrid w:val="0"/>
                    <w:jc w:val="center"/>
                    <w:rPr>
                      <w:rFonts w:ascii="Times New Roman" w:hAnsi="Times New Roman" w:eastAsia="Times New Roman"/>
                    </w:rPr>
                  </w:pPr>
                  <w:r>
                    <w:rPr>
                      <w:rFonts w:ascii="Times New Roman" w:hAnsi="Times New Roman"/>
                      <w:color w:val="000000"/>
                    </w:rPr>
                    <w:t>1.243</w:t>
                  </w:r>
                </w:p>
              </w:tc>
              <w:tc>
                <w:tcPr>
                  <w:tcW w:w="534"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0.00001</w:t>
                  </w:r>
                </w:p>
              </w:tc>
              <w:tc>
                <w:tcPr>
                  <w:tcW w:w="508"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eastAsia="Times New Roman"/>
                      <w:spacing w:val="-2"/>
                    </w:rPr>
                  </w:pPr>
                  <w:r>
                    <w:rPr>
                      <w:rFonts w:ascii="Times New Roman" w:hAnsi="Times New Roman"/>
                    </w:rPr>
                    <w:t>50%</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0.000006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35</w:t>
                  </w:r>
                </w:p>
              </w:tc>
              <w:tc>
                <w:tcPr>
                  <w:tcW w:w="749" w:type="pct"/>
                  <w:tcBorders>
                    <w:top w:val="single" w:color="auto" w:sz="6" w:space="0"/>
                    <w:left w:val="single" w:color="auto" w:sz="4" w:space="0"/>
                    <w:bottom w:val="single" w:color="auto" w:sz="6" w:space="0"/>
                  </w:tcBorders>
                  <w:vAlign w:val="center"/>
                </w:tcPr>
                <w:p>
                  <w:pPr>
                    <w:jc w:val="center"/>
                    <w:rPr>
                      <w:color w:val="000000"/>
                      <w:szCs w:val="21"/>
                    </w:rPr>
                  </w:pPr>
                  <w:r>
                    <w:rPr>
                      <w:color w:val="000000"/>
                      <w:szCs w:val="21"/>
                    </w:rPr>
                    <w:t>苯</w:t>
                  </w:r>
                </w:p>
              </w:tc>
              <w:tc>
                <w:tcPr>
                  <w:tcW w:w="612"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700" w:type="pct"/>
                  <w:tcBorders>
                    <w:top w:val="single" w:color="auto" w:sz="6" w:space="0"/>
                    <w:bottom w:val="single" w:color="auto" w:sz="6" w:space="0"/>
                  </w:tcBorders>
                  <w:vAlign w:val="center"/>
                </w:tcPr>
                <w:p>
                  <w:pPr>
                    <w:pStyle w:val="12"/>
                    <w:snapToGrid w:val="0"/>
                    <w:jc w:val="center"/>
                    <w:rPr>
                      <w:rFonts w:ascii="Times New Roman" w:hAnsi="Times New Roman" w:eastAsia="Times New Roman"/>
                      <w:spacing w:val="-1"/>
                    </w:rPr>
                  </w:pPr>
                  <w:r>
                    <w:rPr>
                      <w:rFonts w:ascii="Times New Roman" w:hAnsi="Times New Roman"/>
                      <w:color w:val="000000"/>
                    </w:rPr>
                    <w:t>100.0%</w:t>
                  </w:r>
                </w:p>
              </w:tc>
              <w:tc>
                <w:tcPr>
                  <w:tcW w:w="534"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446" w:type="pct"/>
                  <w:tcBorders>
                    <w:top w:val="single" w:color="auto" w:sz="6" w:space="0"/>
                    <w:bottom w:val="single" w:color="auto" w:sz="6" w:space="0"/>
                    <w:right w:val="single" w:color="auto" w:sz="4" w:space="0"/>
                  </w:tcBorders>
                  <w:vAlign w:val="center"/>
                </w:tcPr>
                <w:p>
                  <w:pPr>
                    <w:pStyle w:val="12"/>
                    <w:snapToGrid w:val="0"/>
                    <w:jc w:val="center"/>
                    <w:rPr>
                      <w:rFonts w:ascii="Times New Roman" w:hAnsi="Times New Roman" w:eastAsia="Times New Roman"/>
                    </w:rPr>
                  </w:pPr>
                  <w:r>
                    <w:rPr>
                      <w:rFonts w:ascii="Times New Roman" w:hAnsi="Times New Roman"/>
                      <w:color w:val="000000"/>
                    </w:rPr>
                    <w:t>0.88</w:t>
                  </w:r>
                </w:p>
              </w:tc>
              <w:tc>
                <w:tcPr>
                  <w:tcW w:w="534"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0.00001</w:t>
                  </w:r>
                </w:p>
              </w:tc>
              <w:tc>
                <w:tcPr>
                  <w:tcW w:w="508"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eastAsia="Times New Roman"/>
                      <w:spacing w:val="-2"/>
                    </w:rPr>
                  </w:pPr>
                  <w:r>
                    <w:rPr>
                      <w:rFonts w:ascii="Times New Roman" w:hAnsi="Times New Roman"/>
                    </w:rPr>
                    <w:t>50%</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0.000004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36</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乙苯</w:t>
                  </w:r>
                </w:p>
              </w:tc>
              <w:tc>
                <w:tcPr>
                  <w:tcW w:w="612"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700" w:type="pct"/>
                  <w:tcBorders>
                    <w:top w:val="single" w:color="auto" w:sz="6" w:space="0"/>
                    <w:bottom w:val="single" w:color="auto" w:sz="6" w:space="0"/>
                  </w:tcBorders>
                  <w:vAlign w:val="center"/>
                </w:tcPr>
                <w:p>
                  <w:pPr>
                    <w:pStyle w:val="12"/>
                    <w:snapToGrid w:val="0"/>
                    <w:jc w:val="center"/>
                    <w:rPr>
                      <w:rFonts w:ascii="Times New Roman" w:hAnsi="Times New Roman" w:eastAsia="Times New Roman"/>
                      <w:spacing w:val="-1"/>
                    </w:rPr>
                  </w:pPr>
                  <w:r>
                    <w:rPr>
                      <w:rFonts w:ascii="Times New Roman" w:hAnsi="Times New Roman"/>
                      <w:color w:val="000000"/>
                    </w:rPr>
                    <w:t>100.0%</w:t>
                  </w:r>
                </w:p>
              </w:tc>
              <w:tc>
                <w:tcPr>
                  <w:tcW w:w="534"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446" w:type="pct"/>
                  <w:tcBorders>
                    <w:top w:val="single" w:color="auto" w:sz="6" w:space="0"/>
                    <w:bottom w:val="single" w:color="auto" w:sz="6" w:space="0"/>
                    <w:right w:val="single" w:color="auto" w:sz="4" w:space="0"/>
                  </w:tcBorders>
                  <w:vAlign w:val="center"/>
                </w:tcPr>
                <w:p>
                  <w:pPr>
                    <w:pStyle w:val="12"/>
                    <w:snapToGrid w:val="0"/>
                    <w:jc w:val="center"/>
                    <w:rPr>
                      <w:rFonts w:ascii="Times New Roman" w:hAnsi="Times New Roman" w:eastAsia="Times New Roman"/>
                    </w:rPr>
                  </w:pPr>
                  <w:r>
                    <w:rPr>
                      <w:rFonts w:ascii="Times New Roman" w:hAnsi="Times New Roman"/>
                      <w:color w:val="000000"/>
                    </w:rPr>
                    <w:t>0.867</w:t>
                  </w:r>
                </w:p>
              </w:tc>
              <w:tc>
                <w:tcPr>
                  <w:tcW w:w="534"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0.00001</w:t>
                  </w:r>
                </w:p>
              </w:tc>
              <w:tc>
                <w:tcPr>
                  <w:tcW w:w="508"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eastAsia="Times New Roman"/>
                      <w:spacing w:val="-2"/>
                    </w:rPr>
                  </w:pPr>
                  <w:r>
                    <w:rPr>
                      <w:rFonts w:ascii="Times New Roman" w:hAnsi="Times New Roman"/>
                    </w:rPr>
                    <w:t>50%</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0.000004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37</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二甲苯</w:t>
                  </w:r>
                </w:p>
              </w:tc>
              <w:tc>
                <w:tcPr>
                  <w:tcW w:w="612"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700" w:type="pct"/>
                  <w:tcBorders>
                    <w:top w:val="single" w:color="auto" w:sz="6" w:space="0"/>
                    <w:bottom w:val="single" w:color="auto" w:sz="6" w:space="0"/>
                  </w:tcBorders>
                  <w:vAlign w:val="center"/>
                </w:tcPr>
                <w:p>
                  <w:pPr>
                    <w:pStyle w:val="12"/>
                    <w:snapToGrid w:val="0"/>
                    <w:jc w:val="center"/>
                    <w:rPr>
                      <w:rFonts w:ascii="Times New Roman" w:hAnsi="Times New Roman" w:eastAsia="Times New Roman"/>
                      <w:spacing w:val="-1"/>
                    </w:rPr>
                  </w:pPr>
                  <w:r>
                    <w:rPr>
                      <w:rFonts w:ascii="Times New Roman" w:hAnsi="Times New Roman"/>
                      <w:color w:val="000000"/>
                    </w:rPr>
                    <w:t>100.0%</w:t>
                  </w:r>
                </w:p>
              </w:tc>
              <w:tc>
                <w:tcPr>
                  <w:tcW w:w="534"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446" w:type="pct"/>
                  <w:tcBorders>
                    <w:top w:val="single" w:color="auto" w:sz="6" w:space="0"/>
                    <w:bottom w:val="single" w:color="auto" w:sz="6" w:space="0"/>
                    <w:right w:val="single" w:color="auto" w:sz="4" w:space="0"/>
                  </w:tcBorders>
                  <w:vAlign w:val="center"/>
                </w:tcPr>
                <w:p>
                  <w:pPr>
                    <w:pStyle w:val="12"/>
                    <w:snapToGrid w:val="0"/>
                    <w:jc w:val="center"/>
                    <w:rPr>
                      <w:rFonts w:ascii="Times New Roman" w:hAnsi="Times New Roman" w:eastAsia="Times New Roman"/>
                    </w:rPr>
                  </w:pPr>
                  <w:r>
                    <w:rPr>
                      <w:rFonts w:ascii="Times New Roman" w:hAnsi="Times New Roman"/>
                      <w:color w:val="000000"/>
                    </w:rPr>
                    <w:t>0.897</w:t>
                  </w:r>
                </w:p>
              </w:tc>
              <w:tc>
                <w:tcPr>
                  <w:tcW w:w="534"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0.00001</w:t>
                  </w:r>
                </w:p>
              </w:tc>
              <w:tc>
                <w:tcPr>
                  <w:tcW w:w="508"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eastAsia="Times New Roman"/>
                      <w:spacing w:val="-2"/>
                    </w:rPr>
                  </w:pPr>
                  <w:r>
                    <w:rPr>
                      <w:rFonts w:ascii="Times New Roman" w:hAnsi="Times New Roman"/>
                    </w:rPr>
                    <w:t>50%</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0.000004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38</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甲苯</w:t>
                  </w:r>
                </w:p>
              </w:tc>
              <w:tc>
                <w:tcPr>
                  <w:tcW w:w="612"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700" w:type="pct"/>
                  <w:tcBorders>
                    <w:top w:val="single" w:color="auto" w:sz="6" w:space="0"/>
                    <w:bottom w:val="single" w:color="auto" w:sz="6" w:space="0"/>
                  </w:tcBorders>
                  <w:vAlign w:val="center"/>
                </w:tcPr>
                <w:p>
                  <w:pPr>
                    <w:pStyle w:val="12"/>
                    <w:snapToGrid w:val="0"/>
                    <w:jc w:val="center"/>
                    <w:rPr>
                      <w:rFonts w:ascii="Times New Roman" w:hAnsi="Times New Roman" w:eastAsia="Times New Roman"/>
                      <w:spacing w:val="-1"/>
                    </w:rPr>
                  </w:pPr>
                  <w:r>
                    <w:rPr>
                      <w:rFonts w:ascii="Times New Roman" w:hAnsi="Times New Roman"/>
                      <w:color w:val="000000"/>
                    </w:rPr>
                    <w:t>100.0%</w:t>
                  </w:r>
                </w:p>
              </w:tc>
              <w:tc>
                <w:tcPr>
                  <w:tcW w:w="534"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446" w:type="pct"/>
                  <w:tcBorders>
                    <w:top w:val="single" w:color="auto" w:sz="6" w:space="0"/>
                    <w:bottom w:val="single" w:color="auto" w:sz="6" w:space="0"/>
                    <w:right w:val="single" w:color="auto" w:sz="4" w:space="0"/>
                  </w:tcBorders>
                  <w:vAlign w:val="center"/>
                </w:tcPr>
                <w:p>
                  <w:pPr>
                    <w:pStyle w:val="12"/>
                    <w:snapToGrid w:val="0"/>
                    <w:jc w:val="center"/>
                    <w:rPr>
                      <w:rFonts w:ascii="Times New Roman" w:hAnsi="Times New Roman" w:eastAsia="Times New Roman"/>
                    </w:rPr>
                  </w:pPr>
                  <w:r>
                    <w:rPr>
                      <w:rFonts w:ascii="Times New Roman" w:hAnsi="Times New Roman"/>
                      <w:color w:val="000000"/>
                    </w:rPr>
                    <w:t>0.872</w:t>
                  </w:r>
                </w:p>
              </w:tc>
              <w:tc>
                <w:tcPr>
                  <w:tcW w:w="534"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0.00001</w:t>
                  </w:r>
                </w:p>
              </w:tc>
              <w:tc>
                <w:tcPr>
                  <w:tcW w:w="508"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eastAsia="Times New Roman"/>
                      <w:spacing w:val="-2"/>
                    </w:rPr>
                  </w:pPr>
                  <w:r>
                    <w:rPr>
                      <w:rFonts w:ascii="Times New Roman" w:hAnsi="Times New Roman"/>
                    </w:rPr>
                    <w:t>50%</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0.000004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39</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苯乙烯</w:t>
                  </w:r>
                </w:p>
              </w:tc>
              <w:tc>
                <w:tcPr>
                  <w:tcW w:w="612"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700" w:type="pct"/>
                  <w:tcBorders>
                    <w:top w:val="single" w:color="auto" w:sz="6" w:space="0"/>
                    <w:bottom w:val="single" w:color="auto" w:sz="6" w:space="0"/>
                  </w:tcBorders>
                  <w:vAlign w:val="center"/>
                </w:tcPr>
                <w:p>
                  <w:pPr>
                    <w:pStyle w:val="12"/>
                    <w:snapToGrid w:val="0"/>
                    <w:jc w:val="center"/>
                    <w:rPr>
                      <w:rFonts w:ascii="Times New Roman" w:hAnsi="Times New Roman" w:eastAsia="Times New Roman"/>
                      <w:spacing w:val="-1"/>
                    </w:rPr>
                  </w:pPr>
                  <w:r>
                    <w:rPr>
                      <w:rFonts w:ascii="Times New Roman" w:hAnsi="Times New Roman"/>
                      <w:color w:val="000000"/>
                    </w:rPr>
                    <w:t>100.0%</w:t>
                  </w:r>
                </w:p>
              </w:tc>
              <w:tc>
                <w:tcPr>
                  <w:tcW w:w="534"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446" w:type="pct"/>
                  <w:tcBorders>
                    <w:top w:val="single" w:color="auto" w:sz="6" w:space="0"/>
                    <w:bottom w:val="single" w:color="auto" w:sz="6" w:space="0"/>
                    <w:right w:val="single" w:color="auto" w:sz="4" w:space="0"/>
                  </w:tcBorders>
                  <w:vAlign w:val="center"/>
                </w:tcPr>
                <w:p>
                  <w:pPr>
                    <w:pStyle w:val="12"/>
                    <w:snapToGrid w:val="0"/>
                    <w:jc w:val="center"/>
                    <w:rPr>
                      <w:rFonts w:ascii="Times New Roman" w:hAnsi="Times New Roman" w:eastAsia="Times New Roman"/>
                    </w:rPr>
                  </w:pPr>
                  <w:r>
                    <w:rPr>
                      <w:rFonts w:ascii="Times New Roman" w:hAnsi="Times New Roman"/>
                      <w:color w:val="000000"/>
                    </w:rPr>
                    <w:t>0.902</w:t>
                  </w:r>
                </w:p>
              </w:tc>
              <w:tc>
                <w:tcPr>
                  <w:tcW w:w="534"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0.00001</w:t>
                  </w:r>
                </w:p>
              </w:tc>
              <w:tc>
                <w:tcPr>
                  <w:tcW w:w="508"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eastAsia="Times New Roman"/>
                      <w:spacing w:val="-2"/>
                    </w:rPr>
                  </w:pPr>
                  <w:r>
                    <w:rPr>
                      <w:rFonts w:ascii="Times New Roman" w:hAnsi="Times New Roman"/>
                    </w:rPr>
                    <w:t>50%</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0.000005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color w:val="000000"/>
                      <w:szCs w:val="21"/>
                    </w:rPr>
                    <w:t>40</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氯苯</w:t>
                  </w:r>
                </w:p>
              </w:tc>
              <w:tc>
                <w:tcPr>
                  <w:tcW w:w="612"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700" w:type="pct"/>
                  <w:tcBorders>
                    <w:top w:val="single" w:color="auto" w:sz="6" w:space="0"/>
                    <w:bottom w:val="single" w:color="auto" w:sz="6" w:space="0"/>
                  </w:tcBorders>
                  <w:vAlign w:val="center"/>
                </w:tcPr>
                <w:p>
                  <w:pPr>
                    <w:pStyle w:val="12"/>
                    <w:snapToGrid w:val="0"/>
                    <w:jc w:val="center"/>
                    <w:rPr>
                      <w:rFonts w:ascii="Times New Roman" w:hAnsi="Times New Roman" w:eastAsia="Times New Roman"/>
                      <w:spacing w:val="-1"/>
                    </w:rPr>
                  </w:pPr>
                  <w:r>
                    <w:rPr>
                      <w:rFonts w:ascii="Times New Roman" w:hAnsi="Times New Roman"/>
                      <w:color w:val="000000"/>
                    </w:rPr>
                    <w:t>100.0%</w:t>
                  </w:r>
                </w:p>
              </w:tc>
              <w:tc>
                <w:tcPr>
                  <w:tcW w:w="534"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446" w:type="pct"/>
                  <w:tcBorders>
                    <w:top w:val="single" w:color="auto" w:sz="6" w:space="0"/>
                    <w:bottom w:val="single" w:color="auto" w:sz="6" w:space="0"/>
                    <w:right w:val="single" w:color="auto" w:sz="4" w:space="0"/>
                  </w:tcBorders>
                  <w:vAlign w:val="center"/>
                </w:tcPr>
                <w:p>
                  <w:pPr>
                    <w:pStyle w:val="12"/>
                    <w:snapToGrid w:val="0"/>
                    <w:jc w:val="center"/>
                    <w:rPr>
                      <w:rFonts w:ascii="Times New Roman" w:hAnsi="Times New Roman" w:eastAsia="Times New Roman"/>
                    </w:rPr>
                  </w:pPr>
                  <w:r>
                    <w:rPr>
                      <w:rFonts w:ascii="Times New Roman" w:hAnsi="Times New Roman"/>
                      <w:color w:val="000000"/>
                    </w:rPr>
                    <w:t>1.100</w:t>
                  </w:r>
                </w:p>
              </w:tc>
              <w:tc>
                <w:tcPr>
                  <w:tcW w:w="534"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0.00001</w:t>
                  </w:r>
                </w:p>
              </w:tc>
              <w:tc>
                <w:tcPr>
                  <w:tcW w:w="508"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eastAsia="Times New Roman"/>
                      <w:spacing w:val="-2"/>
                    </w:rPr>
                  </w:pPr>
                  <w:r>
                    <w:rPr>
                      <w:rFonts w:ascii="Times New Roman" w:hAnsi="Times New Roman"/>
                    </w:rPr>
                    <w:t>50%</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0.000006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rFonts w:hint="eastAsia"/>
                      <w:bCs/>
                      <w:color w:val="000000"/>
                      <w:szCs w:val="21"/>
                    </w:rPr>
                    <w:t>4</w:t>
                  </w:r>
                  <w:r>
                    <w:rPr>
                      <w:bCs/>
                      <w:color w:val="000000"/>
                      <w:szCs w:val="21"/>
                    </w:rPr>
                    <w:t>1</w:t>
                  </w:r>
                </w:p>
              </w:tc>
              <w:tc>
                <w:tcPr>
                  <w:tcW w:w="749" w:type="pct"/>
                  <w:tcBorders>
                    <w:top w:val="single" w:color="auto" w:sz="6" w:space="0"/>
                    <w:left w:val="single" w:color="auto" w:sz="4" w:space="0"/>
                    <w:bottom w:val="single" w:color="auto" w:sz="6" w:space="0"/>
                  </w:tcBorders>
                  <w:vAlign w:val="center"/>
                </w:tcPr>
                <w:p>
                  <w:pPr>
                    <w:jc w:val="center"/>
                  </w:pPr>
                  <w:r>
                    <w:rPr>
                      <w:color w:val="000000"/>
                      <w:szCs w:val="21"/>
                    </w:rPr>
                    <w:t>三氯苯</w:t>
                  </w:r>
                </w:p>
              </w:tc>
              <w:tc>
                <w:tcPr>
                  <w:tcW w:w="612"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700" w:type="pct"/>
                  <w:tcBorders>
                    <w:top w:val="single" w:color="auto" w:sz="6" w:space="0"/>
                    <w:bottom w:val="single" w:color="auto" w:sz="6" w:space="0"/>
                  </w:tcBorders>
                  <w:vAlign w:val="center"/>
                </w:tcPr>
                <w:p>
                  <w:pPr>
                    <w:pStyle w:val="12"/>
                    <w:snapToGrid w:val="0"/>
                    <w:jc w:val="center"/>
                    <w:rPr>
                      <w:rFonts w:ascii="Times New Roman" w:hAnsi="Times New Roman" w:eastAsia="Times New Roman"/>
                      <w:spacing w:val="-1"/>
                    </w:rPr>
                  </w:pPr>
                  <w:r>
                    <w:rPr>
                      <w:rFonts w:ascii="Times New Roman" w:hAnsi="Times New Roman"/>
                      <w:color w:val="000000"/>
                    </w:rPr>
                    <w:t>100.0%</w:t>
                  </w:r>
                </w:p>
              </w:tc>
              <w:tc>
                <w:tcPr>
                  <w:tcW w:w="534"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0.01</w:t>
                  </w:r>
                </w:p>
              </w:tc>
              <w:tc>
                <w:tcPr>
                  <w:tcW w:w="446" w:type="pct"/>
                  <w:tcBorders>
                    <w:top w:val="single" w:color="auto" w:sz="6" w:space="0"/>
                    <w:bottom w:val="single" w:color="auto" w:sz="6" w:space="0"/>
                    <w:right w:val="single" w:color="auto" w:sz="4" w:space="0"/>
                  </w:tcBorders>
                  <w:vAlign w:val="center"/>
                </w:tcPr>
                <w:p>
                  <w:pPr>
                    <w:pStyle w:val="12"/>
                    <w:snapToGrid w:val="0"/>
                    <w:jc w:val="center"/>
                    <w:rPr>
                      <w:rFonts w:ascii="Times New Roman" w:hAnsi="Times New Roman" w:eastAsia="Times New Roman"/>
                    </w:rPr>
                  </w:pPr>
                  <w:r>
                    <w:rPr>
                      <w:rFonts w:ascii="Times New Roman" w:hAnsi="Times New Roman"/>
                      <w:color w:val="000000"/>
                    </w:rPr>
                    <w:t>1.448</w:t>
                  </w:r>
                </w:p>
              </w:tc>
              <w:tc>
                <w:tcPr>
                  <w:tcW w:w="534"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0.00001</w:t>
                  </w:r>
                </w:p>
              </w:tc>
              <w:tc>
                <w:tcPr>
                  <w:tcW w:w="508"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eastAsia="Times New Roman"/>
                      <w:spacing w:val="-2"/>
                    </w:rPr>
                  </w:pPr>
                  <w:r>
                    <w:rPr>
                      <w:rFonts w:ascii="Times New Roman" w:hAnsi="Times New Roman"/>
                    </w:rPr>
                    <w:t>50%</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0.000007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vMerge w:val="restart"/>
                  <w:tcBorders>
                    <w:top w:val="single" w:color="auto" w:sz="6" w:space="0"/>
                    <w:left w:val="nil"/>
                    <w:right w:val="single" w:color="auto" w:sz="4" w:space="0"/>
                  </w:tcBorders>
                  <w:vAlign w:val="center"/>
                </w:tcPr>
                <w:p>
                  <w:pPr>
                    <w:ind w:firstLine="35" w:firstLineChars="17"/>
                    <w:jc w:val="center"/>
                    <w:rPr>
                      <w:bCs/>
                      <w:color w:val="000000"/>
                      <w:szCs w:val="21"/>
                    </w:rPr>
                  </w:pPr>
                  <w:r>
                    <w:rPr>
                      <w:bCs/>
                      <w:color w:val="000000"/>
                      <w:szCs w:val="21"/>
                    </w:rPr>
                    <w:t>合计</w:t>
                  </w:r>
                </w:p>
              </w:tc>
              <w:tc>
                <w:tcPr>
                  <w:tcW w:w="749" w:type="pct"/>
                  <w:tcBorders>
                    <w:top w:val="single" w:color="auto" w:sz="6" w:space="0"/>
                    <w:left w:val="single" w:color="auto" w:sz="4" w:space="0"/>
                    <w:bottom w:val="single" w:color="auto" w:sz="6" w:space="0"/>
                  </w:tcBorders>
                  <w:vAlign w:val="center"/>
                </w:tcPr>
                <w:p>
                  <w:pPr>
                    <w:jc w:val="center"/>
                    <w:rPr>
                      <w:color w:val="000000"/>
                      <w:szCs w:val="21"/>
                    </w:rPr>
                  </w:pPr>
                  <w:r>
                    <w:rPr>
                      <w:rFonts w:hint="eastAsia"/>
                      <w:color w:val="000000"/>
                      <w:szCs w:val="21"/>
                    </w:rPr>
                    <w:t>非甲烷总烃</w:t>
                  </w:r>
                </w:p>
              </w:tc>
              <w:tc>
                <w:tcPr>
                  <w:tcW w:w="3335" w:type="pct"/>
                  <w:gridSpan w:val="6"/>
                  <w:tcBorders>
                    <w:top w:val="single" w:color="auto" w:sz="6" w:space="0"/>
                    <w:bottom w:val="single" w:color="auto" w:sz="6" w:space="0"/>
                  </w:tcBorders>
                  <w:vAlign w:val="center"/>
                </w:tcPr>
                <w:p>
                  <w:pPr>
                    <w:pStyle w:val="12"/>
                    <w:snapToGrid w:val="0"/>
                    <w:jc w:val="center"/>
                    <w:rPr>
                      <w:rFonts w:ascii="Times New Roman" w:hAnsi="Times New Roman"/>
                    </w:rPr>
                  </w:pPr>
                  <w:r>
                    <w:rPr>
                      <w:rFonts w:hint="eastAsia" w:ascii="Times New Roman" w:hAnsi="Times New Roman"/>
                    </w:rPr>
                    <w:t>/</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hint="eastAsia" w:ascii="Times New Roman" w:hAnsi="Times New Roman"/>
                      <w:color w:val="000000"/>
                    </w:rPr>
                    <w:t>0</w:t>
                  </w:r>
                  <w:r>
                    <w:rPr>
                      <w:rFonts w:ascii="Times New Roman" w:hAnsi="Times New Roman"/>
                      <w:color w:val="000000"/>
                    </w:rPr>
                    <w:t>.0323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vMerge w:val="continue"/>
                  <w:tcBorders>
                    <w:left w:val="nil"/>
                    <w:right w:val="single" w:color="auto" w:sz="4" w:space="0"/>
                  </w:tcBorders>
                  <w:vAlign w:val="center"/>
                </w:tcPr>
                <w:p>
                  <w:pPr>
                    <w:ind w:firstLine="35" w:firstLineChars="17"/>
                    <w:jc w:val="center"/>
                    <w:rPr>
                      <w:bCs/>
                      <w:color w:val="000000"/>
                      <w:szCs w:val="21"/>
                    </w:rPr>
                  </w:pPr>
                </w:p>
              </w:tc>
              <w:tc>
                <w:tcPr>
                  <w:tcW w:w="749" w:type="pct"/>
                  <w:tcBorders>
                    <w:top w:val="single" w:color="auto" w:sz="6" w:space="0"/>
                    <w:left w:val="single" w:color="auto" w:sz="4" w:space="0"/>
                    <w:bottom w:val="single" w:color="auto" w:sz="6" w:space="0"/>
                  </w:tcBorders>
                  <w:vAlign w:val="center"/>
                </w:tcPr>
                <w:p>
                  <w:pPr>
                    <w:jc w:val="center"/>
                    <w:rPr>
                      <w:color w:val="000000"/>
                      <w:szCs w:val="21"/>
                    </w:rPr>
                  </w:pPr>
                  <w:r>
                    <w:rPr>
                      <w:rFonts w:hint="eastAsia"/>
                      <w:color w:val="000000"/>
                      <w:szCs w:val="21"/>
                    </w:rPr>
                    <w:t>苯</w:t>
                  </w:r>
                </w:p>
              </w:tc>
              <w:tc>
                <w:tcPr>
                  <w:tcW w:w="3335" w:type="pct"/>
                  <w:gridSpan w:val="6"/>
                  <w:tcBorders>
                    <w:top w:val="single" w:color="auto" w:sz="6" w:space="0"/>
                    <w:bottom w:val="single" w:color="auto" w:sz="6" w:space="0"/>
                  </w:tcBorders>
                  <w:vAlign w:val="center"/>
                </w:tcPr>
                <w:p>
                  <w:pPr>
                    <w:pStyle w:val="12"/>
                    <w:snapToGrid w:val="0"/>
                    <w:jc w:val="center"/>
                    <w:rPr>
                      <w:rFonts w:ascii="Times New Roman" w:hAnsi="Times New Roman"/>
                    </w:rPr>
                  </w:pPr>
                  <w:r>
                    <w:rPr>
                      <w:rFonts w:hint="eastAsia" w:ascii="Times New Roman" w:hAnsi="Times New Roman"/>
                    </w:rPr>
                    <w:t>/</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hint="eastAsia" w:ascii="Times New Roman" w:hAnsi="Times New Roman"/>
                      <w:color w:val="000000"/>
                    </w:rPr>
                    <w:t>0</w:t>
                  </w:r>
                  <w:r>
                    <w:rPr>
                      <w:rFonts w:ascii="Times New Roman" w:hAnsi="Times New Roman"/>
                      <w:color w:val="000000"/>
                    </w:rPr>
                    <w:t>.0009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vMerge w:val="continue"/>
                  <w:tcBorders>
                    <w:left w:val="nil"/>
                    <w:right w:val="single" w:color="auto" w:sz="4" w:space="0"/>
                  </w:tcBorders>
                  <w:vAlign w:val="center"/>
                </w:tcPr>
                <w:p>
                  <w:pPr>
                    <w:ind w:firstLine="35" w:firstLineChars="17"/>
                    <w:jc w:val="center"/>
                    <w:rPr>
                      <w:bCs/>
                      <w:color w:val="000000"/>
                      <w:szCs w:val="21"/>
                    </w:rPr>
                  </w:pPr>
                </w:p>
              </w:tc>
              <w:tc>
                <w:tcPr>
                  <w:tcW w:w="749" w:type="pct"/>
                  <w:tcBorders>
                    <w:top w:val="single" w:color="auto" w:sz="6" w:space="0"/>
                    <w:left w:val="single" w:color="auto" w:sz="4" w:space="0"/>
                    <w:bottom w:val="single" w:color="auto" w:sz="6" w:space="0"/>
                  </w:tcBorders>
                  <w:vAlign w:val="center"/>
                </w:tcPr>
                <w:p>
                  <w:pPr>
                    <w:jc w:val="center"/>
                    <w:rPr>
                      <w:color w:val="000000"/>
                      <w:szCs w:val="21"/>
                    </w:rPr>
                  </w:pPr>
                  <w:r>
                    <w:rPr>
                      <w:rFonts w:hint="eastAsia"/>
                      <w:color w:val="000000"/>
                      <w:szCs w:val="21"/>
                    </w:rPr>
                    <w:t>甲苯</w:t>
                  </w:r>
                </w:p>
              </w:tc>
              <w:tc>
                <w:tcPr>
                  <w:tcW w:w="3335" w:type="pct"/>
                  <w:gridSpan w:val="6"/>
                  <w:tcBorders>
                    <w:top w:val="single" w:color="auto" w:sz="6" w:space="0"/>
                    <w:bottom w:val="single" w:color="auto" w:sz="6" w:space="0"/>
                  </w:tcBorders>
                  <w:vAlign w:val="center"/>
                </w:tcPr>
                <w:p>
                  <w:pPr>
                    <w:pStyle w:val="12"/>
                    <w:snapToGrid w:val="0"/>
                    <w:jc w:val="center"/>
                    <w:rPr>
                      <w:rFonts w:ascii="Times New Roman" w:hAnsi="Times New Roman"/>
                    </w:rPr>
                  </w:pPr>
                  <w:r>
                    <w:rPr>
                      <w:rFonts w:hint="eastAsia" w:ascii="Times New Roman" w:hAnsi="Times New Roman"/>
                    </w:rPr>
                    <w:t>/</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hint="eastAsia" w:ascii="Times New Roman" w:hAnsi="Times New Roman"/>
                      <w:color w:val="000000"/>
                    </w:rPr>
                    <w:t>0</w:t>
                  </w:r>
                  <w:r>
                    <w:rPr>
                      <w:rFonts w:ascii="Times New Roman" w:hAnsi="Times New Roman"/>
                      <w:color w:val="000000"/>
                    </w:rPr>
                    <w:t>.0009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vMerge w:val="continue"/>
                  <w:tcBorders>
                    <w:left w:val="nil"/>
                    <w:right w:val="single" w:color="auto" w:sz="4" w:space="0"/>
                  </w:tcBorders>
                  <w:vAlign w:val="center"/>
                </w:tcPr>
                <w:p>
                  <w:pPr>
                    <w:ind w:firstLine="35" w:firstLineChars="17"/>
                    <w:jc w:val="center"/>
                    <w:rPr>
                      <w:bCs/>
                      <w:color w:val="000000"/>
                      <w:szCs w:val="21"/>
                    </w:rPr>
                  </w:pPr>
                </w:p>
              </w:tc>
              <w:tc>
                <w:tcPr>
                  <w:tcW w:w="749" w:type="pct"/>
                  <w:tcBorders>
                    <w:top w:val="single" w:color="auto" w:sz="6" w:space="0"/>
                    <w:left w:val="single" w:color="auto" w:sz="4" w:space="0"/>
                    <w:bottom w:val="single" w:color="auto" w:sz="6" w:space="0"/>
                  </w:tcBorders>
                  <w:vAlign w:val="center"/>
                </w:tcPr>
                <w:p>
                  <w:pPr>
                    <w:jc w:val="center"/>
                    <w:rPr>
                      <w:color w:val="000000"/>
                      <w:szCs w:val="21"/>
                    </w:rPr>
                  </w:pPr>
                  <w:r>
                    <w:rPr>
                      <w:rFonts w:hint="eastAsia"/>
                      <w:color w:val="000000"/>
                      <w:szCs w:val="21"/>
                    </w:rPr>
                    <w:t>二甲苯</w:t>
                  </w:r>
                </w:p>
              </w:tc>
              <w:tc>
                <w:tcPr>
                  <w:tcW w:w="3335" w:type="pct"/>
                  <w:gridSpan w:val="6"/>
                  <w:tcBorders>
                    <w:top w:val="single" w:color="auto" w:sz="6" w:space="0"/>
                    <w:bottom w:val="single" w:color="auto" w:sz="6" w:space="0"/>
                  </w:tcBorders>
                  <w:vAlign w:val="center"/>
                </w:tcPr>
                <w:p>
                  <w:pPr>
                    <w:pStyle w:val="12"/>
                    <w:snapToGrid w:val="0"/>
                    <w:jc w:val="center"/>
                    <w:rPr>
                      <w:rFonts w:ascii="Times New Roman" w:hAnsi="Times New Roman"/>
                    </w:rPr>
                  </w:pPr>
                  <w:r>
                    <w:rPr>
                      <w:rFonts w:hint="eastAsia" w:ascii="Times New Roman" w:hAnsi="Times New Roman"/>
                    </w:rPr>
                    <w:t>/</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0.000001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vMerge w:val="continue"/>
                  <w:tcBorders>
                    <w:left w:val="nil"/>
                    <w:right w:val="single" w:color="auto" w:sz="4" w:space="0"/>
                  </w:tcBorders>
                  <w:vAlign w:val="center"/>
                </w:tcPr>
                <w:p>
                  <w:pPr>
                    <w:ind w:firstLine="35" w:firstLineChars="17"/>
                    <w:jc w:val="center"/>
                    <w:rPr>
                      <w:bCs/>
                      <w:color w:val="000000"/>
                      <w:szCs w:val="21"/>
                    </w:rPr>
                  </w:pPr>
                </w:p>
              </w:tc>
              <w:tc>
                <w:tcPr>
                  <w:tcW w:w="749" w:type="pct"/>
                  <w:tcBorders>
                    <w:top w:val="single" w:color="auto" w:sz="6" w:space="0"/>
                    <w:left w:val="single" w:color="auto" w:sz="4" w:space="0"/>
                    <w:bottom w:val="single" w:color="auto" w:sz="6" w:space="0"/>
                  </w:tcBorders>
                  <w:vAlign w:val="center"/>
                </w:tcPr>
                <w:p>
                  <w:pPr>
                    <w:jc w:val="center"/>
                    <w:rPr>
                      <w:color w:val="000000"/>
                      <w:szCs w:val="21"/>
                    </w:rPr>
                  </w:pPr>
                  <w:r>
                    <w:rPr>
                      <w:rFonts w:hint="eastAsia"/>
                      <w:color w:val="000000"/>
                      <w:szCs w:val="21"/>
                    </w:rPr>
                    <w:t>甲醇</w:t>
                  </w:r>
                </w:p>
              </w:tc>
              <w:tc>
                <w:tcPr>
                  <w:tcW w:w="3335" w:type="pct"/>
                  <w:gridSpan w:val="6"/>
                  <w:tcBorders>
                    <w:top w:val="single" w:color="auto" w:sz="6" w:space="0"/>
                    <w:bottom w:val="single" w:color="auto" w:sz="6" w:space="0"/>
                  </w:tcBorders>
                  <w:vAlign w:val="center"/>
                </w:tcPr>
                <w:p>
                  <w:pPr>
                    <w:pStyle w:val="12"/>
                    <w:snapToGrid w:val="0"/>
                    <w:jc w:val="center"/>
                    <w:rPr>
                      <w:rFonts w:ascii="Times New Roman" w:hAnsi="Times New Roman"/>
                    </w:rPr>
                  </w:pPr>
                  <w:r>
                    <w:rPr>
                      <w:rFonts w:hint="eastAsia" w:ascii="Times New Roman" w:hAnsi="Times New Roman"/>
                    </w:rPr>
                    <w:t>/</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0.0198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vMerge w:val="continue"/>
                  <w:tcBorders>
                    <w:left w:val="nil"/>
                    <w:right w:val="single" w:color="auto" w:sz="4" w:space="0"/>
                  </w:tcBorders>
                  <w:vAlign w:val="center"/>
                </w:tcPr>
                <w:p>
                  <w:pPr>
                    <w:ind w:firstLine="35" w:firstLineChars="17"/>
                    <w:jc w:val="center"/>
                    <w:rPr>
                      <w:bCs/>
                      <w:color w:val="000000"/>
                      <w:szCs w:val="21"/>
                    </w:rPr>
                  </w:pPr>
                </w:p>
              </w:tc>
              <w:tc>
                <w:tcPr>
                  <w:tcW w:w="749" w:type="pct"/>
                  <w:tcBorders>
                    <w:top w:val="single" w:color="auto" w:sz="6" w:space="0"/>
                    <w:left w:val="single" w:color="auto" w:sz="4" w:space="0"/>
                    <w:bottom w:val="single" w:color="auto" w:sz="6" w:space="0"/>
                  </w:tcBorders>
                  <w:vAlign w:val="center"/>
                </w:tcPr>
                <w:p>
                  <w:pPr>
                    <w:jc w:val="center"/>
                    <w:rPr>
                      <w:color w:val="000000"/>
                      <w:szCs w:val="21"/>
                    </w:rPr>
                  </w:pPr>
                  <w:r>
                    <w:rPr>
                      <w:rFonts w:hint="eastAsia"/>
                      <w:color w:val="000000"/>
                      <w:szCs w:val="21"/>
                    </w:rPr>
                    <w:t>甲醛</w:t>
                  </w:r>
                </w:p>
              </w:tc>
              <w:tc>
                <w:tcPr>
                  <w:tcW w:w="3335" w:type="pct"/>
                  <w:gridSpan w:val="6"/>
                  <w:tcBorders>
                    <w:top w:val="single" w:color="auto" w:sz="6" w:space="0"/>
                    <w:bottom w:val="single" w:color="auto" w:sz="6" w:space="0"/>
                  </w:tcBorders>
                  <w:vAlign w:val="center"/>
                </w:tcPr>
                <w:p>
                  <w:pPr>
                    <w:pStyle w:val="12"/>
                    <w:snapToGrid w:val="0"/>
                    <w:jc w:val="center"/>
                    <w:rPr>
                      <w:rFonts w:ascii="Times New Roman" w:hAnsi="Times New Roman"/>
                    </w:rPr>
                  </w:pPr>
                  <w:r>
                    <w:rPr>
                      <w:rFonts w:hint="eastAsia" w:ascii="Times New Roman" w:hAnsi="Times New Roman"/>
                    </w:rPr>
                    <w:t>/</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88" w:type="pct"/>
                  <w:vMerge w:val="continue"/>
                  <w:tcBorders>
                    <w:left w:val="nil"/>
                    <w:bottom w:val="single" w:color="auto" w:sz="6" w:space="0"/>
                    <w:right w:val="single" w:color="auto" w:sz="4" w:space="0"/>
                  </w:tcBorders>
                  <w:vAlign w:val="center"/>
                </w:tcPr>
                <w:p>
                  <w:pPr>
                    <w:ind w:firstLine="35" w:firstLineChars="17"/>
                    <w:jc w:val="center"/>
                    <w:rPr>
                      <w:bCs/>
                      <w:color w:val="000000"/>
                      <w:szCs w:val="21"/>
                    </w:rPr>
                  </w:pPr>
                </w:p>
              </w:tc>
              <w:tc>
                <w:tcPr>
                  <w:tcW w:w="749" w:type="pct"/>
                  <w:tcBorders>
                    <w:top w:val="single" w:color="auto" w:sz="6" w:space="0"/>
                    <w:left w:val="single" w:color="auto" w:sz="4" w:space="0"/>
                    <w:bottom w:val="single" w:color="auto" w:sz="6" w:space="0"/>
                  </w:tcBorders>
                  <w:vAlign w:val="center"/>
                </w:tcPr>
                <w:p>
                  <w:pPr>
                    <w:jc w:val="center"/>
                  </w:pPr>
                  <w:r>
                    <w:rPr>
                      <w:rFonts w:hint="eastAsia"/>
                    </w:rPr>
                    <w:t>合计</w:t>
                  </w:r>
                </w:p>
              </w:tc>
              <w:tc>
                <w:tcPr>
                  <w:tcW w:w="612"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w:t>
                  </w:r>
                </w:p>
              </w:tc>
              <w:tc>
                <w:tcPr>
                  <w:tcW w:w="700" w:type="pct"/>
                  <w:tcBorders>
                    <w:top w:val="single" w:color="auto" w:sz="6" w:space="0"/>
                    <w:bottom w:val="single" w:color="auto" w:sz="6" w:space="0"/>
                  </w:tcBorders>
                  <w:vAlign w:val="center"/>
                </w:tcPr>
                <w:p>
                  <w:pPr>
                    <w:pStyle w:val="12"/>
                    <w:snapToGrid w:val="0"/>
                    <w:jc w:val="center"/>
                    <w:rPr>
                      <w:rFonts w:ascii="Times New Roman" w:hAnsi="Times New Roman" w:eastAsia="等线"/>
                      <w:spacing w:val="-1"/>
                    </w:rPr>
                  </w:pPr>
                  <w:r>
                    <w:rPr>
                      <w:rFonts w:ascii="Times New Roman" w:hAnsi="Times New Roman" w:eastAsia="等线"/>
                      <w:spacing w:val="-1"/>
                    </w:rPr>
                    <w:t>/</w:t>
                  </w:r>
                </w:p>
              </w:tc>
              <w:tc>
                <w:tcPr>
                  <w:tcW w:w="534" w:type="pct"/>
                  <w:tcBorders>
                    <w:top w:val="single" w:color="auto" w:sz="6" w:space="0"/>
                    <w:bottom w:val="single" w:color="auto" w:sz="6" w:space="0"/>
                  </w:tcBorders>
                  <w:vAlign w:val="center"/>
                </w:tcPr>
                <w:p>
                  <w:pPr>
                    <w:widowControl/>
                    <w:jc w:val="center"/>
                    <w:rPr>
                      <w:color w:val="000000"/>
                    </w:rPr>
                  </w:pPr>
                  <w:r>
                    <w:rPr>
                      <w:color w:val="000000"/>
                      <w:szCs w:val="21"/>
                    </w:rPr>
                    <w:t>112.33</w:t>
                  </w:r>
                </w:p>
              </w:tc>
              <w:tc>
                <w:tcPr>
                  <w:tcW w:w="446" w:type="pct"/>
                  <w:tcBorders>
                    <w:top w:val="single" w:color="auto" w:sz="6" w:space="0"/>
                    <w:bottom w:val="single" w:color="auto" w:sz="6" w:space="0"/>
                    <w:right w:val="single" w:color="auto" w:sz="4" w:space="0"/>
                  </w:tcBorders>
                  <w:vAlign w:val="center"/>
                </w:tcPr>
                <w:p>
                  <w:pPr>
                    <w:pStyle w:val="12"/>
                    <w:snapToGrid w:val="0"/>
                    <w:jc w:val="center"/>
                    <w:rPr>
                      <w:rFonts w:ascii="Times New Roman" w:hAnsi="Times New Roman" w:eastAsia="等线"/>
                    </w:rPr>
                  </w:pPr>
                  <w:r>
                    <w:rPr>
                      <w:rFonts w:ascii="Times New Roman" w:hAnsi="Times New Roman" w:eastAsia="等线"/>
                    </w:rPr>
                    <w:t>/</w:t>
                  </w:r>
                </w:p>
              </w:tc>
              <w:tc>
                <w:tcPr>
                  <w:tcW w:w="534"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0.1093</w:t>
                  </w:r>
                </w:p>
              </w:tc>
              <w:tc>
                <w:tcPr>
                  <w:tcW w:w="508"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eastAsia="等线"/>
                      <w:spacing w:val="-2"/>
                    </w:rPr>
                  </w:pPr>
                  <w:r>
                    <w:rPr>
                      <w:rFonts w:ascii="Times New Roman" w:hAnsi="Times New Roman" w:eastAsia="等线"/>
                      <w:spacing w:val="-2"/>
                    </w:rPr>
                    <w:t>/</w:t>
                  </w:r>
                </w:p>
              </w:tc>
              <w:tc>
                <w:tcPr>
                  <w:tcW w:w="528"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0.0547</w:t>
                  </w:r>
                </w:p>
              </w:tc>
            </w:tr>
          </w:tbl>
          <w:p>
            <w:pPr>
              <w:adjustRightInd w:val="0"/>
              <w:snapToGrid w:val="0"/>
              <w:spacing w:line="440" w:lineRule="exact"/>
              <w:ind w:firstLine="440" w:firstLineChars="200"/>
              <w:rPr>
                <w:bCs/>
                <w:spacing w:val="-10"/>
                <w:sz w:val="24"/>
              </w:rPr>
            </w:pPr>
            <w:r>
              <w:rPr>
                <w:rFonts w:hint="eastAsia"/>
                <w:bCs/>
                <w:spacing w:val="-10"/>
                <w:sz w:val="24"/>
              </w:rPr>
              <w:t>由上表可知，本项目有机废气产生量为非甲烷总烃</w:t>
            </w:r>
            <w:r>
              <w:rPr>
                <w:bCs/>
                <w:spacing w:val="-10"/>
                <w:sz w:val="24"/>
              </w:rPr>
              <w:t>0.0323</w:t>
            </w:r>
            <w:r>
              <w:rPr>
                <w:rFonts w:hint="eastAsia"/>
                <w:bCs/>
                <w:spacing w:val="-10"/>
                <w:sz w:val="24"/>
              </w:rPr>
              <w:t>t/a、甲醇</w:t>
            </w:r>
            <w:r>
              <w:rPr>
                <w:bCs/>
                <w:spacing w:val="-10"/>
                <w:sz w:val="24"/>
              </w:rPr>
              <w:t>0.0198</w:t>
            </w:r>
            <w:r>
              <w:rPr>
                <w:rFonts w:hint="eastAsia"/>
                <w:bCs/>
                <w:spacing w:val="-10"/>
                <w:sz w:val="24"/>
              </w:rPr>
              <w:t>t/a、苯0.0009t/a、甲苯0.0009t/a、二甲苯0.000001t/a、甲醛0.0008t/a，由于苯、甲苯、二甲苯、甲醛产生量极少，故本次评价不再对废气污染物苯、甲苯、二甲苯、甲醛进行定量的达标分析，仅对非甲烷总烃和甲醇进行定量达标分析。</w:t>
            </w:r>
          </w:p>
          <w:p>
            <w:pPr>
              <w:adjustRightInd w:val="0"/>
              <w:snapToGrid w:val="0"/>
              <w:spacing w:line="440" w:lineRule="exact"/>
              <w:ind w:firstLine="440" w:firstLineChars="200"/>
              <w:rPr>
                <w:bCs/>
                <w:spacing w:val="-10"/>
                <w:sz w:val="24"/>
              </w:rPr>
            </w:pPr>
            <w:r>
              <w:rPr>
                <w:rFonts w:hint="eastAsia"/>
                <w:bCs/>
                <w:spacing w:val="-10"/>
                <w:sz w:val="24"/>
              </w:rPr>
              <w:t>本次</w:t>
            </w:r>
            <w:r>
              <w:rPr>
                <w:bCs/>
                <w:spacing w:val="-10"/>
                <w:sz w:val="24"/>
              </w:rPr>
              <w:t>评价提出，在密闭负压实验间内采用</w:t>
            </w:r>
            <w:r>
              <w:rPr>
                <w:rFonts w:hint="eastAsia"/>
                <w:bCs/>
                <w:spacing w:val="-10"/>
                <w:sz w:val="24"/>
              </w:rPr>
              <w:t>负压</w:t>
            </w:r>
            <w:r>
              <w:rPr>
                <w:bCs/>
                <w:spacing w:val="-10"/>
                <w:sz w:val="24"/>
              </w:rPr>
              <w:t>通风橱</w:t>
            </w:r>
            <w:r>
              <w:rPr>
                <w:rFonts w:hint="eastAsia"/>
                <w:bCs/>
                <w:spacing w:val="-10"/>
                <w:sz w:val="24"/>
              </w:rPr>
              <w:t>和万向集气罩</w:t>
            </w:r>
            <w:r>
              <w:rPr>
                <w:bCs/>
                <w:spacing w:val="-10"/>
                <w:sz w:val="24"/>
              </w:rPr>
              <w:t>收集实验室废气，检测实验室要求高度洁净，时刻处于负压环境</w:t>
            </w:r>
            <w:r>
              <w:rPr>
                <w:rFonts w:hint="eastAsia"/>
                <w:bCs/>
                <w:spacing w:val="-10"/>
                <w:sz w:val="24"/>
              </w:rPr>
              <w:t>，收集效率以9</w:t>
            </w:r>
            <w:r>
              <w:rPr>
                <w:bCs/>
                <w:spacing w:val="-10"/>
                <w:sz w:val="24"/>
              </w:rPr>
              <w:t>8%</w:t>
            </w:r>
            <w:r>
              <w:rPr>
                <w:rFonts w:hint="eastAsia"/>
                <w:bCs/>
                <w:spacing w:val="-10"/>
                <w:sz w:val="24"/>
              </w:rPr>
              <w:t>计</w:t>
            </w:r>
            <w:r>
              <w:rPr>
                <w:bCs/>
                <w:spacing w:val="-10"/>
                <w:sz w:val="24"/>
              </w:rPr>
              <w:t>。</w:t>
            </w:r>
          </w:p>
          <w:p>
            <w:pPr>
              <w:adjustRightInd w:val="0"/>
              <w:snapToGrid w:val="0"/>
              <w:spacing w:line="440" w:lineRule="exact"/>
              <w:ind w:firstLine="440" w:firstLineChars="200"/>
              <w:rPr>
                <w:bCs/>
                <w:spacing w:val="-10"/>
                <w:sz w:val="24"/>
              </w:rPr>
            </w:pPr>
            <w:r>
              <w:rPr>
                <w:bCs/>
                <w:spacing w:val="-10"/>
                <w:sz w:val="24"/>
              </w:rPr>
              <w:t>产生有机废气的仪器设备均设置密闭通风橱</w:t>
            </w:r>
            <w:r>
              <w:rPr>
                <w:rFonts w:hint="eastAsia"/>
                <w:bCs/>
                <w:spacing w:val="-10"/>
                <w:sz w:val="24"/>
              </w:rPr>
              <w:t>和万向集气罩</w:t>
            </w:r>
            <w:r>
              <w:rPr>
                <w:bCs/>
                <w:spacing w:val="-10"/>
                <w:sz w:val="24"/>
              </w:rPr>
              <w:t>，通过支管汇集进入废气处理系统，无法被管道收集的通过实验室通风系统收集进入废气治理措施内。</w:t>
            </w:r>
          </w:p>
          <w:p>
            <w:pPr>
              <w:adjustRightInd w:val="0"/>
              <w:snapToGrid w:val="0"/>
              <w:spacing w:line="440" w:lineRule="exact"/>
              <w:ind w:firstLine="440" w:firstLineChars="200"/>
              <w:rPr>
                <w:bCs/>
                <w:spacing w:val="-10"/>
                <w:sz w:val="24"/>
              </w:rPr>
            </w:pPr>
            <w:r>
              <w:rPr>
                <w:bCs/>
                <w:spacing w:val="-10"/>
                <w:sz w:val="24"/>
              </w:rPr>
              <w:t>有机废气经通风橱</w:t>
            </w:r>
            <w:r>
              <w:rPr>
                <w:rFonts w:hint="eastAsia"/>
                <w:bCs/>
                <w:spacing w:val="-10"/>
                <w:sz w:val="24"/>
              </w:rPr>
              <w:t>和万向集气罩</w:t>
            </w:r>
            <w:r>
              <w:rPr>
                <w:bCs/>
                <w:spacing w:val="-10"/>
                <w:sz w:val="24"/>
              </w:rPr>
              <w:t>、实验室通风系统收集后统一经</w:t>
            </w:r>
            <w:r>
              <w:rPr>
                <w:rFonts w:hint="eastAsia"/>
                <w:bCs/>
                <w:spacing w:val="-10"/>
                <w:sz w:val="24"/>
              </w:rPr>
              <w:t>“水喷淋塔+除雾器</w:t>
            </w:r>
            <w:r>
              <w:rPr>
                <w:bCs/>
                <w:spacing w:val="-10"/>
                <w:sz w:val="24"/>
              </w:rPr>
              <w:t>+</w:t>
            </w:r>
            <w:r>
              <w:rPr>
                <w:color w:val="000000"/>
                <w:kern w:val="0"/>
                <w:sz w:val="24"/>
              </w:rPr>
              <w:t>UV光催化氧化装置+活性炭吸附装置</w:t>
            </w:r>
            <w:r>
              <w:rPr>
                <w:rFonts w:hint="eastAsia"/>
                <w:bCs/>
                <w:spacing w:val="-10"/>
                <w:sz w:val="24"/>
              </w:rPr>
              <w:t>”</w:t>
            </w:r>
            <w:r>
              <w:rPr>
                <w:bCs/>
                <w:spacing w:val="-10"/>
                <w:sz w:val="24"/>
              </w:rPr>
              <w:t>处理后经</w:t>
            </w:r>
            <w:r>
              <w:rPr>
                <w:rFonts w:hint="eastAsia"/>
                <w:bCs/>
                <w:spacing w:val="-10"/>
                <w:sz w:val="24"/>
              </w:rPr>
              <w:t>1根</w:t>
            </w:r>
            <w:r>
              <w:rPr>
                <w:bCs/>
                <w:spacing w:val="-10"/>
                <w:sz w:val="24"/>
              </w:rPr>
              <w:t>15m高排气筒排放P1。</w:t>
            </w:r>
          </w:p>
          <w:p>
            <w:pPr>
              <w:adjustRightInd w:val="0"/>
              <w:snapToGrid w:val="0"/>
              <w:spacing w:line="440" w:lineRule="exact"/>
              <w:ind w:firstLine="440" w:firstLineChars="200"/>
              <w:rPr>
                <w:bCs/>
                <w:spacing w:val="-10"/>
                <w:sz w:val="24"/>
              </w:rPr>
            </w:pPr>
            <w:r>
              <w:rPr>
                <w:bCs/>
                <w:spacing w:val="-10"/>
                <w:sz w:val="24"/>
              </w:rPr>
              <w:t>项目有机废气产生工段全部位于密闭负压实验室内，有机废气收集效率按照98%进行考虑，</w:t>
            </w:r>
            <w:r>
              <w:rPr>
                <w:bCs/>
                <w:kern w:val="0"/>
                <w:sz w:val="24"/>
              </w:rPr>
              <w:t>风机风量为5000m</w:t>
            </w:r>
            <w:r>
              <w:rPr>
                <w:bCs/>
                <w:kern w:val="0"/>
                <w:sz w:val="24"/>
                <w:vertAlign w:val="superscript"/>
              </w:rPr>
              <w:t>3</w:t>
            </w:r>
            <w:r>
              <w:rPr>
                <w:bCs/>
                <w:kern w:val="0"/>
                <w:sz w:val="24"/>
              </w:rPr>
              <w:t>/h，工作时间为2h/d(540h/a)。</w:t>
            </w:r>
          </w:p>
          <w:p>
            <w:pPr>
              <w:spacing w:line="460" w:lineRule="exact"/>
              <w:ind w:firstLine="480" w:firstLineChars="200"/>
              <w:jc w:val="left"/>
              <w:rPr>
                <w:rFonts w:eastAsia="黑体"/>
                <w:color w:val="000000"/>
                <w:sz w:val="24"/>
              </w:rPr>
            </w:pPr>
            <w:r>
              <w:rPr>
                <w:rFonts w:eastAsia="黑体"/>
                <w:color w:val="000000"/>
                <w:sz w:val="24"/>
              </w:rPr>
              <w:t xml:space="preserve">表32              </w:t>
            </w:r>
            <w:r>
              <w:rPr>
                <w:rFonts w:eastAsia="黑体"/>
                <w:bCs/>
                <w:color w:val="000000"/>
                <w:sz w:val="24"/>
              </w:rPr>
              <w:t>有机</w:t>
            </w:r>
            <w:r>
              <w:rPr>
                <w:rFonts w:eastAsia="黑体"/>
                <w:color w:val="000000"/>
                <w:sz w:val="24"/>
              </w:rPr>
              <w:t>废气污染物产排情况一览表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49"/>
              <w:gridCol w:w="859"/>
              <w:gridCol w:w="709"/>
              <w:gridCol w:w="698"/>
              <w:gridCol w:w="861"/>
              <w:gridCol w:w="709"/>
              <w:gridCol w:w="567"/>
              <w:gridCol w:w="709"/>
              <w:gridCol w:w="850"/>
              <w:gridCol w:w="851"/>
              <w:gridCol w:w="70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9" w:type="dxa"/>
                  <w:vAlign w:val="center"/>
                </w:tcPr>
                <w:p>
                  <w:pPr>
                    <w:widowControl/>
                    <w:jc w:val="center"/>
                    <w:rPr>
                      <w:b/>
                      <w:color w:val="000000"/>
                      <w:kern w:val="0"/>
                      <w:szCs w:val="21"/>
                    </w:rPr>
                  </w:pPr>
                  <w:r>
                    <w:rPr>
                      <w:b/>
                      <w:color w:val="000000"/>
                      <w:szCs w:val="21"/>
                    </w:rPr>
                    <w:t>污染工序</w:t>
                  </w:r>
                </w:p>
              </w:tc>
              <w:tc>
                <w:tcPr>
                  <w:tcW w:w="859" w:type="dxa"/>
                  <w:vAlign w:val="center"/>
                </w:tcPr>
                <w:p>
                  <w:pPr>
                    <w:widowControl/>
                    <w:jc w:val="center"/>
                    <w:rPr>
                      <w:b/>
                      <w:color w:val="000000"/>
                      <w:kern w:val="0"/>
                      <w:szCs w:val="21"/>
                    </w:rPr>
                  </w:pPr>
                  <w:r>
                    <w:rPr>
                      <w:b/>
                      <w:color w:val="000000"/>
                      <w:szCs w:val="21"/>
                    </w:rPr>
                    <w:t>污染因子</w:t>
                  </w:r>
                </w:p>
              </w:tc>
              <w:tc>
                <w:tcPr>
                  <w:tcW w:w="709" w:type="dxa"/>
                  <w:vAlign w:val="center"/>
                </w:tcPr>
                <w:p>
                  <w:pPr>
                    <w:widowControl/>
                    <w:ind w:left="-105" w:leftChars="-50" w:right="-105" w:rightChars="-50"/>
                    <w:jc w:val="center"/>
                    <w:rPr>
                      <w:b/>
                      <w:color w:val="000000"/>
                      <w:szCs w:val="21"/>
                    </w:rPr>
                  </w:pPr>
                  <w:r>
                    <w:rPr>
                      <w:b/>
                      <w:color w:val="000000"/>
                      <w:szCs w:val="21"/>
                    </w:rPr>
                    <w:t>产生量(t/a)</w:t>
                  </w:r>
                </w:p>
              </w:tc>
              <w:tc>
                <w:tcPr>
                  <w:tcW w:w="698" w:type="dxa"/>
                  <w:vAlign w:val="center"/>
                </w:tcPr>
                <w:p>
                  <w:pPr>
                    <w:widowControl/>
                    <w:ind w:left="-105" w:leftChars="-50" w:right="-105" w:rightChars="-50"/>
                    <w:jc w:val="center"/>
                    <w:rPr>
                      <w:b/>
                      <w:color w:val="000000"/>
                      <w:szCs w:val="21"/>
                    </w:rPr>
                  </w:pPr>
                  <w:r>
                    <w:rPr>
                      <w:b/>
                      <w:color w:val="000000"/>
                      <w:szCs w:val="21"/>
                    </w:rPr>
                    <w:t>收集量（t/a）</w:t>
                  </w:r>
                </w:p>
              </w:tc>
              <w:tc>
                <w:tcPr>
                  <w:tcW w:w="861" w:type="dxa"/>
                  <w:vAlign w:val="center"/>
                </w:tcPr>
                <w:p>
                  <w:pPr>
                    <w:widowControl/>
                    <w:jc w:val="center"/>
                    <w:rPr>
                      <w:b/>
                      <w:color w:val="000000"/>
                      <w:szCs w:val="21"/>
                    </w:rPr>
                  </w:pPr>
                  <w:r>
                    <w:rPr>
                      <w:b/>
                      <w:color w:val="000000"/>
                      <w:szCs w:val="21"/>
                    </w:rPr>
                    <w:t>产生速率(kg/h)</w:t>
                  </w:r>
                </w:p>
              </w:tc>
              <w:tc>
                <w:tcPr>
                  <w:tcW w:w="709" w:type="dxa"/>
                  <w:vAlign w:val="center"/>
                </w:tcPr>
                <w:p>
                  <w:pPr>
                    <w:widowControl/>
                    <w:jc w:val="center"/>
                    <w:rPr>
                      <w:b/>
                      <w:color w:val="000000"/>
                      <w:szCs w:val="21"/>
                    </w:rPr>
                  </w:pPr>
                  <w:r>
                    <w:rPr>
                      <w:b/>
                      <w:color w:val="000000"/>
                      <w:szCs w:val="21"/>
                    </w:rPr>
                    <w:t>风量(m</w:t>
                  </w:r>
                  <w:r>
                    <w:rPr>
                      <w:b/>
                      <w:color w:val="000000"/>
                      <w:szCs w:val="21"/>
                      <w:vertAlign w:val="superscript"/>
                    </w:rPr>
                    <w:t>3</w:t>
                  </w:r>
                  <w:r>
                    <w:rPr>
                      <w:b/>
                      <w:color w:val="000000"/>
                      <w:szCs w:val="21"/>
                    </w:rPr>
                    <w:t>/h)</w:t>
                  </w:r>
                </w:p>
              </w:tc>
              <w:tc>
                <w:tcPr>
                  <w:tcW w:w="567" w:type="dxa"/>
                  <w:vAlign w:val="center"/>
                </w:tcPr>
                <w:p>
                  <w:pPr>
                    <w:widowControl/>
                    <w:jc w:val="center"/>
                    <w:rPr>
                      <w:b/>
                      <w:color w:val="000000"/>
                      <w:szCs w:val="21"/>
                    </w:rPr>
                  </w:pPr>
                  <w:r>
                    <w:rPr>
                      <w:b/>
                      <w:color w:val="000000"/>
                      <w:szCs w:val="21"/>
                    </w:rPr>
                    <w:t>处理效率</w:t>
                  </w:r>
                </w:p>
              </w:tc>
              <w:tc>
                <w:tcPr>
                  <w:tcW w:w="709" w:type="dxa"/>
                  <w:vAlign w:val="center"/>
                </w:tcPr>
                <w:p>
                  <w:pPr>
                    <w:widowControl/>
                    <w:jc w:val="center"/>
                    <w:rPr>
                      <w:b/>
                      <w:color w:val="000000"/>
                      <w:szCs w:val="21"/>
                    </w:rPr>
                  </w:pPr>
                  <w:r>
                    <w:rPr>
                      <w:b/>
                      <w:color w:val="000000"/>
                      <w:szCs w:val="21"/>
                    </w:rPr>
                    <w:t>排放量(t/a)</w:t>
                  </w:r>
                </w:p>
              </w:tc>
              <w:tc>
                <w:tcPr>
                  <w:tcW w:w="850" w:type="dxa"/>
                  <w:vAlign w:val="center"/>
                </w:tcPr>
                <w:p>
                  <w:pPr>
                    <w:widowControl/>
                    <w:ind w:left="-105" w:leftChars="-50" w:right="-105" w:rightChars="-50"/>
                    <w:jc w:val="center"/>
                    <w:rPr>
                      <w:b/>
                      <w:color w:val="000000"/>
                      <w:szCs w:val="21"/>
                    </w:rPr>
                  </w:pPr>
                  <w:r>
                    <w:rPr>
                      <w:b/>
                      <w:color w:val="000000"/>
                      <w:szCs w:val="21"/>
                    </w:rPr>
                    <w:t>排放速率(kg/h)</w:t>
                  </w:r>
                </w:p>
              </w:tc>
              <w:tc>
                <w:tcPr>
                  <w:tcW w:w="851" w:type="dxa"/>
                  <w:vAlign w:val="center"/>
                </w:tcPr>
                <w:p>
                  <w:pPr>
                    <w:widowControl/>
                    <w:ind w:left="-105" w:leftChars="-50" w:right="-105" w:rightChars="-50"/>
                    <w:jc w:val="center"/>
                    <w:rPr>
                      <w:b/>
                      <w:color w:val="000000"/>
                      <w:szCs w:val="21"/>
                    </w:rPr>
                  </w:pPr>
                  <w:r>
                    <w:rPr>
                      <w:rFonts w:hint="eastAsia"/>
                      <w:b/>
                      <w:color w:val="000000"/>
                      <w:szCs w:val="21"/>
                    </w:rPr>
                    <w:t>排</w:t>
                  </w:r>
                  <w:r>
                    <w:rPr>
                      <w:b/>
                      <w:color w:val="000000"/>
                      <w:szCs w:val="21"/>
                    </w:rPr>
                    <w:t>放浓度(mg/m</w:t>
                  </w:r>
                  <w:r>
                    <w:rPr>
                      <w:b/>
                      <w:color w:val="000000"/>
                      <w:szCs w:val="21"/>
                      <w:vertAlign w:val="superscript"/>
                    </w:rPr>
                    <w:t>3</w:t>
                  </w:r>
                  <w:r>
                    <w:rPr>
                      <w:b/>
                      <w:color w:val="000000"/>
                      <w:szCs w:val="21"/>
                    </w:rPr>
                    <w:t>)</w:t>
                  </w:r>
                </w:p>
              </w:tc>
              <w:tc>
                <w:tcPr>
                  <w:tcW w:w="708" w:type="dxa"/>
                  <w:vAlign w:val="center"/>
                </w:tcPr>
                <w:p>
                  <w:pPr>
                    <w:widowControl/>
                    <w:jc w:val="center"/>
                    <w:rPr>
                      <w:b/>
                      <w:color w:val="000000"/>
                      <w:szCs w:val="21"/>
                    </w:rPr>
                  </w:pPr>
                  <w:r>
                    <w:rPr>
                      <w:b/>
                      <w:color w:val="000000"/>
                      <w:szCs w:val="21"/>
                    </w:rPr>
                    <w:t>废气治理工艺</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9" w:type="dxa"/>
                  <w:vMerge w:val="restart"/>
                  <w:vAlign w:val="center"/>
                </w:tcPr>
                <w:p>
                  <w:pPr>
                    <w:ind w:firstLine="35" w:firstLineChars="17"/>
                    <w:jc w:val="center"/>
                    <w:rPr>
                      <w:color w:val="000000"/>
                      <w:szCs w:val="21"/>
                      <w:lang w:val="pt-BR"/>
                    </w:rPr>
                  </w:pPr>
                  <w:r>
                    <w:t>试剂制备、</w:t>
                  </w:r>
                </w:p>
                <w:p>
                  <w:pPr>
                    <w:ind w:firstLine="35" w:firstLineChars="17"/>
                    <w:jc w:val="center"/>
                    <w:rPr>
                      <w:color w:val="000000"/>
                      <w:szCs w:val="21"/>
                      <w:lang w:val="pt-BR"/>
                    </w:rPr>
                  </w:pPr>
                  <w:r>
                    <w:rPr>
                      <w:bCs/>
                      <w:color w:val="000000"/>
                      <w:szCs w:val="21"/>
                    </w:rPr>
                    <w:t>实验检测</w:t>
                  </w:r>
                </w:p>
              </w:tc>
              <w:tc>
                <w:tcPr>
                  <w:tcW w:w="859" w:type="dxa"/>
                  <w:vAlign w:val="center"/>
                </w:tcPr>
                <w:p>
                  <w:pPr>
                    <w:ind w:firstLine="35" w:firstLineChars="17"/>
                    <w:jc w:val="center"/>
                    <w:rPr>
                      <w:bCs/>
                      <w:color w:val="000000"/>
                      <w:szCs w:val="21"/>
                    </w:rPr>
                  </w:pPr>
                  <w:r>
                    <w:rPr>
                      <w:bCs/>
                      <w:color w:val="000000"/>
                      <w:szCs w:val="21"/>
                    </w:rPr>
                    <w:t>非甲烷总烃</w:t>
                  </w:r>
                </w:p>
              </w:tc>
              <w:tc>
                <w:tcPr>
                  <w:tcW w:w="709" w:type="dxa"/>
                  <w:vAlign w:val="center"/>
                </w:tcPr>
                <w:p>
                  <w:pPr>
                    <w:pStyle w:val="12"/>
                    <w:snapToGrid w:val="0"/>
                    <w:jc w:val="center"/>
                    <w:rPr>
                      <w:rFonts w:ascii="Times New Roman" w:hAnsi="Times New Roman"/>
                      <w:color w:val="000000"/>
                    </w:rPr>
                  </w:pPr>
                  <w:r>
                    <w:rPr>
                      <w:rFonts w:ascii="Times New Roman" w:hAnsi="Times New Roman"/>
                      <w:color w:val="000000"/>
                    </w:rPr>
                    <w:t>0.0323</w:t>
                  </w:r>
                </w:p>
              </w:tc>
              <w:tc>
                <w:tcPr>
                  <w:tcW w:w="698" w:type="dxa"/>
                  <w:vAlign w:val="center"/>
                </w:tcPr>
                <w:p>
                  <w:pPr>
                    <w:pStyle w:val="12"/>
                    <w:snapToGrid w:val="0"/>
                    <w:jc w:val="center"/>
                    <w:rPr>
                      <w:rFonts w:ascii="Times New Roman" w:hAnsi="Times New Roman"/>
                      <w:color w:val="000000"/>
                    </w:rPr>
                  </w:pPr>
                  <w:r>
                    <w:rPr>
                      <w:rFonts w:ascii="Times New Roman" w:hAnsi="Times New Roman"/>
                      <w:color w:val="000000"/>
                    </w:rPr>
                    <w:t>0.0317</w:t>
                  </w:r>
                </w:p>
              </w:tc>
              <w:tc>
                <w:tcPr>
                  <w:tcW w:w="861" w:type="dxa"/>
                  <w:vAlign w:val="center"/>
                </w:tcPr>
                <w:p>
                  <w:pPr>
                    <w:pStyle w:val="12"/>
                    <w:snapToGrid w:val="0"/>
                    <w:jc w:val="center"/>
                    <w:rPr>
                      <w:rFonts w:ascii="Times New Roman" w:hAnsi="Times New Roman"/>
                      <w:color w:val="000000"/>
                    </w:rPr>
                  </w:pPr>
                  <w:r>
                    <w:rPr>
                      <w:rFonts w:ascii="Times New Roman" w:hAnsi="Times New Roman"/>
                      <w:color w:val="000000"/>
                    </w:rPr>
                    <w:t>0.059</w:t>
                  </w:r>
                </w:p>
              </w:tc>
              <w:tc>
                <w:tcPr>
                  <w:tcW w:w="709" w:type="dxa"/>
                  <w:vMerge w:val="restart"/>
                  <w:vAlign w:val="center"/>
                </w:tcPr>
                <w:p>
                  <w:pPr>
                    <w:pStyle w:val="12"/>
                    <w:snapToGrid w:val="0"/>
                    <w:jc w:val="center"/>
                    <w:rPr>
                      <w:rFonts w:ascii="Times New Roman" w:hAnsi="Times New Roman"/>
                      <w:color w:val="000000"/>
                    </w:rPr>
                  </w:pPr>
                  <w:r>
                    <w:rPr>
                      <w:rFonts w:ascii="Times New Roman" w:hAnsi="Times New Roman"/>
                      <w:color w:val="000000"/>
                    </w:rPr>
                    <w:t>5000</w:t>
                  </w:r>
                </w:p>
              </w:tc>
              <w:tc>
                <w:tcPr>
                  <w:tcW w:w="567" w:type="dxa"/>
                  <w:vMerge w:val="restart"/>
                  <w:vAlign w:val="center"/>
                </w:tcPr>
                <w:p>
                  <w:pPr>
                    <w:pStyle w:val="12"/>
                    <w:snapToGrid w:val="0"/>
                    <w:jc w:val="center"/>
                    <w:rPr>
                      <w:rFonts w:ascii="Times New Roman" w:hAnsi="Times New Roman"/>
                      <w:color w:val="000000"/>
                    </w:rPr>
                  </w:pPr>
                  <w:r>
                    <w:rPr>
                      <w:rFonts w:ascii="Times New Roman" w:hAnsi="Times New Roman"/>
                      <w:color w:val="000000"/>
                    </w:rPr>
                    <w:t>80%</w:t>
                  </w:r>
                </w:p>
              </w:tc>
              <w:tc>
                <w:tcPr>
                  <w:tcW w:w="709" w:type="dxa"/>
                  <w:vAlign w:val="center"/>
                </w:tcPr>
                <w:p>
                  <w:pPr>
                    <w:pStyle w:val="12"/>
                    <w:snapToGrid w:val="0"/>
                    <w:jc w:val="center"/>
                    <w:rPr>
                      <w:rFonts w:ascii="Times New Roman" w:hAnsi="Times New Roman"/>
                      <w:color w:val="000000"/>
                    </w:rPr>
                  </w:pPr>
                  <w:r>
                    <w:rPr>
                      <w:rFonts w:ascii="Times New Roman" w:hAnsi="Times New Roman"/>
                      <w:color w:val="000000"/>
                    </w:rPr>
                    <w:t>0.0063</w:t>
                  </w:r>
                </w:p>
              </w:tc>
              <w:tc>
                <w:tcPr>
                  <w:tcW w:w="850" w:type="dxa"/>
                  <w:vAlign w:val="center"/>
                </w:tcPr>
                <w:p>
                  <w:pPr>
                    <w:pStyle w:val="12"/>
                    <w:snapToGrid w:val="0"/>
                    <w:jc w:val="center"/>
                    <w:rPr>
                      <w:rFonts w:ascii="Times New Roman" w:hAnsi="Times New Roman"/>
                      <w:color w:val="000000"/>
                    </w:rPr>
                  </w:pPr>
                  <w:r>
                    <w:rPr>
                      <w:rFonts w:ascii="Times New Roman" w:hAnsi="Times New Roman"/>
                      <w:color w:val="000000"/>
                    </w:rPr>
                    <w:t>0.012</w:t>
                  </w:r>
                </w:p>
              </w:tc>
              <w:tc>
                <w:tcPr>
                  <w:tcW w:w="851" w:type="dxa"/>
                  <w:vAlign w:val="center"/>
                </w:tcPr>
                <w:p>
                  <w:pPr>
                    <w:pStyle w:val="12"/>
                    <w:snapToGrid w:val="0"/>
                    <w:jc w:val="center"/>
                    <w:rPr>
                      <w:rFonts w:ascii="Times New Roman" w:hAnsi="Times New Roman"/>
                      <w:color w:val="000000"/>
                    </w:rPr>
                  </w:pPr>
                  <w:r>
                    <w:rPr>
                      <w:rFonts w:ascii="Times New Roman" w:hAnsi="Times New Roman"/>
                      <w:color w:val="000000"/>
                    </w:rPr>
                    <w:t>2.3</w:t>
                  </w:r>
                </w:p>
              </w:tc>
              <w:tc>
                <w:tcPr>
                  <w:tcW w:w="708" w:type="dxa"/>
                  <w:vMerge w:val="restart"/>
                  <w:vAlign w:val="center"/>
                </w:tcPr>
                <w:p>
                  <w:pPr>
                    <w:pStyle w:val="12"/>
                    <w:snapToGrid w:val="0"/>
                    <w:jc w:val="center"/>
                    <w:rPr>
                      <w:rFonts w:ascii="Times New Roman" w:hAnsi="Times New Roman"/>
                      <w:color w:val="000000"/>
                    </w:rPr>
                  </w:pPr>
                  <w:r>
                    <w:rPr>
                      <w:rFonts w:hint="eastAsia" w:ascii="Times New Roman" w:hAnsi="Times New Roman"/>
                      <w:color w:val="000000"/>
                    </w:rPr>
                    <w:t>水喷淋塔</w:t>
                  </w:r>
                  <w:r>
                    <w:rPr>
                      <w:rFonts w:ascii="Times New Roman" w:hAnsi="Times New Roman"/>
                      <w:color w:val="000000"/>
                    </w:rPr>
                    <w:t>+</w:t>
                  </w:r>
                  <w:r>
                    <w:rPr>
                      <w:rFonts w:hint="eastAsia" w:ascii="Times New Roman" w:hAnsi="Times New Roman"/>
                      <w:color w:val="000000"/>
                    </w:rPr>
                    <w:t>除雾器</w:t>
                  </w:r>
                  <w:r>
                    <w:rPr>
                      <w:rFonts w:ascii="Times New Roman" w:hAnsi="Times New Roman"/>
                      <w:color w:val="000000"/>
                    </w:rPr>
                    <w:t>+UV光催化氧化装置+活性炭吸附装置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49" w:type="dxa"/>
                  <w:vMerge w:val="continue"/>
                  <w:vAlign w:val="center"/>
                </w:tcPr>
                <w:p>
                  <w:pPr>
                    <w:ind w:firstLine="35" w:firstLineChars="17"/>
                    <w:jc w:val="center"/>
                  </w:pPr>
                </w:p>
              </w:tc>
              <w:tc>
                <w:tcPr>
                  <w:tcW w:w="859" w:type="dxa"/>
                  <w:vAlign w:val="center"/>
                </w:tcPr>
                <w:p>
                  <w:pPr>
                    <w:ind w:firstLine="35" w:firstLineChars="17"/>
                    <w:jc w:val="center"/>
                    <w:rPr>
                      <w:bCs/>
                      <w:color w:val="000000"/>
                      <w:szCs w:val="21"/>
                    </w:rPr>
                  </w:pPr>
                  <w:r>
                    <w:rPr>
                      <w:bCs/>
                      <w:color w:val="000000"/>
                      <w:szCs w:val="21"/>
                    </w:rPr>
                    <w:t>甲醇</w:t>
                  </w:r>
                </w:p>
              </w:tc>
              <w:tc>
                <w:tcPr>
                  <w:tcW w:w="709" w:type="dxa"/>
                  <w:vAlign w:val="center"/>
                </w:tcPr>
                <w:p>
                  <w:pPr>
                    <w:pStyle w:val="12"/>
                    <w:snapToGrid w:val="0"/>
                    <w:jc w:val="center"/>
                    <w:rPr>
                      <w:rFonts w:ascii="Times New Roman" w:hAnsi="Times New Roman"/>
                      <w:color w:val="000000"/>
                    </w:rPr>
                  </w:pPr>
                  <w:r>
                    <w:rPr>
                      <w:rFonts w:ascii="Times New Roman" w:hAnsi="Times New Roman"/>
                      <w:color w:val="000000"/>
                    </w:rPr>
                    <w:t>0.0198</w:t>
                  </w:r>
                </w:p>
              </w:tc>
              <w:tc>
                <w:tcPr>
                  <w:tcW w:w="698" w:type="dxa"/>
                  <w:vAlign w:val="center"/>
                </w:tcPr>
                <w:p>
                  <w:pPr>
                    <w:pStyle w:val="12"/>
                    <w:snapToGrid w:val="0"/>
                    <w:jc w:val="center"/>
                    <w:rPr>
                      <w:rFonts w:ascii="Times New Roman" w:hAnsi="Times New Roman"/>
                      <w:color w:val="000000"/>
                    </w:rPr>
                  </w:pPr>
                  <w:r>
                    <w:rPr>
                      <w:rFonts w:ascii="Times New Roman" w:hAnsi="Times New Roman"/>
                      <w:color w:val="000000"/>
                    </w:rPr>
                    <w:t>0.0194</w:t>
                  </w:r>
                </w:p>
              </w:tc>
              <w:tc>
                <w:tcPr>
                  <w:tcW w:w="861" w:type="dxa"/>
                  <w:vAlign w:val="center"/>
                </w:tcPr>
                <w:p>
                  <w:pPr>
                    <w:pStyle w:val="12"/>
                    <w:snapToGrid w:val="0"/>
                    <w:jc w:val="center"/>
                    <w:rPr>
                      <w:rFonts w:ascii="Times New Roman" w:hAnsi="Times New Roman"/>
                      <w:color w:val="000000"/>
                    </w:rPr>
                  </w:pPr>
                  <w:r>
                    <w:rPr>
                      <w:rFonts w:ascii="Times New Roman" w:hAnsi="Times New Roman"/>
                      <w:color w:val="000000"/>
                    </w:rPr>
                    <w:t>0.036</w:t>
                  </w:r>
                </w:p>
              </w:tc>
              <w:tc>
                <w:tcPr>
                  <w:tcW w:w="709" w:type="dxa"/>
                  <w:vMerge w:val="continue"/>
                  <w:vAlign w:val="center"/>
                </w:tcPr>
                <w:p>
                  <w:pPr>
                    <w:pStyle w:val="12"/>
                    <w:snapToGrid w:val="0"/>
                    <w:jc w:val="center"/>
                    <w:rPr>
                      <w:rFonts w:ascii="Times New Roman" w:hAnsi="Times New Roman"/>
                      <w:color w:val="000000"/>
                      <w:highlight w:val="yellow"/>
                    </w:rPr>
                  </w:pPr>
                </w:p>
              </w:tc>
              <w:tc>
                <w:tcPr>
                  <w:tcW w:w="567" w:type="dxa"/>
                  <w:vMerge w:val="continue"/>
                  <w:vAlign w:val="center"/>
                </w:tcPr>
                <w:p>
                  <w:pPr>
                    <w:pStyle w:val="12"/>
                    <w:snapToGrid w:val="0"/>
                    <w:jc w:val="center"/>
                    <w:rPr>
                      <w:rFonts w:ascii="Times New Roman" w:hAnsi="Times New Roman"/>
                      <w:color w:val="000000"/>
                      <w:highlight w:val="yellow"/>
                    </w:rPr>
                  </w:pPr>
                </w:p>
              </w:tc>
              <w:tc>
                <w:tcPr>
                  <w:tcW w:w="709" w:type="dxa"/>
                  <w:vAlign w:val="center"/>
                </w:tcPr>
                <w:p>
                  <w:pPr>
                    <w:pStyle w:val="12"/>
                    <w:snapToGrid w:val="0"/>
                    <w:jc w:val="center"/>
                    <w:rPr>
                      <w:rFonts w:ascii="Times New Roman" w:hAnsi="Times New Roman"/>
                      <w:color w:val="000000"/>
                      <w:highlight w:val="yellow"/>
                    </w:rPr>
                  </w:pPr>
                  <w:r>
                    <w:rPr>
                      <w:rFonts w:ascii="Times New Roman" w:hAnsi="Times New Roman"/>
                      <w:color w:val="000000"/>
                    </w:rPr>
                    <w:t>0.0039</w:t>
                  </w:r>
                </w:p>
              </w:tc>
              <w:tc>
                <w:tcPr>
                  <w:tcW w:w="850" w:type="dxa"/>
                  <w:vAlign w:val="center"/>
                </w:tcPr>
                <w:p>
                  <w:pPr>
                    <w:pStyle w:val="12"/>
                    <w:snapToGrid w:val="0"/>
                    <w:jc w:val="center"/>
                    <w:rPr>
                      <w:rFonts w:ascii="Times New Roman" w:hAnsi="Times New Roman"/>
                      <w:color w:val="000000"/>
                      <w:highlight w:val="yellow"/>
                    </w:rPr>
                  </w:pPr>
                  <w:r>
                    <w:rPr>
                      <w:rFonts w:ascii="Times New Roman" w:hAnsi="Times New Roman"/>
                      <w:color w:val="000000"/>
                    </w:rPr>
                    <w:t>0.007</w:t>
                  </w:r>
                </w:p>
              </w:tc>
              <w:tc>
                <w:tcPr>
                  <w:tcW w:w="851" w:type="dxa"/>
                  <w:vAlign w:val="center"/>
                </w:tcPr>
                <w:p>
                  <w:pPr>
                    <w:pStyle w:val="12"/>
                    <w:snapToGrid w:val="0"/>
                    <w:jc w:val="center"/>
                    <w:rPr>
                      <w:rFonts w:ascii="Times New Roman" w:hAnsi="Times New Roman"/>
                      <w:color w:val="000000"/>
                      <w:highlight w:val="yellow"/>
                    </w:rPr>
                  </w:pPr>
                  <w:r>
                    <w:rPr>
                      <w:rFonts w:ascii="Times New Roman" w:hAnsi="Times New Roman"/>
                      <w:color w:val="000000"/>
                    </w:rPr>
                    <w:t>1.4</w:t>
                  </w:r>
                </w:p>
              </w:tc>
              <w:tc>
                <w:tcPr>
                  <w:tcW w:w="708" w:type="dxa"/>
                  <w:vMerge w:val="continue"/>
                  <w:vAlign w:val="center"/>
                </w:tcPr>
                <w:p>
                  <w:pPr>
                    <w:pStyle w:val="12"/>
                    <w:snapToGrid w:val="0"/>
                    <w:jc w:val="center"/>
                    <w:rPr>
                      <w:rFonts w:ascii="Times New Roman" w:hAnsi="Times New Roman"/>
                      <w:color w:val="000000"/>
                      <w:highlight w:val="yellow"/>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70" w:type="dxa"/>
                  <w:gridSpan w:val="11"/>
                  <w:vAlign w:val="center"/>
                </w:tcPr>
                <w:p>
                  <w:pPr>
                    <w:pStyle w:val="12"/>
                    <w:snapToGrid w:val="0"/>
                    <w:jc w:val="center"/>
                    <w:rPr>
                      <w:rFonts w:ascii="Times New Roman" w:hAnsi="Times New Roman"/>
                      <w:color w:val="000000"/>
                      <w:highlight w:val="yellow"/>
                    </w:rPr>
                  </w:pPr>
                  <w:r>
                    <w:rPr>
                      <w:rFonts w:ascii="Times New Roman" w:hAnsi="Times New Roman"/>
                      <w:kern w:val="0"/>
                    </w:rPr>
                    <w:t>工作时间</w:t>
                  </w:r>
                  <w:r>
                    <w:rPr>
                      <w:rFonts w:ascii="Times New Roman" w:hAnsi="Times New Roman"/>
                    </w:rPr>
                    <w:t>540h/a</w:t>
                  </w:r>
                </w:p>
              </w:tc>
            </w:tr>
          </w:tbl>
          <w:p>
            <w:pPr>
              <w:adjustRightInd w:val="0"/>
              <w:snapToGrid w:val="0"/>
              <w:spacing w:line="460" w:lineRule="exact"/>
              <w:ind w:firstLine="440" w:firstLineChars="200"/>
              <w:rPr>
                <w:bCs/>
                <w:spacing w:val="-10"/>
                <w:sz w:val="24"/>
              </w:rPr>
            </w:pPr>
            <w:r>
              <w:rPr>
                <w:bCs/>
                <w:spacing w:val="-10"/>
                <w:sz w:val="24"/>
              </w:rPr>
              <w:t>由上表可知，</w:t>
            </w:r>
            <w:r>
              <w:rPr>
                <w:rFonts w:hint="eastAsia"/>
                <w:bCs/>
                <w:spacing w:val="-10"/>
                <w:sz w:val="24"/>
              </w:rPr>
              <w:t>本项目非甲烷总烃、甲醇</w:t>
            </w:r>
            <w:r>
              <w:rPr>
                <w:bCs/>
                <w:spacing w:val="-10"/>
                <w:sz w:val="24"/>
              </w:rPr>
              <w:t>排放量</w:t>
            </w:r>
            <w:r>
              <w:rPr>
                <w:rFonts w:hint="eastAsia"/>
                <w:bCs/>
                <w:spacing w:val="-10"/>
                <w:sz w:val="24"/>
              </w:rPr>
              <w:t>分别</w:t>
            </w:r>
            <w:r>
              <w:rPr>
                <w:bCs/>
                <w:spacing w:val="-10"/>
                <w:sz w:val="24"/>
              </w:rPr>
              <w:t>为0.0063t/a</w:t>
            </w:r>
            <w:r>
              <w:rPr>
                <w:rFonts w:hint="eastAsia"/>
                <w:bCs/>
                <w:spacing w:val="-10"/>
                <w:sz w:val="24"/>
              </w:rPr>
              <w:t>、</w:t>
            </w:r>
            <w:r>
              <w:rPr>
                <w:bCs/>
                <w:spacing w:val="-10"/>
                <w:sz w:val="24"/>
              </w:rPr>
              <w:t>0.0039t/a，</w:t>
            </w:r>
            <w:r>
              <w:rPr>
                <w:rFonts w:hint="eastAsia"/>
                <w:bCs/>
                <w:spacing w:val="-10"/>
                <w:sz w:val="24"/>
              </w:rPr>
              <w:t>则</w:t>
            </w:r>
            <w:r>
              <w:rPr>
                <w:bCs/>
                <w:spacing w:val="-10"/>
                <w:sz w:val="24"/>
              </w:rPr>
              <w:t>本项目</w:t>
            </w:r>
            <w:r>
              <w:rPr>
                <w:rFonts w:hint="eastAsia"/>
                <w:bCs/>
                <w:spacing w:val="-10"/>
                <w:sz w:val="24"/>
              </w:rPr>
              <w:t>挥发性有机物有组织排放合计为0</w:t>
            </w:r>
            <w:r>
              <w:rPr>
                <w:bCs/>
                <w:spacing w:val="-10"/>
                <w:sz w:val="24"/>
              </w:rPr>
              <w:t>.0102t/a</w:t>
            </w:r>
            <w:r>
              <w:rPr>
                <w:rFonts w:hint="eastAsia"/>
                <w:bCs/>
                <w:spacing w:val="-10"/>
                <w:sz w:val="24"/>
              </w:rPr>
              <w:t>，</w:t>
            </w:r>
            <w:r>
              <w:rPr>
                <w:bCs/>
                <w:spacing w:val="-10"/>
                <w:sz w:val="24"/>
              </w:rPr>
              <w:t>P1排气筒非甲烷总烃排放浓度为2.3mg/m</w:t>
            </w:r>
            <w:r>
              <w:rPr>
                <w:bCs/>
                <w:spacing w:val="-10"/>
                <w:sz w:val="24"/>
                <w:vertAlign w:val="superscript"/>
              </w:rPr>
              <w:t>3</w:t>
            </w:r>
            <w:r>
              <w:rPr>
                <w:bCs/>
                <w:spacing w:val="-10"/>
                <w:sz w:val="24"/>
              </w:rPr>
              <w:t>，排放速率为0.012kg/h</w:t>
            </w:r>
            <w:r>
              <w:rPr>
                <w:rFonts w:hint="eastAsia"/>
                <w:bCs/>
                <w:spacing w:val="-10"/>
                <w:sz w:val="24"/>
              </w:rPr>
              <w:t>，</w:t>
            </w:r>
            <w:r>
              <w:rPr>
                <w:bCs/>
                <w:spacing w:val="-10"/>
                <w:sz w:val="24"/>
              </w:rPr>
              <w:t>能够满足《关于全省开展工业企业挥发性有机物专项治理工作中排放建议值的通知》（豫环攻坚办（2017）162号）其他行业</w:t>
            </w:r>
            <w:r>
              <w:rPr>
                <w:rFonts w:hint="eastAsia"/>
                <w:bCs/>
                <w:spacing w:val="-10"/>
                <w:sz w:val="24"/>
              </w:rPr>
              <w:t>非甲烷总烃</w:t>
            </w:r>
            <w:r>
              <w:rPr>
                <w:bCs/>
                <w:spacing w:val="-10"/>
                <w:sz w:val="24"/>
              </w:rPr>
              <w:t>有组织排放80mg/m</w:t>
            </w:r>
            <w:r>
              <w:rPr>
                <w:bCs/>
                <w:spacing w:val="-10"/>
                <w:sz w:val="24"/>
                <w:vertAlign w:val="superscript"/>
              </w:rPr>
              <w:t>3</w:t>
            </w:r>
            <w:r>
              <w:rPr>
                <w:rFonts w:hint="eastAsia"/>
                <w:bCs/>
                <w:spacing w:val="-10"/>
                <w:sz w:val="24"/>
              </w:rPr>
              <w:t>，去除率≥70%；甲醇有组织排放浓度分别为1</w:t>
            </w:r>
            <w:r>
              <w:rPr>
                <w:bCs/>
                <w:spacing w:val="-10"/>
                <w:sz w:val="24"/>
              </w:rPr>
              <w:t>.4mg/m</w:t>
            </w:r>
            <w:r>
              <w:rPr>
                <w:bCs/>
                <w:spacing w:val="-10"/>
                <w:sz w:val="24"/>
                <w:vertAlign w:val="superscript"/>
              </w:rPr>
              <w:t>3</w:t>
            </w:r>
            <w:r>
              <w:rPr>
                <w:bCs/>
                <w:spacing w:val="-10"/>
                <w:sz w:val="24"/>
              </w:rPr>
              <w:t>，排放速率为0.007kg/h</w:t>
            </w:r>
            <w:r>
              <w:rPr>
                <w:rFonts w:hint="eastAsia"/>
                <w:bCs/>
                <w:spacing w:val="-10"/>
                <w:sz w:val="24"/>
              </w:rPr>
              <w:t>，能够满足《大气污染物综合排放标准》（GB16297-1996）表2二级中甲醇有组织排放浓度</w:t>
            </w:r>
            <w:r>
              <w:rPr>
                <w:bCs/>
                <w:spacing w:val="-10"/>
                <w:sz w:val="24"/>
              </w:rPr>
              <w:t>190mg/m</w:t>
            </w:r>
            <w:r>
              <w:rPr>
                <w:bCs/>
                <w:spacing w:val="-10"/>
                <w:sz w:val="24"/>
                <w:vertAlign w:val="superscript"/>
              </w:rPr>
              <w:t>3</w:t>
            </w:r>
            <w:r>
              <w:rPr>
                <w:bCs/>
                <w:spacing w:val="-10"/>
                <w:sz w:val="24"/>
              </w:rPr>
              <w:t>，排放速率为5.1kg/h</w:t>
            </w:r>
            <w:r>
              <w:rPr>
                <w:rFonts w:hint="eastAsia"/>
                <w:bCs/>
                <w:spacing w:val="-10"/>
                <w:sz w:val="24"/>
              </w:rPr>
              <w:t>（15m高排气筒）的限制要求。</w:t>
            </w:r>
          </w:p>
          <w:p>
            <w:pPr>
              <w:spacing w:line="460" w:lineRule="exact"/>
              <w:ind w:firstLine="480" w:firstLineChars="200"/>
              <w:rPr>
                <w:sz w:val="24"/>
              </w:rPr>
            </w:pPr>
            <w:r>
              <w:rPr>
                <w:sz w:val="24"/>
              </w:rPr>
              <w:t>（3）</w:t>
            </w:r>
            <w:r>
              <w:rPr>
                <w:rFonts w:hint="eastAsia"/>
                <w:sz w:val="24"/>
              </w:rPr>
              <w:t>酸碱</w:t>
            </w:r>
            <w:r>
              <w:rPr>
                <w:sz w:val="24"/>
              </w:rPr>
              <w:t>废气</w:t>
            </w:r>
          </w:p>
          <w:p>
            <w:pPr>
              <w:adjustRightInd w:val="0"/>
              <w:snapToGrid w:val="0"/>
              <w:spacing w:line="460" w:lineRule="exact"/>
              <w:ind w:firstLine="440" w:firstLineChars="200"/>
              <w:rPr>
                <w:bCs/>
                <w:spacing w:val="-10"/>
                <w:sz w:val="24"/>
              </w:rPr>
            </w:pPr>
            <w:r>
              <w:rPr>
                <w:bCs/>
                <w:spacing w:val="-10"/>
                <w:sz w:val="24"/>
              </w:rPr>
              <w:fldChar w:fldCharType="begin"/>
            </w:r>
            <w:r>
              <w:rPr>
                <w:bCs/>
                <w:spacing w:val="-10"/>
                <w:sz w:val="24"/>
              </w:rPr>
              <w:instrText xml:space="preserve"> </w:instrText>
            </w:r>
            <w:r>
              <w:rPr>
                <w:rFonts w:hint="eastAsia"/>
                <w:bCs/>
                <w:spacing w:val="-10"/>
                <w:sz w:val="24"/>
              </w:rPr>
              <w:instrText xml:space="preserve">= 1 \* GB3</w:instrText>
            </w:r>
            <w:r>
              <w:rPr>
                <w:bCs/>
                <w:spacing w:val="-10"/>
                <w:sz w:val="24"/>
              </w:rPr>
              <w:instrText xml:space="preserve"> </w:instrText>
            </w:r>
            <w:r>
              <w:rPr>
                <w:bCs/>
                <w:spacing w:val="-10"/>
                <w:sz w:val="24"/>
              </w:rPr>
              <w:fldChar w:fldCharType="separate"/>
            </w:r>
            <w:r>
              <w:rPr>
                <w:rFonts w:hint="eastAsia"/>
                <w:bCs/>
                <w:spacing w:val="-10"/>
                <w:sz w:val="24"/>
              </w:rPr>
              <w:t>①</w:t>
            </w:r>
            <w:r>
              <w:rPr>
                <w:bCs/>
                <w:spacing w:val="-10"/>
                <w:sz w:val="24"/>
              </w:rPr>
              <w:fldChar w:fldCharType="end"/>
            </w:r>
            <w:r>
              <w:rPr>
                <w:bCs/>
                <w:spacing w:val="-10"/>
                <w:sz w:val="24"/>
              </w:rPr>
              <w:t>酸性废气</w:t>
            </w:r>
          </w:p>
          <w:p>
            <w:pPr>
              <w:adjustRightInd w:val="0"/>
              <w:snapToGrid w:val="0"/>
              <w:spacing w:line="460" w:lineRule="exact"/>
              <w:ind w:firstLine="480" w:firstLineChars="200"/>
              <w:rPr>
                <w:sz w:val="24"/>
              </w:rPr>
            </w:pPr>
            <w:r>
              <w:rPr>
                <w:sz w:val="24"/>
              </w:rPr>
              <w:t>本项目主要试剂</w:t>
            </w:r>
            <w:r>
              <w:rPr>
                <w:rFonts w:hint="eastAsia"/>
                <w:sz w:val="24"/>
              </w:rPr>
              <w:t>中</w:t>
            </w:r>
            <w:r>
              <w:rPr>
                <w:sz w:val="24"/>
              </w:rPr>
              <w:t>有盐酸、硫酸、硝酸等，在配制溶液和实验过程中，会有少量酸雾产生。</w:t>
            </w:r>
          </w:p>
          <w:p>
            <w:pPr>
              <w:adjustRightInd w:val="0"/>
              <w:snapToGrid w:val="0"/>
              <w:spacing w:line="460" w:lineRule="exact"/>
              <w:ind w:firstLine="480" w:firstLineChars="200"/>
              <w:rPr>
                <w:sz w:val="24"/>
              </w:rPr>
            </w:pPr>
            <w:r>
              <w:rPr>
                <w:sz w:val="24"/>
              </w:rPr>
              <w:t>试剂主要是在实验中参与反应消耗，最终多数成为废液，只有少量挥发成为酸雾，且实验方式及实验酸液浓度等有一定差异，难以分别计算。根据文献《在环境影响评价中氯化氢、硫酸雾等气体的监测》（作者：何志毅、叶国英、陶大钧；出版源：《环境监测管理与技术》2005年05期：42-43）中项目使用无机酸过程中，无机酸的挥发系数分别为：盐酸：9.3%，硫酸9.6%，硝酸9.8%。</w:t>
            </w:r>
          </w:p>
          <w:p>
            <w:pPr>
              <w:adjustRightInd w:val="0"/>
              <w:snapToGrid w:val="0"/>
              <w:spacing w:line="460" w:lineRule="exact"/>
              <w:ind w:firstLine="480" w:firstLineChars="200"/>
              <w:rPr>
                <w:sz w:val="24"/>
              </w:rPr>
            </w:pPr>
            <w:r>
              <w:rPr>
                <w:sz w:val="24"/>
              </w:rPr>
              <w:t>经计算本项目盐酸、硫酸、硝酸使用量分别为0.0024t/a、0.0037t/a、0.0030/a，则氯化氢、硫酸雾、硝酸雾挥发量分别为0.0002t/a、0.0004t/a、0.0003t/a。</w:t>
            </w:r>
          </w:p>
          <w:p>
            <w:pPr>
              <w:spacing w:line="460" w:lineRule="exact"/>
              <w:ind w:firstLine="480" w:firstLineChars="200"/>
              <w:jc w:val="left"/>
              <w:rPr>
                <w:rFonts w:eastAsia="黑体"/>
                <w:color w:val="000000"/>
                <w:sz w:val="24"/>
              </w:rPr>
            </w:pPr>
            <w:r>
              <w:rPr>
                <w:rFonts w:eastAsia="黑体"/>
                <w:color w:val="000000"/>
                <w:sz w:val="24"/>
              </w:rPr>
              <w:t>表33          本项目酸性废气物料衡算结果一览表</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28" w:type="dxa"/>
                <w:bottom w:w="0" w:type="dxa"/>
                <w:right w:w="28" w:type="dxa"/>
              </w:tblCellMar>
            </w:tblPr>
            <w:tblGrid>
              <w:gridCol w:w="547"/>
              <w:gridCol w:w="1132"/>
              <w:gridCol w:w="1413"/>
              <w:gridCol w:w="849"/>
              <w:gridCol w:w="719"/>
              <w:gridCol w:w="716"/>
              <w:gridCol w:w="860"/>
              <w:gridCol w:w="861"/>
              <w:gridCol w:w="95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9" w:type="pct"/>
                  <w:tcBorders>
                    <w:top w:val="single" w:color="auto" w:sz="8" w:space="0"/>
                    <w:left w:val="nil"/>
                    <w:bottom w:val="single" w:color="auto" w:sz="6" w:space="0"/>
                    <w:right w:val="single" w:color="auto" w:sz="4" w:space="0"/>
                  </w:tcBorders>
                  <w:vAlign w:val="center"/>
                </w:tcPr>
                <w:p>
                  <w:pPr>
                    <w:widowControl/>
                    <w:jc w:val="center"/>
                    <w:rPr>
                      <w:b/>
                      <w:color w:val="000000"/>
                      <w:kern w:val="0"/>
                      <w:szCs w:val="21"/>
                    </w:rPr>
                  </w:pPr>
                  <w:r>
                    <w:rPr>
                      <w:b/>
                      <w:color w:val="000000"/>
                      <w:szCs w:val="21"/>
                    </w:rPr>
                    <w:t>编号</w:t>
                  </w:r>
                </w:p>
              </w:tc>
              <w:tc>
                <w:tcPr>
                  <w:tcW w:w="703" w:type="pct"/>
                  <w:tcBorders>
                    <w:top w:val="single" w:color="auto" w:sz="8" w:space="0"/>
                    <w:left w:val="single" w:color="auto" w:sz="4" w:space="0"/>
                    <w:bottom w:val="single" w:color="auto" w:sz="6" w:space="0"/>
                  </w:tcBorders>
                  <w:vAlign w:val="center"/>
                </w:tcPr>
                <w:p>
                  <w:pPr>
                    <w:widowControl/>
                    <w:jc w:val="center"/>
                    <w:rPr>
                      <w:b/>
                      <w:color w:val="000000"/>
                      <w:kern w:val="0"/>
                      <w:szCs w:val="21"/>
                    </w:rPr>
                  </w:pPr>
                  <w:r>
                    <w:rPr>
                      <w:b/>
                      <w:color w:val="000000"/>
                      <w:szCs w:val="21"/>
                    </w:rPr>
                    <w:t>原辅料名称</w:t>
                  </w:r>
                </w:p>
              </w:tc>
              <w:tc>
                <w:tcPr>
                  <w:tcW w:w="878" w:type="pct"/>
                  <w:tcBorders>
                    <w:top w:val="single" w:color="auto" w:sz="8" w:space="0"/>
                    <w:bottom w:val="single" w:color="auto" w:sz="6" w:space="0"/>
                  </w:tcBorders>
                  <w:vAlign w:val="center"/>
                </w:tcPr>
                <w:p>
                  <w:pPr>
                    <w:widowControl/>
                    <w:jc w:val="center"/>
                    <w:rPr>
                      <w:b/>
                      <w:color w:val="000000"/>
                      <w:szCs w:val="21"/>
                    </w:rPr>
                  </w:pPr>
                  <w:r>
                    <w:rPr>
                      <w:b/>
                      <w:color w:val="000000"/>
                      <w:szCs w:val="21"/>
                    </w:rPr>
                    <w:t>主要化学成分</w:t>
                  </w:r>
                </w:p>
              </w:tc>
              <w:tc>
                <w:tcPr>
                  <w:tcW w:w="527" w:type="pct"/>
                  <w:tcBorders>
                    <w:top w:val="single" w:color="auto" w:sz="8" w:space="0"/>
                    <w:bottom w:val="single" w:color="auto" w:sz="6" w:space="0"/>
                  </w:tcBorders>
                  <w:vAlign w:val="center"/>
                </w:tcPr>
                <w:p>
                  <w:pPr>
                    <w:widowControl/>
                    <w:jc w:val="center"/>
                    <w:rPr>
                      <w:b/>
                      <w:color w:val="000000"/>
                      <w:szCs w:val="21"/>
                    </w:rPr>
                  </w:pPr>
                  <w:r>
                    <w:rPr>
                      <w:b/>
                      <w:color w:val="000000"/>
                      <w:szCs w:val="21"/>
                    </w:rPr>
                    <w:t>污染物</w:t>
                  </w:r>
                </w:p>
              </w:tc>
              <w:tc>
                <w:tcPr>
                  <w:tcW w:w="447" w:type="pct"/>
                  <w:tcBorders>
                    <w:top w:val="single" w:color="auto" w:sz="8" w:space="0"/>
                    <w:bottom w:val="single" w:color="auto" w:sz="6" w:space="0"/>
                  </w:tcBorders>
                  <w:vAlign w:val="center"/>
                </w:tcPr>
                <w:p>
                  <w:pPr>
                    <w:widowControl/>
                    <w:ind w:left="-105" w:leftChars="-50" w:right="-105" w:rightChars="-50"/>
                    <w:jc w:val="center"/>
                    <w:rPr>
                      <w:b/>
                      <w:color w:val="000000"/>
                      <w:szCs w:val="21"/>
                    </w:rPr>
                  </w:pPr>
                  <w:r>
                    <w:rPr>
                      <w:b/>
                      <w:color w:val="000000"/>
                      <w:szCs w:val="21"/>
                    </w:rPr>
                    <w:t>消耗量（L/a）</w:t>
                  </w:r>
                </w:p>
              </w:tc>
              <w:tc>
                <w:tcPr>
                  <w:tcW w:w="445" w:type="pct"/>
                  <w:tcBorders>
                    <w:top w:val="single" w:color="auto" w:sz="8" w:space="0"/>
                    <w:bottom w:val="single" w:color="auto" w:sz="6" w:space="0"/>
                    <w:right w:val="single" w:color="auto" w:sz="4" w:space="0"/>
                  </w:tcBorders>
                  <w:vAlign w:val="center"/>
                </w:tcPr>
                <w:p>
                  <w:pPr>
                    <w:widowControl/>
                    <w:jc w:val="center"/>
                    <w:rPr>
                      <w:b/>
                      <w:color w:val="000000"/>
                      <w:szCs w:val="21"/>
                    </w:rPr>
                  </w:pPr>
                  <w:r>
                    <w:rPr>
                      <w:b/>
                      <w:color w:val="000000"/>
                      <w:szCs w:val="21"/>
                    </w:rPr>
                    <w:t>密度(kg/L)</w:t>
                  </w:r>
                </w:p>
              </w:tc>
              <w:tc>
                <w:tcPr>
                  <w:tcW w:w="534" w:type="pct"/>
                  <w:tcBorders>
                    <w:top w:val="single" w:color="auto" w:sz="8" w:space="0"/>
                    <w:left w:val="single" w:color="auto" w:sz="4" w:space="0"/>
                    <w:bottom w:val="single" w:color="auto" w:sz="6" w:space="0"/>
                  </w:tcBorders>
                  <w:vAlign w:val="center"/>
                </w:tcPr>
                <w:p>
                  <w:pPr>
                    <w:widowControl/>
                    <w:jc w:val="center"/>
                    <w:rPr>
                      <w:bCs/>
                      <w:color w:val="000000"/>
                      <w:szCs w:val="21"/>
                    </w:rPr>
                  </w:pPr>
                  <w:r>
                    <w:rPr>
                      <w:b/>
                      <w:color w:val="000000"/>
                      <w:szCs w:val="21"/>
                    </w:rPr>
                    <w:t>年耗量(t)</w:t>
                  </w:r>
                </w:p>
              </w:tc>
              <w:tc>
                <w:tcPr>
                  <w:tcW w:w="535" w:type="pct"/>
                  <w:tcBorders>
                    <w:top w:val="single" w:color="auto" w:sz="8" w:space="0"/>
                    <w:left w:val="single" w:color="auto" w:sz="4" w:space="0"/>
                    <w:bottom w:val="single" w:color="auto" w:sz="6" w:space="0"/>
                  </w:tcBorders>
                  <w:vAlign w:val="center"/>
                </w:tcPr>
                <w:p>
                  <w:pPr>
                    <w:widowControl/>
                    <w:jc w:val="center"/>
                    <w:rPr>
                      <w:b/>
                      <w:color w:val="000000"/>
                      <w:szCs w:val="21"/>
                    </w:rPr>
                  </w:pPr>
                  <w:r>
                    <w:rPr>
                      <w:b/>
                      <w:color w:val="000000"/>
                      <w:szCs w:val="21"/>
                    </w:rPr>
                    <w:t>酸雾产生比例</w:t>
                  </w:r>
                </w:p>
              </w:tc>
              <w:tc>
                <w:tcPr>
                  <w:tcW w:w="593" w:type="pct"/>
                  <w:tcBorders>
                    <w:top w:val="single" w:color="auto" w:sz="8" w:space="0"/>
                    <w:left w:val="single" w:color="auto" w:sz="4" w:space="0"/>
                    <w:bottom w:val="single" w:color="auto" w:sz="6" w:space="0"/>
                    <w:right w:val="nil"/>
                  </w:tcBorders>
                  <w:vAlign w:val="center"/>
                </w:tcPr>
                <w:p>
                  <w:pPr>
                    <w:widowControl/>
                    <w:jc w:val="center"/>
                    <w:rPr>
                      <w:b/>
                      <w:color w:val="000000"/>
                      <w:szCs w:val="21"/>
                    </w:rPr>
                  </w:pPr>
                  <w:r>
                    <w:rPr>
                      <w:b/>
                      <w:color w:val="000000"/>
                      <w:szCs w:val="21"/>
                    </w:rPr>
                    <w:t>酸雾产生量（t/a）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9" w:type="pct"/>
                  <w:tcBorders>
                    <w:top w:val="single" w:color="auto" w:sz="6" w:space="0"/>
                    <w:left w:val="nil"/>
                    <w:bottom w:val="single" w:color="auto" w:sz="6" w:space="0"/>
                    <w:right w:val="single" w:color="auto" w:sz="4" w:space="0"/>
                  </w:tcBorders>
                  <w:vAlign w:val="center"/>
                </w:tcPr>
                <w:p>
                  <w:pPr>
                    <w:ind w:firstLine="35" w:firstLineChars="17"/>
                    <w:jc w:val="center"/>
                    <w:rPr>
                      <w:color w:val="000000"/>
                      <w:szCs w:val="21"/>
                      <w:lang w:val="pt-BR"/>
                    </w:rPr>
                  </w:pPr>
                  <w:r>
                    <w:rPr>
                      <w:bCs/>
                      <w:color w:val="000000"/>
                      <w:szCs w:val="21"/>
                    </w:rPr>
                    <w:t>1</w:t>
                  </w:r>
                </w:p>
              </w:tc>
              <w:tc>
                <w:tcPr>
                  <w:tcW w:w="703"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szCs w:val="24"/>
                    </w:rPr>
                  </w:pPr>
                  <w:r>
                    <w:rPr>
                      <w:rFonts w:ascii="Times New Roman" w:hAnsi="Times New Roman"/>
                      <w:szCs w:val="24"/>
                    </w:rPr>
                    <w:t>硫酸溶液</w:t>
                  </w:r>
                </w:p>
              </w:tc>
              <w:tc>
                <w:tcPr>
                  <w:tcW w:w="878" w:type="pct"/>
                  <w:tcBorders>
                    <w:top w:val="single" w:color="auto" w:sz="6" w:space="0"/>
                    <w:bottom w:val="single" w:color="auto" w:sz="6" w:space="0"/>
                  </w:tcBorders>
                  <w:vAlign w:val="center"/>
                </w:tcPr>
                <w:p>
                  <w:pPr>
                    <w:pStyle w:val="12"/>
                    <w:snapToGrid w:val="0"/>
                    <w:jc w:val="center"/>
                    <w:rPr>
                      <w:rFonts w:ascii="Times New Roman" w:hAnsi="Times New Roman"/>
                      <w:szCs w:val="24"/>
                    </w:rPr>
                  </w:pPr>
                  <w:r>
                    <w:rPr>
                      <w:rFonts w:ascii="Times New Roman" w:hAnsi="Times New Roman"/>
                      <w:szCs w:val="24"/>
                    </w:rPr>
                    <w:t>96-98%硫酸＋4%H</w:t>
                  </w:r>
                  <w:r>
                    <w:rPr>
                      <w:rFonts w:ascii="Times New Roman" w:hAnsi="Times New Roman"/>
                      <w:szCs w:val="24"/>
                      <w:vertAlign w:val="subscript"/>
                    </w:rPr>
                    <w:t>2</w:t>
                  </w:r>
                  <w:r>
                    <w:rPr>
                      <w:rFonts w:ascii="Times New Roman" w:hAnsi="Times New Roman"/>
                      <w:szCs w:val="24"/>
                    </w:rPr>
                    <w:t>O</w:t>
                  </w:r>
                </w:p>
              </w:tc>
              <w:tc>
                <w:tcPr>
                  <w:tcW w:w="527"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硫酸雾</w:t>
                  </w:r>
                </w:p>
              </w:tc>
              <w:tc>
                <w:tcPr>
                  <w:tcW w:w="447"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2</w:t>
                  </w:r>
                </w:p>
              </w:tc>
              <w:tc>
                <w:tcPr>
                  <w:tcW w:w="445" w:type="pct"/>
                  <w:tcBorders>
                    <w:top w:val="single" w:color="auto" w:sz="6" w:space="0"/>
                    <w:bottom w:val="single" w:color="auto" w:sz="6" w:space="0"/>
                    <w:right w:val="single" w:color="auto" w:sz="4" w:space="0"/>
                  </w:tcBorders>
                  <w:vAlign w:val="center"/>
                </w:tcPr>
                <w:p>
                  <w:pPr>
                    <w:pStyle w:val="12"/>
                    <w:snapToGrid w:val="0"/>
                    <w:jc w:val="center"/>
                    <w:rPr>
                      <w:rFonts w:ascii="Times New Roman" w:hAnsi="Times New Roman"/>
                      <w:color w:val="000000"/>
                    </w:rPr>
                  </w:pPr>
                  <w:r>
                    <w:rPr>
                      <w:rFonts w:ascii="Times New Roman" w:hAnsi="Times New Roman"/>
                      <w:color w:val="000000"/>
                    </w:rPr>
                    <w:t>1.84</w:t>
                  </w:r>
                </w:p>
              </w:tc>
              <w:tc>
                <w:tcPr>
                  <w:tcW w:w="534"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0.0037</w:t>
                  </w:r>
                </w:p>
              </w:tc>
              <w:tc>
                <w:tcPr>
                  <w:tcW w:w="535"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9.6%</w:t>
                  </w:r>
                </w:p>
              </w:tc>
              <w:tc>
                <w:tcPr>
                  <w:tcW w:w="593"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9"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bCs/>
                      <w:color w:val="000000"/>
                      <w:szCs w:val="21"/>
                    </w:rPr>
                    <w:t>2</w:t>
                  </w:r>
                </w:p>
              </w:tc>
              <w:tc>
                <w:tcPr>
                  <w:tcW w:w="703"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szCs w:val="24"/>
                    </w:rPr>
                  </w:pPr>
                  <w:r>
                    <w:rPr>
                      <w:rFonts w:ascii="Times New Roman" w:hAnsi="Times New Roman"/>
                      <w:szCs w:val="24"/>
                    </w:rPr>
                    <w:t>盐酸</w:t>
                  </w:r>
                </w:p>
              </w:tc>
              <w:tc>
                <w:tcPr>
                  <w:tcW w:w="878" w:type="pct"/>
                  <w:tcBorders>
                    <w:top w:val="single" w:color="auto" w:sz="6" w:space="0"/>
                    <w:bottom w:val="single" w:color="auto" w:sz="6" w:space="0"/>
                  </w:tcBorders>
                  <w:vAlign w:val="center"/>
                </w:tcPr>
                <w:p>
                  <w:pPr>
                    <w:pStyle w:val="12"/>
                    <w:snapToGrid w:val="0"/>
                    <w:jc w:val="center"/>
                    <w:rPr>
                      <w:rFonts w:ascii="Times New Roman" w:hAnsi="Times New Roman"/>
                      <w:szCs w:val="24"/>
                    </w:rPr>
                  </w:pPr>
                  <w:r>
                    <w:rPr>
                      <w:rFonts w:ascii="Times New Roman" w:hAnsi="Times New Roman"/>
                      <w:szCs w:val="24"/>
                    </w:rPr>
                    <w:t>37%盐酸</w:t>
                  </w:r>
                </w:p>
              </w:tc>
              <w:tc>
                <w:tcPr>
                  <w:tcW w:w="527"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HCl</w:t>
                  </w:r>
                </w:p>
              </w:tc>
              <w:tc>
                <w:tcPr>
                  <w:tcW w:w="447"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2</w:t>
                  </w:r>
                </w:p>
              </w:tc>
              <w:tc>
                <w:tcPr>
                  <w:tcW w:w="445" w:type="pct"/>
                  <w:tcBorders>
                    <w:top w:val="single" w:color="auto" w:sz="6" w:space="0"/>
                    <w:bottom w:val="single" w:color="auto" w:sz="6" w:space="0"/>
                    <w:right w:val="single" w:color="auto" w:sz="4" w:space="0"/>
                  </w:tcBorders>
                  <w:vAlign w:val="center"/>
                </w:tcPr>
                <w:p>
                  <w:pPr>
                    <w:pStyle w:val="12"/>
                    <w:snapToGrid w:val="0"/>
                    <w:jc w:val="center"/>
                    <w:rPr>
                      <w:rFonts w:ascii="Times New Roman" w:hAnsi="Times New Roman" w:eastAsia="Times New Roman"/>
                      <w:spacing w:val="-5"/>
                      <w:w w:val="98"/>
                    </w:rPr>
                  </w:pPr>
                  <w:r>
                    <w:rPr>
                      <w:rFonts w:ascii="Times New Roman" w:hAnsi="Times New Roman" w:eastAsia="Times New Roman"/>
                      <w:spacing w:val="-5"/>
                      <w:w w:val="98"/>
                    </w:rPr>
                    <w:t>1.19</w:t>
                  </w:r>
                </w:p>
              </w:tc>
              <w:tc>
                <w:tcPr>
                  <w:tcW w:w="534"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0.0024</w:t>
                  </w:r>
                </w:p>
              </w:tc>
              <w:tc>
                <w:tcPr>
                  <w:tcW w:w="535"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eastAsia="Times New Roman"/>
                      <w:spacing w:val="-5"/>
                    </w:rPr>
                  </w:pPr>
                  <w:r>
                    <w:rPr>
                      <w:rFonts w:ascii="Times New Roman" w:hAnsi="Times New Roman"/>
                      <w:color w:val="000000"/>
                    </w:rPr>
                    <w:t>9.3%</w:t>
                  </w:r>
                </w:p>
              </w:tc>
              <w:tc>
                <w:tcPr>
                  <w:tcW w:w="593"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9"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bCs/>
                      <w:color w:val="000000"/>
                      <w:szCs w:val="21"/>
                    </w:rPr>
                    <w:t>3</w:t>
                  </w:r>
                </w:p>
              </w:tc>
              <w:tc>
                <w:tcPr>
                  <w:tcW w:w="703"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szCs w:val="24"/>
                    </w:rPr>
                  </w:pPr>
                  <w:r>
                    <w:rPr>
                      <w:rFonts w:ascii="Times New Roman" w:hAnsi="Times New Roman"/>
                      <w:szCs w:val="24"/>
                    </w:rPr>
                    <w:t>硝酸溶液</w:t>
                  </w:r>
                </w:p>
              </w:tc>
              <w:tc>
                <w:tcPr>
                  <w:tcW w:w="878" w:type="pct"/>
                  <w:tcBorders>
                    <w:top w:val="single" w:color="auto" w:sz="6" w:space="0"/>
                    <w:bottom w:val="single" w:color="auto" w:sz="6" w:space="0"/>
                  </w:tcBorders>
                  <w:vAlign w:val="center"/>
                </w:tcPr>
                <w:p>
                  <w:pPr>
                    <w:pStyle w:val="12"/>
                    <w:snapToGrid w:val="0"/>
                    <w:jc w:val="center"/>
                    <w:rPr>
                      <w:rFonts w:ascii="Times New Roman" w:hAnsi="Times New Roman"/>
                      <w:szCs w:val="24"/>
                    </w:rPr>
                  </w:pPr>
                  <w:r>
                    <w:rPr>
                      <w:rFonts w:ascii="Times New Roman" w:hAnsi="Times New Roman"/>
                      <w:szCs w:val="24"/>
                    </w:rPr>
                    <w:t>70%硝酸＋30%水</w:t>
                  </w:r>
                </w:p>
              </w:tc>
              <w:tc>
                <w:tcPr>
                  <w:tcW w:w="527"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氮氧化物</w:t>
                  </w:r>
                </w:p>
              </w:tc>
              <w:tc>
                <w:tcPr>
                  <w:tcW w:w="447"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2</w:t>
                  </w:r>
                </w:p>
              </w:tc>
              <w:tc>
                <w:tcPr>
                  <w:tcW w:w="445" w:type="pct"/>
                  <w:tcBorders>
                    <w:top w:val="single" w:color="auto" w:sz="6" w:space="0"/>
                    <w:bottom w:val="single" w:color="auto" w:sz="6" w:space="0"/>
                    <w:right w:val="single" w:color="auto" w:sz="4" w:space="0"/>
                  </w:tcBorders>
                  <w:vAlign w:val="center"/>
                </w:tcPr>
                <w:p>
                  <w:pPr>
                    <w:pStyle w:val="12"/>
                    <w:snapToGrid w:val="0"/>
                    <w:jc w:val="center"/>
                    <w:rPr>
                      <w:rFonts w:ascii="Times New Roman" w:hAnsi="Times New Roman" w:eastAsia="Times New Roman"/>
                      <w:spacing w:val="-5"/>
                      <w:w w:val="98"/>
                    </w:rPr>
                  </w:pPr>
                  <w:r>
                    <w:rPr>
                      <w:rFonts w:ascii="Times New Roman" w:hAnsi="Times New Roman" w:eastAsia="Times New Roman"/>
                      <w:spacing w:val="-5"/>
                      <w:w w:val="98"/>
                    </w:rPr>
                    <w:t>1.503</w:t>
                  </w:r>
                </w:p>
              </w:tc>
              <w:tc>
                <w:tcPr>
                  <w:tcW w:w="534"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0.0030</w:t>
                  </w:r>
                </w:p>
              </w:tc>
              <w:tc>
                <w:tcPr>
                  <w:tcW w:w="535"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eastAsia="Times New Roman"/>
                      <w:spacing w:val="-5"/>
                    </w:rPr>
                  </w:pPr>
                  <w:r>
                    <w:rPr>
                      <w:rFonts w:ascii="Times New Roman" w:hAnsi="Times New Roman"/>
                      <w:color w:val="000000"/>
                    </w:rPr>
                    <w:t>9.8%</w:t>
                  </w:r>
                </w:p>
              </w:tc>
              <w:tc>
                <w:tcPr>
                  <w:tcW w:w="593"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9"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bCs/>
                      <w:color w:val="000000"/>
                      <w:szCs w:val="21"/>
                    </w:rPr>
                    <w:t>4</w:t>
                  </w:r>
                </w:p>
              </w:tc>
              <w:tc>
                <w:tcPr>
                  <w:tcW w:w="703"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szCs w:val="24"/>
                    </w:rPr>
                  </w:pPr>
                  <w:r>
                    <w:rPr>
                      <w:rFonts w:ascii="Times New Roman" w:hAnsi="Times New Roman"/>
                      <w:szCs w:val="24"/>
                    </w:rPr>
                    <w:t>合计</w:t>
                  </w:r>
                </w:p>
              </w:tc>
              <w:tc>
                <w:tcPr>
                  <w:tcW w:w="3366" w:type="pct"/>
                  <w:gridSpan w:val="6"/>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w:t>
                  </w:r>
                </w:p>
              </w:tc>
              <w:tc>
                <w:tcPr>
                  <w:tcW w:w="593"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0.0009</w:t>
                  </w:r>
                </w:p>
              </w:tc>
            </w:tr>
          </w:tbl>
          <w:p>
            <w:pPr>
              <w:adjustRightInd w:val="0"/>
              <w:snapToGrid w:val="0"/>
              <w:spacing w:line="460" w:lineRule="exact"/>
              <w:ind w:firstLine="440" w:firstLineChars="200"/>
              <w:rPr>
                <w:bCs/>
                <w:spacing w:val="-10"/>
                <w:sz w:val="24"/>
              </w:rPr>
            </w:pPr>
            <w:r>
              <w:rPr>
                <w:bCs/>
                <w:spacing w:val="-10"/>
                <w:sz w:val="24"/>
              </w:rPr>
              <w:fldChar w:fldCharType="begin"/>
            </w:r>
            <w:r>
              <w:rPr>
                <w:bCs/>
                <w:spacing w:val="-10"/>
                <w:sz w:val="24"/>
              </w:rPr>
              <w:instrText xml:space="preserve"> </w:instrText>
            </w:r>
            <w:r>
              <w:rPr>
                <w:rFonts w:hint="eastAsia"/>
                <w:bCs/>
                <w:spacing w:val="-10"/>
                <w:sz w:val="24"/>
              </w:rPr>
              <w:instrText xml:space="preserve">= 2 \* GB3</w:instrText>
            </w:r>
            <w:r>
              <w:rPr>
                <w:bCs/>
                <w:spacing w:val="-10"/>
                <w:sz w:val="24"/>
              </w:rPr>
              <w:instrText xml:space="preserve"> </w:instrText>
            </w:r>
            <w:r>
              <w:rPr>
                <w:bCs/>
                <w:spacing w:val="-10"/>
                <w:sz w:val="24"/>
              </w:rPr>
              <w:fldChar w:fldCharType="separate"/>
            </w:r>
            <w:r>
              <w:rPr>
                <w:rFonts w:hint="eastAsia"/>
                <w:bCs/>
                <w:spacing w:val="-10"/>
                <w:sz w:val="24"/>
              </w:rPr>
              <w:t>②</w:t>
            </w:r>
            <w:r>
              <w:rPr>
                <w:bCs/>
                <w:spacing w:val="-10"/>
                <w:sz w:val="24"/>
              </w:rPr>
              <w:fldChar w:fldCharType="end"/>
            </w:r>
            <w:r>
              <w:rPr>
                <w:bCs/>
                <w:spacing w:val="-10"/>
                <w:sz w:val="24"/>
              </w:rPr>
              <w:t>碱性废气</w:t>
            </w:r>
          </w:p>
          <w:p>
            <w:pPr>
              <w:adjustRightInd w:val="0"/>
              <w:snapToGrid w:val="0"/>
              <w:spacing w:line="460" w:lineRule="exact"/>
              <w:ind w:firstLine="480" w:firstLineChars="200"/>
              <w:rPr>
                <w:sz w:val="24"/>
              </w:rPr>
            </w:pPr>
            <w:r>
              <w:rPr>
                <w:sz w:val="24"/>
              </w:rPr>
              <w:t>本项目主要试剂中有氨水，在配制溶液和实验过程中，会有少量氨气产生。</w:t>
            </w:r>
            <w:r>
              <w:rPr>
                <w:bCs/>
                <w:spacing w:val="-10"/>
                <w:sz w:val="24"/>
              </w:rPr>
              <w:t>依据《</w:t>
            </w:r>
            <w:r>
              <w:fldChar w:fldCharType="begin"/>
            </w:r>
            <w:r>
              <w:instrText xml:space="preserve"> HYPERLINK "https://www.mee.gov.cn/ywgz/fgbz/bz/bzwb/wrfzjszc/201803/W020180329581021613517.pdf" </w:instrText>
            </w:r>
            <w:r>
              <w:fldChar w:fldCharType="separate"/>
            </w:r>
            <w:r>
              <w:rPr>
                <w:bCs/>
                <w:spacing w:val="-10"/>
                <w:sz w:val="24"/>
              </w:rPr>
              <w:t>污染源源强核算技术指南准则》（HJ884—2018</w:t>
            </w:r>
            <w:r>
              <w:rPr>
                <w:bCs/>
                <w:spacing w:val="-10"/>
                <w:sz w:val="24"/>
              </w:rPr>
              <w:fldChar w:fldCharType="end"/>
            </w:r>
            <w:r>
              <w:rPr>
                <w:bCs/>
                <w:spacing w:val="-10"/>
                <w:sz w:val="24"/>
              </w:rPr>
              <w:t>）的类比法，</w:t>
            </w:r>
            <w:r>
              <w:rPr>
                <w:rFonts w:hint="eastAsia"/>
                <w:bCs/>
                <w:spacing w:val="-10"/>
                <w:sz w:val="24"/>
              </w:rPr>
              <w:t>参照河南中弘国泰检测技术有限公司企业实验室运行期间</w:t>
            </w:r>
            <w:r>
              <w:rPr>
                <w:bCs/>
                <w:spacing w:val="-10"/>
                <w:sz w:val="24"/>
              </w:rPr>
              <w:t>实测数据，</w:t>
            </w:r>
            <w:r>
              <w:rPr>
                <w:sz w:val="24"/>
              </w:rPr>
              <w:t>实验室试剂挥发量为原料量的1%~50%之间，按照环评最不利因素考虑，本次评价计算取最大值50%。经计算本项目氨水使用量分别为0.0018t/a，则氨气产生量为0.0009t/a。</w:t>
            </w:r>
          </w:p>
          <w:p>
            <w:pPr>
              <w:spacing w:line="460" w:lineRule="exact"/>
              <w:ind w:firstLine="480" w:firstLineChars="200"/>
              <w:jc w:val="left"/>
              <w:rPr>
                <w:rFonts w:eastAsia="黑体"/>
                <w:color w:val="000000"/>
                <w:sz w:val="24"/>
              </w:rPr>
            </w:pPr>
            <w:r>
              <w:rPr>
                <w:rFonts w:eastAsia="黑体"/>
                <w:color w:val="000000"/>
                <w:sz w:val="24"/>
              </w:rPr>
              <w:t>表34           本项目碱性废气物料衡算结果一览表</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28" w:type="dxa"/>
                <w:bottom w:w="0" w:type="dxa"/>
                <w:right w:w="28" w:type="dxa"/>
              </w:tblCellMar>
            </w:tblPr>
            <w:tblGrid>
              <w:gridCol w:w="630"/>
              <w:gridCol w:w="1329"/>
              <w:gridCol w:w="1704"/>
              <w:gridCol w:w="945"/>
              <w:gridCol w:w="684"/>
              <w:gridCol w:w="939"/>
              <w:gridCol w:w="863"/>
              <w:gridCol w:w="95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92" w:type="pct"/>
                  <w:tcBorders>
                    <w:top w:val="single" w:color="auto" w:sz="8" w:space="0"/>
                    <w:left w:val="nil"/>
                    <w:bottom w:val="single" w:color="auto" w:sz="6" w:space="0"/>
                    <w:right w:val="single" w:color="auto" w:sz="4" w:space="0"/>
                  </w:tcBorders>
                  <w:vAlign w:val="center"/>
                </w:tcPr>
                <w:p>
                  <w:pPr>
                    <w:widowControl/>
                    <w:jc w:val="center"/>
                    <w:rPr>
                      <w:b/>
                      <w:color w:val="000000"/>
                      <w:kern w:val="0"/>
                      <w:szCs w:val="21"/>
                    </w:rPr>
                  </w:pPr>
                  <w:r>
                    <w:rPr>
                      <w:b/>
                      <w:color w:val="000000"/>
                      <w:szCs w:val="21"/>
                    </w:rPr>
                    <w:t>编号</w:t>
                  </w:r>
                </w:p>
              </w:tc>
              <w:tc>
                <w:tcPr>
                  <w:tcW w:w="825" w:type="pct"/>
                  <w:tcBorders>
                    <w:top w:val="single" w:color="auto" w:sz="8" w:space="0"/>
                    <w:left w:val="single" w:color="auto" w:sz="4" w:space="0"/>
                    <w:bottom w:val="single" w:color="auto" w:sz="6" w:space="0"/>
                  </w:tcBorders>
                  <w:vAlign w:val="center"/>
                </w:tcPr>
                <w:p>
                  <w:pPr>
                    <w:widowControl/>
                    <w:jc w:val="center"/>
                    <w:rPr>
                      <w:b/>
                      <w:color w:val="000000"/>
                      <w:kern w:val="0"/>
                      <w:szCs w:val="21"/>
                    </w:rPr>
                  </w:pPr>
                  <w:r>
                    <w:rPr>
                      <w:b/>
                      <w:color w:val="000000"/>
                      <w:szCs w:val="21"/>
                    </w:rPr>
                    <w:t>原辅料名称</w:t>
                  </w:r>
                </w:p>
              </w:tc>
              <w:tc>
                <w:tcPr>
                  <w:tcW w:w="1058" w:type="pct"/>
                  <w:tcBorders>
                    <w:top w:val="single" w:color="auto" w:sz="8" w:space="0"/>
                    <w:bottom w:val="single" w:color="auto" w:sz="6" w:space="0"/>
                  </w:tcBorders>
                  <w:vAlign w:val="center"/>
                </w:tcPr>
                <w:p>
                  <w:pPr>
                    <w:widowControl/>
                    <w:jc w:val="center"/>
                    <w:rPr>
                      <w:b/>
                      <w:color w:val="000000"/>
                      <w:szCs w:val="21"/>
                    </w:rPr>
                  </w:pPr>
                  <w:r>
                    <w:rPr>
                      <w:b/>
                      <w:color w:val="000000"/>
                      <w:szCs w:val="21"/>
                    </w:rPr>
                    <w:t>主要化学成分</w:t>
                  </w:r>
                </w:p>
              </w:tc>
              <w:tc>
                <w:tcPr>
                  <w:tcW w:w="587" w:type="pct"/>
                  <w:tcBorders>
                    <w:top w:val="single" w:color="auto" w:sz="8" w:space="0"/>
                    <w:bottom w:val="single" w:color="auto" w:sz="6" w:space="0"/>
                  </w:tcBorders>
                  <w:vAlign w:val="center"/>
                </w:tcPr>
                <w:p>
                  <w:pPr>
                    <w:widowControl/>
                    <w:jc w:val="center"/>
                    <w:rPr>
                      <w:b/>
                      <w:color w:val="000000"/>
                      <w:szCs w:val="21"/>
                    </w:rPr>
                  </w:pPr>
                  <w:r>
                    <w:rPr>
                      <w:b/>
                      <w:color w:val="000000"/>
                      <w:szCs w:val="21"/>
                    </w:rPr>
                    <w:t>消耗量（L/a）</w:t>
                  </w:r>
                </w:p>
              </w:tc>
              <w:tc>
                <w:tcPr>
                  <w:tcW w:w="425" w:type="pct"/>
                  <w:tcBorders>
                    <w:top w:val="single" w:color="auto" w:sz="8" w:space="0"/>
                    <w:bottom w:val="single" w:color="auto" w:sz="6" w:space="0"/>
                    <w:right w:val="single" w:color="auto" w:sz="4" w:space="0"/>
                  </w:tcBorders>
                  <w:vAlign w:val="center"/>
                </w:tcPr>
                <w:p>
                  <w:pPr>
                    <w:widowControl/>
                    <w:jc w:val="center"/>
                    <w:rPr>
                      <w:b/>
                      <w:color w:val="000000"/>
                      <w:szCs w:val="21"/>
                    </w:rPr>
                  </w:pPr>
                  <w:r>
                    <w:rPr>
                      <w:b/>
                      <w:color w:val="000000"/>
                      <w:szCs w:val="21"/>
                    </w:rPr>
                    <w:t>密度(kg/L)</w:t>
                  </w:r>
                </w:p>
              </w:tc>
              <w:tc>
                <w:tcPr>
                  <w:tcW w:w="583" w:type="pct"/>
                  <w:tcBorders>
                    <w:top w:val="single" w:color="auto" w:sz="8" w:space="0"/>
                    <w:left w:val="single" w:color="auto" w:sz="4" w:space="0"/>
                    <w:bottom w:val="single" w:color="auto" w:sz="6" w:space="0"/>
                  </w:tcBorders>
                  <w:vAlign w:val="center"/>
                </w:tcPr>
                <w:p>
                  <w:pPr>
                    <w:widowControl/>
                    <w:jc w:val="center"/>
                    <w:rPr>
                      <w:bCs/>
                      <w:color w:val="000000"/>
                      <w:szCs w:val="21"/>
                    </w:rPr>
                  </w:pPr>
                  <w:r>
                    <w:rPr>
                      <w:b/>
                      <w:color w:val="000000"/>
                      <w:szCs w:val="21"/>
                    </w:rPr>
                    <w:t>年耗量(t)</w:t>
                  </w:r>
                </w:p>
              </w:tc>
              <w:tc>
                <w:tcPr>
                  <w:tcW w:w="536" w:type="pct"/>
                  <w:tcBorders>
                    <w:top w:val="single" w:color="auto" w:sz="8" w:space="0"/>
                    <w:left w:val="single" w:color="auto" w:sz="4" w:space="0"/>
                    <w:bottom w:val="single" w:color="auto" w:sz="6" w:space="0"/>
                  </w:tcBorders>
                  <w:vAlign w:val="center"/>
                </w:tcPr>
                <w:p>
                  <w:pPr>
                    <w:widowControl/>
                    <w:jc w:val="center"/>
                    <w:rPr>
                      <w:b/>
                      <w:color w:val="000000"/>
                      <w:szCs w:val="21"/>
                    </w:rPr>
                  </w:pPr>
                  <w:r>
                    <w:rPr>
                      <w:b/>
                      <w:color w:val="000000"/>
                      <w:szCs w:val="21"/>
                    </w:rPr>
                    <w:t>氨产生比例</w:t>
                  </w:r>
                </w:p>
              </w:tc>
              <w:tc>
                <w:tcPr>
                  <w:tcW w:w="595" w:type="pct"/>
                  <w:tcBorders>
                    <w:top w:val="single" w:color="auto" w:sz="8" w:space="0"/>
                    <w:left w:val="single" w:color="auto" w:sz="4" w:space="0"/>
                    <w:bottom w:val="single" w:color="auto" w:sz="6" w:space="0"/>
                    <w:right w:val="nil"/>
                  </w:tcBorders>
                  <w:vAlign w:val="center"/>
                </w:tcPr>
                <w:p>
                  <w:pPr>
                    <w:widowControl/>
                    <w:jc w:val="center"/>
                    <w:rPr>
                      <w:b/>
                      <w:color w:val="000000"/>
                      <w:szCs w:val="21"/>
                    </w:rPr>
                  </w:pPr>
                  <w:r>
                    <w:rPr>
                      <w:b/>
                      <w:color w:val="000000"/>
                      <w:szCs w:val="21"/>
                    </w:rPr>
                    <w:t>氨产生量（t/a）</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92" w:type="pct"/>
                  <w:tcBorders>
                    <w:top w:val="single" w:color="auto" w:sz="6" w:space="0"/>
                    <w:left w:val="nil"/>
                    <w:bottom w:val="single" w:color="auto" w:sz="6" w:space="0"/>
                    <w:right w:val="single" w:color="auto" w:sz="4" w:space="0"/>
                  </w:tcBorders>
                  <w:vAlign w:val="center"/>
                </w:tcPr>
                <w:p>
                  <w:pPr>
                    <w:ind w:firstLine="35" w:firstLineChars="17"/>
                    <w:jc w:val="center"/>
                    <w:rPr>
                      <w:color w:val="000000"/>
                      <w:szCs w:val="21"/>
                      <w:lang w:val="pt-BR"/>
                    </w:rPr>
                  </w:pPr>
                  <w:r>
                    <w:rPr>
                      <w:bCs/>
                      <w:color w:val="000000"/>
                      <w:szCs w:val="21"/>
                    </w:rPr>
                    <w:t>1</w:t>
                  </w:r>
                </w:p>
              </w:tc>
              <w:tc>
                <w:tcPr>
                  <w:tcW w:w="825"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szCs w:val="24"/>
                    </w:rPr>
                  </w:pPr>
                  <w:r>
                    <w:rPr>
                      <w:rFonts w:ascii="Times New Roman" w:hAnsi="Times New Roman"/>
                      <w:szCs w:val="24"/>
                    </w:rPr>
                    <w:t>NH</w:t>
                  </w:r>
                  <w:r>
                    <w:rPr>
                      <w:rFonts w:ascii="Times New Roman" w:hAnsi="Times New Roman"/>
                      <w:szCs w:val="24"/>
                      <w:vertAlign w:val="subscript"/>
                    </w:rPr>
                    <w:t>3</w:t>
                  </w:r>
                  <w:r>
                    <w:rPr>
                      <w:rFonts w:ascii="Times New Roman" w:hAnsi="Times New Roman"/>
                      <w:szCs w:val="24"/>
                    </w:rPr>
                    <w:t>·H</w:t>
                  </w:r>
                  <w:r>
                    <w:rPr>
                      <w:rFonts w:ascii="Times New Roman" w:hAnsi="Times New Roman"/>
                      <w:szCs w:val="24"/>
                      <w:vertAlign w:val="subscript"/>
                    </w:rPr>
                    <w:t>2</w:t>
                  </w:r>
                  <w:r>
                    <w:rPr>
                      <w:rFonts w:ascii="Times New Roman" w:hAnsi="Times New Roman"/>
                      <w:szCs w:val="24"/>
                    </w:rPr>
                    <w:t>O溶液</w:t>
                  </w:r>
                </w:p>
              </w:tc>
              <w:tc>
                <w:tcPr>
                  <w:tcW w:w="1058" w:type="pct"/>
                  <w:tcBorders>
                    <w:top w:val="single" w:color="auto" w:sz="6" w:space="0"/>
                    <w:bottom w:val="single" w:color="auto" w:sz="6" w:space="0"/>
                  </w:tcBorders>
                  <w:vAlign w:val="center"/>
                </w:tcPr>
                <w:p>
                  <w:pPr>
                    <w:pStyle w:val="12"/>
                    <w:snapToGrid w:val="0"/>
                    <w:jc w:val="center"/>
                    <w:rPr>
                      <w:rFonts w:ascii="Times New Roman" w:hAnsi="Times New Roman"/>
                      <w:szCs w:val="24"/>
                    </w:rPr>
                  </w:pPr>
                  <w:r>
                    <w:rPr>
                      <w:rFonts w:ascii="Times New Roman" w:hAnsi="Times New Roman"/>
                      <w:szCs w:val="24"/>
                    </w:rPr>
                    <w:t>25%NH</w:t>
                  </w:r>
                  <w:r>
                    <w:rPr>
                      <w:rFonts w:ascii="Times New Roman" w:hAnsi="Times New Roman"/>
                      <w:szCs w:val="24"/>
                      <w:vertAlign w:val="subscript"/>
                    </w:rPr>
                    <w:t>3</w:t>
                  </w:r>
                  <w:r>
                    <w:rPr>
                      <w:rFonts w:ascii="Times New Roman" w:hAnsi="Times New Roman"/>
                      <w:szCs w:val="24"/>
                    </w:rPr>
                    <w:t>＋75%水</w:t>
                  </w:r>
                </w:p>
              </w:tc>
              <w:tc>
                <w:tcPr>
                  <w:tcW w:w="587" w:type="pct"/>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2</w:t>
                  </w:r>
                </w:p>
              </w:tc>
              <w:tc>
                <w:tcPr>
                  <w:tcW w:w="425" w:type="pct"/>
                  <w:tcBorders>
                    <w:top w:val="single" w:color="auto" w:sz="6" w:space="0"/>
                    <w:bottom w:val="single" w:color="auto" w:sz="6" w:space="0"/>
                    <w:right w:val="single" w:color="auto" w:sz="4" w:space="0"/>
                  </w:tcBorders>
                  <w:vAlign w:val="center"/>
                </w:tcPr>
                <w:p>
                  <w:pPr>
                    <w:pStyle w:val="12"/>
                    <w:snapToGrid w:val="0"/>
                    <w:jc w:val="center"/>
                    <w:rPr>
                      <w:rFonts w:ascii="Times New Roman" w:hAnsi="Times New Roman"/>
                      <w:color w:val="000000"/>
                    </w:rPr>
                  </w:pPr>
                  <w:r>
                    <w:rPr>
                      <w:rFonts w:ascii="Times New Roman" w:hAnsi="Times New Roman"/>
                      <w:color w:val="000000"/>
                    </w:rPr>
                    <w:t>0.907</w:t>
                  </w:r>
                </w:p>
              </w:tc>
              <w:tc>
                <w:tcPr>
                  <w:tcW w:w="583"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0.0018</w:t>
                  </w:r>
                </w:p>
              </w:tc>
              <w:tc>
                <w:tcPr>
                  <w:tcW w:w="536"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50%</w:t>
                  </w:r>
                </w:p>
              </w:tc>
              <w:tc>
                <w:tcPr>
                  <w:tcW w:w="595"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92" w:type="pct"/>
                  <w:tcBorders>
                    <w:top w:val="single" w:color="auto" w:sz="6" w:space="0"/>
                    <w:left w:val="nil"/>
                    <w:bottom w:val="single" w:color="auto" w:sz="6" w:space="0"/>
                    <w:right w:val="single" w:color="auto" w:sz="4" w:space="0"/>
                  </w:tcBorders>
                  <w:vAlign w:val="center"/>
                </w:tcPr>
                <w:p>
                  <w:pPr>
                    <w:ind w:firstLine="35" w:firstLineChars="17"/>
                    <w:jc w:val="center"/>
                    <w:rPr>
                      <w:bCs/>
                      <w:color w:val="000000"/>
                      <w:szCs w:val="21"/>
                    </w:rPr>
                  </w:pPr>
                  <w:r>
                    <w:rPr>
                      <w:bCs/>
                      <w:color w:val="000000"/>
                      <w:szCs w:val="21"/>
                    </w:rPr>
                    <w:t>2</w:t>
                  </w:r>
                </w:p>
              </w:tc>
              <w:tc>
                <w:tcPr>
                  <w:tcW w:w="825" w:type="pct"/>
                  <w:tcBorders>
                    <w:top w:val="single" w:color="auto" w:sz="6" w:space="0"/>
                    <w:left w:val="single" w:color="auto" w:sz="4" w:space="0"/>
                    <w:bottom w:val="single" w:color="auto" w:sz="6" w:space="0"/>
                  </w:tcBorders>
                  <w:vAlign w:val="center"/>
                </w:tcPr>
                <w:p>
                  <w:pPr>
                    <w:pStyle w:val="12"/>
                    <w:snapToGrid w:val="0"/>
                    <w:jc w:val="center"/>
                    <w:rPr>
                      <w:rFonts w:ascii="Times New Roman" w:hAnsi="Times New Roman"/>
                      <w:szCs w:val="24"/>
                    </w:rPr>
                  </w:pPr>
                  <w:r>
                    <w:rPr>
                      <w:rFonts w:ascii="Times New Roman" w:hAnsi="Times New Roman"/>
                      <w:szCs w:val="24"/>
                    </w:rPr>
                    <w:t>合计</w:t>
                  </w:r>
                </w:p>
              </w:tc>
              <w:tc>
                <w:tcPr>
                  <w:tcW w:w="3188" w:type="pct"/>
                  <w:gridSpan w:val="5"/>
                  <w:tcBorders>
                    <w:top w:val="single" w:color="auto" w:sz="6" w:space="0"/>
                    <w:bottom w:val="single" w:color="auto" w:sz="6" w:space="0"/>
                  </w:tcBorders>
                  <w:vAlign w:val="center"/>
                </w:tcPr>
                <w:p>
                  <w:pPr>
                    <w:pStyle w:val="12"/>
                    <w:snapToGrid w:val="0"/>
                    <w:jc w:val="center"/>
                    <w:rPr>
                      <w:rFonts w:ascii="Times New Roman" w:hAnsi="Times New Roman"/>
                      <w:color w:val="000000"/>
                    </w:rPr>
                  </w:pPr>
                  <w:r>
                    <w:rPr>
                      <w:rFonts w:ascii="Times New Roman" w:hAnsi="Times New Roman"/>
                      <w:color w:val="000000"/>
                    </w:rPr>
                    <w:t>/</w:t>
                  </w:r>
                </w:p>
              </w:tc>
              <w:tc>
                <w:tcPr>
                  <w:tcW w:w="595" w:type="pct"/>
                  <w:tcBorders>
                    <w:top w:val="single" w:color="auto" w:sz="6" w:space="0"/>
                    <w:left w:val="single" w:color="auto" w:sz="4" w:space="0"/>
                    <w:bottom w:val="single" w:color="auto" w:sz="6" w:space="0"/>
                    <w:right w:val="nil"/>
                  </w:tcBorders>
                  <w:vAlign w:val="center"/>
                </w:tcPr>
                <w:p>
                  <w:pPr>
                    <w:pStyle w:val="12"/>
                    <w:snapToGrid w:val="0"/>
                    <w:jc w:val="center"/>
                    <w:rPr>
                      <w:rFonts w:ascii="Times New Roman" w:hAnsi="Times New Roman"/>
                      <w:color w:val="000000"/>
                    </w:rPr>
                  </w:pPr>
                  <w:r>
                    <w:rPr>
                      <w:rFonts w:ascii="Times New Roman" w:hAnsi="Times New Roman"/>
                      <w:color w:val="000000"/>
                    </w:rPr>
                    <w:t>0.0009</w:t>
                  </w:r>
                </w:p>
              </w:tc>
            </w:tr>
          </w:tbl>
          <w:p>
            <w:pPr>
              <w:adjustRightInd w:val="0"/>
              <w:snapToGrid w:val="0"/>
              <w:spacing w:line="460" w:lineRule="exact"/>
              <w:ind w:firstLine="440" w:firstLineChars="200"/>
              <w:rPr>
                <w:bCs/>
                <w:spacing w:val="-10"/>
                <w:sz w:val="24"/>
              </w:rPr>
            </w:pPr>
            <w:r>
              <w:rPr>
                <w:rFonts w:hint="eastAsia"/>
                <w:bCs/>
                <w:spacing w:val="-10"/>
                <w:sz w:val="24"/>
              </w:rPr>
              <w:t>由上述分析可知，本项目酸碱废气产生量为硫酸雾0.0004t/a、氯化氢0.0002t/a、氮氧化物0.0003t/a、氨0.0009t/a，由于产生量极少，故本次评价不再对废气污染物硫酸雾、氯化氢、氮氧化物、氨进行定量的达标分析。</w:t>
            </w:r>
          </w:p>
          <w:p>
            <w:pPr>
              <w:adjustRightInd w:val="0"/>
              <w:snapToGrid w:val="0"/>
              <w:spacing w:line="460" w:lineRule="exact"/>
              <w:ind w:firstLine="440" w:firstLineChars="200"/>
              <w:rPr>
                <w:bCs/>
                <w:spacing w:val="-10"/>
                <w:sz w:val="24"/>
              </w:rPr>
            </w:pPr>
            <w:r>
              <w:rPr>
                <w:rFonts w:hint="eastAsia"/>
                <w:bCs/>
                <w:spacing w:val="-10"/>
                <w:sz w:val="24"/>
              </w:rPr>
              <w:t>本次</w:t>
            </w:r>
            <w:r>
              <w:rPr>
                <w:bCs/>
                <w:spacing w:val="-10"/>
                <w:sz w:val="24"/>
              </w:rPr>
              <w:t>评价提出，在密闭负压实验间内采用</w:t>
            </w:r>
            <w:r>
              <w:rPr>
                <w:rFonts w:hint="eastAsia"/>
                <w:bCs/>
                <w:spacing w:val="-10"/>
                <w:sz w:val="24"/>
              </w:rPr>
              <w:t>万向集气罩和</w:t>
            </w:r>
            <w:r>
              <w:rPr>
                <w:bCs/>
                <w:spacing w:val="-10"/>
                <w:sz w:val="24"/>
              </w:rPr>
              <w:t>通风橱</w:t>
            </w:r>
            <w:r>
              <w:rPr>
                <w:rFonts w:hint="eastAsia"/>
                <w:bCs/>
                <w:spacing w:val="-10"/>
                <w:sz w:val="24"/>
              </w:rPr>
              <w:t>负压</w:t>
            </w:r>
            <w:r>
              <w:rPr>
                <w:bCs/>
                <w:spacing w:val="-10"/>
                <w:sz w:val="24"/>
              </w:rPr>
              <w:t>收集实验室</w:t>
            </w:r>
            <w:r>
              <w:rPr>
                <w:rFonts w:hint="eastAsia"/>
                <w:bCs/>
                <w:spacing w:val="-10"/>
                <w:sz w:val="24"/>
              </w:rPr>
              <w:t>产生的酸碱</w:t>
            </w:r>
            <w:r>
              <w:rPr>
                <w:bCs/>
                <w:spacing w:val="-10"/>
                <w:sz w:val="24"/>
              </w:rPr>
              <w:t>废气，检测实验室要求高度洁净，时刻处于负压环境</w:t>
            </w:r>
            <w:r>
              <w:rPr>
                <w:rFonts w:hint="eastAsia"/>
                <w:bCs/>
                <w:spacing w:val="-10"/>
                <w:sz w:val="24"/>
              </w:rPr>
              <w:t>，收集效率以9</w:t>
            </w:r>
            <w:r>
              <w:rPr>
                <w:bCs/>
                <w:spacing w:val="-10"/>
                <w:sz w:val="24"/>
              </w:rPr>
              <w:t>8%</w:t>
            </w:r>
            <w:r>
              <w:rPr>
                <w:rFonts w:hint="eastAsia"/>
                <w:bCs/>
                <w:spacing w:val="-10"/>
                <w:sz w:val="24"/>
              </w:rPr>
              <w:t>计</w:t>
            </w:r>
            <w:r>
              <w:rPr>
                <w:bCs/>
                <w:spacing w:val="-10"/>
                <w:sz w:val="24"/>
              </w:rPr>
              <w:t>。</w:t>
            </w:r>
          </w:p>
          <w:p>
            <w:pPr>
              <w:adjustRightInd w:val="0"/>
              <w:snapToGrid w:val="0"/>
              <w:spacing w:line="460" w:lineRule="exact"/>
              <w:ind w:firstLine="440" w:firstLineChars="200"/>
              <w:rPr>
                <w:bCs/>
                <w:color w:val="FF0000"/>
                <w:sz w:val="24"/>
              </w:rPr>
            </w:pPr>
            <w:r>
              <w:rPr>
                <w:rFonts w:hint="eastAsia"/>
                <w:bCs/>
                <w:spacing w:val="-10"/>
                <w:sz w:val="24"/>
              </w:rPr>
              <w:t>项目运行期间产生量极少的酸碱</w:t>
            </w:r>
            <w:r>
              <w:rPr>
                <w:bCs/>
                <w:spacing w:val="-10"/>
                <w:sz w:val="24"/>
              </w:rPr>
              <w:t>废气经</w:t>
            </w:r>
            <w:r>
              <w:rPr>
                <w:rFonts w:hint="eastAsia"/>
                <w:bCs/>
                <w:spacing w:val="-10"/>
                <w:sz w:val="24"/>
              </w:rPr>
              <w:t>万向集气罩和</w:t>
            </w:r>
            <w:r>
              <w:rPr>
                <w:bCs/>
                <w:spacing w:val="-10"/>
                <w:sz w:val="24"/>
              </w:rPr>
              <w:t>通风橱</w:t>
            </w:r>
            <w:r>
              <w:rPr>
                <w:rFonts w:hint="eastAsia"/>
                <w:bCs/>
                <w:spacing w:val="-10"/>
                <w:sz w:val="24"/>
              </w:rPr>
              <w:t>负压</w:t>
            </w:r>
            <w:r>
              <w:rPr>
                <w:bCs/>
                <w:spacing w:val="-10"/>
                <w:sz w:val="24"/>
              </w:rPr>
              <w:t>收集后通过支管汇集进入废气处理系统后统一经</w:t>
            </w:r>
            <w:r>
              <w:rPr>
                <w:rFonts w:hint="eastAsia"/>
                <w:bCs/>
                <w:spacing w:val="-10"/>
                <w:sz w:val="24"/>
              </w:rPr>
              <w:t>“水喷淋塔+除雾器</w:t>
            </w:r>
            <w:r>
              <w:rPr>
                <w:bCs/>
                <w:spacing w:val="-10"/>
                <w:sz w:val="24"/>
              </w:rPr>
              <w:t>+</w:t>
            </w:r>
            <w:r>
              <w:rPr>
                <w:kern w:val="0"/>
                <w:sz w:val="24"/>
              </w:rPr>
              <w:t>UV光催化氧化装置+活性炭吸附装置</w:t>
            </w:r>
            <w:r>
              <w:rPr>
                <w:rFonts w:hint="eastAsia"/>
                <w:bCs/>
                <w:spacing w:val="-10"/>
                <w:sz w:val="24"/>
              </w:rPr>
              <w:t>”</w:t>
            </w:r>
            <w:r>
              <w:rPr>
                <w:bCs/>
                <w:spacing w:val="-10"/>
                <w:sz w:val="24"/>
              </w:rPr>
              <w:t>处理后经</w:t>
            </w:r>
            <w:r>
              <w:rPr>
                <w:rFonts w:hint="eastAsia"/>
                <w:bCs/>
                <w:spacing w:val="-10"/>
                <w:sz w:val="24"/>
              </w:rPr>
              <w:t>1根</w:t>
            </w:r>
            <w:r>
              <w:rPr>
                <w:bCs/>
                <w:spacing w:val="-10"/>
                <w:sz w:val="24"/>
              </w:rPr>
              <w:t>15m高排气筒排放P1</w:t>
            </w:r>
            <w:r>
              <w:rPr>
                <w:rFonts w:hint="eastAsia"/>
                <w:bCs/>
                <w:spacing w:val="-10"/>
                <w:sz w:val="24"/>
              </w:rPr>
              <w:t>，经处理后排放量进一步减少，预计</w:t>
            </w:r>
            <w:r>
              <w:rPr>
                <w:bCs/>
                <w:spacing w:val="-10"/>
                <w:sz w:val="24"/>
              </w:rPr>
              <w:t>排放</w:t>
            </w:r>
            <w:r>
              <w:rPr>
                <w:rFonts w:hint="eastAsia"/>
                <w:bCs/>
                <w:spacing w:val="-10"/>
                <w:sz w:val="24"/>
              </w:rPr>
              <w:t>的废气</w:t>
            </w:r>
            <w:r>
              <w:rPr>
                <w:bCs/>
                <w:spacing w:val="-10"/>
                <w:sz w:val="24"/>
              </w:rPr>
              <w:t>污染物硫酸雾、氯化氢、氮氧化物</w:t>
            </w:r>
            <w:r>
              <w:rPr>
                <w:rFonts w:hint="eastAsia"/>
                <w:bCs/>
                <w:spacing w:val="-10"/>
                <w:sz w:val="24"/>
              </w:rPr>
              <w:t>、</w:t>
            </w:r>
            <w:r>
              <w:rPr>
                <w:bCs/>
                <w:spacing w:val="-10"/>
                <w:sz w:val="24"/>
              </w:rPr>
              <w:t>氨，能够满足《大气污染物综合排放标准》（GB16297-1996）表2二级的标准要求</w:t>
            </w:r>
            <w:r>
              <w:rPr>
                <w:rFonts w:hint="eastAsia"/>
                <w:bCs/>
                <w:spacing w:val="-10"/>
                <w:sz w:val="24"/>
              </w:rPr>
              <w:t>，以及能够满足《恶臭污染物排放标准》（GB14554-93）表1二级新改扩建限制要求</w:t>
            </w:r>
            <w:r>
              <w:rPr>
                <w:bCs/>
                <w:spacing w:val="-10"/>
                <w:sz w:val="24"/>
              </w:rPr>
              <w:t>。</w:t>
            </w:r>
          </w:p>
          <w:p>
            <w:pPr>
              <w:adjustRightInd w:val="0"/>
              <w:spacing w:line="460" w:lineRule="exact"/>
              <w:ind w:firstLine="482" w:firstLineChars="200"/>
              <w:rPr>
                <w:b/>
                <w:color w:val="000000"/>
                <w:sz w:val="24"/>
              </w:rPr>
            </w:pPr>
            <w:r>
              <w:rPr>
                <w:b/>
                <w:color w:val="000000"/>
                <w:sz w:val="24"/>
              </w:rPr>
              <w:t>2、无组织废气</w:t>
            </w:r>
          </w:p>
          <w:p>
            <w:pPr>
              <w:adjustRightInd w:val="0"/>
              <w:snapToGrid w:val="0"/>
              <w:spacing w:line="460" w:lineRule="exact"/>
              <w:ind w:firstLine="440" w:firstLineChars="200"/>
              <w:rPr>
                <w:bCs/>
                <w:spacing w:val="-10"/>
                <w:sz w:val="24"/>
              </w:rPr>
            </w:pPr>
            <w:r>
              <w:rPr>
                <w:bCs/>
                <w:spacing w:val="-10"/>
                <w:sz w:val="24"/>
              </w:rPr>
              <w:t>（1）气体及化学品的储存过程</w:t>
            </w:r>
          </w:p>
          <w:p>
            <w:pPr>
              <w:adjustRightInd w:val="0"/>
              <w:snapToGrid w:val="0"/>
              <w:spacing w:line="460" w:lineRule="exact"/>
              <w:ind w:firstLine="440" w:firstLineChars="200"/>
              <w:rPr>
                <w:bCs/>
                <w:spacing w:val="-10"/>
                <w:sz w:val="24"/>
              </w:rPr>
            </w:pPr>
            <w:r>
              <w:rPr>
                <w:bCs/>
                <w:spacing w:val="-10"/>
                <w:sz w:val="24"/>
              </w:rPr>
              <w:t>本项目高纯氮气、乙炔气、氩气直接采购成品，所有气体均由厂家提供钢瓶盛装，在专门的气体存放区存储。液体溶剂均属于密封瓶装包装，和其他化学药品及试剂存放于药剂间内，由于存储量较小，不考虑其存储过程的无组织散发量。</w:t>
            </w:r>
          </w:p>
          <w:p>
            <w:pPr>
              <w:adjustRightInd w:val="0"/>
              <w:snapToGrid w:val="0"/>
              <w:spacing w:line="460" w:lineRule="exact"/>
              <w:ind w:firstLine="440" w:firstLineChars="200"/>
              <w:rPr>
                <w:bCs/>
                <w:spacing w:val="-10"/>
                <w:sz w:val="24"/>
              </w:rPr>
            </w:pPr>
            <w:r>
              <w:rPr>
                <w:bCs/>
                <w:spacing w:val="-10"/>
                <w:sz w:val="24"/>
              </w:rPr>
              <w:t>（2）气体及化学品的使用过程</w:t>
            </w:r>
          </w:p>
          <w:p>
            <w:pPr>
              <w:adjustRightInd w:val="0"/>
              <w:snapToGrid w:val="0"/>
              <w:spacing w:line="460" w:lineRule="exact"/>
              <w:ind w:firstLine="440" w:firstLineChars="200"/>
              <w:rPr>
                <w:bCs/>
                <w:spacing w:val="-10"/>
                <w:sz w:val="24"/>
              </w:rPr>
            </w:pPr>
            <w:r>
              <w:rPr>
                <w:bCs/>
                <w:spacing w:val="-10"/>
                <w:sz w:val="24"/>
              </w:rPr>
              <w:t>所用气体及化学品在使用时转移到药剂室，</w:t>
            </w:r>
            <w:r>
              <w:rPr>
                <w:rFonts w:hint="eastAsia"/>
                <w:bCs/>
                <w:spacing w:val="-10"/>
                <w:sz w:val="24"/>
              </w:rPr>
              <w:t>气体储罐</w:t>
            </w:r>
            <w:r>
              <w:rPr>
                <w:bCs/>
                <w:spacing w:val="-10"/>
                <w:sz w:val="24"/>
              </w:rPr>
              <w:t>连接管路后</w:t>
            </w:r>
            <w:r>
              <w:rPr>
                <w:rFonts w:hint="eastAsia"/>
                <w:bCs/>
                <w:spacing w:val="-10"/>
                <w:sz w:val="24"/>
              </w:rPr>
              <w:t>关闭</w:t>
            </w:r>
            <w:r>
              <w:rPr>
                <w:bCs/>
                <w:spacing w:val="-10"/>
                <w:sz w:val="24"/>
              </w:rPr>
              <w:t>气体阀门，正常使用时无气体泄漏。药剂室设置有紧急排气系统，废气将通过排气筒有组织排放。</w:t>
            </w:r>
          </w:p>
          <w:p>
            <w:pPr>
              <w:adjustRightInd w:val="0"/>
              <w:snapToGrid w:val="0"/>
              <w:spacing w:line="460" w:lineRule="exact"/>
              <w:ind w:firstLine="440" w:firstLineChars="200"/>
              <w:rPr>
                <w:bCs/>
                <w:spacing w:val="-10"/>
                <w:sz w:val="24"/>
              </w:rPr>
            </w:pPr>
            <w:r>
              <w:rPr>
                <w:bCs/>
                <w:spacing w:val="-10"/>
                <w:sz w:val="24"/>
              </w:rPr>
              <w:t>（3）生产加工过程中工艺废气</w:t>
            </w:r>
          </w:p>
          <w:p>
            <w:pPr>
              <w:adjustRightInd w:val="0"/>
              <w:snapToGrid w:val="0"/>
              <w:spacing w:line="460" w:lineRule="exact"/>
              <w:ind w:firstLine="440" w:firstLineChars="200"/>
              <w:rPr>
                <w:bCs/>
                <w:spacing w:val="-10"/>
                <w:sz w:val="24"/>
              </w:rPr>
            </w:pPr>
            <w:r>
              <w:rPr>
                <w:bCs/>
                <w:spacing w:val="-10"/>
                <w:sz w:val="24"/>
              </w:rPr>
              <w:t>本</w:t>
            </w:r>
            <w:r>
              <w:rPr>
                <w:rFonts w:hint="eastAsia"/>
                <w:bCs/>
                <w:spacing w:val="-10"/>
                <w:sz w:val="24"/>
              </w:rPr>
              <w:t>项目实验室运营过程中会产生实验室废气</w:t>
            </w:r>
            <w:r>
              <w:rPr>
                <w:bCs/>
                <w:spacing w:val="-10"/>
                <w:sz w:val="24"/>
              </w:rPr>
              <w:t>，根据性质可以区分为</w:t>
            </w:r>
            <w:r>
              <w:rPr>
                <w:rFonts w:hint="eastAsia"/>
                <w:bCs/>
                <w:spacing w:val="-10"/>
                <w:sz w:val="24"/>
              </w:rPr>
              <w:t>微生物气溶胶、</w:t>
            </w:r>
            <w:r>
              <w:rPr>
                <w:bCs/>
                <w:spacing w:val="-10"/>
                <w:sz w:val="24"/>
              </w:rPr>
              <w:t>酸性废气、碱性废气、有机废气</w:t>
            </w:r>
            <w:r>
              <w:rPr>
                <w:rFonts w:hint="eastAsia"/>
                <w:bCs/>
                <w:spacing w:val="-10"/>
                <w:sz w:val="24"/>
              </w:rPr>
              <w:t>，微生物实验室设有1个二级生物安全柜，生物安全柜自带高效空气过滤器，柜里实验平台相对于实验室内环境处于负压状态，除效率达到99.99%，微生物实验室正常时刻处于负压环境，正常情况下无无组织散发。</w:t>
            </w:r>
          </w:p>
          <w:p>
            <w:pPr>
              <w:adjustRightInd w:val="0"/>
              <w:snapToGrid w:val="0"/>
              <w:spacing w:line="460" w:lineRule="exact"/>
              <w:ind w:firstLine="440" w:firstLineChars="200"/>
              <w:rPr>
                <w:bCs/>
                <w:spacing w:val="-10"/>
                <w:sz w:val="24"/>
              </w:rPr>
            </w:pPr>
            <w:r>
              <w:rPr>
                <w:rFonts w:hint="eastAsia"/>
                <w:bCs/>
                <w:spacing w:val="-10"/>
                <w:sz w:val="24"/>
              </w:rPr>
              <w:t>评级提出在密闭负压实验间内采用万向集气罩+</w:t>
            </w:r>
            <w:r>
              <w:rPr>
                <w:bCs/>
                <w:spacing w:val="-10"/>
                <w:sz w:val="24"/>
              </w:rPr>
              <w:t>通风橱</w:t>
            </w:r>
            <w:r>
              <w:rPr>
                <w:rFonts w:hint="eastAsia"/>
                <w:bCs/>
                <w:spacing w:val="-10"/>
                <w:sz w:val="24"/>
              </w:rPr>
              <w:t>收集产生的酸性废气、碱性废气、有机废气，</w:t>
            </w:r>
            <w:r>
              <w:rPr>
                <w:bCs/>
                <w:spacing w:val="-10"/>
                <w:sz w:val="24"/>
              </w:rPr>
              <w:t>收集后统一</w:t>
            </w:r>
            <w:r>
              <w:rPr>
                <w:rFonts w:hint="eastAsia"/>
                <w:bCs/>
                <w:spacing w:val="-10"/>
                <w:sz w:val="24"/>
              </w:rPr>
              <w:t>引至“水喷淋塔+除雾器</w:t>
            </w:r>
            <w:r>
              <w:rPr>
                <w:bCs/>
                <w:spacing w:val="-10"/>
                <w:sz w:val="24"/>
              </w:rPr>
              <w:t>+</w:t>
            </w:r>
            <w:r>
              <w:rPr>
                <w:color w:val="000000"/>
                <w:kern w:val="0"/>
                <w:sz w:val="24"/>
              </w:rPr>
              <w:t>UV光催化氧化装置+活性炭吸附装置</w:t>
            </w:r>
            <w:r>
              <w:rPr>
                <w:rFonts w:hint="eastAsia"/>
                <w:bCs/>
                <w:spacing w:val="-10"/>
                <w:sz w:val="24"/>
              </w:rPr>
              <w:t>”</w:t>
            </w:r>
            <w:r>
              <w:rPr>
                <w:bCs/>
                <w:spacing w:val="-10"/>
                <w:sz w:val="24"/>
              </w:rPr>
              <w:t>处理后经</w:t>
            </w:r>
            <w:r>
              <w:rPr>
                <w:rFonts w:hint="eastAsia"/>
                <w:bCs/>
                <w:spacing w:val="-10"/>
                <w:sz w:val="24"/>
              </w:rPr>
              <w:t>1根</w:t>
            </w:r>
            <w:r>
              <w:rPr>
                <w:bCs/>
                <w:spacing w:val="-10"/>
                <w:sz w:val="24"/>
              </w:rPr>
              <w:t>15m高排气筒排放P1。</w:t>
            </w:r>
          </w:p>
          <w:p>
            <w:pPr>
              <w:adjustRightInd w:val="0"/>
              <w:snapToGrid w:val="0"/>
              <w:spacing w:line="460" w:lineRule="exact"/>
              <w:ind w:firstLine="440" w:firstLineChars="200"/>
              <w:rPr>
                <w:bCs/>
                <w:spacing w:val="-10"/>
                <w:sz w:val="24"/>
              </w:rPr>
            </w:pPr>
            <w:r>
              <w:rPr>
                <w:bCs/>
                <w:spacing w:val="-10"/>
                <w:sz w:val="24"/>
              </w:rPr>
              <w:t>本项目</w:t>
            </w:r>
            <w:r>
              <w:rPr>
                <w:rFonts w:hint="eastAsia"/>
                <w:bCs/>
                <w:spacing w:val="-10"/>
                <w:sz w:val="24"/>
              </w:rPr>
              <w:t>挥发性有机物合计产生量为</w:t>
            </w:r>
            <w:r>
              <w:rPr>
                <w:bCs/>
                <w:spacing w:val="-10"/>
                <w:sz w:val="24"/>
              </w:rPr>
              <w:t>0.0547t/a</w:t>
            </w:r>
            <w:r>
              <w:rPr>
                <w:rFonts w:hint="eastAsia"/>
                <w:bCs/>
                <w:spacing w:val="-10"/>
                <w:sz w:val="24"/>
              </w:rPr>
              <w:t>，硫酸雾产生量为</w:t>
            </w:r>
            <w:r>
              <w:rPr>
                <w:bCs/>
                <w:spacing w:val="-10"/>
                <w:sz w:val="24"/>
              </w:rPr>
              <w:t>0.0004t/a</w:t>
            </w:r>
            <w:r>
              <w:rPr>
                <w:rFonts w:hint="eastAsia"/>
                <w:bCs/>
                <w:spacing w:val="-10"/>
                <w:sz w:val="24"/>
              </w:rPr>
              <w:t>、氯化氢产生量为</w:t>
            </w:r>
            <w:r>
              <w:rPr>
                <w:bCs/>
                <w:spacing w:val="-10"/>
                <w:sz w:val="24"/>
              </w:rPr>
              <w:t>0.0002t/a</w:t>
            </w:r>
            <w:r>
              <w:rPr>
                <w:rFonts w:hint="eastAsia"/>
                <w:bCs/>
                <w:spacing w:val="-10"/>
                <w:sz w:val="24"/>
              </w:rPr>
              <w:t>、氮氧化物产生量为</w:t>
            </w:r>
            <w:r>
              <w:rPr>
                <w:bCs/>
                <w:spacing w:val="-10"/>
                <w:sz w:val="24"/>
              </w:rPr>
              <w:t>0.0003t/a</w:t>
            </w:r>
            <w:r>
              <w:rPr>
                <w:rFonts w:hint="eastAsia"/>
                <w:bCs/>
                <w:spacing w:val="-10"/>
                <w:sz w:val="24"/>
              </w:rPr>
              <w:t>、氨产生量为</w:t>
            </w:r>
            <w:r>
              <w:rPr>
                <w:bCs/>
                <w:spacing w:val="-10"/>
                <w:sz w:val="24"/>
              </w:rPr>
              <w:t>0.0009t/a</w:t>
            </w:r>
            <w:r>
              <w:rPr>
                <w:rFonts w:hint="eastAsia"/>
                <w:bCs/>
                <w:spacing w:val="-10"/>
                <w:sz w:val="24"/>
              </w:rPr>
              <w:t>，</w:t>
            </w:r>
            <w:r>
              <w:rPr>
                <w:bCs/>
                <w:spacing w:val="-10"/>
                <w:sz w:val="24"/>
              </w:rPr>
              <w:t>废气收集效率按照98%进行考虑，</w:t>
            </w:r>
            <w:r>
              <w:rPr>
                <w:rFonts w:hint="eastAsia"/>
                <w:bCs/>
                <w:spacing w:val="-10"/>
                <w:sz w:val="24"/>
              </w:rPr>
              <w:t>由于酸碱废气产生量极少，故不再考虑酸碱废气的废气无组织排放，本项目挥发性有机物废气无组织排放按非甲烷总烃计，</w:t>
            </w:r>
            <w:r>
              <w:rPr>
                <w:bCs/>
                <w:spacing w:val="-10"/>
                <w:sz w:val="24"/>
              </w:rPr>
              <w:t>未被收集的2%的</w:t>
            </w:r>
            <w:r>
              <w:rPr>
                <w:rFonts w:hint="eastAsia"/>
                <w:bCs/>
                <w:spacing w:val="-10"/>
                <w:sz w:val="24"/>
              </w:rPr>
              <w:t>挥发性有机物废气</w:t>
            </w:r>
            <w:r>
              <w:rPr>
                <w:bCs/>
                <w:spacing w:val="-10"/>
                <w:sz w:val="24"/>
              </w:rPr>
              <w:t>以无组织的形式散失，</w:t>
            </w:r>
            <w:r>
              <w:rPr>
                <w:rFonts w:hint="eastAsia"/>
                <w:bCs/>
                <w:spacing w:val="-10"/>
                <w:sz w:val="24"/>
              </w:rPr>
              <w:t>则非甲烷总烃计</w:t>
            </w:r>
            <w:r>
              <w:rPr>
                <w:bCs/>
                <w:spacing w:val="-10"/>
                <w:sz w:val="24"/>
              </w:rPr>
              <w:t>无组织废气排放量为0.0011t/a</w:t>
            </w:r>
            <w:r>
              <w:rPr>
                <w:rFonts w:hint="eastAsia"/>
                <w:bCs/>
                <w:spacing w:val="-10"/>
                <w:sz w:val="24"/>
              </w:rPr>
              <w:t>，无组织废气</w:t>
            </w:r>
            <w:r>
              <w:rPr>
                <w:bCs/>
                <w:spacing w:val="-10"/>
                <w:sz w:val="24"/>
              </w:rPr>
              <w:t>在密闭</w:t>
            </w:r>
            <w:r>
              <w:rPr>
                <w:rFonts w:hint="eastAsia"/>
                <w:bCs/>
                <w:spacing w:val="-10"/>
                <w:sz w:val="24"/>
              </w:rPr>
              <w:t>负压实验室内</w:t>
            </w:r>
            <w:r>
              <w:rPr>
                <w:bCs/>
                <w:spacing w:val="-10"/>
                <w:sz w:val="24"/>
              </w:rPr>
              <w:t>排放量，向</w:t>
            </w:r>
            <w:r>
              <w:rPr>
                <w:rFonts w:hint="eastAsia"/>
                <w:bCs/>
                <w:spacing w:val="-10"/>
                <w:sz w:val="24"/>
              </w:rPr>
              <w:t>实验室</w:t>
            </w:r>
            <w:r>
              <w:rPr>
                <w:bCs/>
                <w:spacing w:val="-10"/>
                <w:sz w:val="24"/>
              </w:rPr>
              <w:t>外散失</w:t>
            </w:r>
            <w:r>
              <w:rPr>
                <w:rFonts w:hint="eastAsia"/>
                <w:bCs/>
                <w:spacing w:val="-10"/>
                <w:sz w:val="24"/>
              </w:rPr>
              <w:t>较少</w:t>
            </w:r>
            <w:r>
              <w:rPr>
                <w:bCs/>
                <w:spacing w:val="-10"/>
                <w:sz w:val="24"/>
              </w:rPr>
              <w:t>。</w:t>
            </w:r>
          </w:p>
          <w:p>
            <w:pPr>
              <w:adjustRightInd w:val="0"/>
              <w:snapToGrid w:val="0"/>
              <w:spacing w:line="460" w:lineRule="exact"/>
              <w:ind w:firstLine="440" w:firstLineChars="200"/>
              <w:rPr>
                <w:bCs/>
                <w:spacing w:val="-10"/>
                <w:sz w:val="24"/>
              </w:rPr>
            </w:pPr>
            <w:r>
              <w:rPr>
                <w:bCs/>
                <w:spacing w:val="-10"/>
                <w:sz w:val="24"/>
              </w:rPr>
              <w:t>本次评价提出，加强</w:t>
            </w:r>
            <w:r>
              <w:rPr>
                <w:rFonts w:hint="eastAsia"/>
                <w:bCs/>
                <w:spacing w:val="-10"/>
                <w:sz w:val="24"/>
              </w:rPr>
              <w:t>实验室</w:t>
            </w:r>
            <w:r>
              <w:rPr>
                <w:bCs/>
                <w:spacing w:val="-10"/>
                <w:sz w:val="24"/>
              </w:rPr>
              <w:t>密闭和废气有组织收集效率，减少无组织排放，不会对周围环境造成影响。</w:t>
            </w:r>
            <w:r>
              <w:rPr>
                <w:rFonts w:hint="eastAsia"/>
                <w:bCs/>
                <w:spacing w:val="-10"/>
                <w:sz w:val="24"/>
              </w:rPr>
              <w:t>有机</w:t>
            </w:r>
            <w:r>
              <w:rPr>
                <w:bCs/>
                <w:spacing w:val="-10"/>
                <w:sz w:val="24"/>
              </w:rPr>
              <w:t>废气无组织排放能够满足《关于全省开展工业企业挥发性有机物专项治理工作中排放建议的通知》（豫环攻坚办[2017]162号）</w:t>
            </w:r>
            <w:r>
              <w:rPr>
                <w:rFonts w:hint="eastAsia"/>
                <w:bCs/>
                <w:spacing w:val="-10"/>
                <w:sz w:val="24"/>
              </w:rPr>
              <w:t>其他企业</w:t>
            </w:r>
            <w:r>
              <w:rPr>
                <w:bCs/>
                <w:spacing w:val="-10"/>
                <w:sz w:val="24"/>
              </w:rPr>
              <w:t>工业企业边界</w:t>
            </w:r>
            <w:r>
              <w:rPr>
                <w:rFonts w:hint="eastAsia"/>
                <w:bCs/>
                <w:spacing w:val="-10"/>
                <w:sz w:val="24"/>
              </w:rPr>
              <w:t>挥发性有机物排放建议值</w:t>
            </w:r>
            <w:r>
              <w:rPr>
                <w:bCs/>
                <w:spacing w:val="-10"/>
                <w:sz w:val="24"/>
              </w:rPr>
              <w:t>非甲烷总烃2.0mg/m</w:t>
            </w:r>
            <w:r>
              <w:rPr>
                <w:bCs/>
                <w:spacing w:val="-10"/>
                <w:sz w:val="24"/>
                <w:vertAlign w:val="superscript"/>
              </w:rPr>
              <w:t>3</w:t>
            </w:r>
            <w:r>
              <w:rPr>
                <w:bCs/>
                <w:spacing w:val="-10"/>
                <w:sz w:val="24"/>
              </w:rPr>
              <w:t>的限值要求</w:t>
            </w:r>
            <w:r>
              <w:rPr>
                <w:rFonts w:hint="eastAsia"/>
                <w:bCs/>
                <w:spacing w:val="-10"/>
                <w:sz w:val="24"/>
              </w:rPr>
              <w:t>。</w:t>
            </w:r>
          </w:p>
          <w:p>
            <w:pPr>
              <w:spacing w:line="460" w:lineRule="exact"/>
              <w:ind w:firstLine="482" w:firstLineChars="200"/>
              <w:jc w:val="left"/>
              <w:rPr>
                <w:b/>
                <w:bCs/>
                <w:sz w:val="24"/>
              </w:rPr>
            </w:pPr>
            <w:r>
              <w:rPr>
                <w:b/>
                <w:bCs/>
                <w:sz w:val="24"/>
              </w:rPr>
              <w:t>3、非正常排放分析</w:t>
            </w:r>
          </w:p>
          <w:p>
            <w:pPr>
              <w:adjustRightInd w:val="0"/>
              <w:snapToGrid w:val="0"/>
              <w:spacing w:line="460" w:lineRule="exact"/>
              <w:ind w:firstLine="440" w:firstLineChars="200"/>
              <w:rPr>
                <w:bCs/>
                <w:color w:val="00B050"/>
                <w:spacing w:val="-10"/>
                <w:sz w:val="24"/>
              </w:rPr>
            </w:pPr>
            <w:r>
              <w:rPr>
                <w:bCs/>
                <w:spacing w:val="-10"/>
                <w:sz w:val="24"/>
              </w:rPr>
              <w:t>项目产生的非正常排放主要是污染物排放控制措施达不到应有效率时引起的污染物超标排放，评价以最不利原则按照污染物治理措施处理效率为0时的情况进行分析。本项目非正常工况为：废气治理设施故障时：项目非正常排放废气源强为排气筒P1，</w:t>
            </w:r>
            <w:r>
              <w:rPr>
                <w:rFonts w:hint="eastAsia"/>
                <w:bCs/>
                <w:spacing w:val="-10"/>
                <w:sz w:val="24"/>
              </w:rPr>
              <w:t>非甲烷总烃</w:t>
            </w:r>
            <w:r>
              <w:rPr>
                <w:bCs/>
                <w:spacing w:val="-10"/>
                <w:sz w:val="24"/>
              </w:rPr>
              <w:t>0.0</w:t>
            </w:r>
            <w:r>
              <w:rPr>
                <w:rFonts w:hint="eastAsia"/>
                <w:bCs/>
                <w:spacing w:val="-10"/>
                <w:sz w:val="24"/>
              </w:rPr>
              <w:t>59</w:t>
            </w:r>
            <w:r>
              <w:rPr>
                <w:bCs/>
                <w:spacing w:val="-10"/>
                <w:sz w:val="24"/>
              </w:rPr>
              <w:t>kg/h、</w:t>
            </w:r>
            <w:r>
              <w:rPr>
                <w:rFonts w:hint="eastAsia"/>
                <w:bCs/>
                <w:spacing w:val="-10"/>
                <w:sz w:val="24"/>
              </w:rPr>
              <w:t>甲醇</w:t>
            </w:r>
            <w:r>
              <w:rPr>
                <w:bCs/>
                <w:spacing w:val="-10"/>
                <w:sz w:val="24"/>
              </w:rPr>
              <w:t>0.0</w:t>
            </w:r>
            <w:r>
              <w:rPr>
                <w:rFonts w:hint="eastAsia"/>
                <w:bCs/>
                <w:spacing w:val="-10"/>
                <w:sz w:val="24"/>
              </w:rPr>
              <w:t>36</w:t>
            </w:r>
            <w:r>
              <w:rPr>
                <w:bCs/>
                <w:spacing w:val="-10"/>
                <w:sz w:val="24"/>
              </w:rPr>
              <w:t>kg/h。事故排放时间最大为15分钟。非正常排放具体参数见下表。</w:t>
            </w:r>
          </w:p>
          <w:p>
            <w:pPr>
              <w:spacing w:line="460" w:lineRule="exact"/>
              <w:ind w:firstLine="480" w:firstLineChars="200"/>
              <w:jc w:val="left"/>
              <w:rPr>
                <w:rFonts w:eastAsia="黑体"/>
                <w:sz w:val="24"/>
                <w:lang w:val="pt-BR"/>
              </w:rPr>
            </w:pPr>
            <w:r>
              <w:rPr>
                <w:rFonts w:eastAsia="黑体"/>
                <w:sz w:val="24"/>
                <w:lang w:val="pt-BR"/>
              </w:rPr>
              <w:t>表36                  非正常排放参数表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44"/>
              <w:gridCol w:w="1547"/>
              <w:gridCol w:w="791"/>
              <w:gridCol w:w="1325"/>
              <w:gridCol w:w="883"/>
              <w:gridCol w:w="793"/>
              <w:gridCol w:w="885"/>
              <w:gridCol w:w="100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4" w:type="dxa"/>
                  <w:vAlign w:val="center"/>
                </w:tcPr>
                <w:p>
                  <w:pPr>
                    <w:jc w:val="center"/>
                    <w:rPr>
                      <w:b/>
                      <w:szCs w:val="21"/>
                    </w:rPr>
                  </w:pPr>
                  <w:r>
                    <w:rPr>
                      <w:b/>
                      <w:szCs w:val="21"/>
                    </w:rPr>
                    <w:t>非正常排放源</w:t>
                  </w:r>
                </w:p>
              </w:tc>
              <w:tc>
                <w:tcPr>
                  <w:tcW w:w="1547" w:type="dxa"/>
                  <w:vAlign w:val="center"/>
                </w:tcPr>
                <w:p>
                  <w:pPr>
                    <w:jc w:val="center"/>
                    <w:rPr>
                      <w:b/>
                      <w:szCs w:val="21"/>
                    </w:rPr>
                  </w:pPr>
                  <w:r>
                    <w:rPr>
                      <w:b/>
                      <w:szCs w:val="21"/>
                    </w:rPr>
                    <w:t>非正常排放原因</w:t>
                  </w:r>
                </w:p>
              </w:tc>
              <w:tc>
                <w:tcPr>
                  <w:tcW w:w="791" w:type="dxa"/>
                  <w:vAlign w:val="center"/>
                </w:tcPr>
                <w:p>
                  <w:pPr>
                    <w:jc w:val="center"/>
                    <w:rPr>
                      <w:b/>
                      <w:szCs w:val="21"/>
                    </w:rPr>
                  </w:pPr>
                  <w:r>
                    <w:rPr>
                      <w:b/>
                      <w:szCs w:val="21"/>
                    </w:rPr>
                    <w:t>污染物</w:t>
                  </w:r>
                </w:p>
              </w:tc>
              <w:tc>
                <w:tcPr>
                  <w:tcW w:w="1325" w:type="dxa"/>
                  <w:vAlign w:val="center"/>
                </w:tcPr>
                <w:p>
                  <w:pPr>
                    <w:jc w:val="center"/>
                    <w:rPr>
                      <w:b/>
                      <w:szCs w:val="21"/>
                    </w:rPr>
                  </w:pPr>
                  <w:r>
                    <w:rPr>
                      <w:b/>
                      <w:szCs w:val="21"/>
                    </w:rPr>
                    <w:t>非正常排放速率/（kg/h）</w:t>
                  </w:r>
                </w:p>
              </w:tc>
              <w:tc>
                <w:tcPr>
                  <w:tcW w:w="883" w:type="dxa"/>
                  <w:vAlign w:val="center"/>
                </w:tcPr>
                <w:p>
                  <w:pPr>
                    <w:jc w:val="center"/>
                    <w:rPr>
                      <w:b/>
                      <w:szCs w:val="21"/>
                    </w:rPr>
                  </w:pPr>
                  <w:r>
                    <w:rPr>
                      <w:b/>
                      <w:szCs w:val="21"/>
                    </w:rPr>
                    <w:t>单次持续时间/h</w:t>
                  </w:r>
                </w:p>
              </w:tc>
              <w:tc>
                <w:tcPr>
                  <w:tcW w:w="793" w:type="dxa"/>
                  <w:vAlign w:val="center"/>
                </w:tcPr>
                <w:p>
                  <w:pPr>
                    <w:jc w:val="center"/>
                    <w:rPr>
                      <w:b/>
                      <w:szCs w:val="21"/>
                    </w:rPr>
                  </w:pPr>
                  <w:r>
                    <w:rPr>
                      <w:b/>
                      <w:szCs w:val="21"/>
                    </w:rPr>
                    <w:t>年发生频次/次</w:t>
                  </w:r>
                </w:p>
              </w:tc>
              <w:tc>
                <w:tcPr>
                  <w:tcW w:w="885" w:type="dxa"/>
                  <w:vAlign w:val="center"/>
                </w:tcPr>
                <w:p>
                  <w:pPr>
                    <w:jc w:val="center"/>
                    <w:rPr>
                      <w:b/>
                      <w:szCs w:val="21"/>
                    </w:rPr>
                  </w:pPr>
                  <w:r>
                    <w:rPr>
                      <w:b/>
                      <w:szCs w:val="21"/>
                    </w:rPr>
                    <w:t>非正常排放量/（kg/a）</w:t>
                  </w:r>
                </w:p>
              </w:tc>
              <w:tc>
                <w:tcPr>
                  <w:tcW w:w="1002" w:type="dxa"/>
                  <w:vAlign w:val="center"/>
                </w:tcPr>
                <w:p>
                  <w:pPr>
                    <w:jc w:val="center"/>
                    <w:rPr>
                      <w:b/>
                      <w:szCs w:val="21"/>
                    </w:rPr>
                  </w:pPr>
                  <w:r>
                    <w:rPr>
                      <w:b/>
                      <w:szCs w:val="21"/>
                    </w:rPr>
                    <w:t>采取措施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4" w:type="dxa"/>
                  <w:vMerge w:val="restart"/>
                  <w:vAlign w:val="center"/>
                </w:tcPr>
                <w:p>
                  <w:pPr>
                    <w:autoSpaceDE w:val="0"/>
                    <w:autoSpaceDN w:val="0"/>
                    <w:adjustRightInd w:val="0"/>
                    <w:snapToGrid w:val="0"/>
                    <w:jc w:val="center"/>
                    <w:rPr>
                      <w:bCs/>
                      <w:szCs w:val="21"/>
                    </w:rPr>
                  </w:pPr>
                  <w:r>
                    <w:rPr>
                      <w:bCs/>
                      <w:szCs w:val="21"/>
                    </w:rPr>
                    <w:t>排气筒P1</w:t>
                  </w:r>
                </w:p>
              </w:tc>
              <w:tc>
                <w:tcPr>
                  <w:tcW w:w="1547" w:type="dxa"/>
                  <w:vMerge w:val="restart"/>
                  <w:vAlign w:val="center"/>
                </w:tcPr>
                <w:p>
                  <w:pPr>
                    <w:jc w:val="center"/>
                    <w:rPr>
                      <w:szCs w:val="21"/>
                    </w:rPr>
                  </w:pPr>
                  <w:r>
                    <w:rPr>
                      <w:szCs w:val="21"/>
                    </w:rPr>
                    <w:t>污染物排放控制措施达不到应有效率，处理效率为0</w:t>
                  </w:r>
                </w:p>
              </w:tc>
              <w:tc>
                <w:tcPr>
                  <w:tcW w:w="791" w:type="dxa"/>
                  <w:vAlign w:val="center"/>
                </w:tcPr>
                <w:p>
                  <w:pPr>
                    <w:jc w:val="center"/>
                    <w:rPr>
                      <w:szCs w:val="21"/>
                      <w:lang w:val="pt-BR"/>
                    </w:rPr>
                  </w:pPr>
                  <w:r>
                    <w:rPr>
                      <w:bCs/>
                      <w:color w:val="000000"/>
                      <w:szCs w:val="21"/>
                    </w:rPr>
                    <w:t>非甲烷总烃</w:t>
                  </w:r>
                </w:p>
              </w:tc>
              <w:tc>
                <w:tcPr>
                  <w:tcW w:w="1325" w:type="dxa"/>
                  <w:vAlign w:val="center"/>
                </w:tcPr>
                <w:p>
                  <w:pPr>
                    <w:jc w:val="center"/>
                    <w:rPr>
                      <w:szCs w:val="21"/>
                    </w:rPr>
                  </w:pPr>
                  <w:r>
                    <w:rPr>
                      <w:rFonts w:hint="eastAsia"/>
                      <w:szCs w:val="21"/>
                    </w:rPr>
                    <w:t>0.059</w:t>
                  </w:r>
                </w:p>
              </w:tc>
              <w:tc>
                <w:tcPr>
                  <w:tcW w:w="883" w:type="dxa"/>
                  <w:vAlign w:val="center"/>
                </w:tcPr>
                <w:p>
                  <w:pPr>
                    <w:jc w:val="center"/>
                    <w:rPr>
                      <w:szCs w:val="21"/>
                    </w:rPr>
                  </w:pPr>
                  <w:r>
                    <w:rPr>
                      <w:szCs w:val="21"/>
                    </w:rPr>
                    <w:t>0.25</w:t>
                  </w:r>
                </w:p>
              </w:tc>
              <w:tc>
                <w:tcPr>
                  <w:tcW w:w="793" w:type="dxa"/>
                  <w:vAlign w:val="center"/>
                </w:tcPr>
                <w:p>
                  <w:pPr>
                    <w:jc w:val="center"/>
                    <w:rPr>
                      <w:szCs w:val="21"/>
                    </w:rPr>
                  </w:pPr>
                  <w:r>
                    <w:rPr>
                      <w:szCs w:val="21"/>
                    </w:rPr>
                    <w:t>1</w:t>
                  </w:r>
                </w:p>
              </w:tc>
              <w:tc>
                <w:tcPr>
                  <w:tcW w:w="885" w:type="dxa"/>
                  <w:vAlign w:val="center"/>
                </w:tcPr>
                <w:p>
                  <w:pPr>
                    <w:jc w:val="center"/>
                    <w:rPr>
                      <w:szCs w:val="21"/>
                    </w:rPr>
                  </w:pPr>
                  <w:r>
                    <w:rPr>
                      <w:rFonts w:hint="eastAsia"/>
                      <w:szCs w:val="21"/>
                    </w:rPr>
                    <w:t>0.015</w:t>
                  </w:r>
                </w:p>
              </w:tc>
              <w:tc>
                <w:tcPr>
                  <w:tcW w:w="1002" w:type="dxa"/>
                  <w:vMerge w:val="restart"/>
                  <w:vAlign w:val="center"/>
                </w:tcPr>
                <w:p>
                  <w:pPr>
                    <w:jc w:val="center"/>
                    <w:rPr>
                      <w:szCs w:val="21"/>
                    </w:rPr>
                  </w:pPr>
                  <w:r>
                    <w:rPr>
                      <w:szCs w:val="21"/>
                    </w:rPr>
                    <w:t>产生废气的工序及时停止运行</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4" w:type="dxa"/>
                  <w:vMerge w:val="continue"/>
                  <w:vAlign w:val="center"/>
                </w:tcPr>
                <w:p>
                  <w:pPr>
                    <w:autoSpaceDE w:val="0"/>
                    <w:autoSpaceDN w:val="0"/>
                    <w:adjustRightInd w:val="0"/>
                    <w:snapToGrid w:val="0"/>
                    <w:jc w:val="center"/>
                    <w:rPr>
                      <w:bCs/>
                      <w:szCs w:val="21"/>
                    </w:rPr>
                  </w:pPr>
                </w:p>
              </w:tc>
              <w:tc>
                <w:tcPr>
                  <w:tcW w:w="1547" w:type="dxa"/>
                  <w:vMerge w:val="continue"/>
                  <w:vAlign w:val="center"/>
                </w:tcPr>
                <w:p>
                  <w:pPr>
                    <w:jc w:val="center"/>
                    <w:rPr>
                      <w:szCs w:val="21"/>
                    </w:rPr>
                  </w:pPr>
                </w:p>
              </w:tc>
              <w:tc>
                <w:tcPr>
                  <w:tcW w:w="791" w:type="dxa"/>
                  <w:vAlign w:val="center"/>
                </w:tcPr>
                <w:p>
                  <w:pPr>
                    <w:jc w:val="center"/>
                    <w:rPr>
                      <w:kern w:val="21"/>
                    </w:rPr>
                  </w:pPr>
                  <w:r>
                    <w:rPr>
                      <w:bCs/>
                      <w:color w:val="000000"/>
                      <w:szCs w:val="21"/>
                    </w:rPr>
                    <w:t>甲醇</w:t>
                  </w:r>
                </w:p>
              </w:tc>
              <w:tc>
                <w:tcPr>
                  <w:tcW w:w="1325" w:type="dxa"/>
                  <w:vAlign w:val="center"/>
                </w:tcPr>
                <w:p>
                  <w:pPr>
                    <w:jc w:val="center"/>
                    <w:rPr>
                      <w:szCs w:val="21"/>
                    </w:rPr>
                  </w:pPr>
                  <w:r>
                    <w:rPr>
                      <w:rFonts w:hint="eastAsia"/>
                      <w:szCs w:val="21"/>
                    </w:rPr>
                    <w:t>0.036</w:t>
                  </w:r>
                </w:p>
              </w:tc>
              <w:tc>
                <w:tcPr>
                  <w:tcW w:w="883" w:type="dxa"/>
                  <w:vAlign w:val="center"/>
                </w:tcPr>
                <w:p>
                  <w:pPr>
                    <w:jc w:val="center"/>
                    <w:rPr>
                      <w:szCs w:val="21"/>
                    </w:rPr>
                  </w:pPr>
                  <w:r>
                    <w:rPr>
                      <w:szCs w:val="21"/>
                    </w:rPr>
                    <w:t>0.25</w:t>
                  </w:r>
                </w:p>
              </w:tc>
              <w:tc>
                <w:tcPr>
                  <w:tcW w:w="793" w:type="dxa"/>
                  <w:vAlign w:val="center"/>
                </w:tcPr>
                <w:p>
                  <w:pPr>
                    <w:jc w:val="center"/>
                    <w:rPr>
                      <w:szCs w:val="21"/>
                    </w:rPr>
                  </w:pPr>
                  <w:r>
                    <w:rPr>
                      <w:szCs w:val="21"/>
                    </w:rPr>
                    <w:t>1</w:t>
                  </w:r>
                </w:p>
              </w:tc>
              <w:tc>
                <w:tcPr>
                  <w:tcW w:w="885" w:type="dxa"/>
                  <w:vAlign w:val="center"/>
                </w:tcPr>
                <w:p>
                  <w:pPr>
                    <w:jc w:val="center"/>
                    <w:rPr>
                      <w:szCs w:val="21"/>
                    </w:rPr>
                  </w:pPr>
                  <w:r>
                    <w:rPr>
                      <w:rFonts w:hint="eastAsia"/>
                      <w:szCs w:val="21"/>
                    </w:rPr>
                    <w:t>0.009</w:t>
                  </w:r>
                </w:p>
              </w:tc>
              <w:tc>
                <w:tcPr>
                  <w:tcW w:w="1002" w:type="dxa"/>
                  <w:vMerge w:val="continue"/>
                  <w:vAlign w:val="center"/>
                </w:tcPr>
                <w:p>
                  <w:pPr>
                    <w:jc w:val="center"/>
                    <w:rPr>
                      <w:szCs w:val="21"/>
                    </w:rPr>
                  </w:pPr>
                </w:p>
              </w:tc>
            </w:tr>
          </w:tbl>
          <w:p>
            <w:pPr>
              <w:spacing w:line="460" w:lineRule="exact"/>
              <w:ind w:firstLine="482" w:firstLineChars="200"/>
              <w:rPr>
                <w:b/>
                <w:sz w:val="24"/>
              </w:rPr>
            </w:pPr>
            <w:r>
              <w:rPr>
                <w:b/>
                <w:sz w:val="24"/>
              </w:rPr>
              <w:t>4、大气污染防治措施分析</w:t>
            </w:r>
          </w:p>
          <w:p>
            <w:pPr>
              <w:spacing w:line="460" w:lineRule="exact"/>
              <w:ind w:firstLine="480" w:firstLineChars="200"/>
              <w:rPr>
                <w:bCs/>
                <w:spacing w:val="-10"/>
                <w:sz w:val="24"/>
              </w:rPr>
            </w:pPr>
            <w:r>
              <w:rPr>
                <w:sz w:val="24"/>
              </w:rPr>
              <w:t>本项目运营期产生的废气主要为有机前处理、液相、气相分析、理化分析及实验试剂配制产生的废气，主要污染物为</w:t>
            </w:r>
            <w:r>
              <w:rPr>
                <w:rFonts w:hint="eastAsia"/>
                <w:sz w:val="24"/>
              </w:rPr>
              <w:t>挥发性有机物</w:t>
            </w:r>
            <w:r>
              <w:rPr>
                <w:sz w:val="24"/>
              </w:rPr>
              <w:t>、酸雾（氯化氢、硫酸雾）、氮氧化物、氨气。</w:t>
            </w:r>
            <w:r>
              <w:rPr>
                <w:bCs/>
                <w:spacing w:val="-10"/>
                <w:sz w:val="24"/>
              </w:rPr>
              <w:t>废气分别经</w:t>
            </w:r>
            <w:r>
              <w:rPr>
                <w:rFonts w:hint="eastAsia"/>
                <w:bCs/>
                <w:spacing w:val="-10"/>
                <w:sz w:val="24"/>
              </w:rPr>
              <w:t>万向集气罩、</w:t>
            </w:r>
            <w:r>
              <w:rPr>
                <w:bCs/>
                <w:spacing w:val="-10"/>
                <w:sz w:val="24"/>
              </w:rPr>
              <w:t>通风橱、实验室通风系统收集后统一</w:t>
            </w:r>
            <w:r>
              <w:rPr>
                <w:rFonts w:hint="eastAsia"/>
                <w:bCs/>
                <w:spacing w:val="-10"/>
                <w:sz w:val="24"/>
              </w:rPr>
              <w:t>引至“水喷淋塔</w:t>
            </w:r>
            <w:r>
              <w:rPr>
                <w:bCs/>
                <w:spacing w:val="-10"/>
                <w:sz w:val="24"/>
              </w:rPr>
              <w:t>+</w:t>
            </w:r>
            <w:r>
              <w:rPr>
                <w:rFonts w:hint="eastAsia"/>
                <w:bCs/>
                <w:spacing w:val="-10"/>
                <w:sz w:val="24"/>
              </w:rPr>
              <w:t>除雾器+</w:t>
            </w:r>
            <w:r>
              <w:rPr>
                <w:color w:val="000000"/>
                <w:kern w:val="0"/>
                <w:sz w:val="24"/>
              </w:rPr>
              <w:t>UV光催化氧化装置+活性炭吸附装置</w:t>
            </w:r>
            <w:r>
              <w:rPr>
                <w:rFonts w:hint="eastAsia"/>
                <w:bCs/>
                <w:spacing w:val="-10"/>
                <w:sz w:val="24"/>
              </w:rPr>
              <w:t>”</w:t>
            </w:r>
            <w:r>
              <w:rPr>
                <w:bCs/>
                <w:spacing w:val="-10"/>
                <w:sz w:val="24"/>
              </w:rPr>
              <w:t>处理后经</w:t>
            </w:r>
            <w:r>
              <w:rPr>
                <w:rFonts w:hint="eastAsia"/>
                <w:bCs/>
                <w:spacing w:val="-10"/>
                <w:sz w:val="24"/>
              </w:rPr>
              <w:t>1根</w:t>
            </w:r>
            <w:r>
              <w:rPr>
                <w:bCs/>
                <w:spacing w:val="-10"/>
                <w:sz w:val="24"/>
              </w:rPr>
              <w:t>15m高排气筒排放P1。</w:t>
            </w:r>
          </w:p>
          <w:p>
            <w:pPr>
              <w:adjustRightInd w:val="0"/>
              <w:snapToGrid w:val="0"/>
              <w:jc w:val="left"/>
            </w:pPr>
            <w:r>
              <w:object>
                <v:shape id="_x0000_i1031" o:spt="75" type="#_x0000_t75" style="height:120.4pt;width:403.45pt;" o:ole="t" filled="f" o:preferrelative="t" stroked="f" coordsize="21600,21600">
                  <v:path/>
                  <v:fill on="f" focussize="0,0"/>
                  <v:stroke on="f" joinstyle="miter"/>
                  <v:imagedata r:id="rId32" o:title=""/>
                  <o:lock v:ext="edit" aspectratio="f"/>
                  <w10:wrap type="none"/>
                  <w10:anchorlock/>
                </v:shape>
                <o:OLEObject Type="Embed" ProgID="Visio.Drawing.11" ShapeID="_x0000_i1031" DrawAspect="Content" ObjectID="_1468075731" r:id="rId31">
                  <o:LockedField>false</o:LockedField>
                </o:OLEObject>
              </w:object>
            </w:r>
          </w:p>
          <w:p>
            <w:pPr>
              <w:adjustRightInd w:val="0"/>
              <w:snapToGrid w:val="0"/>
              <w:ind w:left="1680" w:hanging="1680" w:hangingChars="700"/>
              <w:jc w:val="center"/>
              <w:rPr>
                <w:rFonts w:eastAsia="黑体"/>
                <w:color w:val="000000"/>
                <w:sz w:val="24"/>
              </w:rPr>
            </w:pPr>
            <w:r>
              <w:rPr>
                <w:rFonts w:eastAsia="黑体"/>
                <w:color w:val="000000"/>
                <w:sz w:val="24"/>
              </w:rPr>
              <w:t>图9         废气处理系统流程图</w:t>
            </w:r>
          </w:p>
          <w:p>
            <w:pPr>
              <w:adjustRightInd w:val="0"/>
              <w:snapToGrid w:val="0"/>
              <w:spacing w:line="460" w:lineRule="exact"/>
              <w:ind w:firstLine="440" w:firstLineChars="200"/>
              <w:rPr>
                <w:bCs/>
                <w:spacing w:val="-10"/>
                <w:sz w:val="24"/>
              </w:rPr>
            </w:pPr>
            <w:r>
              <w:rPr>
                <w:bCs/>
                <w:spacing w:val="-10"/>
                <w:sz w:val="24"/>
              </w:rPr>
              <w:fldChar w:fldCharType="begin"/>
            </w:r>
            <w:r>
              <w:rPr>
                <w:bCs/>
                <w:spacing w:val="-10"/>
                <w:sz w:val="24"/>
              </w:rPr>
              <w:instrText xml:space="preserve"> = 1 \* GB3 </w:instrText>
            </w:r>
            <w:r>
              <w:rPr>
                <w:bCs/>
                <w:spacing w:val="-10"/>
                <w:sz w:val="24"/>
              </w:rPr>
              <w:fldChar w:fldCharType="separate"/>
            </w:r>
            <w:r>
              <w:rPr>
                <w:rFonts w:hint="eastAsia" w:ascii="宋体" w:hAnsi="宋体" w:cs="宋体"/>
                <w:bCs/>
                <w:spacing w:val="-10"/>
                <w:sz w:val="24"/>
              </w:rPr>
              <w:t>①</w:t>
            </w:r>
            <w:r>
              <w:rPr>
                <w:bCs/>
                <w:spacing w:val="-10"/>
                <w:sz w:val="24"/>
              </w:rPr>
              <w:fldChar w:fldCharType="end"/>
            </w:r>
            <w:r>
              <w:rPr>
                <w:rFonts w:hint="eastAsia"/>
                <w:bCs/>
                <w:spacing w:val="-10"/>
                <w:sz w:val="24"/>
              </w:rPr>
              <w:t>水喷淋塔</w:t>
            </w:r>
            <w:r>
              <w:rPr>
                <w:bCs/>
                <w:spacing w:val="-10"/>
                <w:sz w:val="24"/>
              </w:rPr>
              <w:t>：</w:t>
            </w:r>
            <w:r>
              <w:rPr>
                <w:rFonts w:hint="eastAsia"/>
                <w:bCs/>
                <w:spacing w:val="-10"/>
                <w:sz w:val="24"/>
              </w:rPr>
              <w:t>由于本项目实验室废气中产生的酸碱废气极少，同时</w:t>
            </w:r>
            <w:r>
              <w:rPr>
                <w:bCs/>
                <w:spacing w:val="-10"/>
                <w:sz w:val="24"/>
              </w:rPr>
              <w:t>为保证本项目实验过程中产生的酸雾、氨得到充分处理，最大程度减少项目对周围环境的影响，本项目采用</w:t>
            </w:r>
            <w:r>
              <w:rPr>
                <w:rFonts w:hint="eastAsia"/>
                <w:bCs/>
                <w:spacing w:val="-10"/>
                <w:sz w:val="24"/>
              </w:rPr>
              <w:t>水喷淋塔</w:t>
            </w:r>
            <w:r>
              <w:rPr>
                <w:bCs/>
                <w:spacing w:val="-10"/>
                <w:sz w:val="24"/>
              </w:rPr>
              <w:t>处理实验过程中生的酸雾以及氨，</w:t>
            </w:r>
            <w:r>
              <w:rPr>
                <w:rFonts w:hint="eastAsia"/>
                <w:bCs/>
                <w:spacing w:val="-10"/>
                <w:sz w:val="24"/>
              </w:rPr>
              <w:t>碱性废气氨易溶于水，项目设置水喷淋塔可有效处理废气中的氨，</w:t>
            </w:r>
            <w:r>
              <w:rPr>
                <w:bCs/>
                <w:spacing w:val="-10"/>
                <w:sz w:val="24"/>
              </w:rPr>
              <w:t>酸雾主要成分为硫酸雾、硝酸雾、氯化氢等。喷淋塔具有净化效率高、操作管理简单、使用寿命长、结构简单、能耗低等优点，喷淋塔对酸雾</w:t>
            </w:r>
            <w:r>
              <w:rPr>
                <w:rFonts w:hint="eastAsia"/>
                <w:bCs/>
                <w:spacing w:val="-10"/>
                <w:sz w:val="24"/>
              </w:rPr>
              <w:t>、氨</w:t>
            </w:r>
            <w:r>
              <w:rPr>
                <w:bCs/>
                <w:spacing w:val="-10"/>
                <w:sz w:val="24"/>
              </w:rPr>
              <w:t>去除效率可达70%以上，本项目</w:t>
            </w:r>
            <w:r>
              <w:rPr>
                <w:rFonts w:hint="eastAsia"/>
                <w:bCs/>
                <w:spacing w:val="-10"/>
                <w:sz w:val="24"/>
              </w:rPr>
              <w:t>酸碱废气</w:t>
            </w:r>
            <w:r>
              <w:rPr>
                <w:bCs/>
                <w:spacing w:val="-10"/>
                <w:sz w:val="24"/>
              </w:rPr>
              <w:t>采取</w:t>
            </w:r>
            <w:r>
              <w:rPr>
                <w:rFonts w:hint="eastAsia"/>
                <w:bCs/>
                <w:spacing w:val="-10"/>
                <w:sz w:val="24"/>
              </w:rPr>
              <w:t>水喷淋塔</w:t>
            </w:r>
            <w:r>
              <w:rPr>
                <w:bCs/>
                <w:spacing w:val="-10"/>
                <w:sz w:val="24"/>
              </w:rPr>
              <w:t>处理合理、可行。</w:t>
            </w:r>
          </w:p>
          <w:p>
            <w:pPr>
              <w:adjustRightInd w:val="0"/>
              <w:snapToGrid w:val="0"/>
              <w:spacing w:line="460" w:lineRule="exact"/>
              <w:ind w:firstLine="440" w:firstLineChars="200"/>
              <w:rPr>
                <w:bCs/>
                <w:spacing w:val="-10"/>
                <w:sz w:val="24"/>
              </w:rPr>
            </w:pPr>
            <w:r>
              <w:rPr>
                <w:rFonts w:hint="eastAsia" w:ascii="宋体" w:hAnsi="宋体" w:cs="宋体"/>
                <w:bCs/>
                <w:spacing w:val="-10"/>
                <w:sz w:val="24"/>
              </w:rPr>
              <w:t>②</w:t>
            </w:r>
            <w:r>
              <w:rPr>
                <w:bCs/>
                <w:spacing w:val="-10"/>
                <w:sz w:val="24"/>
              </w:rPr>
              <w:t>UV光催化氧化：光氧催化废气处理的大体过程为有机气体利用排风设备输入到净化设备后，净化设备运用高能UV紫外线光束及臭氧对有机气体进行协同分解氧化反应，使恶臭气体物质降解转化成低分子化合物、水和二氧化碳，再通过排风管道排出。该技术具有高效除有机废气、无需添加任何物质、适应性强、连续运行稳定可靠、运行成本低、设备占地面积小，自重轻等优势，可有效分解工业废气中有毒有害物质，并能达到完美的脱臭、净化效果，经分解后的工业废气，可无害化排放，不产生二次污染，同时达到高效消毒杀菌的作用。</w:t>
            </w:r>
          </w:p>
          <w:p>
            <w:pPr>
              <w:adjustRightInd w:val="0"/>
              <w:snapToGrid w:val="0"/>
              <w:spacing w:line="460" w:lineRule="exact"/>
              <w:ind w:firstLine="440" w:firstLineChars="200"/>
              <w:rPr>
                <w:bCs/>
                <w:spacing w:val="-10"/>
                <w:sz w:val="24"/>
              </w:rPr>
            </w:pPr>
            <w:r>
              <w:rPr>
                <w:rFonts w:hint="eastAsia" w:ascii="宋体" w:hAnsi="宋体" w:cs="宋体"/>
                <w:bCs/>
                <w:spacing w:val="-10"/>
                <w:sz w:val="24"/>
              </w:rPr>
              <w:t>③</w:t>
            </w:r>
            <w:r>
              <w:rPr>
                <w:bCs/>
                <w:spacing w:val="-10"/>
                <w:sz w:val="24"/>
              </w:rPr>
              <w:t>活性炭吸附装置：活性炭吸附装置是在活性炭多微孔及巨大的表张力作用下，将废气中非甲烷总烃等有机物吸附，从而达到废气的净化。</w:t>
            </w:r>
          </w:p>
          <w:p>
            <w:pPr>
              <w:adjustRightInd w:val="0"/>
              <w:snapToGrid w:val="0"/>
              <w:spacing w:line="460" w:lineRule="exact"/>
              <w:ind w:firstLine="440" w:firstLineChars="200"/>
              <w:rPr>
                <w:bCs/>
                <w:spacing w:val="-10"/>
                <w:sz w:val="24"/>
              </w:rPr>
            </w:pPr>
            <w:r>
              <w:rPr>
                <w:bCs/>
                <w:spacing w:val="-10"/>
                <w:sz w:val="24"/>
              </w:rPr>
              <w:t>本项目</w:t>
            </w:r>
            <w:r>
              <w:rPr>
                <w:rFonts w:hint="eastAsia"/>
                <w:bCs/>
                <w:spacing w:val="-10"/>
                <w:sz w:val="24"/>
              </w:rPr>
              <w:t>“</w:t>
            </w:r>
            <w:r>
              <w:rPr>
                <w:bCs/>
                <w:spacing w:val="-10"/>
                <w:sz w:val="24"/>
              </w:rPr>
              <w:t>UV光催化氧化+活性炭吸附装置</w:t>
            </w:r>
            <w:r>
              <w:rPr>
                <w:rFonts w:hint="eastAsia"/>
                <w:bCs/>
                <w:spacing w:val="-10"/>
                <w:sz w:val="24"/>
              </w:rPr>
              <w:t>”对有机废气</w:t>
            </w:r>
            <w:r>
              <w:rPr>
                <w:bCs/>
                <w:spacing w:val="-10"/>
                <w:sz w:val="24"/>
              </w:rPr>
              <w:t>处理效率为80%，</w:t>
            </w:r>
            <w:r>
              <w:rPr>
                <w:rFonts w:hint="eastAsia"/>
                <w:bCs/>
                <w:spacing w:val="-10"/>
                <w:sz w:val="24"/>
              </w:rPr>
              <w:t>实验室产生的有机废气经该治理措施处理后</w:t>
            </w:r>
            <w:r>
              <w:rPr>
                <w:bCs/>
                <w:spacing w:val="-10"/>
                <w:sz w:val="24"/>
              </w:rPr>
              <w:t>能够满足《关于全省开展工业企业挥发性有机物专项治理工作中排放建议值的通知》（豫环攻坚办[2017]162号）对非甲烷总烃的建议去除效率要求</w:t>
            </w:r>
            <w:r>
              <w:rPr>
                <w:rFonts w:hint="eastAsia"/>
                <w:bCs/>
                <w:spacing w:val="-10"/>
                <w:sz w:val="24"/>
              </w:rPr>
              <w:t>。</w:t>
            </w:r>
          </w:p>
          <w:p>
            <w:pPr>
              <w:adjustRightInd w:val="0"/>
              <w:snapToGrid w:val="0"/>
              <w:spacing w:line="460" w:lineRule="exact"/>
              <w:ind w:firstLine="440" w:firstLineChars="200"/>
              <w:rPr>
                <w:bCs/>
                <w:spacing w:val="-10"/>
                <w:sz w:val="24"/>
              </w:rPr>
            </w:pPr>
            <w:r>
              <w:rPr>
                <w:rFonts w:hint="eastAsia"/>
                <w:bCs/>
                <w:spacing w:val="-10"/>
                <w:sz w:val="24"/>
              </w:rPr>
              <w:t>本项目实验室产生的有机废气、酸碱废气污染物经收集后引至“水喷淋塔</w:t>
            </w:r>
            <w:r>
              <w:rPr>
                <w:bCs/>
                <w:spacing w:val="-10"/>
                <w:sz w:val="24"/>
              </w:rPr>
              <w:t>+</w:t>
            </w:r>
            <w:r>
              <w:rPr>
                <w:rFonts w:hint="eastAsia"/>
                <w:bCs/>
                <w:spacing w:val="-10"/>
                <w:sz w:val="24"/>
              </w:rPr>
              <w:t>除雾器+</w:t>
            </w:r>
            <w:r>
              <w:rPr>
                <w:color w:val="000000"/>
                <w:kern w:val="0"/>
                <w:sz w:val="24"/>
              </w:rPr>
              <w:t>UV光催化氧化装置+活性炭吸附装置</w:t>
            </w:r>
            <w:r>
              <w:rPr>
                <w:rFonts w:hint="eastAsia"/>
                <w:bCs/>
                <w:spacing w:val="-10"/>
                <w:sz w:val="24"/>
              </w:rPr>
              <w:t>”处理后经1根1</w:t>
            </w:r>
            <w:r>
              <w:rPr>
                <w:bCs/>
                <w:spacing w:val="-10"/>
                <w:sz w:val="24"/>
              </w:rPr>
              <w:t>5</w:t>
            </w:r>
            <w:r>
              <w:rPr>
                <w:rFonts w:hint="eastAsia"/>
                <w:bCs/>
                <w:spacing w:val="-10"/>
                <w:sz w:val="24"/>
              </w:rPr>
              <w:t>米高排气筒排放，各项废气污染物有组织排放能够满足《大气污染物综合排放标准》（GB16297-1996）表2二级、《恶臭污染物排放标准（GB14554-93）表1二级新改扩建中的限制要求，同时能够满足《关于全省开展工业企业挥发性有机物专项治理工作中排放建议值的通知》（豫环攻坚办（2017）162号）其他行业对非甲烷总烃的有组织排放限制要求。</w:t>
            </w:r>
          </w:p>
          <w:p>
            <w:pPr>
              <w:adjustRightInd w:val="0"/>
              <w:snapToGrid w:val="0"/>
              <w:spacing w:line="460" w:lineRule="exact"/>
              <w:ind w:firstLine="440" w:firstLineChars="200"/>
              <w:rPr>
                <w:bCs/>
                <w:spacing w:val="-10"/>
                <w:sz w:val="24"/>
              </w:rPr>
            </w:pPr>
            <w:r>
              <w:rPr>
                <w:rFonts w:hint="eastAsia"/>
                <w:bCs/>
                <w:spacing w:val="-10"/>
                <w:sz w:val="24"/>
              </w:rPr>
              <w:t>有机</w:t>
            </w:r>
            <w:r>
              <w:rPr>
                <w:bCs/>
                <w:spacing w:val="-10"/>
                <w:sz w:val="24"/>
              </w:rPr>
              <w:t>废气无组织排放能够满足《关于全省开展工业企业挥发性有机物专项治理工作中排放建议的通知》（豫环攻坚办[2017]162号）</w:t>
            </w:r>
            <w:r>
              <w:rPr>
                <w:rFonts w:hint="eastAsia"/>
                <w:bCs/>
                <w:spacing w:val="-10"/>
                <w:sz w:val="24"/>
              </w:rPr>
              <w:t>其他企业</w:t>
            </w:r>
            <w:r>
              <w:rPr>
                <w:bCs/>
                <w:spacing w:val="-10"/>
                <w:sz w:val="24"/>
              </w:rPr>
              <w:t>工业企业边界</w:t>
            </w:r>
            <w:r>
              <w:rPr>
                <w:rFonts w:hint="eastAsia"/>
                <w:bCs/>
                <w:spacing w:val="-10"/>
                <w:sz w:val="24"/>
              </w:rPr>
              <w:t>挥发性有机物排放建议值</w:t>
            </w:r>
            <w:r>
              <w:rPr>
                <w:bCs/>
                <w:spacing w:val="-10"/>
                <w:sz w:val="24"/>
              </w:rPr>
              <w:t>非甲烷总烃2.0mg/m</w:t>
            </w:r>
            <w:r>
              <w:rPr>
                <w:bCs/>
                <w:spacing w:val="-10"/>
                <w:sz w:val="24"/>
                <w:vertAlign w:val="superscript"/>
              </w:rPr>
              <w:t>3</w:t>
            </w:r>
            <w:r>
              <w:rPr>
                <w:bCs/>
                <w:spacing w:val="-10"/>
                <w:sz w:val="24"/>
              </w:rPr>
              <w:t>的限值要求</w:t>
            </w:r>
            <w:r>
              <w:rPr>
                <w:bCs/>
                <w:sz w:val="24"/>
              </w:rPr>
              <w:t>。</w:t>
            </w:r>
          </w:p>
          <w:p>
            <w:pPr>
              <w:adjustRightInd w:val="0"/>
              <w:snapToGrid w:val="0"/>
              <w:spacing w:line="460" w:lineRule="exact"/>
              <w:ind w:firstLine="440" w:firstLineChars="200"/>
              <w:rPr>
                <w:bCs/>
                <w:spacing w:val="-10"/>
                <w:sz w:val="24"/>
              </w:rPr>
            </w:pPr>
            <w:r>
              <w:rPr>
                <w:rFonts w:hint="eastAsia"/>
                <w:bCs/>
                <w:spacing w:val="-10"/>
                <w:sz w:val="24"/>
              </w:rPr>
              <w:t>综上所述，本项目排放的废气污染物对周边区域环境质量现状、环境保护目标影响较小，因此本项目实验室产生的有机废气、酸碱废气污染物经收集后引至“水喷淋塔</w:t>
            </w:r>
            <w:r>
              <w:rPr>
                <w:bCs/>
                <w:spacing w:val="-10"/>
                <w:sz w:val="24"/>
              </w:rPr>
              <w:t>+</w:t>
            </w:r>
            <w:r>
              <w:rPr>
                <w:rFonts w:hint="eastAsia"/>
                <w:bCs/>
                <w:spacing w:val="-10"/>
                <w:sz w:val="24"/>
              </w:rPr>
              <w:t>除雾器+</w:t>
            </w:r>
            <w:r>
              <w:rPr>
                <w:color w:val="000000"/>
                <w:kern w:val="0"/>
                <w:sz w:val="24"/>
              </w:rPr>
              <w:t>UV光催化氧化装置+活性炭吸附装置</w:t>
            </w:r>
            <w:r>
              <w:rPr>
                <w:rFonts w:hint="eastAsia"/>
                <w:bCs/>
                <w:spacing w:val="-10"/>
                <w:sz w:val="24"/>
              </w:rPr>
              <w:t>”处理后经1根1</w:t>
            </w:r>
            <w:r>
              <w:rPr>
                <w:bCs/>
                <w:spacing w:val="-10"/>
                <w:sz w:val="24"/>
              </w:rPr>
              <w:t>5</w:t>
            </w:r>
            <w:r>
              <w:rPr>
                <w:rFonts w:hint="eastAsia"/>
                <w:bCs/>
                <w:spacing w:val="-10"/>
                <w:sz w:val="24"/>
              </w:rPr>
              <w:t>米高排气筒排放，采取该治理措施可行。</w:t>
            </w:r>
          </w:p>
          <w:p>
            <w:pPr>
              <w:spacing w:line="460" w:lineRule="exact"/>
              <w:ind w:firstLine="482" w:firstLineChars="200"/>
              <w:rPr>
                <w:b/>
                <w:sz w:val="24"/>
              </w:rPr>
            </w:pPr>
            <w:r>
              <w:rPr>
                <w:b/>
                <w:sz w:val="24"/>
              </w:rPr>
              <w:t>5、废气污染物排放核算量</w:t>
            </w:r>
          </w:p>
          <w:p>
            <w:pPr>
              <w:spacing w:line="460" w:lineRule="exact"/>
              <w:ind w:firstLine="480" w:firstLineChars="200"/>
              <w:rPr>
                <w:b/>
              </w:rPr>
            </w:pPr>
            <w:r>
              <w:rPr>
                <w:sz w:val="24"/>
              </w:rPr>
              <w:t>5.1大气污染物有组织排放核算</w:t>
            </w:r>
          </w:p>
          <w:p>
            <w:pPr>
              <w:spacing w:line="460" w:lineRule="exact"/>
              <w:ind w:firstLine="480" w:firstLineChars="200"/>
              <w:jc w:val="left"/>
              <w:rPr>
                <w:rFonts w:eastAsia="黑体"/>
                <w:sz w:val="24"/>
                <w:lang w:val="pt-BR"/>
              </w:rPr>
            </w:pPr>
            <w:r>
              <w:rPr>
                <w:rFonts w:eastAsia="黑体"/>
                <w:sz w:val="24"/>
                <w:lang w:val="pt-BR"/>
              </w:rPr>
              <w:t>表37             大气污染物有组织排放量核算表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77"/>
              <w:gridCol w:w="1170"/>
              <w:gridCol w:w="1149"/>
              <w:gridCol w:w="1743"/>
              <w:gridCol w:w="1743"/>
              <w:gridCol w:w="168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8" w:type="pct"/>
                  <w:vAlign w:val="center"/>
                </w:tcPr>
                <w:p>
                  <w:pPr>
                    <w:autoSpaceDE w:val="0"/>
                    <w:autoSpaceDN w:val="0"/>
                    <w:adjustRightInd w:val="0"/>
                    <w:snapToGrid w:val="0"/>
                    <w:jc w:val="center"/>
                    <w:rPr>
                      <w:b/>
                      <w:szCs w:val="21"/>
                    </w:rPr>
                  </w:pPr>
                  <w:r>
                    <w:rPr>
                      <w:b/>
                      <w:szCs w:val="21"/>
                    </w:rPr>
                    <w:t>序号</w:t>
                  </w:r>
                </w:p>
              </w:tc>
              <w:tc>
                <w:tcPr>
                  <w:tcW w:w="724" w:type="pct"/>
                  <w:vAlign w:val="center"/>
                </w:tcPr>
                <w:p>
                  <w:pPr>
                    <w:autoSpaceDE w:val="0"/>
                    <w:autoSpaceDN w:val="0"/>
                    <w:adjustRightInd w:val="0"/>
                    <w:snapToGrid w:val="0"/>
                    <w:jc w:val="center"/>
                    <w:rPr>
                      <w:b/>
                      <w:szCs w:val="21"/>
                    </w:rPr>
                  </w:pPr>
                  <w:r>
                    <w:rPr>
                      <w:b/>
                      <w:szCs w:val="21"/>
                    </w:rPr>
                    <w:t>排放口编号</w:t>
                  </w:r>
                </w:p>
              </w:tc>
              <w:tc>
                <w:tcPr>
                  <w:tcW w:w="711" w:type="pct"/>
                  <w:vAlign w:val="center"/>
                </w:tcPr>
                <w:p>
                  <w:pPr>
                    <w:autoSpaceDE w:val="0"/>
                    <w:autoSpaceDN w:val="0"/>
                    <w:adjustRightInd w:val="0"/>
                    <w:snapToGrid w:val="0"/>
                    <w:jc w:val="center"/>
                    <w:rPr>
                      <w:b/>
                      <w:szCs w:val="21"/>
                    </w:rPr>
                  </w:pPr>
                  <w:r>
                    <w:rPr>
                      <w:b/>
                      <w:szCs w:val="21"/>
                    </w:rPr>
                    <w:t>污染物</w:t>
                  </w:r>
                </w:p>
              </w:tc>
              <w:tc>
                <w:tcPr>
                  <w:tcW w:w="1079" w:type="pct"/>
                  <w:vAlign w:val="center"/>
                </w:tcPr>
                <w:p>
                  <w:pPr>
                    <w:autoSpaceDE w:val="0"/>
                    <w:autoSpaceDN w:val="0"/>
                    <w:adjustRightInd w:val="0"/>
                    <w:snapToGrid w:val="0"/>
                    <w:jc w:val="center"/>
                    <w:rPr>
                      <w:b/>
                      <w:szCs w:val="21"/>
                    </w:rPr>
                  </w:pPr>
                  <w:r>
                    <w:rPr>
                      <w:b/>
                      <w:szCs w:val="21"/>
                    </w:rPr>
                    <w:t>核算排放浓度/</w:t>
                  </w:r>
                </w:p>
                <w:p>
                  <w:pPr>
                    <w:autoSpaceDE w:val="0"/>
                    <w:autoSpaceDN w:val="0"/>
                    <w:adjustRightInd w:val="0"/>
                    <w:snapToGrid w:val="0"/>
                    <w:jc w:val="center"/>
                    <w:rPr>
                      <w:b/>
                      <w:szCs w:val="21"/>
                    </w:rPr>
                  </w:pPr>
                  <w:r>
                    <w:rPr>
                      <w:b/>
                      <w:szCs w:val="21"/>
                    </w:rPr>
                    <w:t>（mg/m</w:t>
                  </w:r>
                  <w:r>
                    <w:rPr>
                      <w:b/>
                      <w:szCs w:val="21"/>
                      <w:vertAlign w:val="superscript"/>
                    </w:rPr>
                    <w:t>3</w:t>
                  </w:r>
                  <w:r>
                    <w:rPr>
                      <w:b/>
                      <w:szCs w:val="21"/>
                    </w:rPr>
                    <w:t>）</w:t>
                  </w:r>
                </w:p>
              </w:tc>
              <w:tc>
                <w:tcPr>
                  <w:tcW w:w="1079" w:type="pct"/>
                  <w:vAlign w:val="center"/>
                </w:tcPr>
                <w:p>
                  <w:pPr>
                    <w:autoSpaceDE w:val="0"/>
                    <w:autoSpaceDN w:val="0"/>
                    <w:adjustRightInd w:val="0"/>
                    <w:snapToGrid w:val="0"/>
                    <w:jc w:val="center"/>
                    <w:rPr>
                      <w:b/>
                      <w:szCs w:val="21"/>
                    </w:rPr>
                  </w:pPr>
                  <w:r>
                    <w:rPr>
                      <w:b/>
                      <w:szCs w:val="21"/>
                    </w:rPr>
                    <w:t>核算排放速率/</w:t>
                  </w:r>
                </w:p>
                <w:p>
                  <w:pPr>
                    <w:autoSpaceDE w:val="0"/>
                    <w:autoSpaceDN w:val="0"/>
                    <w:adjustRightInd w:val="0"/>
                    <w:snapToGrid w:val="0"/>
                    <w:jc w:val="center"/>
                    <w:rPr>
                      <w:b/>
                      <w:szCs w:val="21"/>
                    </w:rPr>
                  </w:pPr>
                  <w:r>
                    <w:rPr>
                      <w:b/>
                      <w:szCs w:val="21"/>
                    </w:rPr>
                    <w:t>（kg/h）</w:t>
                  </w:r>
                </w:p>
              </w:tc>
              <w:tc>
                <w:tcPr>
                  <w:tcW w:w="1045" w:type="pct"/>
                  <w:vAlign w:val="center"/>
                </w:tcPr>
                <w:p>
                  <w:pPr>
                    <w:autoSpaceDE w:val="0"/>
                    <w:autoSpaceDN w:val="0"/>
                    <w:adjustRightInd w:val="0"/>
                    <w:snapToGrid w:val="0"/>
                    <w:jc w:val="center"/>
                    <w:rPr>
                      <w:b/>
                      <w:szCs w:val="21"/>
                    </w:rPr>
                  </w:pPr>
                  <w:r>
                    <w:rPr>
                      <w:b/>
                      <w:szCs w:val="21"/>
                    </w:rPr>
                    <w:t>核算年排放量/</w:t>
                  </w:r>
                </w:p>
                <w:p>
                  <w:pPr>
                    <w:autoSpaceDE w:val="0"/>
                    <w:autoSpaceDN w:val="0"/>
                    <w:adjustRightInd w:val="0"/>
                    <w:snapToGrid w:val="0"/>
                    <w:jc w:val="center"/>
                    <w:rPr>
                      <w:b/>
                      <w:szCs w:val="21"/>
                    </w:rPr>
                  </w:pPr>
                  <w:r>
                    <w:rPr>
                      <w:b/>
                      <w:szCs w:val="21"/>
                    </w:rPr>
                    <w:t>（t/a）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8" w:type="pct"/>
                  <w:vMerge w:val="restart"/>
                  <w:vAlign w:val="center"/>
                </w:tcPr>
                <w:p>
                  <w:pPr>
                    <w:autoSpaceDE w:val="0"/>
                    <w:autoSpaceDN w:val="0"/>
                    <w:adjustRightInd w:val="0"/>
                    <w:snapToGrid w:val="0"/>
                    <w:jc w:val="center"/>
                    <w:rPr>
                      <w:szCs w:val="21"/>
                    </w:rPr>
                  </w:pPr>
                  <w:r>
                    <w:rPr>
                      <w:szCs w:val="21"/>
                    </w:rPr>
                    <w:t>1</w:t>
                  </w:r>
                </w:p>
              </w:tc>
              <w:tc>
                <w:tcPr>
                  <w:tcW w:w="724" w:type="pct"/>
                  <w:vMerge w:val="restart"/>
                  <w:vAlign w:val="center"/>
                </w:tcPr>
                <w:p>
                  <w:pPr>
                    <w:autoSpaceDE w:val="0"/>
                    <w:autoSpaceDN w:val="0"/>
                    <w:adjustRightInd w:val="0"/>
                    <w:snapToGrid w:val="0"/>
                    <w:jc w:val="center"/>
                    <w:rPr>
                      <w:szCs w:val="21"/>
                    </w:rPr>
                  </w:pPr>
                  <w:r>
                    <w:rPr>
                      <w:szCs w:val="21"/>
                    </w:rPr>
                    <w:t>排气筒P1</w:t>
                  </w:r>
                </w:p>
              </w:tc>
              <w:tc>
                <w:tcPr>
                  <w:tcW w:w="711" w:type="pct"/>
                  <w:vAlign w:val="center"/>
                </w:tcPr>
                <w:p>
                  <w:pPr>
                    <w:jc w:val="center"/>
                    <w:rPr>
                      <w:szCs w:val="21"/>
                    </w:rPr>
                  </w:pPr>
                  <w:r>
                    <w:rPr>
                      <w:bCs/>
                      <w:color w:val="000000"/>
                      <w:szCs w:val="21"/>
                    </w:rPr>
                    <w:t>非甲烷总烃</w:t>
                  </w:r>
                </w:p>
              </w:tc>
              <w:tc>
                <w:tcPr>
                  <w:tcW w:w="1079" w:type="pct"/>
                  <w:vAlign w:val="center"/>
                </w:tcPr>
                <w:p>
                  <w:pPr>
                    <w:autoSpaceDE w:val="0"/>
                    <w:autoSpaceDN w:val="0"/>
                    <w:adjustRightInd w:val="0"/>
                    <w:snapToGrid w:val="0"/>
                    <w:jc w:val="center"/>
                    <w:rPr>
                      <w:color w:val="000000"/>
                    </w:rPr>
                  </w:pPr>
                  <w:r>
                    <w:rPr>
                      <w:rFonts w:hint="eastAsia"/>
                      <w:color w:val="000000"/>
                    </w:rPr>
                    <w:t>2</w:t>
                  </w:r>
                  <w:r>
                    <w:rPr>
                      <w:color w:val="000000"/>
                    </w:rPr>
                    <w:t>.3</w:t>
                  </w:r>
                </w:p>
              </w:tc>
              <w:tc>
                <w:tcPr>
                  <w:tcW w:w="1079" w:type="pct"/>
                  <w:vAlign w:val="center"/>
                </w:tcPr>
                <w:p>
                  <w:pPr>
                    <w:autoSpaceDE w:val="0"/>
                    <w:autoSpaceDN w:val="0"/>
                    <w:adjustRightInd w:val="0"/>
                    <w:snapToGrid w:val="0"/>
                    <w:jc w:val="center"/>
                    <w:rPr>
                      <w:color w:val="000000"/>
                    </w:rPr>
                  </w:pPr>
                  <w:r>
                    <w:rPr>
                      <w:color w:val="000000"/>
                    </w:rPr>
                    <w:t>0.012</w:t>
                  </w:r>
                </w:p>
              </w:tc>
              <w:tc>
                <w:tcPr>
                  <w:tcW w:w="1045" w:type="pct"/>
                  <w:vAlign w:val="center"/>
                </w:tcPr>
                <w:p>
                  <w:pPr>
                    <w:autoSpaceDE w:val="0"/>
                    <w:autoSpaceDN w:val="0"/>
                    <w:adjustRightInd w:val="0"/>
                    <w:snapToGrid w:val="0"/>
                    <w:jc w:val="center"/>
                    <w:rPr>
                      <w:color w:val="000000"/>
                    </w:rPr>
                  </w:pPr>
                  <w:r>
                    <w:rPr>
                      <w:color w:val="000000"/>
                    </w:rPr>
                    <w:t>0.0063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58" w:type="pct"/>
                  <w:vMerge w:val="continue"/>
                  <w:vAlign w:val="center"/>
                </w:tcPr>
                <w:p>
                  <w:pPr>
                    <w:autoSpaceDE w:val="0"/>
                    <w:autoSpaceDN w:val="0"/>
                    <w:adjustRightInd w:val="0"/>
                    <w:snapToGrid w:val="0"/>
                    <w:jc w:val="center"/>
                    <w:rPr>
                      <w:szCs w:val="21"/>
                    </w:rPr>
                  </w:pPr>
                </w:p>
              </w:tc>
              <w:tc>
                <w:tcPr>
                  <w:tcW w:w="724" w:type="pct"/>
                  <w:vMerge w:val="continue"/>
                  <w:vAlign w:val="center"/>
                </w:tcPr>
                <w:p>
                  <w:pPr>
                    <w:autoSpaceDE w:val="0"/>
                    <w:autoSpaceDN w:val="0"/>
                    <w:adjustRightInd w:val="0"/>
                    <w:snapToGrid w:val="0"/>
                    <w:jc w:val="center"/>
                    <w:rPr>
                      <w:szCs w:val="21"/>
                    </w:rPr>
                  </w:pPr>
                </w:p>
              </w:tc>
              <w:tc>
                <w:tcPr>
                  <w:tcW w:w="711" w:type="pct"/>
                  <w:vAlign w:val="center"/>
                </w:tcPr>
                <w:p>
                  <w:pPr>
                    <w:jc w:val="center"/>
                    <w:rPr>
                      <w:bCs/>
                      <w:color w:val="000000"/>
                      <w:szCs w:val="21"/>
                    </w:rPr>
                  </w:pPr>
                  <w:r>
                    <w:rPr>
                      <w:rFonts w:hint="eastAsia"/>
                      <w:bCs/>
                      <w:color w:val="000000"/>
                      <w:szCs w:val="21"/>
                    </w:rPr>
                    <w:t>甲醇</w:t>
                  </w:r>
                </w:p>
              </w:tc>
              <w:tc>
                <w:tcPr>
                  <w:tcW w:w="1079" w:type="pct"/>
                  <w:vAlign w:val="center"/>
                </w:tcPr>
                <w:p>
                  <w:pPr>
                    <w:autoSpaceDE w:val="0"/>
                    <w:autoSpaceDN w:val="0"/>
                    <w:adjustRightInd w:val="0"/>
                    <w:snapToGrid w:val="0"/>
                    <w:jc w:val="center"/>
                    <w:rPr>
                      <w:color w:val="000000"/>
                    </w:rPr>
                  </w:pPr>
                  <w:r>
                    <w:rPr>
                      <w:rFonts w:hint="eastAsia"/>
                      <w:color w:val="000000"/>
                    </w:rPr>
                    <w:t>1</w:t>
                  </w:r>
                  <w:r>
                    <w:rPr>
                      <w:color w:val="000000"/>
                    </w:rPr>
                    <w:t>.4</w:t>
                  </w:r>
                </w:p>
              </w:tc>
              <w:tc>
                <w:tcPr>
                  <w:tcW w:w="1079" w:type="pct"/>
                  <w:vAlign w:val="center"/>
                </w:tcPr>
                <w:p>
                  <w:pPr>
                    <w:autoSpaceDE w:val="0"/>
                    <w:autoSpaceDN w:val="0"/>
                    <w:adjustRightInd w:val="0"/>
                    <w:snapToGrid w:val="0"/>
                    <w:jc w:val="center"/>
                    <w:rPr>
                      <w:color w:val="000000"/>
                    </w:rPr>
                  </w:pPr>
                  <w:r>
                    <w:rPr>
                      <w:color w:val="000000"/>
                    </w:rPr>
                    <w:t>0.007</w:t>
                  </w:r>
                </w:p>
              </w:tc>
              <w:tc>
                <w:tcPr>
                  <w:tcW w:w="1045" w:type="pct"/>
                  <w:vAlign w:val="center"/>
                </w:tcPr>
                <w:p>
                  <w:pPr>
                    <w:autoSpaceDE w:val="0"/>
                    <w:autoSpaceDN w:val="0"/>
                    <w:adjustRightInd w:val="0"/>
                    <w:snapToGrid w:val="0"/>
                    <w:jc w:val="center"/>
                    <w:rPr>
                      <w:color w:val="000000"/>
                    </w:rPr>
                  </w:pPr>
                  <w:r>
                    <w:rPr>
                      <w:color w:val="000000"/>
                    </w:rPr>
                    <w:t>0.0039</w:t>
                  </w:r>
                </w:p>
              </w:tc>
            </w:tr>
          </w:tbl>
          <w:p>
            <w:pPr>
              <w:spacing w:line="460" w:lineRule="exact"/>
              <w:ind w:firstLine="480" w:firstLineChars="200"/>
              <w:rPr>
                <w:snapToGrid w:val="0"/>
                <w:color w:val="000000"/>
                <w:sz w:val="24"/>
              </w:rPr>
            </w:pPr>
            <w:r>
              <w:rPr>
                <w:snapToGrid w:val="0"/>
                <w:color w:val="000000"/>
                <w:sz w:val="24"/>
              </w:rPr>
              <w:t>5.2</w:t>
            </w:r>
            <w:r>
              <w:rPr>
                <w:color w:val="000000"/>
                <w:sz w:val="24"/>
              </w:rPr>
              <w:t>大气污染物</w:t>
            </w:r>
            <w:r>
              <w:rPr>
                <w:snapToGrid w:val="0"/>
                <w:color w:val="000000"/>
                <w:sz w:val="24"/>
              </w:rPr>
              <w:t>无组织排放量核算</w:t>
            </w:r>
          </w:p>
          <w:p>
            <w:pPr>
              <w:adjustRightInd w:val="0"/>
              <w:snapToGrid w:val="0"/>
              <w:spacing w:line="460" w:lineRule="exact"/>
              <w:ind w:firstLine="480" w:firstLineChars="200"/>
              <w:rPr>
                <w:rFonts w:eastAsia="黑体"/>
                <w:color w:val="000000"/>
                <w:sz w:val="24"/>
              </w:rPr>
            </w:pPr>
            <w:r>
              <w:rPr>
                <w:rFonts w:eastAsia="黑体"/>
                <w:color w:val="000000"/>
                <w:sz w:val="24"/>
              </w:rPr>
              <w:t>表38            本项目大气污染物无组织排放量核算表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06"/>
              <w:gridCol w:w="850"/>
              <w:gridCol w:w="1275"/>
              <w:gridCol w:w="851"/>
              <w:gridCol w:w="851"/>
              <w:gridCol w:w="1984"/>
              <w:gridCol w:w="1135"/>
              <w:gridCol w:w="718"/>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6" w:type="dxa"/>
                  <w:vMerge w:val="restart"/>
                  <w:vAlign w:val="center"/>
                </w:tcPr>
                <w:p>
                  <w:pPr>
                    <w:autoSpaceDE w:val="0"/>
                    <w:autoSpaceDN w:val="0"/>
                    <w:adjustRightInd w:val="0"/>
                    <w:snapToGrid w:val="0"/>
                    <w:jc w:val="center"/>
                    <w:rPr>
                      <w:b/>
                      <w:color w:val="000000"/>
                      <w:szCs w:val="21"/>
                    </w:rPr>
                  </w:pPr>
                  <w:r>
                    <w:rPr>
                      <w:b/>
                      <w:color w:val="000000"/>
                      <w:szCs w:val="21"/>
                    </w:rPr>
                    <w:t>序号</w:t>
                  </w:r>
                </w:p>
              </w:tc>
              <w:tc>
                <w:tcPr>
                  <w:tcW w:w="850" w:type="dxa"/>
                  <w:vMerge w:val="restart"/>
                  <w:vAlign w:val="center"/>
                </w:tcPr>
                <w:p>
                  <w:pPr>
                    <w:autoSpaceDE w:val="0"/>
                    <w:autoSpaceDN w:val="0"/>
                    <w:adjustRightInd w:val="0"/>
                    <w:snapToGrid w:val="0"/>
                    <w:jc w:val="center"/>
                    <w:rPr>
                      <w:b/>
                      <w:color w:val="000000"/>
                      <w:szCs w:val="21"/>
                    </w:rPr>
                  </w:pPr>
                  <w:r>
                    <w:rPr>
                      <w:b/>
                      <w:color w:val="000000"/>
                      <w:szCs w:val="21"/>
                    </w:rPr>
                    <w:t>排放口编号</w:t>
                  </w:r>
                </w:p>
              </w:tc>
              <w:tc>
                <w:tcPr>
                  <w:tcW w:w="1275" w:type="dxa"/>
                  <w:vMerge w:val="restart"/>
                  <w:vAlign w:val="center"/>
                </w:tcPr>
                <w:p>
                  <w:pPr>
                    <w:autoSpaceDE w:val="0"/>
                    <w:autoSpaceDN w:val="0"/>
                    <w:adjustRightInd w:val="0"/>
                    <w:snapToGrid w:val="0"/>
                    <w:jc w:val="center"/>
                    <w:rPr>
                      <w:b/>
                      <w:color w:val="000000"/>
                      <w:szCs w:val="21"/>
                    </w:rPr>
                  </w:pPr>
                  <w:r>
                    <w:rPr>
                      <w:b/>
                      <w:color w:val="000000"/>
                      <w:szCs w:val="21"/>
                    </w:rPr>
                    <w:t>产污环节</w:t>
                  </w:r>
                </w:p>
              </w:tc>
              <w:tc>
                <w:tcPr>
                  <w:tcW w:w="851" w:type="dxa"/>
                  <w:vMerge w:val="restart"/>
                  <w:vAlign w:val="center"/>
                </w:tcPr>
                <w:p>
                  <w:pPr>
                    <w:autoSpaceDE w:val="0"/>
                    <w:autoSpaceDN w:val="0"/>
                    <w:adjustRightInd w:val="0"/>
                    <w:snapToGrid w:val="0"/>
                    <w:jc w:val="center"/>
                    <w:rPr>
                      <w:b/>
                      <w:color w:val="000000"/>
                      <w:szCs w:val="21"/>
                    </w:rPr>
                  </w:pPr>
                  <w:r>
                    <w:rPr>
                      <w:b/>
                      <w:color w:val="000000"/>
                      <w:szCs w:val="21"/>
                    </w:rPr>
                    <w:t>污染物</w:t>
                  </w:r>
                </w:p>
              </w:tc>
              <w:tc>
                <w:tcPr>
                  <w:tcW w:w="851" w:type="dxa"/>
                  <w:vMerge w:val="restart"/>
                  <w:vAlign w:val="center"/>
                </w:tcPr>
                <w:p>
                  <w:pPr>
                    <w:autoSpaceDE w:val="0"/>
                    <w:autoSpaceDN w:val="0"/>
                    <w:adjustRightInd w:val="0"/>
                    <w:snapToGrid w:val="0"/>
                    <w:jc w:val="center"/>
                    <w:rPr>
                      <w:b/>
                      <w:color w:val="000000"/>
                      <w:szCs w:val="21"/>
                    </w:rPr>
                  </w:pPr>
                  <w:r>
                    <w:rPr>
                      <w:b/>
                      <w:color w:val="000000"/>
                      <w:szCs w:val="21"/>
                    </w:rPr>
                    <w:t>主要污染防治措施</w:t>
                  </w:r>
                </w:p>
              </w:tc>
              <w:tc>
                <w:tcPr>
                  <w:tcW w:w="3119" w:type="dxa"/>
                  <w:gridSpan w:val="2"/>
                  <w:vAlign w:val="center"/>
                </w:tcPr>
                <w:p>
                  <w:pPr>
                    <w:autoSpaceDE w:val="0"/>
                    <w:autoSpaceDN w:val="0"/>
                    <w:adjustRightInd w:val="0"/>
                    <w:snapToGrid w:val="0"/>
                    <w:jc w:val="center"/>
                    <w:rPr>
                      <w:b/>
                      <w:color w:val="000000"/>
                      <w:szCs w:val="21"/>
                    </w:rPr>
                  </w:pPr>
                  <w:r>
                    <w:rPr>
                      <w:b/>
                      <w:color w:val="000000"/>
                      <w:szCs w:val="21"/>
                    </w:rPr>
                    <w:t>排放标准</w:t>
                  </w:r>
                </w:p>
              </w:tc>
              <w:tc>
                <w:tcPr>
                  <w:tcW w:w="718" w:type="dxa"/>
                  <w:vMerge w:val="restart"/>
                  <w:vAlign w:val="center"/>
                </w:tcPr>
                <w:p>
                  <w:pPr>
                    <w:autoSpaceDE w:val="0"/>
                    <w:autoSpaceDN w:val="0"/>
                    <w:adjustRightInd w:val="0"/>
                    <w:snapToGrid w:val="0"/>
                    <w:jc w:val="center"/>
                    <w:rPr>
                      <w:b/>
                      <w:color w:val="000000"/>
                      <w:szCs w:val="21"/>
                      <w:highlight w:val="yellow"/>
                    </w:rPr>
                  </w:pPr>
                  <w:r>
                    <w:rPr>
                      <w:b/>
                      <w:color w:val="000000"/>
                      <w:szCs w:val="21"/>
                    </w:rPr>
                    <w:t>年排放量/(t/a)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6" w:type="dxa"/>
                  <w:vMerge w:val="continue"/>
                  <w:vAlign w:val="center"/>
                </w:tcPr>
                <w:p>
                  <w:pPr>
                    <w:jc w:val="center"/>
                    <w:rPr>
                      <w:b/>
                      <w:color w:val="000000"/>
                      <w:szCs w:val="21"/>
                    </w:rPr>
                  </w:pPr>
                </w:p>
              </w:tc>
              <w:tc>
                <w:tcPr>
                  <w:tcW w:w="850" w:type="dxa"/>
                  <w:vMerge w:val="continue"/>
                  <w:vAlign w:val="center"/>
                </w:tcPr>
                <w:p>
                  <w:pPr>
                    <w:jc w:val="center"/>
                    <w:rPr>
                      <w:b/>
                      <w:color w:val="000000"/>
                      <w:szCs w:val="21"/>
                    </w:rPr>
                  </w:pPr>
                </w:p>
              </w:tc>
              <w:tc>
                <w:tcPr>
                  <w:tcW w:w="1275" w:type="dxa"/>
                  <w:vMerge w:val="continue"/>
                  <w:vAlign w:val="center"/>
                </w:tcPr>
                <w:p>
                  <w:pPr>
                    <w:jc w:val="center"/>
                    <w:rPr>
                      <w:b/>
                      <w:color w:val="000000"/>
                      <w:szCs w:val="21"/>
                    </w:rPr>
                  </w:pPr>
                </w:p>
              </w:tc>
              <w:tc>
                <w:tcPr>
                  <w:tcW w:w="851" w:type="dxa"/>
                  <w:vMerge w:val="continue"/>
                  <w:vAlign w:val="center"/>
                </w:tcPr>
                <w:p>
                  <w:pPr>
                    <w:jc w:val="center"/>
                    <w:rPr>
                      <w:b/>
                      <w:color w:val="000000"/>
                      <w:szCs w:val="21"/>
                    </w:rPr>
                  </w:pPr>
                </w:p>
              </w:tc>
              <w:tc>
                <w:tcPr>
                  <w:tcW w:w="851" w:type="dxa"/>
                  <w:vMerge w:val="continue"/>
                  <w:vAlign w:val="center"/>
                </w:tcPr>
                <w:p>
                  <w:pPr>
                    <w:jc w:val="center"/>
                    <w:rPr>
                      <w:b/>
                      <w:color w:val="000000"/>
                      <w:szCs w:val="21"/>
                    </w:rPr>
                  </w:pPr>
                </w:p>
              </w:tc>
              <w:tc>
                <w:tcPr>
                  <w:tcW w:w="1984" w:type="dxa"/>
                  <w:vAlign w:val="center"/>
                </w:tcPr>
                <w:p>
                  <w:pPr>
                    <w:autoSpaceDE w:val="0"/>
                    <w:autoSpaceDN w:val="0"/>
                    <w:adjustRightInd w:val="0"/>
                    <w:snapToGrid w:val="0"/>
                    <w:jc w:val="center"/>
                    <w:rPr>
                      <w:b/>
                      <w:color w:val="000000"/>
                      <w:szCs w:val="21"/>
                    </w:rPr>
                  </w:pPr>
                  <w:r>
                    <w:rPr>
                      <w:b/>
                      <w:color w:val="000000"/>
                      <w:szCs w:val="21"/>
                    </w:rPr>
                    <w:t>标准名称</w:t>
                  </w:r>
                </w:p>
              </w:tc>
              <w:tc>
                <w:tcPr>
                  <w:tcW w:w="1135" w:type="dxa"/>
                  <w:vAlign w:val="center"/>
                </w:tcPr>
                <w:p>
                  <w:pPr>
                    <w:autoSpaceDE w:val="0"/>
                    <w:autoSpaceDN w:val="0"/>
                    <w:adjustRightInd w:val="0"/>
                    <w:snapToGrid w:val="0"/>
                    <w:jc w:val="center"/>
                    <w:rPr>
                      <w:b/>
                      <w:color w:val="000000"/>
                      <w:szCs w:val="21"/>
                    </w:rPr>
                  </w:pPr>
                  <w:r>
                    <w:rPr>
                      <w:b/>
                      <w:color w:val="000000"/>
                      <w:szCs w:val="21"/>
                    </w:rPr>
                    <w:t>浓度限值/（mg/m</w:t>
                  </w:r>
                  <w:r>
                    <w:rPr>
                      <w:b/>
                      <w:color w:val="000000"/>
                      <w:szCs w:val="21"/>
                      <w:vertAlign w:val="superscript"/>
                    </w:rPr>
                    <w:t>3</w:t>
                  </w:r>
                  <w:r>
                    <w:rPr>
                      <w:b/>
                      <w:color w:val="000000"/>
                      <w:szCs w:val="21"/>
                    </w:rPr>
                    <w:t>）</w:t>
                  </w:r>
                </w:p>
              </w:tc>
              <w:tc>
                <w:tcPr>
                  <w:tcW w:w="718" w:type="dxa"/>
                  <w:vMerge w:val="continue"/>
                  <w:vAlign w:val="center"/>
                </w:tcPr>
                <w:p>
                  <w:pPr>
                    <w:jc w:val="center"/>
                    <w:rPr>
                      <w:color w:val="000000"/>
                      <w:szCs w:val="21"/>
                      <w:highlight w:val="yellow"/>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6" w:type="dxa"/>
                  <w:vAlign w:val="center"/>
                </w:tcPr>
                <w:p>
                  <w:pPr>
                    <w:autoSpaceDE w:val="0"/>
                    <w:autoSpaceDN w:val="0"/>
                    <w:adjustRightInd w:val="0"/>
                    <w:snapToGrid w:val="0"/>
                    <w:jc w:val="center"/>
                    <w:rPr>
                      <w:color w:val="000000"/>
                      <w:szCs w:val="21"/>
                      <w:lang w:val="fr-FR"/>
                    </w:rPr>
                  </w:pPr>
                  <w:r>
                    <w:rPr>
                      <w:color w:val="000000"/>
                      <w:szCs w:val="21"/>
                      <w:lang w:val="fr-FR"/>
                    </w:rPr>
                    <w:t>1</w:t>
                  </w:r>
                </w:p>
              </w:tc>
              <w:tc>
                <w:tcPr>
                  <w:tcW w:w="850" w:type="dxa"/>
                  <w:vAlign w:val="center"/>
                </w:tcPr>
                <w:p>
                  <w:pPr>
                    <w:pStyle w:val="51"/>
                    <w:jc w:val="both"/>
                    <w:rPr>
                      <w:color w:val="000000"/>
                    </w:rPr>
                  </w:pPr>
                  <w:r>
                    <w:rPr>
                      <w:rFonts w:hint="eastAsia"/>
                      <w:color w:val="000000"/>
                    </w:rPr>
                    <w:t>实验室</w:t>
                  </w:r>
                </w:p>
              </w:tc>
              <w:tc>
                <w:tcPr>
                  <w:tcW w:w="1275" w:type="dxa"/>
                  <w:vAlign w:val="center"/>
                </w:tcPr>
                <w:p>
                  <w:pPr>
                    <w:autoSpaceDE w:val="0"/>
                    <w:autoSpaceDN w:val="0"/>
                    <w:adjustRightInd w:val="0"/>
                    <w:snapToGrid w:val="0"/>
                    <w:rPr>
                      <w:color w:val="000000"/>
                      <w:szCs w:val="21"/>
                      <w:highlight w:val="yellow"/>
                    </w:rPr>
                  </w:pPr>
                  <w:r>
                    <w:rPr>
                      <w:rFonts w:hint="eastAsia"/>
                      <w:color w:val="000000"/>
                      <w:szCs w:val="21"/>
                    </w:rPr>
                    <w:t>有机前处理、液相、气相分析、理化分析及实验试剂配制</w:t>
                  </w:r>
                </w:p>
              </w:tc>
              <w:tc>
                <w:tcPr>
                  <w:tcW w:w="851" w:type="dxa"/>
                  <w:vAlign w:val="center"/>
                </w:tcPr>
                <w:p>
                  <w:pPr>
                    <w:autoSpaceDE w:val="0"/>
                    <w:autoSpaceDN w:val="0"/>
                    <w:adjustRightInd w:val="0"/>
                    <w:snapToGrid w:val="0"/>
                    <w:jc w:val="center"/>
                    <w:rPr>
                      <w:color w:val="000000"/>
                      <w:szCs w:val="21"/>
                      <w:lang w:val="fr-FR"/>
                    </w:rPr>
                  </w:pPr>
                  <w:r>
                    <w:rPr>
                      <w:color w:val="000000"/>
                      <w:szCs w:val="21"/>
                      <w:lang w:val="fr-FR"/>
                    </w:rPr>
                    <w:t>非甲烷总烃</w:t>
                  </w:r>
                </w:p>
              </w:tc>
              <w:tc>
                <w:tcPr>
                  <w:tcW w:w="851" w:type="dxa"/>
                  <w:vAlign w:val="center"/>
                </w:tcPr>
                <w:p>
                  <w:pPr>
                    <w:jc w:val="center"/>
                    <w:rPr>
                      <w:color w:val="000000"/>
                      <w:szCs w:val="21"/>
                      <w:highlight w:val="yellow"/>
                    </w:rPr>
                  </w:pPr>
                  <w:r>
                    <w:rPr>
                      <w:color w:val="000000"/>
                      <w:szCs w:val="21"/>
                      <w:lang w:val="fr-FR"/>
                    </w:rPr>
                    <w:t>车间密闭</w:t>
                  </w:r>
                </w:p>
              </w:tc>
              <w:tc>
                <w:tcPr>
                  <w:tcW w:w="1984" w:type="dxa"/>
                  <w:vAlign w:val="center"/>
                </w:tcPr>
                <w:p>
                  <w:pPr>
                    <w:autoSpaceDE w:val="0"/>
                    <w:autoSpaceDN w:val="0"/>
                    <w:adjustRightInd w:val="0"/>
                    <w:snapToGrid w:val="0"/>
                    <w:rPr>
                      <w:color w:val="000000"/>
                      <w:szCs w:val="21"/>
                      <w:lang w:val="fr-FR"/>
                    </w:rPr>
                  </w:pPr>
                  <w:r>
                    <w:rPr>
                      <w:szCs w:val="21"/>
                      <w:lang w:val="fr-FR"/>
                    </w:rPr>
                    <w:t>《关于全省开展工业企业挥发性有机物专项治理工作中排放建议的通知》（豫环攻坚办[2017]162号）</w:t>
                  </w:r>
                </w:p>
              </w:tc>
              <w:tc>
                <w:tcPr>
                  <w:tcW w:w="1135" w:type="dxa"/>
                  <w:vAlign w:val="center"/>
                </w:tcPr>
                <w:p>
                  <w:pPr>
                    <w:autoSpaceDE w:val="0"/>
                    <w:autoSpaceDN w:val="0"/>
                    <w:adjustRightInd w:val="0"/>
                    <w:snapToGrid w:val="0"/>
                    <w:jc w:val="center"/>
                    <w:rPr>
                      <w:color w:val="000000"/>
                      <w:szCs w:val="21"/>
                      <w:lang w:val="fr-FR"/>
                    </w:rPr>
                  </w:pPr>
                  <w:r>
                    <w:rPr>
                      <w:color w:val="000000"/>
                      <w:szCs w:val="21"/>
                      <w:lang w:val="fr-FR"/>
                    </w:rPr>
                    <w:t>2.0</w:t>
                  </w:r>
                </w:p>
              </w:tc>
              <w:tc>
                <w:tcPr>
                  <w:tcW w:w="718" w:type="dxa"/>
                  <w:vAlign w:val="center"/>
                </w:tcPr>
                <w:p>
                  <w:pPr>
                    <w:jc w:val="center"/>
                    <w:rPr>
                      <w:color w:val="000000"/>
                      <w:szCs w:val="21"/>
                      <w:lang w:val="fr-FR"/>
                    </w:rPr>
                  </w:pPr>
                  <w:r>
                    <w:rPr>
                      <w:szCs w:val="21"/>
                      <w:lang w:val="fr-FR"/>
                    </w:rPr>
                    <w:t>0.0011</w:t>
                  </w:r>
                </w:p>
              </w:tc>
            </w:tr>
          </w:tbl>
          <w:p>
            <w:pPr>
              <w:spacing w:line="460" w:lineRule="exact"/>
              <w:ind w:firstLine="480" w:firstLineChars="200"/>
              <w:rPr>
                <w:sz w:val="24"/>
                <w:lang w:val="fr-FR"/>
              </w:rPr>
            </w:pPr>
            <w:r>
              <w:rPr>
                <w:sz w:val="24"/>
                <w:lang w:val="fr-FR"/>
              </w:rPr>
              <w:t>5.3</w:t>
            </w:r>
            <w:r>
              <w:rPr>
                <w:sz w:val="24"/>
              </w:rPr>
              <w:t>大气污染物年排放量核算</w:t>
            </w:r>
          </w:p>
          <w:p>
            <w:pPr>
              <w:spacing w:line="460" w:lineRule="exact"/>
              <w:ind w:firstLine="480" w:firstLineChars="200"/>
              <w:jc w:val="left"/>
              <w:rPr>
                <w:b/>
                <w:bCs/>
                <w:kern w:val="0"/>
                <w:sz w:val="24"/>
                <w:lang w:val="fr-FR"/>
              </w:rPr>
            </w:pPr>
            <w:r>
              <w:rPr>
                <w:rFonts w:eastAsia="黑体"/>
                <w:sz w:val="24"/>
                <w:lang w:val="pt-BR"/>
              </w:rPr>
              <w:t>表39              大气污染物年排放量核算表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633"/>
              <w:gridCol w:w="3338"/>
              <w:gridCol w:w="309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1" w:type="pct"/>
                  <w:vAlign w:val="center"/>
                </w:tcPr>
                <w:p>
                  <w:pPr>
                    <w:autoSpaceDE w:val="0"/>
                    <w:autoSpaceDN w:val="0"/>
                    <w:adjustRightInd w:val="0"/>
                    <w:snapToGrid w:val="0"/>
                    <w:jc w:val="center"/>
                    <w:rPr>
                      <w:b/>
                      <w:szCs w:val="21"/>
                      <w:lang w:val="fr-FR"/>
                    </w:rPr>
                  </w:pPr>
                  <w:r>
                    <w:rPr>
                      <w:b/>
                      <w:szCs w:val="21"/>
                    </w:rPr>
                    <w:t>序号</w:t>
                  </w:r>
                </w:p>
              </w:tc>
              <w:tc>
                <w:tcPr>
                  <w:tcW w:w="2068" w:type="pct"/>
                  <w:vAlign w:val="center"/>
                </w:tcPr>
                <w:p>
                  <w:pPr>
                    <w:autoSpaceDE w:val="0"/>
                    <w:autoSpaceDN w:val="0"/>
                    <w:adjustRightInd w:val="0"/>
                    <w:snapToGrid w:val="0"/>
                    <w:jc w:val="center"/>
                    <w:rPr>
                      <w:b/>
                      <w:szCs w:val="21"/>
                      <w:lang w:val="fr-FR"/>
                    </w:rPr>
                  </w:pPr>
                  <w:r>
                    <w:rPr>
                      <w:b/>
                      <w:szCs w:val="21"/>
                    </w:rPr>
                    <w:t>污染物</w:t>
                  </w:r>
                </w:p>
              </w:tc>
              <w:tc>
                <w:tcPr>
                  <w:tcW w:w="1920" w:type="pct"/>
                  <w:vAlign w:val="center"/>
                </w:tcPr>
                <w:p>
                  <w:pPr>
                    <w:autoSpaceDE w:val="0"/>
                    <w:autoSpaceDN w:val="0"/>
                    <w:adjustRightInd w:val="0"/>
                    <w:snapToGrid w:val="0"/>
                    <w:jc w:val="center"/>
                    <w:rPr>
                      <w:b/>
                      <w:szCs w:val="21"/>
                      <w:lang w:val="fr-FR"/>
                    </w:rPr>
                  </w:pPr>
                  <w:r>
                    <w:rPr>
                      <w:b/>
                      <w:szCs w:val="21"/>
                    </w:rPr>
                    <w:t>年排放量</w:t>
                  </w:r>
                  <w:r>
                    <w:rPr>
                      <w:b/>
                      <w:szCs w:val="21"/>
                      <w:lang w:val="fr-FR"/>
                    </w:rPr>
                    <w:t>/（t/a）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1" w:type="pct"/>
                  <w:vAlign w:val="center"/>
                </w:tcPr>
                <w:p>
                  <w:pPr>
                    <w:autoSpaceDE w:val="0"/>
                    <w:autoSpaceDN w:val="0"/>
                    <w:adjustRightInd w:val="0"/>
                    <w:snapToGrid w:val="0"/>
                    <w:jc w:val="center"/>
                    <w:rPr>
                      <w:szCs w:val="21"/>
                      <w:lang w:val="fr-FR"/>
                    </w:rPr>
                  </w:pPr>
                  <w:r>
                    <w:rPr>
                      <w:szCs w:val="21"/>
                      <w:lang w:val="fr-FR"/>
                    </w:rPr>
                    <w:t>1</w:t>
                  </w:r>
                </w:p>
              </w:tc>
              <w:tc>
                <w:tcPr>
                  <w:tcW w:w="2068" w:type="pct"/>
                  <w:vAlign w:val="center"/>
                </w:tcPr>
                <w:p>
                  <w:pPr>
                    <w:jc w:val="center"/>
                    <w:rPr>
                      <w:szCs w:val="21"/>
                      <w:lang w:val="fr-FR"/>
                    </w:rPr>
                  </w:pPr>
                  <w:r>
                    <w:rPr>
                      <w:kern w:val="21"/>
                    </w:rPr>
                    <w:t>非甲烷总烃</w:t>
                  </w:r>
                </w:p>
              </w:tc>
              <w:tc>
                <w:tcPr>
                  <w:tcW w:w="1920" w:type="pct"/>
                  <w:vAlign w:val="center"/>
                </w:tcPr>
                <w:p>
                  <w:pPr>
                    <w:jc w:val="center"/>
                    <w:rPr>
                      <w:szCs w:val="21"/>
                    </w:rPr>
                  </w:pPr>
                  <w:r>
                    <w:rPr>
                      <w:rFonts w:hint="eastAsia"/>
                      <w:szCs w:val="21"/>
                    </w:rPr>
                    <w:t>0</w:t>
                  </w:r>
                  <w:r>
                    <w:rPr>
                      <w:szCs w:val="21"/>
                    </w:rPr>
                    <w:t>.0074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11" w:type="pct"/>
                  <w:vAlign w:val="center"/>
                </w:tcPr>
                <w:p>
                  <w:pPr>
                    <w:autoSpaceDE w:val="0"/>
                    <w:autoSpaceDN w:val="0"/>
                    <w:adjustRightInd w:val="0"/>
                    <w:snapToGrid w:val="0"/>
                    <w:jc w:val="center"/>
                    <w:rPr>
                      <w:szCs w:val="21"/>
                      <w:lang w:val="fr-FR"/>
                    </w:rPr>
                  </w:pPr>
                  <w:r>
                    <w:rPr>
                      <w:szCs w:val="21"/>
                      <w:lang w:val="fr-FR"/>
                    </w:rPr>
                    <w:t>2</w:t>
                  </w:r>
                </w:p>
              </w:tc>
              <w:tc>
                <w:tcPr>
                  <w:tcW w:w="2068" w:type="pct"/>
                  <w:vAlign w:val="center"/>
                </w:tcPr>
                <w:p>
                  <w:pPr>
                    <w:jc w:val="center"/>
                    <w:rPr>
                      <w:kern w:val="21"/>
                    </w:rPr>
                  </w:pPr>
                  <w:r>
                    <w:rPr>
                      <w:rFonts w:hint="eastAsia"/>
                      <w:bCs/>
                      <w:color w:val="000000"/>
                      <w:szCs w:val="21"/>
                    </w:rPr>
                    <w:t>甲醇</w:t>
                  </w:r>
                </w:p>
              </w:tc>
              <w:tc>
                <w:tcPr>
                  <w:tcW w:w="1920" w:type="pct"/>
                  <w:vAlign w:val="center"/>
                </w:tcPr>
                <w:p>
                  <w:pPr>
                    <w:jc w:val="center"/>
                    <w:rPr>
                      <w:szCs w:val="21"/>
                    </w:rPr>
                  </w:pPr>
                  <w:r>
                    <w:rPr>
                      <w:szCs w:val="21"/>
                    </w:rPr>
                    <w:t>0.0039</w:t>
                  </w:r>
                </w:p>
              </w:tc>
            </w:tr>
          </w:tbl>
          <w:p>
            <w:pPr>
              <w:spacing w:line="460" w:lineRule="exact"/>
              <w:ind w:firstLine="422" w:firstLineChars="200"/>
              <w:rPr>
                <w:b/>
                <w:lang w:val="fr-FR"/>
              </w:rPr>
            </w:pPr>
            <w:r>
              <w:rPr>
                <w:b/>
                <w:lang w:val="fr-FR"/>
              </w:rPr>
              <w:t>6</w:t>
            </w:r>
            <w:r>
              <w:rPr>
                <w:b/>
              </w:rPr>
              <w:t>、污染物排放口基本情况</w:t>
            </w:r>
          </w:p>
          <w:p>
            <w:pPr>
              <w:adjustRightInd w:val="0"/>
              <w:snapToGrid w:val="0"/>
              <w:spacing w:line="460" w:lineRule="exact"/>
              <w:ind w:firstLine="480" w:firstLineChars="200"/>
              <w:rPr>
                <w:rFonts w:eastAsia="黑体"/>
                <w:color w:val="000000"/>
                <w:sz w:val="24"/>
              </w:rPr>
            </w:pPr>
            <w:r>
              <w:rPr>
                <w:rFonts w:eastAsia="黑体"/>
                <w:color w:val="000000"/>
                <w:sz w:val="24"/>
              </w:rPr>
              <w:t>表40              本项目废气排放口基本情况</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88"/>
              <w:gridCol w:w="709"/>
              <w:gridCol w:w="1277"/>
              <w:gridCol w:w="1625"/>
              <w:gridCol w:w="784"/>
              <w:gridCol w:w="709"/>
              <w:gridCol w:w="854"/>
              <w:gridCol w:w="715"/>
              <w:gridCol w:w="70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7" w:type="pct"/>
                  <w:vAlign w:val="center"/>
                </w:tcPr>
                <w:p>
                  <w:pPr>
                    <w:pStyle w:val="60"/>
                    <w:rPr>
                      <w:b/>
                      <w:bCs/>
                      <w:color w:val="auto"/>
                      <w:kern w:val="2"/>
                    </w:rPr>
                  </w:pPr>
                  <w:r>
                    <w:rPr>
                      <w:b/>
                      <w:bCs/>
                      <w:color w:val="auto"/>
                      <w:kern w:val="2"/>
                    </w:rPr>
                    <w:t>排放口编号</w:t>
                  </w:r>
                </w:p>
              </w:tc>
              <w:tc>
                <w:tcPr>
                  <w:tcW w:w="439" w:type="pct"/>
                  <w:vAlign w:val="center"/>
                </w:tcPr>
                <w:p>
                  <w:pPr>
                    <w:pStyle w:val="60"/>
                    <w:rPr>
                      <w:b/>
                      <w:bCs/>
                      <w:color w:val="auto"/>
                      <w:kern w:val="2"/>
                    </w:rPr>
                  </w:pPr>
                  <w:r>
                    <w:rPr>
                      <w:b/>
                      <w:bCs/>
                      <w:color w:val="auto"/>
                      <w:kern w:val="2"/>
                    </w:rPr>
                    <w:t>排放口名称</w:t>
                  </w:r>
                </w:p>
              </w:tc>
              <w:tc>
                <w:tcPr>
                  <w:tcW w:w="791" w:type="pct"/>
                  <w:vAlign w:val="center"/>
                </w:tcPr>
                <w:p>
                  <w:pPr>
                    <w:pStyle w:val="60"/>
                    <w:rPr>
                      <w:b/>
                      <w:bCs/>
                      <w:color w:val="auto"/>
                      <w:kern w:val="2"/>
                    </w:rPr>
                  </w:pPr>
                  <w:r>
                    <w:rPr>
                      <w:b/>
                      <w:bCs/>
                      <w:color w:val="auto"/>
                      <w:kern w:val="2"/>
                    </w:rPr>
                    <w:t>污染物种类</w:t>
                  </w:r>
                </w:p>
              </w:tc>
              <w:tc>
                <w:tcPr>
                  <w:tcW w:w="1007" w:type="pct"/>
                  <w:vAlign w:val="center"/>
                </w:tcPr>
                <w:p>
                  <w:pPr>
                    <w:pStyle w:val="60"/>
                    <w:jc w:val="both"/>
                    <w:rPr>
                      <w:b/>
                      <w:bCs/>
                      <w:color w:val="auto"/>
                      <w:kern w:val="2"/>
                    </w:rPr>
                  </w:pPr>
                  <w:r>
                    <w:rPr>
                      <w:rFonts w:hint="eastAsia"/>
                      <w:b/>
                      <w:bCs/>
                      <w:color w:val="auto"/>
                      <w:kern w:val="2"/>
                    </w:rPr>
                    <w:t>排</w:t>
                  </w:r>
                  <w:r>
                    <w:rPr>
                      <w:b/>
                      <w:bCs/>
                      <w:color w:val="auto"/>
                      <w:kern w:val="2"/>
                    </w:rPr>
                    <w:t>放口地理坐标</w:t>
                  </w:r>
                </w:p>
              </w:tc>
              <w:tc>
                <w:tcPr>
                  <w:tcW w:w="486" w:type="pct"/>
                  <w:vAlign w:val="center"/>
                </w:tcPr>
                <w:p>
                  <w:pPr>
                    <w:pStyle w:val="60"/>
                    <w:rPr>
                      <w:b/>
                      <w:bCs/>
                      <w:color w:val="auto"/>
                      <w:kern w:val="2"/>
                    </w:rPr>
                  </w:pPr>
                  <w:r>
                    <w:rPr>
                      <w:b/>
                      <w:bCs/>
                      <w:color w:val="auto"/>
                      <w:kern w:val="2"/>
                    </w:rPr>
                    <w:t>排气筒高度（m）</w:t>
                  </w:r>
                </w:p>
              </w:tc>
              <w:tc>
                <w:tcPr>
                  <w:tcW w:w="439" w:type="pct"/>
                  <w:vAlign w:val="center"/>
                </w:tcPr>
                <w:p>
                  <w:pPr>
                    <w:pStyle w:val="60"/>
                    <w:rPr>
                      <w:b/>
                      <w:bCs/>
                      <w:color w:val="auto"/>
                      <w:kern w:val="2"/>
                    </w:rPr>
                  </w:pPr>
                  <w:r>
                    <w:rPr>
                      <w:b/>
                      <w:bCs/>
                      <w:color w:val="auto"/>
                      <w:kern w:val="2"/>
                    </w:rPr>
                    <w:t>排气筒内径（m）</w:t>
                  </w:r>
                </w:p>
              </w:tc>
              <w:tc>
                <w:tcPr>
                  <w:tcW w:w="529" w:type="pct"/>
                  <w:vAlign w:val="center"/>
                </w:tcPr>
                <w:p>
                  <w:pPr>
                    <w:pStyle w:val="60"/>
                    <w:rPr>
                      <w:b/>
                      <w:bCs/>
                      <w:color w:val="auto"/>
                      <w:kern w:val="2"/>
                    </w:rPr>
                  </w:pPr>
                  <w:r>
                    <w:rPr>
                      <w:b/>
                      <w:bCs/>
                      <w:color w:val="auto"/>
                      <w:kern w:val="2"/>
                    </w:rPr>
                    <w:t>烟气流速（m/s）</w:t>
                  </w:r>
                </w:p>
              </w:tc>
              <w:tc>
                <w:tcPr>
                  <w:tcW w:w="443" w:type="pct"/>
                  <w:vAlign w:val="center"/>
                </w:tcPr>
                <w:p>
                  <w:pPr>
                    <w:pStyle w:val="60"/>
                    <w:rPr>
                      <w:b/>
                      <w:bCs/>
                      <w:color w:val="auto"/>
                      <w:kern w:val="2"/>
                    </w:rPr>
                  </w:pPr>
                  <w:r>
                    <w:rPr>
                      <w:b/>
                      <w:bCs/>
                      <w:color w:val="auto"/>
                      <w:kern w:val="2"/>
                    </w:rPr>
                    <w:t>烟气出口温度（℃）</w:t>
                  </w:r>
                </w:p>
              </w:tc>
              <w:tc>
                <w:tcPr>
                  <w:tcW w:w="439" w:type="pct"/>
                  <w:vAlign w:val="center"/>
                </w:tcPr>
                <w:p>
                  <w:pPr>
                    <w:pStyle w:val="60"/>
                    <w:rPr>
                      <w:b/>
                      <w:bCs/>
                      <w:color w:val="auto"/>
                      <w:kern w:val="2"/>
                    </w:rPr>
                  </w:pPr>
                  <w:r>
                    <w:rPr>
                      <w:b/>
                      <w:bCs/>
                      <w:color w:val="auto"/>
                      <w:kern w:val="2"/>
                    </w:rPr>
                    <w:t>排放口类型</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27" w:type="pct"/>
                  <w:vAlign w:val="center"/>
                </w:tcPr>
                <w:p>
                  <w:pPr>
                    <w:pStyle w:val="60"/>
                    <w:rPr>
                      <w:color w:val="auto"/>
                      <w:kern w:val="2"/>
                    </w:rPr>
                  </w:pPr>
                  <w:r>
                    <w:rPr>
                      <w:color w:val="auto"/>
                      <w:kern w:val="2"/>
                    </w:rPr>
                    <w:t>DA001</w:t>
                  </w:r>
                </w:p>
              </w:tc>
              <w:tc>
                <w:tcPr>
                  <w:tcW w:w="439" w:type="pct"/>
                  <w:vAlign w:val="center"/>
                </w:tcPr>
                <w:p>
                  <w:pPr>
                    <w:pStyle w:val="60"/>
                    <w:rPr>
                      <w:color w:val="auto"/>
                      <w:kern w:val="2"/>
                    </w:rPr>
                  </w:pPr>
                  <w:r>
                    <w:rPr>
                      <w:color w:val="auto"/>
                      <w:kern w:val="2"/>
                    </w:rPr>
                    <w:t>排气筒P1</w:t>
                  </w:r>
                </w:p>
              </w:tc>
              <w:tc>
                <w:tcPr>
                  <w:tcW w:w="791" w:type="pct"/>
                  <w:vAlign w:val="center"/>
                </w:tcPr>
                <w:p>
                  <w:pPr>
                    <w:pStyle w:val="60"/>
                    <w:rPr>
                      <w:color w:val="auto"/>
                      <w:kern w:val="2"/>
                    </w:rPr>
                  </w:pPr>
                  <w:r>
                    <w:rPr>
                      <w:kern w:val="21"/>
                    </w:rPr>
                    <w:t>非甲烷总烃、</w:t>
                  </w:r>
                  <w:r>
                    <w:rPr>
                      <w:rFonts w:hint="eastAsia"/>
                      <w:kern w:val="21"/>
                    </w:rPr>
                    <w:t>甲醇</w:t>
                  </w:r>
                </w:p>
              </w:tc>
              <w:tc>
                <w:tcPr>
                  <w:tcW w:w="1007" w:type="pct"/>
                  <w:vAlign w:val="center"/>
                </w:tcPr>
                <w:p>
                  <w:pPr>
                    <w:pStyle w:val="60"/>
                    <w:rPr>
                      <w:color w:val="auto"/>
                      <w:kern w:val="2"/>
                    </w:rPr>
                  </w:pPr>
                  <w:r>
                    <w:rPr>
                      <w:color w:val="auto"/>
                      <w:kern w:val="2"/>
                    </w:rPr>
                    <w:t>经度：113°47'39.361"</w:t>
                  </w:r>
                </w:p>
                <w:p>
                  <w:pPr>
                    <w:pStyle w:val="60"/>
                    <w:rPr>
                      <w:color w:val="auto"/>
                      <w:kern w:val="2"/>
                    </w:rPr>
                  </w:pPr>
                  <w:r>
                    <w:rPr>
                      <w:color w:val="auto"/>
                      <w:kern w:val="2"/>
                    </w:rPr>
                    <w:t>纬度：35°05'33.624"</w:t>
                  </w:r>
                </w:p>
              </w:tc>
              <w:tc>
                <w:tcPr>
                  <w:tcW w:w="486" w:type="pct"/>
                  <w:vAlign w:val="center"/>
                </w:tcPr>
                <w:p>
                  <w:pPr>
                    <w:pStyle w:val="60"/>
                    <w:rPr>
                      <w:color w:val="auto"/>
                      <w:kern w:val="2"/>
                    </w:rPr>
                  </w:pPr>
                  <w:r>
                    <w:rPr>
                      <w:color w:val="auto"/>
                      <w:kern w:val="2"/>
                    </w:rPr>
                    <w:t>15</w:t>
                  </w:r>
                </w:p>
              </w:tc>
              <w:tc>
                <w:tcPr>
                  <w:tcW w:w="439" w:type="pct"/>
                  <w:vAlign w:val="center"/>
                </w:tcPr>
                <w:p>
                  <w:pPr>
                    <w:pStyle w:val="60"/>
                    <w:rPr>
                      <w:color w:val="auto"/>
                      <w:kern w:val="2"/>
                    </w:rPr>
                  </w:pPr>
                  <w:r>
                    <w:rPr>
                      <w:color w:val="auto"/>
                      <w:kern w:val="2"/>
                    </w:rPr>
                    <w:t>0.35</w:t>
                  </w:r>
                </w:p>
              </w:tc>
              <w:tc>
                <w:tcPr>
                  <w:tcW w:w="529" w:type="pct"/>
                  <w:vAlign w:val="center"/>
                </w:tcPr>
                <w:p>
                  <w:pPr>
                    <w:pStyle w:val="60"/>
                    <w:rPr>
                      <w:color w:val="auto"/>
                      <w:kern w:val="2"/>
                    </w:rPr>
                  </w:pPr>
                  <w:r>
                    <w:rPr>
                      <w:color w:val="auto"/>
                      <w:kern w:val="2"/>
                    </w:rPr>
                    <w:t>15.3</w:t>
                  </w:r>
                </w:p>
              </w:tc>
              <w:tc>
                <w:tcPr>
                  <w:tcW w:w="443" w:type="pct"/>
                  <w:vAlign w:val="center"/>
                </w:tcPr>
                <w:p>
                  <w:pPr>
                    <w:pStyle w:val="60"/>
                    <w:rPr>
                      <w:color w:val="auto"/>
                      <w:kern w:val="2"/>
                    </w:rPr>
                  </w:pPr>
                  <w:r>
                    <w:rPr>
                      <w:color w:val="auto"/>
                      <w:kern w:val="2"/>
                    </w:rPr>
                    <w:t>25</w:t>
                  </w:r>
                </w:p>
              </w:tc>
              <w:tc>
                <w:tcPr>
                  <w:tcW w:w="439" w:type="pct"/>
                  <w:vAlign w:val="center"/>
                </w:tcPr>
                <w:p>
                  <w:pPr>
                    <w:pStyle w:val="60"/>
                    <w:rPr>
                      <w:color w:val="auto"/>
                      <w:kern w:val="2"/>
                    </w:rPr>
                  </w:pPr>
                  <w:r>
                    <w:rPr>
                      <w:color w:val="auto"/>
                      <w:kern w:val="2"/>
                    </w:rPr>
                    <w:t>一般排放口</w:t>
                  </w:r>
                </w:p>
              </w:tc>
            </w:tr>
          </w:tbl>
          <w:p>
            <w:pPr>
              <w:spacing w:line="460" w:lineRule="exact"/>
              <w:ind w:firstLine="482" w:firstLineChars="200"/>
              <w:rPr>
                <w:b/>
                <w:sz w:val="24"/>
              </w:rPr>
            </w:pPr>
            <w:r>
              <w:rPr>
                <w:b/>
                <w:sz w:val="24"/>
              </w:rPr>
              <w:t>7、监测要求</w:t>
            </w:r>
          </w:p>
          <w:p>
            <w:pPr>
              <w:spacing w:line="460" w:lineRule="exact"/>
              <w:ind w:firstLine="480" w:firstLineChars="200"/>
              <w:rPr>
                <w:color w:val="000000"/>
                <w:sz w:val="24"/>
              </w:rPr>
            </w:pPr>
            <w:r>
              <w:rPr>
                <w:color w:val="000000"/>
                <w:sz w:val="24"/>
              </w:rPr>
              <w:t>根据《排污单位自行监测技术指南总则》（HJ819-2017）和《环境影响评价技术导则大气环境》(HJ2.2-2018)9.1.2的规定，评价提出项目在生产运行阶段的污染源监测计划，具体监测计划见下表。</w:t>
            </w:r>
          </w:p>
          <w:p>
            <w:pPr>
              <w:adjustRightInd w:val="0"/>
              <w:snapToGrid w:val="0"/>
              <w:spacing w:line="460" w:lineRule="exact"/>
              <w:ind w:firstLine="480" w:firstLineChars="200"/>
              <w:rPr>
                <w:rFonts w:eastAsia="黑体"/>
                <w:color w:val="000000"/>
                <w:sz w:val="24"/>
              </w:rPr>
            </w:pPr>
            <w:r>
              <w:rPr>
                <w:rFonts w:eastAsia="黑体"/>
                <w:color w:val="000000"/>
                <w:sz w:val="24"/>
              </w:rPr>
              <w:t>表41               污染源自行监测计划表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1115"/>
              <w:gridCol w:w="1276"/>
              <w:gridCol w:w="992"/>
              <w:gridCol w:w="1275"/>
              <w:gridCol w:w="341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2391" w:type="dxa"/>
                  <w:gridSpan w:val="2"/>
                  <w:tcMar>
                    <w:top w:w="0" w:type="dxa"/>
                    <w:left w:w="28" w:type="dxa"/>
                    <w:bottom w:w="0" w:type="dxa"/>
                    <w:right w:w="28" w:type="dxa"/>
                  </w:tcMar>
                  <w:vAlign w:val="center"/>
                </w:tcPr>
                <w:p>
                  <w:pPr>
                    <w:autoSpaceDE w:val="0"/>
                    <w:autoSpaceDN w:val="0"/>
                    <w:adjustRightInd w:val="0"/>
                    <w:snapToGrid w:val="0"/>
                    <w:jc w:val="center"/>
                    <w:rPr>
                      <w:b/>
                      <w:bCs/>
                      <w:color w:val="000000"/>
                      <w:szCs w:val="21"/>
                    </w:rPr>
                  </w:pPr>
                  <w:r>
                    <w:rPr>
                      <w:b/>
                      <w:bCs/>
                      <w:color w:val="000000"/>
                      <w:szCs w:val="21"/>
                    </w:rPr>
                    <w:t>监测指标</w:t>
                  </w:r>
                </w:p>
              </w:tc>
              <w:tc>
                <w:tcPr>
                  <w:tcW w:w="992" w:type="dxa"/>
                  <w:tcMar>
                    <w:top w:w="0" w:type="dxa"/>
                    <w:left w:w="28" w:type="dxa"/>
                    <w:bottom w:w="0" w:type="dxa"/>
                    <w:right w:w="28" w:type="dxa"/>
                  </w:tcMar>
                  <w:vAlign w:val="center"/>
                </w:tcPr>
                <w:p>
                  <w:pPr>
                    <w:autoSpaceDE w:val="0"/>
                    <w:autoSpaceDN w:val="0"/>
                    <w:adjustRightInd w:val="0"/>
                    <w:snapToGrid w:val="0"/>
                    <w:jc w:val="center"/>
                    <w:rPr>
                      <w:b/>
                      <w:bCs/>
                      <w:color w:val="000000"/>
                      <w:szCs w:val="21"/>
                    </w:rPr>
                  </w:pPr>
                  <w:r>
                    <w:rPr>
                      <w:b/>
                      <w:bCs/>
                      <w:color w:val="000000"/>
                      <w:szCs w:val="21"/>
                    </w:rPr>
                    <w:t>监测点位</w:t>
                  </w:r>
                </w:p>
              </w:tc>
              <w:tc>
                <w:tcPr>
                  <w:tcW w:w="1275" w:type="dxa"/>
                  <w:tcMar>
                    <w:top w:w="0" w:type="dxa"/>
                    <w:left w:w="28" w:type="dxa"/>
                    <w:bottom w:w="0" w:type="dxa"/>
                    <w:right w:w="28" w:type="dxa"/>
                  </w:tcMar>
                  <w:vAlign w:val="center"/>
                </w:tcPr>
                <w:p>
                  <w:pPr>
                    <w:autoSpaceDE w:val="0"/>
                    <w:autoSpaceDN w:val="0"/>
                    <w:adjustRightInd w:val="0"/>
                    <w:snapToGrid w:val="0"/>
                    <w:jc w:val="center"/>
                    <w:rPr>
                      <w:b/>
                      <w:bCs/>
                      <w:color w:val="000000"/>
                      <w:szCs w:val="21"/>
                    </w:rPr>
                  </w:pPr>
                  <w:r>
                    <w:rPr>
                      <w:b/>
                      <w:bCs/>
                      <w:color w:val="000000"/>
                      <w:szCs w:val="21"/>
                    </w:rPr>
                    <w:t>监测频次</w:t>
                  </w:r>
                </w:p>
              </w:tc>
              <w:tc>
                <w:tcPr>
                  <w:tcW w:w="3412" w:type="dxa"/>
                  <w:tcMar>
                    <w:top w:w="0" w:type="dxa"/>
                    <w:left w:w="28" w:type="dxa"/>
                    <w:bottom w:w="0" w:type="dxa"/>
                    <w:right w:w="28" w:type="dxa"/>
                  </w:tcMar>
                  <w:vAlign w:val="center"/>
                </w:tcPr>
                <w:p>
                  <w:pPr>
                    <w:autoSpaceDE w:val="0"/>
                    <w:autoSpaceDN w:val="0"/>
                    <w:adjustRightInd w:val="0"/>
                    <w:snapToGrid w:val="0"/>
                    <w:jc w:val="center"/>
                    <w:rPr>
                      <w:b/>
                      <w:bCs/>
                      <w:color w:val="000000"/>
                      <w:szCs w:val="21"/>
                    </w:rPr>
                  </w:pPr>
                  <w:r>
                    <w:rPr>
                      <w:b/>
                      <w:bCs/>
                      <w:color w:val="000000"/>
                      <w:szCs w:val="21"/>
                    </w:rPr>
                    <w:t>执行排放标准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070" w:type="dxa"/>
                  <w:gridSpan w:val="5"/>
                  <w:tcMar>
                    <w:top w:w="0" w:type="dxa"/>
                    <w:left w:w="28" w:type="dxa"/>
                    <w:bottom w:w="0" w:type="dxa"/>
                    <w:right w:w="28" w:type="dxa"/>
                  </w:tcMar>
                  <w:vAlign w:val="center"/>
                </w:tcPr>
                <w:p>
                  <w:pPr>
                    <w:autoSpaceDE w:val="0"/>
                    <w:autoSpaceDN w:val="0"/>
                    <w:adjustRightInd w:val="0"/>
                    <w:snapToGrid w:val="0"/>
                    <w:jc w:val="center"/>
                    <w:rPr>
                      <w:b/>
                      <w:bCs/>
                      <w:color w:val="000000"/>
                      <w:szCs w:val="21"/>
                    </w:rPr>
                  </w:pPr>
                  <w:r>
                    <w:rPr>
                      <w:b/>
                      <w:color w:val="000000"/>
                      <w:szCs w:val="21"/>
                    </w:rPr>
                    <w:t>有组织废气</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115"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kern w:val="21"/>
                    </w:rPr>
                    <w:t>非甲烷总烃、</w:t>
                  </w:r>
                  <w:r>
                    <w:rPr>
                      <w:rFonts w:hint="eastAsia"/>
                      <w:kern w:val="21"/>
                    </w:rPr>
                    <w:t>甲醇</w:t>
                  </w:r>
                </w:p>
              </w:tc>
              <w:tc>
                <w:tcPr>
                  <w:tcW w:w="1276"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color w:val="000000"/>
                      <w:szCs w:val="21"/>
                    </w:rPr>
                    <w:t>浓度、速率、废气量</w:t>
                  </w:r>
                </w:p>
              </w:tc>
              <w:tc>
                <w:tcPr>
                  <w:tcW w:w="992"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color w:val="000000"/>
                      <w:szCs w:val="21"/>
                    </w:rPr>
                    <w:t>排气筒P1</w:t>
                  </w:r>
                </w:p>
              </w:tc>
              <w:tc>
                <w:tcPr>
                  <w:tcW w:w="1275"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t>1次/半年</w:t>
                  </w:r>
                </w:p>
              </w:tc>
              <w:tc>
                <w:tcPr>
                  <w:tcW w:w="3412" w:type="dxa"/>
                  <w:tcMar>
                    <w:top w:w="0" w:type="dxa"/>
                    <w:left w:w="28" w:type="dxa"/>
                    <w:bottom w:w="0" w:type="dxa"/>
                    <w:right w:w="28" w:type="dxa"/>
                  </w:tcMar>
                  <w:vAlign w:val="center"/>
                </w:tcPr>
                <w:p>
                  <w:pPr>
                    <w:autoSpaceDE w:val="0"/>
                    <w:autoSpaceDN w:val="0"/>
                    <w:adjustRightInd w:val="0"/>
                    <w:snapToGrid w:val="0"/>
                    <w:spacing w:line="240" w:lineRule="exact"/>
                    <w:rPr>
                      <w:color w:val="000000"/>
                      <w:szCs w:val="21"/>
                    </w:rPr>
                  </w:pPr>
                  <w:r>
                    <w:rPr>
                      <w:color w:val="000000"/>
                      <w:szCs w:val="21"/>
                    </w:rPr>
                    <w:t>《关于全省开展工业企业挥发性有机物专项治理工作中排放建议值得通知》（豫环攻坚办（2017）162号）、《大气污染物综合排放标准》（GB16297-1996）表2二级、《恶臭污染物排放标准》（GB14554-93）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070" w:type="dxa"/>
                  <w:gridSpan w:val="5"/>
                  <w:tcMar>
                    <w:top w:w="0" w:type="dxa"/>
                    <w:left w:w="28" w:type="dxa"/>
                    <w:bottom w:w="0" w:type="dxa"/>
                    <w:right w:w="28" w:type="dxa"/>
                  </w:tcMar>
                  <w:vAlign w:val="center"/>
                </w:tcPr>
                <w:p>
                  <w:pPr>
                    <w:autoSpaceDE w:val="0"/>
                    <w:autoSpaceDN w:val="0"/>
                    <w:adjustRightInd w:val="0"/>
                    <w:snapToGrid w:val="0"/>
                    <w:jc w:val="center"/>
                    <w:rPr>
                      <w:color w:val="000000"/>
                      <w:szCs w:val="21"/>
                    </w:rPr>
                  </w:pPr>
                  <w:r>
                    <w:rPr>
                      <w:b/>
                      <w:color w:val="000000"/>
                      <w:szCs w:val="21"/>
                    </w:rPr>
                    <w:t>无组织废气</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1115"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kern w:val="21"/>
                    </w:rPr>
                    <w:t>非甲烷总烃、</w:t>
                  </w:r>
                  <w:r>
                    <w:rPr>
                      <w:rFonts w:hint="eastAsia"/>
                      <w:kern w:val="21"/>
                    </w:rPr>
                    <w:t>甲醇</w:t>
                  </w:r>
                </w:p>
              </w:tc>
              <w:tc>
                <w:tcPr>
                  <w:tcW w:w="1276"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color w:val="000000"/>
                      <w:szCs w:val="21"/>
                    </w:rPr>
                    <w:t>排放浓度</w:t>
                  </w:r>
                </w:p>
              </w:tc>
              <w:tc>
                <w:tcPr>
                  <w:tcW w:w="992"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color w:val="000000"/>
                      <w:szCs w:val="21"/>
                    </w:rPr>
                    <w:t>四周厂界</w:t>
                  </w:r>
                </w:p>
              </w:tc>
              <w:tc>
                <w:tcPr>
                  <w:tcW w:w="1275"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color w:val="000000"/>
                      <w:szCs w:val="21"/>
                    </w:rPr>
                    <w:t>1次/年</w:t>
                  </w:r>
                </w:p>
              </w:tc>
              <w:tc>
                <w:tcPr>
                  <w:tcW w:w="3412" w:type="dxa"/>
                  <w:tcMar>
                    <w:top w:w="0" w:type="dxa"/>
                    <w:left w:w="28" w:type="dxa"/>
                    <w:bottom w:w="0" w:type="dxa"/>
                    <w:right w:w="28" w:type="dxa"/>
                  </w:tcMar>
                  <w:vAlign w:val="center"/>
                </w:tcPr>
                <w:p>
                  <w:pPr>
                    <w:autoSpaceDE w:val="0"/>
                    <w:autoSpaceDN w:val="0"/>
                    <w:adjustRightInd w:val="0"/>
                    <w:snapToGrid w:val="0"/>
                    <w:jc w:val="center"/>
                  </w:pPr>
                  <w:r>
                    <w:t>《大气污染物综合排放标准》（GB16297-1996）表2二级、《恶臭污染物排放标准（GB14554-93）</w:t>
                  </w:r>
                </w:p>
              </w:tc>
            </w:tr>
          </w:tbl>
          <w:p>
            <w:pPr>
              <w:spacing w:line="460" w:lineRule="exact"/>
              <w:ind w:firstLine="422" w:firstLineChars="200"/>
              <w:rPr>
                <w:b/>
                <w:color w:val="000000"/>
              </w:rPr>
            </w:pPr>
            <w:r>
              <w:rPr>
                <w:b/>
                <w:color w:val="000000"/>
              </w:rPr>
              <w:t>三、噪声</w:t>
            </w:r>
          </w:p>
          <w:p>
            <w:pPr>
              <w:pStyle w:val="59"/>
              <w:spacing w:line="460" w:lineRule="exact"/>
              <w:ind w:firstLine="482" w:firstLineChars="200"/>
              <w:rPr>
                <w:b/>
                <w:color w:val="000000"/>
                <w:sz w:val="24"/>
              </w:rPr>
            </w:pPr>
            <w:r>
              <w:rPr>
                <w:b/>
                <w:color w:val="000000"/>
                <w:sz w:val="24"/>
              </w:rPr>
              <w:t>1、噪声源情况</w:t>
            </w:r>
          </w:p>
          <w:p>
            <w:pPr>
              <w:pStyle w:val="59"/>
              <w:spacing w:line="460" w:lineRule="exact"/>
              <w:ind w:firstLine="480" w:firstLineChars="200"/>
              <w:rPr>
                <w:sz w:val="24"/>
              </w:rPr>
            </w:pPr>
            <w:r>
              <w:rPr>
                <w:color w:val="000000"/>
                <w:sz w:val="24"/>
              </w:rPr>
              <w:t>该项目高噪声设备主要为超水制备仪、普通离心机、高速冷冻离心机、风机</w:t>
            </w:r>
            <w:r>
              <w:rPr>
                <w:rFonts w:hint="eastAsia"/>
                <w:color w:val="000000"/>
                <w:sz w:val="24"/>
              </w:rPr>
              <w:t>、中草药粉碎机等</w:t>
            </w:r>
            <w:r>
              <w:rPr>
                <w:color w:val="000000"/>
                <w:sz w:val="24"/>
              </w:rPr>
              <w:t>设备，</w:t>
            </w:r>
            <w:r>
              <w:rPr>
                <w:sz w:val="24"/>
              </w:rPr>
              <w:t>声源强度在70-85dB(A)之间，声源强度及治理效果见下表。</w:t>
            </w:r>
          </w:p>
          <w:p>
            <w:pPr>
              <w:pStyle w:val="59"/>
              <w:spacing w:line="460" w:lineRule="exact"/>
              <w:ind w:firstLine="440" w:firstLineChars="200"/>
              <w:rPr>
                <w:bCs/>
                <w:spacing w:val="-10"/>
                <w:sz w:val="24"/>
              </w:rPr>
            </w:pPr>
          </w:p>
        </w:tc>
      </w:tr>
    </w:tbl>
    <w:p>
      <w:pPr>
        <w:adjustRightInd w:val="0"/>
        <w:snapToGrid w:val="0"/>
        <w:spacing w:line="360" w:lineRule="auto"/>
        <w:rPr>
          <w:b/>
          <w:kern w:val="0"/>
          <w:sz w:val="28"/>
          <w:szCs w:val="28"/>
        </w:rPr>
        <w:sectPr>
          <w:pgSz w:w="11907" w:h="16840"/>
          <w:pgMar w:top="1701" w:right="1418" w:bottom="1701" w:left="1418" w:header="851" w:footer="851" w:gutter="0"/>
          <w:cols w:space="720" w:num="1"/>
          <w:docGrid w:linePitch="312" w:charSpace="0"/>
        </w:sectPr>
      </w:pP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dxa"/>
            <w:vAlign w:val="center"/>
          </w:tcPr>
          <w:p/>
        </w:tc>
        <w:tc>
          <w:tcPr>
            <w:tcW w:w="13118" w:type="dxa"/>
            <w:vAlign w:val="center"/>
          </w:tcPr>
          <w:p>
            <w:pPr>
              <w:spacing w:line="460" w:lineRule="exact"/>
              <w:ind w:firstLine="480" w:firstLineChars="200"/>
              <w:jc w:val="center"/>
              <w:rPr>
                <w:rFonts w:eastAsia="黑体"/>
                <w:sz w:val="24"/>
                <w:lang w:val="pt-BR"/>
              </w:rPr>
            </w:pPr>
            <w:r>
              <w:rPr>
                <w:rFonts w:eastAsia="黑体"/>
                <w:sz w:val="24"/>
                <w:lang w:val="pt-BR"/>
              </w:rPr>
              <w:t>表42        工业企业噪声源强调查清单（室外声源）</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214"/>
              <w:gridCol w:w="851"/>
              <w:gridCol w:w="1842"/>
              <w:gridCol w:w="1134"/>
              <w:gridCol w:w="1985"/>
              <w:gridCol w:w="1417"/>
              <w:gridCol w:w="993"/>
              <w:gridCol w:w="850"/>
              <w:gridCol w:w="838"/>
              <w:gridCol w:w="112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Merge w:val="restart"/>
                  <w:vAlign w:val="center"/>
                </w:tcPr>
                <w:p>
                  <w:pPr>
                    <w:pStyle w:val="56"/>
                    <w:adjustRightInd w:val="0"/>
                    <w:snapToGrid w:val="0"/>
                    <w:rPr>
                      <w:rFonts w:cs="Times New Roman"/>
                      <w:color w:val="auto"/>
                      <w:szCs w:val="21"/>
                    </w:rPr>
                  </w:pPr>
                  <w:r>
                    <w:rPr>
                      <w:rFonts w:cs="Times New Roman"/>
                      <w:color w:val="auto"/>
                      <w:szCs w:val="21"/>
                    </w:rPr>
                    <w:t>序号</w:t>
                  </w:r>
                </w:p>
              </w:tc>
              <w:tc>
                <w:tcPr>
                  <w:tcW w:w="1214" w:type="dxa"/>
                  <w:vMerge w:val="restart"/>
                  <w:vAlign w:val="center"/>
                </w:tcPr>
                <w:p>
                  <w:pPr>
                    <w:pStyle w:val="56"/>
                    <w:adjustRightInd w:val="0"/>
                    <w:snapToGrid w:val="0"/>
                    <w:rPr>
                      <w:rFonts w:cs="Times New Roman"/>
                      <w:color w:val="auto"/>
                      <w:szCs w:val="21"/>
                    </w:rPr>
                  </w:pPr>
                  <w:r>
                    <w:rPr>
                      <w:rFonts w:cs="Times New Roman"/>
                      <w:color w:val="auto"/>
                      <w:szCs w:val="21"/>
                    </w:rPr>
                    <w:t>声源名称</w:t>
                  </w:r>
                </w:p>
              </w:tc>
              <w:tc>
                <w:tcPr>
                  <w:tcW w:w="851" w:type="dxa"/>
                  <w:vMerge w:val="restart"/>
                  <w:vAlign w:val="center"/>
                </w:tcPr>
                <w:p>
                  <w:pPr>
                    <w:pStyle w:val="56"/>
                    <w:adjustRightInd w:val="0"/>
                    <w:snapToGrid w:val="0"/>
                    <w:rPr>
                      <w:rFonts w:cs="Times New Roman"/>
                      <w:color w:val="auto"/>
                      <w:szCs w:val="21"/>
                    </w:rPr>
                  </w:pPr>
                  <w:r>
                    <w:rPr>
                      <w:rFonts w:cs="Times New Roman"/>
                      <w:color w:val="auto"/>
                      <w:szCs w:val="21"/>
                    </w:rPr>
                    <w:t>型号</w:t>
                  </w:r>
                </w:p>
              </w:tc>
              <w:tc>
                <w:tcPr>
                  <w:tcW w:w="1842" w:type="dxa"/>
                  <w:vMerge w:val="restart"/>
                  <w:vAlign w:val="center"/>
                </w:tcPr>
                <w:p>
                  <w:pPr>
                    <w:pStyle w:val="56"/>
                    <w:adjustRightInd w:val="0"/>
                    <w:snapToGrid w:val="0"/>
                    <w:rPr>
                      <w:rFonts w:cs="Times New Roman"/>
                      <w:color w:val="auto"/>
                      <w:szCs w:val="21"/>
                    </w:rPr>
                  </w:pPr>
                  <w:r>
                    <w:rPr>
                      <w:rFonts w:cs="Times New Roman"/>
                      <w:color w:val="auto"/>
                      <w:szCs w:val="21"/>
                    </w:rPr>
                    <w:t>(声压级/距声源距离)/([dB(A)]/m)</w:t>
                  </w:r>
                </w:p>
              </w:tc>
              <w:tc>
                <w:tcPr>
                  <w:tcW w:w="1134" w:type="dxa"/>
                  <w:vMerge w:val="restart"/>
                  <w:vAlign w:val="center"/>
                </w:tcPr>
                <w:p>
                  <w:pPr>
                    <w:pStyle w:val="56"/>
                    <w:adjustRightInd w:val="0"/>
                    <w:snapToGrid w:val="0"/>
                    <w:rPr>
                      <w:rFonts w:cs="Times New Roman"/>
                      <w:color w:val="auto"/>
                      <w:szCs w:val="21"/>
                    </w:rPr>
                  </w:pPr>
                  <w:r>
                    <w:rPr>
                      <w:rFonts w:cs="Times New Roman"/>
                      <w:color w:val="auto"/>
                      <w:szCs w:val="21"/>
                    </w:rPr>
                    <w:t>数量（台）</w:t>
                  </w:r>
                </w:p>
              </w:tc>
              <w:tc>
                <w:tcPr>
                  <w:tcW w:w="1985" w:type="dxa"/>
                  <w:vMerge w:val="restart"/>
                  <w:vAlign w:val="center"/>
                </w:tcPr>
                <w:p>
                  <w:pPr>
                    <w:pStyle w:val="56"/>
                    <w:adjustRightInd w:val="0"/>
                    <w:snapToGrid w:val="0"/>
                    <w:rPr>
                      <w:rFonts w:cs="Times New Roman"/>
                      <w:color w:val="auto"/>
                      <w:szCs w:val="21"/>
                    </w:rPr>
                  </w:pPr>
                  <w:r>
                    <w:rPr>
                      <w:rFonts w:cs="Times New Roman"/>
                      <w:color w:val="auto"/>
                      <w:szCs w:val="21"/>
                    </w:rPr>
                    <w:t>声源控制措施</w:t>
                  </w:r>
                </w:p>
              </w:tc>
              <w:tc>
                <w:tcPr>
                  <w:tcW w:w="1417" w:type="dxa"/>
                  <w:vMerge w:val="restart"/>
                  <w:vAlign w:val="center"/>
                </w:tcPr>
                <w:p>
                  <w:pPr>
                    <w:pStyle w:val="56"/>
                    <w:adjustRightInd w:val="0"/>
                    <w:snapToGrid w:val="0"/>
                    <w:rPr>
                      <w:rFonts w:cs="Times New Roman"/>
                      <w:color w:val="auto"/>
                      <w:szCs w:val="21"/>
                    </w:rPr>
                  </w:pPr>
                  <w:r>
                    <w:rPr>
                      <w:rFonts w:cs="Times New Roman"/>
                      <w:color w:val="auto"/>
                      <w:szCs w:val="21"/>
                    </w:rPr>
                    <w:t>治理后声压级dB(A)</w:t>
                  </w:r>
                </w:p>
              </w:tc>
              <w:tc>
                <w:tcPr>
                  <w:tcW w:w="2681" w:type="dxa"/>
                  <w:gridSpan w:val="3"/>
                  <w:vAlign w:val="center"/>
                </w:tcPr>
                <w:p>
                  <w:pPr>
                    <w:pStyle w:val="56"/>
                    <w:adjustRightInd w:val="0"/>
                    <w:snapToGrid w:val="0"/>
                    <w:rPr>
                      <w:rFonts w:cs="Times New Roman"/>
                      <w:color w:val="auto"/>
                      <w:szCs w:val="21"/>
                    </w:rPr>
                  </w:pPr>
                  <w:r>
                    <w:rPr>
                      <w:rFonts w:cs="Times New Roman"/>
                      <w:color w:val="auto"/>
                      <w:szCs w:val="21"/>
                    </w:rPr>
                    <w:t>声压级叠加值[dB(A)]</w:t>
                  </w:r>
                </w:p>
              </w:tc>
              <w:tc>
                <w:tcPr>
                  <w:tcW w:w="1124" w:type="dxa"/>
                  <w:vMerge w:val="restart"/>
                  <w:vAlign w:val="center"/>
                </w:tcPr>
                <w:p>
                  <w:pPr>
                    <w:pStyle w:val="56"/>
                    <w:adjustRightInd w:val="0"/>
                    <w:snapToGrid w:val="0"/>
                    <w:rPr>
                      <w:rFonts w:cs="Times New Roman"/>
                      <w:color w:val="auto"/>
                      <w:szCs w:val="21"/>
                    </w:rPr>
                  </w:pPr>
                  <w:r>
                    <w:rPr>
                      <w:rFonts w:cs="Times New Roman"/>
                      <w:color w:val="auto"/>
                      <w:szCs w:val="21"/>
                    </w:rPr>
                    <w:t>运行时段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Merge w:val="continue"/>
                  <w:vAlign w:val="center"/>
                </w:tcPr>
                <w:p>
                  <w:pPr>
                    <w:jc w:val="center"/>
                    <w:rPr>
                      <w:b/>
                      <w:szCs w:val="21"/>
                    </w:rPr>
                  </w:pPr>
                </w:p>
              </w:tc>
              <w:tc>
                <w:tcPr>
                  <w:tcW w:w="1214" w:type="dxa"/>
                  <w:vMerge w:val="continue"/>
                  <w:vAlign w:val="center"/>
                </w:tcPr>
                <w:p>
                  <w:pPr>
                    <w:jc w:val="center"/>
                    <w:rPr>
                      <w:b/>
                      <w:szCs w:val="21"/>
                    </w:rPr>
                  </w:pPr>
                </w:p>
              </w:tc>
              <w:tc>
                <w:tcPr>
                  <w:tcW w:w="851" w:type="dxa"/>
                  <w:vMerge w:val="continue"/>
                  <w:vAlign w:val="center"/>
                </w:tcPr>
                <w:p>
                  <w:pPr>
                    <w:jc w:val="center"/>
                    <w:rPr>
                      <w:b/>
                      <w:bCs/>
                      <w:szCs w:val="21"/>
                    </w:rPr>
                  </w:pPr>
                </w:p>
              </w:tc>
              <w:tc>
                <w:tcPr>
                  <w:tcW w:w="1842" w:type="dxa"/>
                  <w:vMerge w:val="continue"/>
                  <w:vAlign w:val="center"/>
                </w:tcPr>
                <w:p>
                  <w:pPr>
                    <w:jc w:val="center"/>
                    <w:rPr>
                      <w:b/>
                      <w:bCs/>
                      <w:szCs w:val="21"/>
                    </w:rPr>
                  </w:pPr>
                </w:p>
              </w:tc>
              <w:tc>
                <w:tcPr>
                  <w:tcW w:w="1134" w:type="dxa"/>
                  <w:vMerge w:val="continue"/>
                  <w:vAlign w:val="center"/>
                </w:tcPr>
                <w:p>
                  <w:pPr>
                    <w:jc w:val="center"/>
                    <w:rPr>
                      <w:b/>
                      <w:szCs w:val="21"/>
                    </w:rPr>
                  </w:pPr>
                </w:p>
              </w:tc>
              <w:tc>
                <w:tcPr>
                  <w:tcW w:w="1985" w:type="dxa"/>
                  <w:vMerge w:val="continue"/>
                  <w:vAlign w:val="center"/>
                </w:tcPr>
                <w:p>
                  <w:pPr>
                    <w:jc w:val="center"/>
                    <w:rPr>
                      <w:b/>
                      <w:szCs w:val="21"/>
                    </w:rPr>
                  </w:pPr>
                </w:p>
              </w:tc>
              <w:tc>
                <w:tcPr>
                  <w:tcW w:w="1417" w:type="dxa"/>
                  <w:vMerge w:val="continue"/>
                  <w:vAlign w:val="center"/>
                </w:tcPr>
                <w:p>
                  <w:pPr>
                    <w:jc w:val="center"/>
                    <w:rPr>
                      <w:b/>
                      <w:szCs w:val="21"/>
                    </w:rPr>
                  </w:pPr>
                </w:p>
              </w:tc>
              <w:tc>
                <w:tcPr>
                  <w:tcW w:w="993" w:type="dxa"/>
                  <w:vAlign w:val="center"/>
                </w:tcPr>
                <w:p>
                  <w:pPr>
                    <w:jc w:val="center"/>
                    <w:rPr>
                      <w:b/>
                      <w:szCs w:val="21"/>
                    </w:rPr>
                  </w:pPr>
                  <w:r>
                    <w:rPr>
                      <w:b/>
                      <w:szCs w:val="21"/>
                    </w:rPr>
                    <w:t>X</w:t>
                  </w:r>
                </w:p>
              </w:tc>
              <w:tc>
                <w:tcPr>
                  <w:tcW w:w="850" w:type="dxa"/>
                  <w:vAlign w:val="center"/>
                </w:tcPr>
                <w:p>
                  <w:pPr>
                    <w:jc w:val="center"/>
                    <w:rPr>
                      <w:b/>
                      <w:szCs w:val="21"/>
                    </w:rPr>
                  </w:pPr>
                  <w:r>
                    <w:rPr>
                      <w:b/>
                      <w:szCs w:val="21"/>
                    </w:rPr>
                    <w:t>Y</w:t>
                  </w:r>
                </w:p>
              </w:tc>
              <w:tc>
                <w:tcPr>
                  <w:tcW w:w="838" w:type="dxa"/>
                  <w:vAlign w:val="center"/>
                </w:tcPr>
                <w:p>
                  <w:pPr>
                    <w:jc w:val="center"/>
                    <w:rPr>
                      <w:b/>
                      <w:szCs w:val="21"/>
                    </w:rPr>
                  </w:pPr>
                  <w:r>
                    <w:rPr>
                      <w:b/>
                      <w:szCs w:val="21"/>
                    </w:rPr>
                    <w:t>Z</w:t>
                  </w:r>
                </w:p>
              </w:tc>
              <w:tc>
                <w:tcPr>
                  <w:tcW w:w="1124" w:type="dxa"/>
                  <w:vMerge w:val="continue"/>
                  <w:vAlign w:val="center"/>
                </w:tcPr>
                <w:p>
                  <w:pPr>
                    <w:jc w:val="center"/>
                    <w:rPr>
                      <w:b/>
                      <w:bCs/>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dxa"/>
                  <w:vAlign w:val="center"/>
                </w:tcPr>
                <w:p>
                  <w:pPr>
                    <w:jc w:val="center"/>
                    <w:rPr>
                      <w:szCs w:val="21"/>
                    </w:rPr>
                  </w:pPr>
                  <w:r>
                    <w:rPr>
                      <w:szCs w:val="21"/>
                    </w:rPr>
                    <w:t>1</w:t>
                  </w:r>
                </w:p>
              </w:tc>
              <w:tc>
                <w:tcPr>
                  <w:tcW w:w="1214" w:type="dxa"/>
                  <w:vAlign w:val="center"/>
                </w:tcPr>
                <w:p>
                  <w:pPr>
                    <w:jc w:val="center"/>
                    <w:rPr>
                      <w:spacing w:val="-2"/>
                      <w:kern w:val="0"/>
                    </w:rPr>
                  </w:pPr>
                  <w:r>
                    <w:rPr>
                      <w:spacing w:val="-2"/>
                      <w:kern w:val="0"/>
                    </w:rPr>
                    <w:t>风机</w:t>
                  </w:r>
                </w:p>
              </w:tc>
              <w:tc>
                <w:tcPr>
                  <w:tcW w:w="851" w:type="dxa"/>
                  <w:vAlign w:val="center"/>
                </w:tcPr>
                <w:p>
                  <w:pPr>
                    <w:jc w:val="center"/>
                    <w:rPr>
                      <w:szCs w:val="21"/>
                    </w:rPr>
                  </w:pPr>
                  <w:r>
                    <w:rPr>
                      <w:szCs w:val="21"/>
                    </w:rPr>
                    <w:t>/</w:t>
                  </w:r>
                </w:p>
              </w:tc>
              <w:tc>
                <w:tcPr>
                  <w:tcW w:w="1842" w:type="dxa"/>
                  <w:vAlign w:val="center"/>
                </w:tcPr>
                <w:p>
                  <w:pPr>
                    <w:jc w:val="center"/>
                    <w:rPr>
                      <w:szCs w:val="21"/>
                    </w:rPr>
                  </w:pPr>
                  <w:r>
                    <w:rPr>
                      <w:szCs w:val="21"/>
                    </w:rPr>
                    <w:t>75/1</w:t>
                  </w:r>
                </w:p>
              </w:tc>
              <w:tc>
                <w:tcPr>
                  <w:tcW w:w="1134" w:type="dxa"/>
                  <w:vAlign w:val="center"/>
                </w:tcPr>
                <w:p>
                  <w:pPr>
                    <w:jc w:val="center"/>
                    <w:rPr>
                      <w:szCs w:val="21"/>
                    </w:rPr>
                  </w:pPr>
                  <w:r>
                    <w:rPr>
                      <w:szCs w:val="21"/>
                    </w:rPr>
                    <w:t>3</w:t>
                  </w:r>
                </w:p>
              </w:tc>
              <w:tc>
                <w:tcPr>
                  <w:tcW w:w="1985" w:type="dxa"/>
                  <w:vAlign w:val="center"/>
                </w:tcPr>
                <w:p>
                  <w:pPr>
                    <w:jc w:val="center"/>
                    <w:rPr>
                      <w:szCs w:val="21"/>
                    </w:rPr>
                  </w:pPr>
                  <w:r>
                    <w:rPr>
                      <w:color w:val="000000"/>
                      <w:szCs w:val="21"/>
                    </w:rPr>
                    <w:t>隔声罩壳、管道外壳阻尼、隔声小间</w:t>
                  </w:r>
                </w:p>
              </w:tc>
              <w:tc>
                <w:tcPr>
                  <w:tcW w:w="1417" w:type="dxa"/>
                  <w:vAlign w:val="center"/>
                </w:tcPr>
                <w:p>
                  <w:pPr>
                    <w:jc w:val="center"/>
                    <w:rPr>
                      <w:szCs w:val="21"/>
                    </w:rPr>
                  </w:pPr>
                  <w:r>
                    <w:rPr>
                      <w:szCs w:val="21"/>
                    </w:rPr>
                    <w:t>50</w:t>
                  </w:r>
                </w:p>
              </w:tc>
              <w:tc>
                <w:tcPr>
                  <w:tcW w:w="993" w:type="dxa"/>
                  <w:vAlign w:val="center"/>
                </w:tcPr>
                <w:p>
                  <w:pPr>
                    <w:jc w:val="center"/>
                    <w:rPr>
                      <w:szCs w:val="21"/>
                    </w:rPr>
                  </w:pPr>
                  <w:r>
                    <w:rPr>
                      <w:szCs w:val="21"/>
                    </w:rPr>
                    <w:t>5</w:t>
                  </w:r>
                </w:p>
              </w:tc>
              <w:tc>
                <w:tcPr>
                  <w:tcW w:w="850" w:type="dxa"/>
                  <w:vAlign w:val="center"/>
                </w:tcPr>
                <w:p>
                  <w:pPr>
                    <w:jc w:val="center"/>
                    <w:rPr>
                      <w:szCs w:val="21"/>
                    </w:rPr>
                  </w:pPr>
                  <w:r>
                    <w:rPr>
                      <w:szCs w:val="21"/>
                    </w:rPr>
                    <w:t>91</w:t>
                  </w:r>
                </w:p>
              </w:tc>
              <w:tc>
                <w:tcPr>
                  <w:tcW w:w="838" w:type="dxa"/>
                  <w:vAlign w:val="center"/>
                </w:tcPr>
                <w:p>
                  <w:pPr>
                    <w:jc w:val="center"/>
                    <w:rPr>
                      <w:szCs w:val="21"/>
                    </w:rPr>
                  </w:pPr>
                  <w:r>
                    <w:rPr>
                      <w:szCs w:val="21"/>
                    </w:rPr>
                    <w:t>0.8</w:t>
                  </w:r>
                </w:p>
              </w:tc>
              <w:tc>
                <w:tcPr>
                  <w:tcW w:w="1124" w:type="dxa"/>
                  <w:vAlign w:val="center"/>
                </w:tcPr>
                <w:p>
                  <w:pPr>
                    <w:jc w:val="center"/>
                    <w:rPr>
                      <w:szCs w:val="21"/>
                    </w:rPr>
                  </w:pPr>
                  <w:r>
                    <w:rPr>
                      <w:szCs w:val="21"/>
                    </w:rPr>
                    <w:t>持续运行</w:t>
                  </w:r>
                </w:p>
              </w:tc>
            </w:tr>
          </w:tbl>
          <w:p>
            <w:pPr>
              <w:spacing w:line="460" w:lineRule="exact"/>
              <w:ind w:firstLine="480" w:firstLineChars="200"/>
              <w:jc w:val="center"/>
              <w:rPr>
                <w:rFonts w:eastAsia="黑体"/>
                <w:sz w:val="24"/>
                <w:lang w:val="pt-BR"/>
              </w:rPr>
            </w:pPr>
            <w:r>
              <w:rPr>
                <w:rFonts w:eastAsia="黑体"/>
                <w:sz w:val="24"/>
                <w:lang w:val="pt-BR"/>
              </w:rPr>
              <w:t>表43            工业企业噪声源强调查清单（室内声源）</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455"/>
              <w:gridCol w:w="543"/>
              <w:gridCol w:w="770"/>
              <w:gridCol w:w="1013"/>
              <w:gridCol w:w="1515"/>
              <w:gridCol w:w="564"/>
              <w:gridCol w:w="775"/>
              <w:gridCol w:w="838"/>
              <w:gridCol w:w="839"/>
              <w:gridCol w:w="509"/>
              <w:gridCol w:w="509"/>
              <w:gridCol w:w="521"/>
              <w:gridCol w:w="745"/>
              <w:gridCol w:w="721"/>
              <w:gridCol w:w="325"/>
              <w:gridCol w:w="828"/>
              <w:gridCol w:w="866"/>
              <w:gridCol w:w="566"/>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58" w:type="dxa"/>
                  <w:vMerge w:val="restart"/>
                  <w:vAlign w:val="center"/>
                </w:tcPr>
                <w:p>
                  <w:pPr>
                    <w:pStyle w:val="56"/>
                    <w:adjustRightInd w:val="0"/>
                    <w:snapToGrid w:val="0"/>
                    <w:rPr>
                      <w:rFonts w:cs="Times New Roman"/>
                      <w:color w:val="auto"/>
                      <w:szCs w:val="21"/>
                    </w:rPr>
                  </w:pPr>
                  <w:r>
                    <w:rPr>
                      <w:rFonts w:cs="Times New Roman"/>
                      <w:color w:val="auto"/>
                      <w:szCs w:val="21"/>
                    </w:rPr>
                    <w:t>序号</w:t>
                  </w:r>
                </w:p>
              </w:tc>
              <w:tc>
                <w:tcPr>
                  <w:tcW w:w="546" w:type="dxa"/>
                  <w:vMerge w:val="restart"/>
                  <w:vAlign w:val="center"/>
                </w:tcPr>
                <w:p>
                  <w:pPr>
                    <w:pStyle w:val="56"/>
                    <w:adjustRightInd w:val="0"/>
                    <w:snapToGrid w:val="0"/>
                    <w:rPr>
                      <w:rFonts w:cs="Times New Roman"/>
                      <w:color w:val="auto"/>
                      <w:szCs w:val="21"/>
                    </w:rPr>
                  </w:pPr>
                  <w:r>
                    <w:rPr>
                      <w:rFonts w:cs="Times New Roman"/>
                      <w:color w:val="auto"/>
                      <w:szCs w:val="21"/>
                    </w:rPr>
                    <w:t>建筑物名称</w:t>
                  </w:r>
                </w:p>
              </w:tc>
              <w:tc>
                <w:tcPr>
                  <w:tcW w:w="776" w:type="dxa"/>
                  <w:vMerge w:val="restart"/>
                  <w:vAlign w:val="center"/>
                </w:tcPr>
                <w:p>
                  <w:pPr>
                    <w:pStyle w:val="56"/>
                    <w:adjustRightInd w:val="0"/>
                    <w:snapToGrid w:val="0"/>
                    <w:rPr>
                      <w:rFonts w:cs="Times New Roman"/>
                      <w:color w:val="auto"/>
                      <w:szCs w:val="21"/>
                    </w:rPr>
                  </w:pPr>
                  <w:r>
                    <w:rPr>
                      <w:rFonts w:cs="Times New Roman"/>
                      <w:color w:val="auto"/>
                      <w:szCs w:val="21"/>
                    </w:rPr>
                    <w:t>声源名称</w:t>
                  </w:r>
                </w:p>
              </w:tc>
              <w:tc>
                <w:tcPr>
                  <w:tcW w:w="778" w:type="dxa"/>
                  <w:vMerge w:val="restart"/>
                  <w:vAlign w:val="center"/>
                </w:tcPr>
                <w:p>
                  <w:pPr>
                    <w:pStyle w:val="56"/>
                    <w:adjustRightInd w:val="0"/>
                    <w:snapToGrid w:val="0"/>
                    <w:rPr>
                      <w:rFonts w:cs="Times New Roman"/>
                      <w:color w:val="auto"/>
                      <w:szCs w:val="21"/>
                    </w:rPr>
                  </w:pPr>
                  <w:r>
                    <w:rPr>
                      <w:rFonts w:cs="Times New Roman"/>
                      <w:color w:val="auto"/>
                      <w:szCs w:val="21"/>
                    </w:rPr>
                    <w:t>型号</w:t>
                  </w:r>
                </w:p>
              </w:tc>
              <w:tc>
                <w:tcPr>
                  <w:tcW w:w="1515" w:type="dxa"/>
                  <w:vMerge w:val="restart"/>
                  <w:vAlign w:val="center"/>
                </w:tcPr>
                <w:p>
                  <w:pPr>
                    <w:pStyle w:val="56"/>
                    <w:adjustRightInd w:val="0"/>
                    <w:snapToGrid w:val="0"/>
                    <w:rPr>
                      <w:rFonts w:cs="Times New Roman"/>
                      <w:color w:val="auto"/>
                      <w:szCs w:val="21"/>
                    </w:rPr>
                  </w:pPr>
                  <w:r>
                    <w:rPr>
                      <w:rFonts w:cs="Times New Roman"/>
                      <w:color w:val="auto"/>
                      <w:szCs w:val="21"/>
                    </w:rPr>
                    <w:t>(声压级/距声源距离)/([dB(A)]/m)</w:t>
                  </w:r>
                </w:p>
              </w:tc>
              <w:tc>
                <w:tcPr>
                  <w:tcW w:w="565" w:type="dxa"/>
                  <w:vMerge w:val="restart"/>
                  <w:vAlign w:val="center"/>
                </w:tcPr>
                <w:p>
                  <w:pPr>
                    <w:pStyle w:val="56"/>
                    <w:adjustRightInd w:val="0"/>
                    <w:snapToGrid w:val="0"/>
                    <w:rPr>
                      <w:rFonts w:cs="Times New Roman"/>
                      <w:color w:val="auto"/>
                      <w:szCs w:val="21"/>
                    </w:rPr>
                  </w:pPr>
                  <w:r>
                    <w:rPr>
                      <w:rFonts w:cs="Times New Roman"/>
                      <w:color w:val="auto"/>
                      <w:szCs w:val="21"/>
                    </w:rPr>
                    <w:t>数量(台)</w:t>
                  </w:r>
                </w:p>
              </w:tc>
              <w:tc>
                <w:tcPr>
                  <w:tcW w:w="778" w:type="dxa"/>
                  <w:vMerge w:val="restart"/>
                  <w:vAlign w:val="center"/>
                </w:tcPr>
                <w:p>
                  <w:pPr>
                    <w:pStyle w:val="56"/>
                    <w:adjustRightInd w:val="0"/>
                    <w:snapToGrid w:val="0"/>
                    <w:rPr>
                      <w:rFonts w:cs="Times New Roman"/>
                      <w:color w:val="auto"/>
                      <w:szCs w:val="21"/>
                    </w:rPr>
                  </w:pPr>
                  <w:r>
                    <w:rPr>
                      <w:rFonts w:cs="Times New Roman"/>
                      <w:color w:val="auto"/>
                      <w:szCs w:val="21"/>
                    </w:rPr>
                    <w:t>声源控制措施</w:t>
                  </w:r>
                </w:p>
              </w:tc>
              <w:tc>
                <w:tcPr>
                  <w:tcW w:w="838" w:type="dxa"/>
                  <w:vMerge w:val="restart"/>
                  <w:vAlign w:val="center"/>
                </w:tcPr>
                <w:p>
                  <w:pPr>
                    <w:spacing w:line="220" w:lineRule="exact"/>
                    <w:jc w:val="center"/>
                    <w:rPr>
                      <w:b/>
                      <w:szCs w:val="21"/>
                    </w:rPr>
                  </w:pPr>
                  <w:r>
                    <w:rPr>
                      <w:b/>
                      <w:szCs w:val="21"/>
                    </w:rPr>
                    <w:t>治理后声压级[dB(A)]</w:t>
                  </w:r>
                </w:p>
              </w:tc>
              <w:tc>
                <w:tcPr>
                  <w:tcW w:w="839" w:type="dxa"/>
                  <w:vMerge w:val="restart"/>
                  <w:vAlign w:val="center"/>
                </w:tcPr>
                <w:p>
                  <w:pPr>
                    <w:spacing w:line="220" w:lineRule="exact"/>
                    <w:jc w:val="center"/>
                    <w:rPr>
                      <w:b/>
                      <w:szCs w:val="21"/>
                    </w:rPr>
                  </w:pPr>
                  <w:r>
                    <w:rPr>
                      <w:b/>
                      <w:szCs w:val="21"/>
                    </w:rPr>
                    <w:t>声压级叠加值[dB(A)]</w:t>
                  </w:r>
                </w:p>
              </w:tc>
              <w:tc>
                <w:tcPr>
                  <w:tcW w:w="1545" w:type="dxa"/>
                  <w:gridSpan w:val="3"/>
                  <w:vAlign w:val="center"/>
                </w:tcPr>
                <w:p>
                  <w:pPr>
                    <w:pStyle w:val="56"/>
                    <w:adjustRightInd w:val="0"/>
                    <w:snapToGrid w:val="0"/>
                    <w:rPr>
                      <w:rFonts w:cs="Times New Roman"/>
                      <w:color w:val="auto"/>
                      <w:szCs w:val="21"/>
                    </w:rPr>
                  </w:pPr>
                  <w:r>
                    <w:rPr>
                      <w:rFonts w:cs="Times New Roman"/>
                      <w:color w:val="auto"/>
                      <w:szCs w:val="21"/>
                    </w:rPr>
                    <w:t>空间相对位置/m</w:t>
                  </w:r>
                </w:p>
              </w:tc>
              <w:tc>
                <w:tcPr>
                  <w:tcW w:w="750" w:type="dxa"/>
                  <w:vMerge w:val="restart"/>
                  <w:vAlign w:val="center"/>
                </w:tcPr>
                <w:p>
                  <w:pPr>
                    <w:pStyle w:val="56"/>
                    <w:adjustRightInd w:val="0"/>
                    <w:snapToGrid w:val="0"/>
                    <w:rPr>
                      <w:rFonts w:cs="Times New Roman"/>
                      <w:color w:val="auto"/>
                      <w:szCs w:val="21"/>
                    </w:rPr>
                  </w:pPr>
                  <w:r>
                    <w:rPr>
                      <w:rFonts w:cs="Times New Roman"/>
                      <w:color w:val="auto"/>
                      <w:szCs w:val="21"/>
                    </w:rPr>
                    <w:t>距室内边界距离/m</w:t>
                  </w:r>
                </w:p>
              </w:tc>
              <w:tc>
                <w:tcPr>
                  <w:tcW w:w="721" w:type="dxa"/>
                  <w:vMerge w:val="restart"/>
                  <w:vAlign w:val="center"/>
                </w:tcPr>
                <w:p>
                  <w:pPr>
                    <w:pStyle w:val="56"/>
                    <w:adjustRightInd w:val="0"/>
                    <w:snapToGrid w:val="0"/>
                    <w:rPr>
                      <w:rFonts w:cs="Times New Roman"/>
                      <w:color w:val="auto"/>
                      <w:szCs w:val="21"/>
                    </w:rPr>
                  </w:pPr>
                  <w:r>
                    <w:rPr>
                      <w:rFonts w:cs="Times New Roman"/>
                      <w:color w:val="auto"/>
                      <w:szCs w:val="21"/>
                    </w:rPr>
                    <w:t>室内边界声级/dB(A)</w:t>
                  </w:r>
                </w:p>
              </w:tc>
              <w:tc>
                <w:tcPr>
                  <w:tcW w:w="325" w:type="dxa"/>
                  <w:vMerge w:val="restart"/>
                  <w:vAlign w:val="center"/>
                </w:tcPr>
                <w:p>
                  <w:pPr>
                    <w:pStyle w:val="56"/>
                    <w:adjustRightInd w:val="0"/>
                    <w:snapToGrid w:val="0"/>
                    <w:rPr>
                      <w:rFonts w:cs="Times New Roman"/>
                      <w:color w:val="auto"/>
                      <w:szCs w:val="21"/>
                    </w:rPr>
                  </w:pPr>
                  <w:r>
                    <w:rPr>
                      <w:rFonts w:cs="Times New Roman"/>
                      <w:color w:val="auto"/>
                      <w:szCs w:val="21"/>
                    </w:rPr>
                    <w:t>运行时段</w:t>
                  </w:r>
                </w:p>
              </w:tc>
              <w:tc>
                <w:tcPr>
                  <w:tcW w:w="829" w:type="dxa"/>
                  <w:vMerge w:val="restart"/>
                  <w:vAlign w:val="center"/>
                </w:tcPr>
                <w:p>
                  <w:pPr>
                    <w:pStyle w:val="56"/>
                    <w:adjustRightInd w:val="0"/>
                    <w:snapToGrid w:val="0"/>
                    <w:rPr>
                      <w:rFonts w:cs="Times New Roman"/>
                      <w:color w:val="auto"/>
                      <w:szCs w:val="21"/>
                    </w:rPr>
                  </w:pPr>
                  <w:r>
                    <w:rPr>
                      <w:rFonts w:cs="Times New Roman"/>
                      <w:color w:val="auto"/>
                      <w:szCs w:val="21"/>
                    </w:rPr>
                    <w:t>建筑物插入损失/dB(A)</w:t>
                  </w:r>
                </w:p>
              </w:tc>
              <w:tc>
                <w:tcPr>
                  <w:tcW w:w="1436" w:type="dxa"/>
                  <w:gridSpan w:val="2"/>
                  <w:vAlign w:val="center"/>
                </w:tcPr>
                <w:p>
                  <w:pPr>
                    <w:pStyle w:val="56"/>
                    <w:adjustRightInd w:val="0"/>
                    <w:snapToGrid w:val="0"/>
                    <w:rPr>
                      <w:rFonts w:cs="Times New Roman"/>
                      <w:color w:val="auto"/>
                      <w:szCs w:val="21"/>
                    </w:rPr>
                  </w:pPr>
                  <w:r>
                    <w:rPr>
                      <w:rFonts w:cs="Times New Roman"/>
                      <w:color w:val="auto"/>
                      <w:szCs w:val="21"/>
                    </w:rPr>
                    <w:t>建筑物外噪声</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58" w:type="dxa"/>
                  <w:vMerge w:val="continue"/>
                  <w:vAlign w:val="center"/>
                </w:tcPr>
                <w:p>
                  <w:pPr>
                    <w:pStyle w:val="56"/>
                    <w:adjustRightInd w:val="0"/>
                    <w:snapToGrid w:val="0"/>
                    <w:rPr>
                      <w:rFonts w:cs="Times New Roman"/>
                      <w:color w:val="auto"/>
                      <w:szCs w:val="21"/>
                    </w:rPr>
                  </w:pPr>
                </w:p>
              </w:tc>
              <w:tc>
                <w:tcPr>
                  <w:tcW w:w="546" w:type="dxa"/>
                  <w:vMerge w:val="continue"/>
                  <w:vAlign w:val="center"/>
                </w:tcPr>
                <w:p>
                  <w:pPr>
                    <w:pStyle w:val="56"/>
                    <w:adjustRightInd w:val="0"/>
                    <w:snapToGrid w:val="0"/>
                    <w:rPr>
                      <w:rFonts w:cs="Times New Roman"/>
                      <w:color w:val="auto"/>
                      <w:szCs w:val="21"/>
                    </w:rPr>
                  </w:pPr>
                </w:p>
              </w:tc>
              <w:tc>
                <w:tcPr>
                  <w:tcW w:w="776" w:type="dxa"/>
                  <w:vMerge w:val="continue"/>
                  <w:vAlign w:val="center"/>
                </w:tcPr>
                <w:p>
                  <w:pPr>
                    <w:pStyle w:val="56"/>
                    <w:adjustRightInd w:val="0"/>
                    <w:snapToGrid w:val="0"/>
                    <w:rPr>
                      <w:rFonts w:cs="Times New Roman"/>
                      <w:color w:val="auto"/>
                      <w:szCs w:val="21"/>
                    </w:rPr>
                  </w:pPr>
                </w:p>
              </w:tc>
              <w:tc>
                <w:tcPr>
                  <w:tcW w:w="778" w:type="dxa"/>
                  <w:vMerge w:val="continue"/>
                  <w:vAlign w:val="center"/>
                </w:tcPr>
                <w:p>
                  <w:pPr>
                    <w:pStyle w:val="56"/>
                    <w:adjustRightInd w:val="0"/>
                    <w:snapToGrid w:val="0"/>
                    <w:rPr>
                      <w:rFonts w:cs="Times New Roman"/>
                      <w:color w:val="auto"/>
                      <w:szCs w:val="21"/>
                    </w:rPr>
                  </w:pPr>
                </w:p>
              </w:tc>
              <w:tc>
                <w:tcPr>
                  <w:tcW w:w="1515" w:type="dxa"/>
                  <w:vMerge w:val="continue"/>
                  <w:vAlign w:val="center"/>
                </w:tcPr>
                <w:p>
                  <w:pPr>
                    <w:pStyle w:val="56"/>
                    <w:adjustRightInd w:val="0"/>
                    <w:snapToGrid w:val="0"/>
                    <w:rPr>
                      <w:rFonts w:cs="Times New Roman"/>
                      <w:color w:val="auto"/>
                      <w:szCs w:val="21"/>
                    </w:rPr>
                  </w:pPr>
                </w:p>
              </w:tc>
              <w:tc>
                <w:tcPr>
                  <w:tcW w:w="565" w:type="dxa"/>
                  <w:vMerge w:val="continue"/>
                  <w:vAlign w:val="center"/>
                </w:tcPr>
                <w:p>
                  <w:pPr>
                    <w:pStyle w:val="56"/>
                    <w:adjustRightInd w:val="0"/>
                    <w:snapToGrid w:val="0"/>
                    <w:rPr>
                      <w:rFonts w:cs="Times New Roman"/>
                      <w:color w:val="auto"/>
                      <w:szCs w:val="21"/>
                    </w:rPr>
                  </w:pPr>
                </w:p>
              </w:tc>
              <w:tc>
                <w:tcPr>
                  <w:tcW w:w="778" w:type="dxa"/>
                  <w:vMerge w:val="continue"/>
                  <w:vAlign w:val="center"/>
                </w:tcPr>
                <w:p>
                  <w:pPr>
                    <w:pStyle w:val="56"/>
                    <w:adjustRightInd w:val="0"/>
                    <w:snapToGrid w:val="0"/>
                    <w:rPr>
                      <w:rFonts w:cs="Times New Roman"/>
                      <w:color w:val="auto"/>
                      <w:szCs w:val="21"/>
                    </w:rPr>
                  </w:pPr>
                </w:p>
              </w:tc>
              <w:tc>
                <w:tcPr>
                  <w:tcW w:w="838" w:type="dxa"/>
                  <w:vMerge w:val="continue"/>
                  <w:vAlign w:val="center"/>
                </w:tcPr>
                <w:p>
                  <w:pPr>
                    <w:pStyle w:val="56"/>
                    <w:adjustRightInd w:val="0"/>
                    <w:snapToGrid w:val="0"/>
                    <w:rPr>
                      <w:rFonts w:cs="Times New Roman"/>
                      <w:color w:val="auto"/>
                      <w:szCs w:val="21"/>
                    </w:rPr>
                  </w:pPr>
                </w:p>
              </w:tc>
              <w:tc>
                <w:tcPr>
                  <w:tcW w:w="839" w:type="dxa"/>
                  <w:vMerge w:val="continue"/>
                  <w:vAlign w:val="center"/>
                </w:tcPr>
                <w:p>
                  <w:pPr>
                    <w:pStyle w:val="56"/>
                    <w:adjustRightInd w:val="0"/>
                    <w:snapToGrid w:val="0"/>
                    <w:rPr>
                      <w:rFonts w:cs="Times New Roman"/>
                      <w:color w:val="auto"/>
                      <w:szCs w:val="21"/>
                    </w:rPr>
                  </w:pPr>
                </w:p>
              </w:tc>
              <w:tc>
                <w:tcPr>
                  <w:tcW w:w="511" w:type="dxa"/>
                  <w:vAlign w:val="center"/>
                </w:tcPr>
                <w:p>
                  <w:pPr>
                    <w:pStyle w:val="56"/>
                    <w:adjustRightInd w:val="0"/>
                    <w:snapToGrid w:val="0"/>
                    <w:rPr>
                      <w:rFonts w:cs="Times New Roman"/>
                      <w:color w:val="auto"/>
                      <w:szCs w:val="21"/>
                    </w:rPr>
                  </w:pPr>
                  <w:r>
                    <w:rPr>
                      <w:rFonts w:cs="Times New Roman"/>
                      <w:color w:val="auto"/>
                      <w:szCs w:val="21"/>
                    </w:rPr>
                    <w:t>X</w:t>
                  </w:r>
                </w:p>
              </w:tc>
              <w:tc>
                <w:tcPr>
                  <w:tcW w:w="511" w:type="dxa"/>
                  <w:vAlign w:val="center"/>
                </w:tcPr>
                <w:p>
                  <w:pPr>
                    <w:pStyle w:val="56"/>
                    <w:adjustRightInd w:val="0"/>
                    <w:snapToGrid w:val="0"/>
                    <w:rPr>
                      <w:rFonts w:cs="Times New Roman"/>
                      <w:color w:val="auto"/>
                      <w:szCs w:val="21"/>
                    </w:rPr>
                  </w:pPr>
                  <w:r>
                    <w:rPr>
                      <w:rFonts w:cs="Times New Roman"/>
                      <w:color w:val="auto"/>
                      <w:szCs w:val="21"/>
                    </w:rPr>
                    <w:t>Y</w:t>
                  </w:r>
                </w:p>
              </w:tc>
              <w:tc>
                <w:tcPr>
                  <w:tcW w:w="523" w:type="dxa"/>
                  <w:vAlign w:val="center"/>
                </w:tcPr>
                <w:p>
                  <w:pPr>
                    <w:pStyle w:val="56"/>
                    <w:adjustRightInd w:val="0"/>
                    <w:snapToGrid w:val="0"/>
                    <w:rPr>
                      <w:rFonts w:cs="Times New Roman"/>
                      <w:color w:val="auto"/>
                      <w:szCs w:val="21"/>
                    </w:rPr>
                  </w:pPr>
                  <w:r>
                    <w:rPr>
                      <w:rFonts w:cs="Times New Roman"/>
                      <w:color w:val="auto"/>
                      <w:szCs w:val="21"/>
                    </w:rPr>
                    <w:t>Z</w:t>
                  </w:r>
                </w:p>
              </w:tc>
              <w:tc>
                <w:tcPr>
                  <w:tcW w:w="750" w:type="dxa"/>
                  <w:vMerge w:val="continue"/>
                  <w:vAlign w:val="center"/>
                </w:tcPr>
                <w:p>
                  <w:pPr>
                    <w:pStyle w:val="56"/>
                    <w:adjustRightInd w:val="0"/>
                    <w:snapToGrid w:val="0"/>
                    <w:rPr>
                      <w:rFonts w:cs="Times New Roman"/>
                      <w:color w:val="auto"/>
                      <w:szCs w:val="21"/>
                    </w:rPr>
                  </w:pPr>
                </w:p>
              </w:tc>
              <w:tc>
                <w:tcPr>
                  <w:tcW w:w="721" w:type="dxa"/>
                  <w:vMerge w:val="continue"/>
                  <w:vAlign w:val="center"/>
                </w:tcPr>
                <w:p>
                  <w:pPr>
                    <w:pStyle w:val="56"/>
                    <w:adjustRightInd w:val="0"/>
                    <w:snapToGrid w:val="0"/>
                    <w:rPr>
                      <w:rFonts w:cs="Times New Roman"/>
                      <w:color w:val="auto"/>
                      <w:szCs w:val="21"/>
                    </w:rPr>
                  </w:pPr>
                </w:p>
              </w:tc>
              <w:tc>
                <w:tcPr>
                  <w:tcW w:w="325" w:type="dxa"/>
                  <w:vMerge w:val="continue"/>
                  <w:vAlign w:val="center"/>
                </w:tcPr>
                <w:p>
                  <w:pPr>
                    <w:spacing w:line="220" w:lineRule="exact"/>
                    <w:jc w:val="center"/>
                    <w:rPr>
                      <w:b/>
                      <w:bCs/>
                      <w:szCs w:val="21"/>
                    </w:rPr>
                  </w:pPr>
                </w:p>
              </w:tc>
              <w:tc>
                <w:tcPr>
                  <w:tcW w:w="829" w:type="dxa"/>
                  <w:vMerge w:val="continue"/>
                  <w:vAlign w:val="center"/>
                </w:tcPr>
                <w:p>
                  <w:pPr>
                    <w:spacing w:line="220" w:lineRule="exact"/>
                    <w:jc w:val="center"/>
                    <w:rPr>
                      <w:b/>
                      <w:bCs/>
                      <w:szCs w:val="21"/>
                    </w:rPr>
                  </w:pPr>
                </w:p>
              </w:tc>
              <w:tc>
                <w:tcPr>
                  <w:tcW w:w="868" w:type="dxa"/>
                  <w:vAlign w:val="center"/>
                </w:tcPr>
                <w:p>
                  <w:pPr>
                    <w:spacing w:line="220" w:lineRule="exact"/>
                    <w:jc w:val="center"/>
                    <w:rPr>
                      <w:b/>
                      <w:bCs/>
                      <w:szCs w:val="21"/>
                    </w:rPr>
                  </w:pPr>
                  <w:r>
                    <w:rPr>
                      <w:b/>
                      <w:bCs/>
                      <w:szCs w:val="21"/>
                    </w:rPr>
                    <w:t>声压级/dB(A)</w:t>
                  </w:r>
                </w:p>
              </w:tc>
              <w:tc>
                <w:tcPr>
                  <w:tcW w:w="568" w:type="dxa"/>
                  <w:vAlign w:val="center"/>
                </w:tcPr>
                <w:p>
                  <w:pPr>
                    <w:spacing w:line="220" w:lineRule="exact"/>
                    <w:jc w:val="center"/>
                    <w:rPr>
                      <w:b/>
                      <w:bCs/>
                      <w:szCs w:val="21"/>
                    </w:rPr>
                  </w:pPr>
                  <w:r>
                    <w:rPr>
                      <w:b/>
                      <w:bCs/>
                      <w:szCs w:val="21"/>
                    </w:rPr>
                    <w:t>建筑物外距离</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58" w:type="dxa"/>
                  <w:vMerge w:val="restart"/>
                  <w:vAlign w:val="center"/>
                </w:tcPr>
                <w:p>
                  <w:pPr>
                    <w:pStyle w:val="51"/>
                    <w:adjustRightInd w:val="0"/>
                    <w:snapToGrid w:val="0"/>
                  </w:pPr>
                  <w:r>
                    <w:t>1</w:t>
                  </w:r>
                </w:p>
              </w:tc>
              <w:tc>
                <w:tcPr>
                  <w:tcW w:w="546" w:type="dxa"/>
                  <w:vMerge w:val="restart"/>
                  <w:vAlign w:val="center"/>
                </w:tcPr>
                <w:p>
                  <w:pPr>
                    <w:pStyle w:val="51"/>
                    <w:adjustRightInd w:val="0"/>
                    <w:snapToGrid w:val="0"/>
                  </w:pPr>
                  <w:r>
                    <w:rPr>
                      <w:color w:val="000000"/>
                    </w:rPr>
                    <w:t>实验楼</w:t>
                  </w:r>
                </w:p>
              </w:tc>
              <w:tc>
                <w:tcPr>
                  <w:tcW w:w="776" w:type="dxa"/>
                  <w:vMerge w:val="restart"/>
                  <w:vAlign w:val="center"/>
                </w:tcPr>
                <w:p>
                  <w:pPr>
                    <w:pStyle w:val="51"/>
                    <w:adjustRightInd w:val="0"/>
                    <w:snapToGrid w:val="0"/>
                  </w:pPr>
                  <w:r>
                    <w:rPr>
                      <w:spacing w:val="-2"/>
                    </w:rPr>
                    <w:t>超水制备仪</w:t>
                  </w:r>
                </w:p>
              </w:tc>
              <w:tc>
                <w:tcPr>
                  <w:tcW w:w="778" w:type="dxa"/>
                  <w:vMerge w:val="restart"/>
                  <w:vAlign w:val="center"/>
                </w:tcPr>
                <w:p>
                  <w:pPr>
                    <w:pStyle w:val="51"/>
                    <w:adjustRightInd w:val="0"/>
                    <w:snapToGrid w:val="0"/>
                  </w:pPr>
                  <w:r>
                    <w:t>德国Think-lab</w:t>
                  </w:r>
                </w:p>
              </w:tc>
              <w:tc>
                <w:tcPr>
                  <w:tcW w:w="1515" w:type="dxa"/>
                  <w:vMerge w:val="restart"/>
                  <w:vAlign w:val="center"/>
                </w:tcPr>
                <w:p>
                  <w:pPr>
                    <w:pStyle w:val="51"/>
                    <w:adjustRightInd w:val="0"/>
                    <w:snapToGrid w:val="0"/>
                  </w:pPr>
                  <w:r>
                    <w:t>85/1</w:t>
                  </w:r>
                </w:p>
              </w:tc>
              <w:tc>
                <w:tcPr>
                  <w:tcW w:w="565" w:type="dxa"/>
                  <w:vMerge w:val="restart"/>
                  <w:vAlign w:val="center"/>
                </w:tcPr>
                <w:p>
                  <w:pPr>
                    <w:pStyle w:val="51"/>
                    <w:adjustRightInd w:val="0"/>
                    <w:snapToGrid w:val="0"/>
                  </w:pPr>
                  <w:r>
                    <w:t>1</w:t>
                  </w:r>
                </w:p>
              </w:tc>
              <w:tc>
                <w:tcPr>
                  <w:tcW w:w="778" w:type="dxa"/>
                  <w:vMerge w:val="restart"/>
                  <w:vAlign w:val="center"/>
                </w:tcPr>
                <w:p>
                  <w:pPr>
                    <w:spacing w:line="240" w:lineRule="exact"/>
                    <w:jc w:val="center"/>
                    <w:rPr>
                      <w:szCs w:val="21"/>
                    </w:rPr>
                  </w:pPr>
                  <w:r>
                    <w:rPr>
                      <w:color w:val="000000"/>
                      <w:szCs w:val="21"/>
                    </w:rPr>
                    <w:t>厂房隔声、进风口消声器</w:t>
                  </w:r>
                </w:p>
              </w:tc>
              <w:tc>
                <w:tcPr>
                  <w:tcW w:w="838" w:type="dxa"/>
                  <w:vMerge w:val="restart"/>
                  <w:vAlign w:val="center"/>
                </w:tcPr>
                <w:p>
                  <w:pPr>
                    <w:jc w:val="center"/>
                    <w:rPr>
                      <w:szCs w:val="21"/>
                    </w:rPr>
                  </w:pPr>
                  <w:r>
                    <w:rPr>
                      <w:szCs w:val="21"/>
                    </w:rPr>
                    <w:t>60</w:t>
                  </w:r>
                </w:p>
              </w:tc>
              <w:tc>
                <w:tcPr>
                  <w:tcW w:w="839" w:type="dxa"/>
                  <w:vMerge w:val="restart"/>
                  <w:vAlign w:val="center"/>
                </w:tcPr>
                <w:p>
                  <w:pPr>
                    <w:jc w:val="center"/>
                    <w:rPr>
                      <w:szCs w:val="21"/>
                    </w:rPr>
                  </w:pPr>
                  <w:r>
                    <w:rPr>
                      <w:szCs w:val="21"/>
                    </w:rPr>
                    <w:t>60</w:t>
                  </w:r>
                </w:p>
              </w:tc>
              <w:tc>
                <w:tcPr>
                  <w:tcW w:w="511" w:type="dxa"/>
                  <w:vMerge w:val="restart"/>
                  <w:vAlign w:val="center"/>
                </w:tcPr>
                <w:p>
                  <w:pPr>
                    <w:jc w:val="center"/>
                    <w:rPr>
                      <w:szCs w:val="21"/>
                    </w:rPr>
                  </w:pPr>
                  <w:r>
                    <w:rPr>
                      <w:szCs w:val="21"/>
                    </w:rPr>
                    <w:t>18</w:t>
                  </w:r>
                </w:p>
              </w:tc>
              <w:tc>
                <w:tcPr>
                  <w:tcW w:w="511" w:type="dxa"/>
                  <w:vMerge w:val="restart"/>
                  <w:vAlign w:val="center"/>
                </w:tcPr>
                <w:p>
                  <w:pPr>
                    <w:jc w:val="center"/>
                    <w:rPr>
                      <w:szCs w:val="21"/>
                    </w:rPr>
                  </w:pPr>
                  <w:r>
                    <w:rPr>
                      <w:szCs w:val="21"/>
                    </w:rPr>
                    <w:t>12</w:t>
                  </w:r>
                </w:p>
              </w:tc>
              <w:tc>
                <w:tcPr>
                  <w:tcW w:w="523" w:type="dxa"/>
                  <w:vMerge w:val="restart"/>
                  <w:vAlign w:val="center"/>
                </w:tcPr>
                <w:p>
                  <w:pPr>
                    <w:jc w:val="center"/>
                    <w:rPr>
                      <w:szCs w:val="21"/>
                    </w:rPr>
                  </w:pPr>
                  <w:r>
                    <w:rPr>
                      <w:szCs w:val="21"/>
                    </w:rPr>
                    <w:t>5.8</w:t>
                  </w:r>
                </w:p>
              </w:tc>
              <w:tc>
                <w:tcPr>
                  <w:tcW w:w="750" w:type="dxa"/>
                  <w:vAlign w:val="center"/>
                </w:tcPr>
                <w:p>
                  <w:pPr>
                    <w:jc w:val="center"/>
                    <w:rPr>
                      <w:szCs w:val="21"/>
                    </w:rPr>
                  </w:pPr>
                  <w:r>
                    <w:rPr>
                      <w:szCs w:val="21"/>
                    </w:rPr>
                    <w:t>东8</w:t>
                  </w:r>
                </w:p>
              </w:tc>
              <w:tc>
                <w:tcPr>
                  <w:tcW w:w="721" w:type="dxa"/>
                  <w:vAlign w:val="center"/>
                </w:tcPr>
                <w:p>
                  <w:pPr>
                    <w:jc w:val="center"/>
                    <w:rPr>
                      <w:szCs w:val="21"/>
                    </w:rPr>
                  </w:pPr>
                  <w:r>
                    <w:rPr>
                      <w:szCs w:val="21"/>
                    </w:rPr>
                    <w:t>41.9</w:t>
                  </w:r>
                </w:p>
              </w:tc>
              <w:tc>
                <w:tcPr>
                  <w:tcW w:w="325" w:type="dxa"/>
                  <w:vMerge w:val="restart"/>
                  <w:vAlign w:val="center"/>
                </w:tcPr>
                <w:p>
                  <w:pPr>
                    <w:pStyle w:val="51"/>
                    <w:adjustRightInd w:val="0"/>
                    <w:snapToGrid w:val="0"/>
                  </w:pPr>
                  <w:r>
                    <w:t>持续运行</w:t>
                  </w:r>
                </w:p>
              </w:tc>
              <w:tc>
                <w:tcPr>
                  <w:tcW w:w="829" w:type="dxa"/>
                  <w:vMerge w:val="restart"/>
                  <w:vAlign w:val="center"/>
                </w:tcPr>
                <w:p>
                  <w:pPr>
                    <w:pStyle w:val="51"/>
                    <w:adjustRightInd w:val="0"/>
                    <w:snapToGrid w:val="0"/>
                  </w:pPr>
                  <w:r>
                    <w:t>6</w:t>
                  </w:r>
                </w:p>
              </w:tc>
              <w:tc>
                <w:tcPr>
                  <w:tcW w:w="868" w:type="dxa"/>
                  <w:vAlign w:val="center"/>
                </w:tcPr>
                <w:p>
                  <w:pPr>
                    <w:jc w:val="center"/>
                    <w:rPr>
                      <w:szCs w:val="21"/>
                    </w:rPr>
                  </w:pPr>
                  <w:r>
                    <w:rPr>
                      <w:szCs w:val="21"/>
                    </w:rPr>
                    <w:t>35.9</w:t>
                  </w:r>
                </w:p>
              </w:tc>
              <w:tc>
                <w:tcPr>
                  <w:tcW w:w="568" w:type="dxa"/>
                  <w:vAlign w:val="center"/>
                </w:tcPr>
                <w:p>
                  <w:pPr>
                    <w:pStyle w:val="51"/>
                    <w:adjustRightInd w:val="0"/>
                    <w:snapToGrid w:val="0"/>
                  </w:pPr>
                  <w:r>
                    <w:t>1m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58" w:type="dxa"/>
                  <w:vMerge w:val="continue"/>
                  <w:vAlign w:val="center"/>
                </w:tcPr>
                <w:p>
                  <w:pPr>
                    <w:pStyle w:val="51"/>
                    <w:adjustRightInd w:val="0"/>
                    <w:snapToGrid w:val="0"/>
                  </w:pPr>
                </w:p>
              </w:tc>
              <w:tc>
                <w:tcPr>
                  <w:tcW w:w="546" w:type="dxa"/>
                  <w:vMerge w:val="continue"/>
                  <w:vAlign w:val="center"/>
                </w:tcPr>
                <w:p>
                  <w:pPr>
                    <w:pStyle w:val="51"/>
                    <w:adjustRightInd w:val="0"/>
                    <w:snapToGrid w:val="0"/>
                  </w:pPr>
                </w:p>
              </w:tc>
              <w:tc>
                <w:tcPr>
                  <w:tcW w:w="776" w:type="dxa"/>
                  <w:vMerge w:val="continue"/>
                  <w:vAlign w:val="center"/>
                </w:tcPr>
                <w:p>
                  <w:pPr>
                    <w:pStyle w:val="51"/>
                    <w:adjustRightInd w:val="0"/>
                    <w:snapToGrid w:val="0"/>
                  </w:pPr>
                </w:p>
              </w:tc>
              <w:tc>
                <w:tcPr>
                  <w:tcW w:w="778" w:type="dxa"/>
                  <w:vMerge w:val="continue"/>
                  <w:vAlign w:val="center"/>
                </w:tcPr>
                <w:p>
                  <w:pPr>
                    <w:pStyle w:val="51"/>
                    <w:adjustRightInd w:val="0"/>
                    <w:snapToGrid w:val="0"/>
                  </w:pPr>
                </w:p>
              </w:tc>
              <w:tc>
                <w:tcPr>
                  <w:tcW w:w="1515" w:type="dxa"/>
                  <w:vMerge w:val="continue"/>
                  <w:vAlign w:val="center"/>
                </w:tcPr>
                <w:p>
                  <w:pPr>
                    <w:pStyle w:val="51"/>
                    <w:adjustRightInd w:val="0"/>
                    <w:snapToGrid w:val="0"/>
                  </w:pPr>
                </w:p>
              </w:tc>
              <w:tc>
                <w:tcPr>
                  <w:tcW w:w="565" w:type="dxa"/>
                  <w:vMerge w:val="continue"/>
                  <w:vAlign w:val="center"/>
                </w:tcPr>
                <w:p>
                  <w:pPr>
                    <w:pStyle w:val="51"/>
                    <w:adjustRightInd w:val="0"/>
                    <w:snapToGrid w:val="0"/>
                  </w:pPr>
                </w:p>
              </w:tc>
              <w:tc>
                <w:tcPr>
                  <w:tcW w:w="778" w:type="dxa"/>
                  <w:vMerge w:val="continue"/>
                  <w:vAlign w:val="center"/>
                </w:tcPr>
                <w:p>
                  <w:pPr>
                    <w:pStyle w:val="51"/>
                    <w:adjustRightInd w:val="0"/>
                    <w:snapToGrid w:val="0"/>
                  </w:pPr>
                </w:p>
              </w:tc>
              <w:tc>
                <w:tcPr>
                  <w:tcW w:w="838" w:type="dxa"/>
                  <w:vMerge w:val="continue"/>
                  <w:vAlign w:val="center"/>
                </w:tcPr>
                <w:p>
                  <w:pPr>
                    <w:jc w:val="center"/>
                    <w:rPr>
                      <w:szCs w:val="21"/>
                    </w:rPr>
                  </w:pPr>
                </w:p>
              </w:tc>
              <w:tc>
                <w:tcPr>
                  <w:tcW w:w="839" w:type="dxa"/>
                  <w:vMerge w:val="continue"/>
                  <w:vAlign w:val="center"/>
                </w:tcPr>
                <w:p>
                  <w:pPr>
                    <w:jc w:val="center"/>
                    <w:rPr>
                      <w:szCs w:val="21"/>
                    </w:rPr>
                  </w:pPr>
                </w:p>
              </w:tc>
              <w:tc>
                <w:tcPr>
                  <w:tcW w:w="511" w:type="dxa"/>
                  <w:vMerge w:val="continue"/>
                  <w:vAlign w:val="center"/>
                </w:tcPr>
                <w:p>
                  <w:pPr>
                    <w:jc w:val="center"/>
                    <w:rPr>
                      <w:szCs w:val="21"/>
                    </w:rPr>
                  </w:pPr>
                </w:p>
              </w:tc>
              <w:tc>
                <w:tcPr>
                  <w:tcW w:w="511" w:type="dxa"/>
                  <w:vMerge w:val="continue"/>
                  <w:vAlign w:val="center"/>
                </w:tcPr>
                <w:p>
                  <w:pPr>
                    <w:jc w:val="center"/>
                    <w:rPr>
                      <w:szCs w:val="21"/>
                    </w:rPr>
                  </w:pPr>
                </w:p>
              </w:tc>
              <w:tc>
                <w:tcPr>
                  <w:tcW w:w="523" w:type="dxa"/>
                  <w:vMerge w:val="continue"/>
                  <w:vAlign w:val="center"/>
                </w:tcPr>
                <w:p>
                  <w:pPr>
                    <w:jc w:val="center"/>
                    <w:rPr>
                      <w:szCs w:val="21"/>
                    </w:rPr>
                  </w:pPr>
                </w:p>
              </w:tc>
              <w:tc>
                <w:tcPr>
                  <w:tcW w:w="750" w:type="dxa"/>
                  <w:vAlign w:val="center"/>
                </w:tcPr>
                <w:p>
                  <w:pPr>
                    <w:jc w:val="center"/>
                    <w:rPr>
                      <w:szCs w:val="21"/>
                    </w:rPr>
                  </w:pPr>
                  <w:r>
                    <w:rPr>
                      <w:szCs w:val="21"/>
                    </w:rPr>
                    <w:t>南12</w:t>
                  </w:r>
                </w:p>
              </w:tc>
              <w:tc>
                <w:tcPr>
                  <w:tcW w:w="721" w:type="dxa"/>
                  <w:vAlign w:val="center"/>
                </w:tcPr>
                <w:p>
                  <w:pPr>
                    <w:jc w:val="center"/>
                    <w:rPr>
                      <w:szCs w:val="21"/>
                    </w:rPr>
                  </w:pPr>
                  <w:r>
                    <w:rPr>
                      <w:szCs w:val="21"/>
                    </w:rPr>
                    <w:t>38.4</w:t>
                  </w:r>
                </w:p>
              </w:tc>
              <w:tc>
                <w:tcPr>
                  <w:tcW w:w="325" w:type="dxa"/>
                  <w:vMerge w:val="continue"/>
                  <w:vAlign w:val="center"/>
                </w:tcPr>
                <w:p>
                  <w:pPr>
                    <w:pStyle w:val="51"/>
                    <w:adjustRightInd w:val="0"/>
                    <w:snapToGrid w:val="0"/>
                  </w:pPr>
                </w:p>
              </w:tc>
              <w:tc>
                <w:tcPr>
                  <w:tcW w:w="829" w:type="dxa"/>
                  <w:vMerge w:val="continue"/>
                  <w:vAlign w:val="center"/>
                </w:tcPr>
                <w:p>
                  <w:pPr>
                    <w:pStyle w:val="51"/>
                    <w:adjustRightInd w:val="0"/>
                    <w:snapToGrid w:val="0"/>
                  </w:pPr>
                </w:p>
              </w:tc>
              <w:tc>
                <w:tcPr>
                  <w:tcW w:w="868" w:type="dxa"/>
                  <w:vAlign w:val="center"/>
                </w:tcPr>
                <w:p>
                  <w:pPr>
                    <w:jc w:val="center"/>
                    <w:rPr>
                      <w:szCs w:val="21"/>
                    </w:rPr>
                  </w:pPr>
                  <w:r>
                    <w:rPr>
                      <w:szCs w:val="21"/>
                    </w:rPr>
                    <w:t>32.4</w:t>
                  </w:r>
                </w:p>
              </w:tc>
              <w:tc>
                <w:tcPr>
                  <w:tcW w:w="568" w:type="dxa"/>
                  <w:vAlign w:val="center"/>
                </w:tcPr>
                <w:p>
                  <w:pPr>
                    <w:pStyle w:val="51"/>
                    <w:adjustRightInd w:val="0"/>
                    <w:snapToGrid w:val="0"/>
                  </w:pPr>
                  <w:r>
                    <w:t>1m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58" w:type="dxa"/>
                  <w:vMerge w:val="continue"/>
                  <w:vAlign w:val="center"/>
                </w:tcPr>
                <w:p>
                  <w:pPr>
                    <w:pStyle w:val="51"/>
                    <w:adjustRightInd w:val="0"/>
                    <w:snapToGrid w:val="0"/>
                  </w:pPr>
                </w:p>
              </w:tc>
              <w:tc>
                <w:tcPr>
                  <w:tcW w:w="546" w:type="dxa"/>
                  <w:vMerge w:val="continue"/>
                  <w:vAlign w:val="center"/>
                </w:tcPr>
                <w:p>
                  <w:pPr>
                    <w:pStyle w:val="51"/>
                    <w:adjustRightInd w:val="0"/>
                    <w:snapToGrid w:val="0"/>
                  </w:pPr>
                </w:p>
              </w:tc>
              <w:tc>
                <w:tcPr>
                  <w:tcW w:w="776" w:type="dxa"/>
                  <w:vMerge w:val="continue"/>
                  <w:vAlign w:val="center"/>
                </w:tcPr>
                <w:p>
                  <w:pPr>
                    <w:pStyle w:val="51"/>
                    <w:adjustRightInd w:val="0"/>
                    <w:snapToGrid w:val="0"/>
                  </w:pPr>
                </w:p>
              </w:tc>
              <w:tc>
                <w:tcPr>
                  <w:tcW w:w="778" w:type="dxa"/>
                  <w:vMerge w:val="continue"/>
                  <w:vAlign w:val="center"/>
                </w:tcPr>
                <w:p>
                  <w:pPr>
                    <w:pStyle w:val="51"/>
                    <w:adjustRightInd w:val="0"/>
                    <w:snapToGrid w:val="0"/>
                  </w:pPr>
                </w:p>
              </w:tc>
              <w:tc>
                <w:tcPr>
                  <w:tcW w:w="1515" w:type="dxa"/>
                  <w:vMerge w:val="continue"/>
                  <w:vAlign w:val="center"/>
                </w:tcPr>
                <w:p>
                  <w:pPr>
                    <w:pStyle w:val="51"/>
                    <w:adjustRightInd w:val="0"/>
                    <w:snapToGrid w:val="0"/>
                  </w:pPr>
                </w:p>
              </w:tc>
              <w:tc>
                <w:tcPr>
                  <w:tcW w:w="565" w:type="dxa"/>
                  <w:vMerge w:val="continue"/>
                  <w:vAlign w:val="center"/>
                </w:tcPr>
                <w:p>
                  <w:pPr>
                    <w:pStyle w:val="51"/>
                    <w:adjustRightInd w:val="0"/>
                    <w:snapToGrid w:val="0"/>
                  </w:pPr>
                </w:p>
              </w:tc>
              <w:tc>
                <w:tcPr>
                  <w:tcW w:w="778" w:type="dxa"/>
                  <w:vMerge w:val="continue"/>
                  <w:vAlign w:val="center"/>
                </w:tcPr>
                <w:p>
                  <w:pPr>
                    <w:pStyle w:val="51"/>
                    <w:adjustRightInd w:val="0"/>
                    <w:snapToGrid w:val="0"/>
                  </w:pPr>
                </w:p>
              </w:tc>
              <w:tc>
                <w:tcPr>
                  <w:tcW w:w="838" w:type="dxa"/>
                  <w:vMerge w:val="continue"/>
                  <w:vAlign w:val="center"/>
                </w:tcPr>
                <w:p>
                  <w:pPr>
                    <w:jc w:val="center"/>
                    <w:rPr>
                      <w:szCs w:val="21"/>
                    </w:rPr>
                  </w:pPr>
                </w:p>
              </w:tc>
              <w:tc>
                <w:tcPr>
                  <w:tcW w:w="839" w:type="dxa"/>
                  <w:vMerge w:val="continue"/>
                  <w:vAlign w:val="center"/>
                </w:tcPr>
                <w:p>
                  <w:pPr>
                    <w:jc w:val="center"/>
                    <w:rPr>
                      <w:szCs w:val="21"/>
                    </w:rPr>
                  </w:pPr>
                </w:p>
              </w:tc>
              <w:tc>
                <w:tcPr>
                  <w:tcW w:w="511" w:type="dxa"/>
                  <w:vMerge w:val="continue"/>
                  <w:vAlign w:val="center"/>
                </w:tcPr>
                <w:p>
                  <w:pPr>
                    <w:jc w:val="center"/>
                    <w:rPr>
                      <w:szCs w:val="21"/>
                    </w:rPr>
                  </w:pPr>
                </w:p>
              </w:tc>
              <w:tc>
                <w:tcPr>
                  <w:tcW w:w="511" w:type="dxa"/>
                  <w:vMerge w:val="continue"/>
                  <w:vAlign w:val="center"/>
                </w:tcPr>
                <w:p>
                  <w:pPr>
                    <w:jc w:val="center"/>
                    <w:rPr>
                      <w:szCs w:val="21"/>
                    </w:rPr>
                  </w:pPr>
                </w:p>
              </w:tc>
              <w:tc>
                <w:tcPr>
                  <w:tcW w:w="523" w:type="dxa"/>
                  <w:vMerge w:val="continue"/>
                  <w:vAlign w:val="center"/>
                </w:tcPr>
                <w:p>
                  <w:pPr>
                    <w:jc w:val="center"/>
                    <w:rPr>
                      <w:szCs w:val="21"/>
                    </w:rPr>
                  </w:pPr>
                </w:p>
              </w:tc>
              <w:tc>
                <w:tcPr>
                  <w:tcW w:w="750" w:type="dxa"/>
                  <w:vAlign w:val="center"/>
                </w:tcPr>
                <w:p>
                  <w:pPr>
                    <w:jc w:val="center"/>
                    <w:rPr>
                      <w:szCs w:val="21"/>
                    </w:rPr>
                  </w:pPr>
                  <w:r>
                    <w:rPr>
                      <w:szCs w:val="21"/>
                    </w:rPr>
                    <w:t>西14</w:t>
                  </w:r>
                </w:p>
              </w:tc>
              <w:tc>
                <w:tcPr>
                  <w:tcW w:w="721" w:type="dxa"/>
                  <w:vAlign w:val="center"/>
                </w:tcPr>
                <w:p>
                  <w:pPr>
                    <w:jc w:val="center"/>
                    <w:rPr>
                      <w:szCs w:val="21"/>
                    </w:rPr>
                  </w:pPr>
                  <w:r>
                    <w:rPr>
                      <w:szCs w:val="21"/>
                    </w:rPr>
                    <w:t>37.1</w:t>
                  </w:r>
                </w:p>
              </w:tc>
              <w:tc>
                <w:tcPr>
                  <w:tcW w:w="325" w:type="dxa"/>
                  <w:vMerge w:val="continue"/>
                  <w:vAlign w:val="center"/>
                </w:tcPr>
                <w:p>
                  <w:pPr>
                    <w:pStyle w:val="51"/>
                    <w:adjustRightInd w:val="0"/>
                    <w:snapToGrid w:val="0"/>
                  </w:pPr>
                </w:p>
              </w:tc>
              <w:tc>
                <w:tcPr>
                  <w:tcW w:w="829" w:type="dxa"/>
                  <w:vMerge w:val="continue"/>
                  <w:vAlign w:val="center"/>
                </w:tcPr>
                <w:p>
                  <w:pPr>
                    <w:pStyle w:val="51"/>
                    <w:adjustRightInd w:val="0"/>
                    <w:snapToGrid w:val="0"/>
                  </w:pPr>
                </w:p>
              </w:tc>
              <w:tc>
                <w:tcPr>
                  <w:tcW w:w="868" w:type="dxa"/>
                  <w:vAlign w:val="center"/>
                </w:tcPr>
                <w:p>
                  <w:pPr>
                    <w:jc w:val="center"/>
                    <w:rPr>
                      <w:szCs w:val="21"/>
                    </w:rPr>
                  </w:pPr>
                  <w:r>
                    <w:rPr>
                      <w:szCs w:val="21"/>
                    </w:rPr>
                    <w:t>31.1</w:t>
                  </w:r>
                </w:p>
              </w:tc>
              <w:tc>
                <w:tcPr>
                  <w:tcW w:w="568" w:type="dxa"/>
                  <w:vAlign w:val="center"/>
                </w:tcPr>
                <w:p>
                  <w:pPr>
                    <w:pStyle w:val="51"/>
                    <w:adjustRightInd w:val="0"/>
                    <w:snapToGrid w:val="0"/>
                  </w:pPr>
                  <w:r>
                    <w:t>1m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58" w:type="dxa"/>
                  <w:vMerge w:val="continue"/>
                  <w:vAlign w:val="center"/>
                </w:tcPr>
                <w:p>
                  <w:pPr>
                    <w:pStyle w:val="51"/>
                    <w:adjustRightInd w:val="0"/>
                    <w:snapToGrid w:val="0"/>
                  </w:pPr>
                </w:p>
              </w:tc>
              <w:tc>
                <w:tcPr>
                  <w:tcW w:w="546" w:type="dxa"/>
                  <w:vMerge w:val="continue"/>
                  <w:vAlign w:val="center"/>
                </w:tcPr>
                <w:p>
                  <w:pPr>
                    <w:pStyle w:val="51"/>
                    <w:adjustRightInd w:val="0"/>
                    <w:snapToGrid w:val="0"/>
                  </w:pPr>
                </w:p>
              </w:tc>
              <w:tc>
                <w:tcPr>
                  <w:tcW w:w="776" w:type="dxa"/>
                  <w:vMerge w:val="continue"/>
                  <w:vAlign w:val="center"/>
                </w:tcPr>
                <w:p>
                  <w:pPr>
                    <w:pStyle w:val="51"/>
                    <w:adjustRightInd w:val="0"/>
                    <w:snapToGrid w:val="0"/>
                  </w:pPr>
                </w:p>
              </w:tc>
              <w:tc>
                <w:tcPr>
                  <w:tcW w:w="778" w:type="dxa"/>
                  <w:vMerge w:val="continue"/>
                  <w:vAlign w:val="center"/>
                </w:tcPr>
                <w:p>
                  <w:pPr>
                    <w:pStyle w:val="51"/>
                    <w:adjustRightInd w:val="0"/>
                    <w:snapToGrid w:val="0"/>
                  </w:pPr>
                </w:p>
              </w:tc>
              <w:tc>
                <w:tcPr>
                  <w:tcW w:w="1515" w:type="dxa"/>
                  <w:vMerge w:val="continue"/>
                  <w:vAlign w:val="center"/>
                </w:tcPr>
                <w:p>
                  <w:pPr>
                    <w:pStyle w:val="51"/>
                    <w:adjustRightInd w:val="0"/>
                    <w:snapToGrid w:val="0"/>
                  </w:pPr>
                </w:p>
              </w:tc>
              <w:tc>
                <w:tcPr>
                  <w:tcW w:w="565" w:type="dxa"/>
                  <w:vMerge w:val="continue"/>
                  <w:vAlign w:val="center"/>
                </w:tcPr>
                <w:p>
                  <w:pPr>
                    <w:pStyle w:val="51"/>
                    <w:adjustRightInd w:val="0"/>
                    <w:snapToGrid w:val="0"/>
                  </w:pPr>
                </w:p>
              </w:tc>
              <w:tc>
                <w:tcPr>
                  <w:tcW w:w="778" w:type="dxa"/>
                  <w:vMerge w:val="continue"/>
                  <w:vAlign w:val="center"/>
                </w:tcPr>
                <w:p>
                  <w:pPr>
                    <w:pStyle w:val="51"/>
                    <w:adjustRightInd w:val="0"/>
                    <w:snapToGrid w:val="0"/>
                  </w:pPr>
                </w:p>
              </w:tc>
              <w:tc>
                <w:tcPr>
                  <w:tcW w:w="838" w:type="dxa"/>
                  <w:vMerge w:val="continue"/>
                  <w:vAlign w:val="center"/>
                </w:tcPr>
                <w:p>
                  <w:pPr>
                    <w:jc w:val="center"/>
                    <w:rPr>
                      <w:szCs w:val="21"/>
                    </w:rPr>
                  </w:pPr>
                </w:p>
              </w:tc>
              <w:tc>
                <w:tcPr>
                  <w:tcW w:w="839" w:type="dxa"/>
                  <w:vMerge w:val="continue"/>
                  <w:vAlign w:val="center"/>
                </w:tcPr>
                <w:p>
                  <w:pPr>
                    <w:jc w:val="center"/>
                    <w:rPr>
                      <w:szCs w:val="21"/>
                    </w:rPr>
                  </w:pPr>
                </w:p>
              </w:tc>
              <w:tc>
                <w:tcPr>
                  <w:tcW w:w="511" w:type="dxa"/>
                  <w:vMerge w:val="continue"/>
                  <w:vAlign w:val="center"/>
                </w:tcPr>
                <w:p>
                  <w:pPr>
                    <w:jc w:val="center"/>
                    <w:rPr>
                      <w:szCs w:val="21"/>
                    </w:rPr>
                  </w:pPr>
                </w:p>
              </w:tc>
              <w:tc>
                <w:tcPr>
                  <w:tcW w:w="511" w:type="dxa"/>
                  <w:vMerge w:val="continue"/>
                  <w:vAlign w:val="center"/>
                </w:tcPr>
                <w:p>
                  <w:pPr>
                    <w:jc w:val="center"/>
                    <w:rPr>
                      <w:szCs w:val="21"/>
                    </w:rPr>
                  </w:pPr>
                </w:p>
              </w:tc>
              <w:tc>
                <w:tcPr>
                  <w:tcW w:w="523" w:type="dxa"/>
                  <w:vMerge w:val="continue"/>
                  <w:vAlign w:val="center"/>
                </w:tcPr>
                <w:p>
                  <w:pPr>
                    <w:jc w:val="center"/>
                    <w:rPr>
                      <w:szCs w:val="21"/>
                    </w:rPr>
                  </w:pPr>
                </w:p>
              </w:tc>
              <w:tc>
                <w:tcPr>
                  <w:tcW w:w="750" w:type="dxa"/>
                  <w:vAlign w:val="center"/>
                </w:tcPr>
                <w:p>
                  <w:pPr>
                    <w:jc w:val="center"/>
                    <w:rPr>
                      <w:szCs w:val="21"/>
                    </w:rPr>
                  </w:pPr>
                  <w:r>
                    <w:rPr>
                      <w:szCs w:val="21"/>
                    </w:rPr>
                    <w:t>北32</w:t>
                  </w:r>
                </w:p>
              </w:tc>
              <w:tc>
                <w:tcPr>
                  <w:tcW w:w="721" w:type="dxa"/>
                  <w:vAlign w:val="center"/>
                </w:tcPr>
                <w:p>
                  <w:pPr>
                    <w:jc w:val="center"/>
                    <w:rPr>
                      <w:szCs w:val="21"/>
                    </w:rPr>
                  </w:pPr>
                  <w:r>
                    <w:rPr>
                      <w:szCs w:val="21"/>
                    </w:rPr>
                    <w:t>29.9</w:t>
                  </w:r>
                </w:p>
              </w:tc>
              <w:tc>
                <w:tcPr>
                  <w:tcW w:w="325" w:type="dxa"/>
                  <w:vMerge w:val="continue"/>
                  <w:vAlign w:val="center"/>
                </w:tcPr>
                <w:p>
                  <w:pPr>
                    <w:pStyle w:val="51"/>
                    <w:adjustRightInd w:val="0"/>
                    <w:snapToGrid w:val="0"/>
                  </w:pPr>
                </w:p>
              </w:tc>
              <w:tc>
                <w:tcPr>
                  <w:tcW w:w="829" w:type="dxa"/>
                  <w:vMerge w:val="continue"/>
                  <w:vAlign w:val="center"/>
                </w:tcPr>
                <w:p>
                  <w:pPr>
                    <w:pStyle w:val="51"/>
                    <w:adjustRightInd w:val="0"/>
                    <w:snapToGrid w:val="0"/>
                  </w:pPr>
                </w:p>
              </w:tc>
              <w:tc>
                <w:tcPr>
                  <w:tcW w:w="868" w:type="dxa"/>
                  <w:vAlign w:val="center"/>
                </w:tcPr>
                <w:p>
                  <w:pPr>
                    <w:jc w:val="center"/>
                    <w:rPr>
                      <w:szCs w:val="21"/>
                    </w:rPr>
                  </w:pPr>
                  <w:r>
                    <w:rPr>
                      <w:szCs w:val="21"/>
                    </w:rPr>
                    <w:t>23.9</w:t>
                  </w:r>
                </w:p>
              </w:tc>
              <w:tc>
                <w:tcPr>
                  <w:tcW w:w="568" w:type="dxa"/>
                  <w:vAlign w:val="center"/>
                </w:tcPr>
                <w:p>
                  <w:pPr>
                    <w:pStyle w:val="51"/>
                    <w:adjustRightInd w:val="0"/>
                    <w:snapToGrid w:val="0"/>
                  </w:pPr>
                  <w:r>
                    <w:t>1m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58" w:type="dxa"/>
                  <w:vMerge w:val="restart"/>
                  <w:vAlign w:val="center"/>
                </w:tcPr>
                <w:p>
                  <w:pPr>
                    <w:pStyle w:val="51"/>
                    <w:adjustRightInd w:val="0"/>
                    <w:snapToGrid w:val="0"/>
                  </w:pPr>
                  <w:r>
                    <w:t>2</w:t>
                  </w:r>
                </w:p>
              </w:tc>
              <w:tc>
                <w:tcPr>
                  <w:tcW w:w="546" w:type="dxa"/>
                  <w:vMerge w:val="continue"/>
                  <w:vAlign w:val="center"/>
                </w:tcPr>
                <w:p>
                  <w:pPr>
                    <w:pStyle w:val="51"/>
                    <w:adjustRightInd w:val="0"/>
                    <w:snapToGrid w:val="0"/>
                  </w:pPr>
                </w:p>
              </w:tc>
              <w:tc>
                <w:tcPr>
                  <w:tcW w:w="776" w:type="dxa"/>
                  <w:vMerge w:val="restart"/>
                  <w:vAlign w:val="center"/>
                </w:tcPr>
                <w:p>
                  <w:pPr>
                    <w:pStyle w:val="51"/>
                    <w:adjustRightInd w:val="0"/>
                    <w:snapToGrid w:val="0"/>
                  </w:pPr>
                  <w:r>
                    <w:rPr>
                      <w:spacing w:val="-2"/>
                    </w:rPr>
                    <w:t>普通离心机</w:t>
                  </w:r>
                </w:p>
              </w:tc>
              <w:tc>
                <w:tcPr>
                  <w:tcW w:w="778" w:type="dxa"/>
                  <w:vMerge w:val="restart"/>
                  <w:vAlign w:val="center"/>
                </w:tcPr>
                <w:p>
                  <w:pPr>
                    <w:pStyle w:val="51"/>
                    <w:adjustRightInd w:val="0"/>
                    <w:snapToGrid w:val="0"/>
                  </w:pPr>
                  <w:r>
                    <w:t>TG-16</w:t>
                  </w:r>
                </w:p>
              </w:tc>
              <w:tc>
                <w:tcPr>
                  <w:tcW w:w="1515" w:type="dxa"/>
                  <w:vMerge w:val="restart"/>
                  <w:vAlign w:val="center"/>
                </w:tcPr>
                <w:p>
                  <w:pPr>
                    <w:pStyle w:val="51"/>
                    <w:adjustRightInd w:val="0"/>
                    <w:snapToGrid w:val="0"/>
                  </w:pPr>
                  <w:r>
                    <w:t>80/1</w:t>
                  </w:r>
                </w:p>
              </w:tc>
              <w:tc>
                <w:tcPr>
                  <w:tcW w:w="565" w:type="dxa"/>
                  <w:vMerge w:val="restart"/>
                  <w:vAlign w:val="center"/>
                </w:tcPr>
                <w:p>
                  <w:pPr>
                    <w:pStyle w:val="51"/>
                    <w:adjustRightInd w:val="0"/>
                    <w:snapToGrid w:val="0"/>
                  </w:pPr>
                  <w:r>
                    <w:t>1</w:t>
                  </w:r>
                </w:p>
              </w:tc>
              <w:tc>
                <w:tcPr>
                  <w:tcW w:w="778" w:type="dxa"/>
                  <w:vMerge w:val="restart"/>
                  <w:vAlign w:val="center"/>
                </w:tcPr>
                <w:p>
                  <w:pPr>
                    <w:jc w:val="center"/>
                    <w:rPr>
                      <w:szCs w:val="21"/>
                    </w:rPr>
                  </w:pPr>
                  <w:r>
                    <w:rPr>
                      <w:color w:val="000000"/>
                      <w:szCs w:val="21"/>
                    </w:rPr>
                    <w:t>隔声罩壳、</w:t>
                  </w:r>
                  <w:r>
                    <w:rPr>
                      <w:rFonts w:hint="eastAsia"/>
                      <w:color w:val="000000"/>
                      <w:szCs w:val="21"/>
                    </w:rPr>
                    <w:t>房间</w:t>
                  </w:r>
                  <w:r>
                    <w:rPr>
                      <w:color w:val="000000"/>
                      <w:szCs w:val="21"/>
                    </w:rPr>
                    <w:t>隔声</w:t>
                  </w:r>
                </w:p>
              </w:tc>
              <w:tc>
                <w:tcPr>
                  <w:tcW w:w="838" w:type="dxa"/>
                  <w:vMerge w:val="restart"/>
                  <w:vAlign w:val="center"/>
                </w:tcPr>
                <w:p>
                  <w:pPr>
                    <w:jc w:val="center"/>
                    <w:rPr>
                      <w:szCs w:val="21"/>
                    </w:rPr>
                  </w:pPr>
                  <w:r>
                    <w:rPr>
                      <w:szCs w:val="21"/>
                    </w:rPr>
                    <w:t>55</w:t>
                  </w:r>
                </w:p>
              </w:tc>
              <w:tc>
                <w:tcPr>
                  <w:tcW w:w="839" w:type="dxa"/>
                  <w:vMerge w:val="restart"/>
                  <w:vAlign w:val="center"/>
                </w:tcPr>
                <w:p>
                  <w:pPr>
                    <w:pStyle w:val="51"/>
                    <w:adjustRightInd w:val="0"/>
                    <w:snapToGrid w:val="0"/>
                  </w:pPr>
                  <w:r>
                    <w:t>55</w:t>
                  </w:r>
                </w:p>
              </w:tc>
              <w:tc>
                <w:tcPr>
                  <w:tcW w:w="511" w:type="dxa"/>
                  <w:vMerge w:val="restart"/>
                  <w:vAlign w:val="center"/>
                </w:tcPr>
                <w:p>
                  <w:pPr>
                    <w:jc w:val="center"/>
                    <w:rPr>
                      <w:szCs w:val="21"/>
                    </w:rPr>
                  </w:pPr>
                  <w:r>
                    <w:rPr>
                      <w:szCs w:val="21"/>
                    </w:rPr>
                    <w:t>25</w:t>
                  </w:r>
                </w:p>
              </w:tc>
              <w:tc>
                <w:tcPr>
                  <w:tcW w:w="511" w:type="dxa"/>
                  <w:vMerge w:val="restart"/>
                  <w:vAlign w:val="center"/>
                </w:tcPr>
                <w:p>
                  <w:pPr>
                    <w:jc w:val="center"/>
                    <w:rPr>
                      <w:szCs w:val="21"/>
                    </w:rPr>
                  </w:pPr>
                  <w:r>
                    <w:rPr>
                      <w:szCs w:val="21"/>
                    </w:rPr>
                    <w:t>16</w:t>
                  </w:r>
                </w:p>
              </w:tc>
              <w:tc>
                <w:tcPr>
                  <w:tcW w:w="523" w:type="dxa"/>
                  <w:vMerge w:val="restart"/>
                  <w:vAlign w:val="center"/>
                </w:tcPr>
                <w:p>
                  <w:pPr>
                    <w:jc w:val="center"/>
                    <w:rPr>
                      <w:szCs w:val="21"/>
                    </w:rPr>
                  </w:pPr>
                  <w:r>
                    <w:rPr>
                      <w:szCs w:val="21"/>
                    </w:rPr>
                    <w:t>6.6</w:t>
                  </w:r>
                </w:p>
              </w:tc>
              <w:tc>
                <w:tcPr>
                  <w:tcW w:w="750" w:type="dxa"/>
                  <w:vAlign w:val="center"/>
                </w:tcPr>
                <w:p>
                  <w:pPr>
                    <w:jc w:val="center"/>
                    <w:rPr>
                      <w:szCs w:val="21"/>
                    </w:rPr>
                  </w:pPr>
                  <w:r>
                    <w:rPr>
                      <w:szCs w:val="21"/>
                    </w:rPr>
                    <w:t>东16</w:t>
                  </w:r>
                </w:p>
              </w:tc>
              <w:tc>
                <w:tcPr>
                  <w:tcW w:w="721" w:type="dxa"/>
                  <w:vAlign w:val="center"/>
                </w:tcPr>
                <w:p>
                  <w:pPr>
                    <w:jc w:val="center"/>
                    <w:rPr>
                      <w:szCs w:val="21"/>
                    </w:rPr>
                  </w:pPr>
                  <w:r>
                    <w:rPr>
                      <w:szCs w:val="21"/>
                    </w:rPr>
                    <w:t>30.9</w:t>
                  </w:r>
                </w:p>
              </w:tc>
              <w:tc>
                <w:tcPr>
                  <w:tcW w:w="325" w:type="dxa"/>
                  <w:vMerge w:val="restart"/>
                  <w:vAlign w:val="center"/>
                </w:tcPr>
                <w:p>
                  <w:pPr>
                    <w:pStyle w:val="51"/>
                    <w:adjustRightInd w:val="0"/>
                    <w:snapToGrid w:val="0"/>
                  </w:pPr>
                  <w:r>
                    <w:t>持续运行</w:t>
                  </w:r>
                </w:p>
              </w:tc>
              <w:tc>
                <w:tcPr>
                  <w:tcW w:w="829" w:type="dxa"/>
                  <w:vMerge w:val="restart"/>
                  <w:vAlign w:val="center"/>
                </w:tcPr>
                <w:p>
                  <w:pPr>
                    <w:pStyle w:val="51"/>
                    <w:adjustRightInd w:val="0"/>
                    <w:snapToGrid w:val="0"/>
                  </w:pPr>
                  <w:r>
                    <w:t>6</w:t>
                  </w:r>
                </w:p>
              </w:tc>
              <w:tc>
                <w:tcPr>
                  <w:tcW w:w="868" w:type="dxa"/>
                  <w:vAlign w:val="center"/>
                </w:tcPr>
                <w:p>
                  <w:pPr>
                    <w:jc w:val="center"/>
                    <w:rPr>
                      <w:szCs w:val="21"/>
                    </w:rPr>
                  </w:pPr>
                  <w:r>
                    <w:rPr>
                      <w:szCs w:val="21"/>
                    </w:rPr>
                    <w:t>24.9</w:t>
                  </w:r>
                </w:p>
              </w:tc>
              <w:tc>
                <w:tcPr>
                  <w:tcW w:w="568" w:type="dxa"/>
                  <w:vAlign w:val="center"/>
                </w:tcPr>
                <w:p>
                  <w:pPr>
                    <w:pStyle w:val="51"/>
                    <w:adjustRightInd w:val="0"/>
                    <w:snapToGrid w:val="0"/>
                  </w:pPr>
                  <w:r>
                    <w:t>1m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58" w:type="dxa"/>
                  <w:vMerge w:val="continue"/>
                  <w:vAlign w:val="center"/>
                </w:tcPr>
                <w:p>
                  <w:pPr>
                    <w:pStyle w:val="51"/>
                    <w:adjustRightInd w:val="0"/>
                    <w:snapToGrid w:val="0"/>
                  </w:pPr>
                </w:p>
              </w:tc>
              <w:tc>
                <w:tcPr>
                  <w:tcW w:w="546" w:type="dxa"/>
                  <w:vMerge w:val="continue"/>
                  <w:vAlign w:val="center"/>
                </w:tcPr>
                <w:p>
                  <w:pPr>
                    <w:pStyle w:val="51"/>
                    <w:adjustRightInd w:val="0"/>
                    <w:snapToGrid w:val="0"/>
                  </w:pPr>
                </w:p>
              </w:tc>
              <w:tc>
                <w:tcPr>
                  <w:tcW w:w="776" w:type="dxa"/>
                  <w:vMerge w:val="continue"/>
                  <w:vAlign w:val="center"/>
                </w:tcPr>
                <w:p>
                  <w:pPr>
                    <w:pStyle w:val="51"/>
                    <w:adjustRightInd w:val="0"/>
                    <w:snapToGrid w:val="0"/>
                  </w:pPr>
                </w:p>
              </w:tc>
              <w:tc>
                <w:tcPr>
                  <w:tcW w:w="778" w:type="dxa"/>
                  <w:vMerge w:val="continue"/>
                  <w:vAlign w:val="center"/>
                </w:tcPr>
                <w:p>
                  <w:pPr>
                    <w:pStyle w:val="51"/>
                    <w:adjustRightInd w:val="0"/>
                    <w:snapToGrid w:val="0"/>
                    <w:rPr>
                      <w:rFonts w:eastAsia="MS Gothic"/>
                    </w:rPr>
                  </w:pPr>
                </w:p>
              </w:tc>
              <w:tc>
                <w:tcPr>
                  <w:tcW w:w="1515" w:type="dxa"/>
                  <w:vMerge w:val="continue"/>
                  <w:vAlign w:val="center"/>
                </w:tcPr>
                <w:p>
                  <w:pPr>
                    <w:pStyle w:val="51"/>
                    <w:adjustRightInd w:val="0"/>
                    <w:snapToGrid w:val="0"/>
                  </w:pPr>
                </w:p>
              </w:tc>
              <w:tc>
                <w:tcPr>
                  <w:tcW w:w="565" w:type="dxa"/>
                  <w:vMerge w:val="continue"/>
                  <w:vAlign w:val="center"/>
                </w:tcPr>
                <w:p>
                  <w:pPr>
                    <w:pStyle w:val="51"/>
                    <w:adjustRightInd w:val="0"/>
                    <w:snapToGrid w:val="0"/>
                    <w:rPr>
                      <w:highlight w:val="yellow"/>
                    </w:rPr>
                  </w:pPr>
                </w:p>
              </w:tc>
              <w:tc>
                <w:tcPr>
                  <w:tcW w:w="778" w:type="dxa"/>
                  <w:vMerge w:val="continue"/>
                  <w:vAlign w:val="center"/>
                </w:tcPr>
                <w:p>
                  <w:pPr>
                    <w:jc w:val="center"/>
                    <w:rPr>
                      <w:szCs w:val="21"/>
                    </w:rPr>
                  </w:pPr>
                </w:p>
              </w:tc>
              <w:tc>
                <w:tcPr>
                  <w:tcW w:w="838" w:type="dxa"/>
                  <w:vMerge w:val="continue"/>
                  <w:vAlign w:val="center"/>
                </w:tcPr>
                <w:p>
                  <w:pPr>
                    <w:jc w:val="center"/>
                    <w:rPr>
                      <w:szCs w:val="21"/>
                    </w:rPr>
                  </w:pPr>
                </w:p>
              </w:tc>
              <w:tc>
                <w:tcPr>
                  <w:tcW w:w="839" w:type="dxa"/>
                  <w:vMerge w:val="continue"/>
                  <w:vAlign w:val="center"/>
                </w:tcPr>
                <w:p>
                  <w:pPr>
                    <w:pStyle w:val="51"/>
                    <w:adjustRightInd w:val="0"/>
                    <w:snapToGrid w:val="0"/>
                  </w:pPr>
                </w:p>
              </w:tc>
              <w:tc>
                <w:tcPr>
                  <w:tcW w:w="511" w:type="dxa"/>
                  <w:vMerge w:val="continue"/>
                  <w:vAlign w:val="center"/>
                </w:tcPr>
                <w:p>
                  <w:pPr>
                    <w:jc w:val="center"/>
                    <w:rPr>
                      <w:szCs w:val="21"/>
                    </w:rPr>
                  </w:pPr>
                </w:p>
              </w:tc>
              <w:tc>
                <w:tcPr>
                  <w:tcW w:w="511" w:type="dxa"/>
                  <w:vMerge w:val="continue"/>
                  <w:vAlign w:val="center"/>
                </w:tcPr>
                <w:p>
                  <w:pPr>
                    <w:jc w:val="center"/>
                    <w:rPr>
                      <w:szCs w:val="21"/>
                    </w:rPr>
                  </w:pPr>
                </w:p>
              </w:tc>
              <w:tc>
                <w:tcPr>
                  <w:tcW w:w="523" w:type="dxa"/>
                  <w:vMerge w:val="continue"/>
                  <w:vAlign w:val="center"/>
                </w:tcPr>
                <w:p>
                  <w:pPr>
                    <w:jc w:val="center"/>
                    <w:rPr>
                      <w:szCs w:val="21"/>
                    </w:rPr>
                  </w:pPr>
                </w:p>
              </w:tc>
              <w:tc>
                <w:tcPr>
                  <w:tcW w:w="750" w:type="dxa"/>
                  <w:vAlign w:val="center"/>
                </w:tcPr>
                <w:p>
                  <w:pPr>
                    <w:jc w:val="center"/>
                    <w:rPr>
                      <w:szCs w:val="21"/>
                    </w:rPr>
                  </w:pPr>
                  <w:r>
                    <w:rPr>
                      <w:szCs w:val="21"/>
                    </w:rPr>
                    <w:t>南17</w:t>
                  </w:r>
                </w:p>
              </w:tc>
              <w:tc>
                <w:tcPr>
                  <w:tcW w:w="721" w:type="dxa"/>
                  <w:vAlign w:val="center"/>
                </w:tcPr>
                <w:p>
                  <w:pPr>
                    <w:jc w:val="center"/>
                    <w:rPr>
                      <w:szCs w:val="21"/>
                    </w:rPr>
                  </w:pPr>
                  <w:r>
                    <w:rPr>
                      <w:szCs w:val="21"/>
                    </w:rPr>
                    <w:t>30.4</w:t>
                  </w:r>
                </w:p>
              </w:tc>
              <w:tc>
                <w:tcPr>
                  <w:tcW w:w="325" w:type="dxa"/>
                  <w:vMerge w:val="continue"/>
                  <w:vAlign w:val="center"/>
                </w:tcPr>
                <w:p>
                  <w:pPr>
                    <w:pStyle w:val="51"/>
                    <w:adjustRightInd w:val="0"/>
                    <w:snapToGrid w:val="0"/>
                  </w:pPr>
                </w:p>
              </w:tc>
              <w:tc>
                <w:tcPr>
                  <w:tcW w:w="829" w:type="dxa"/>
                  <w:vMerge w:val="continue"/>
                  <w:vAlign w:val="center"/>
                </w:tcPr>
                <w:p>
                  <w:pPr>
                    <w:pStyle w:val="51"/>
                    <w:adjustRightInd w:val="0"/>
                    <w:snapToGrid w:val="0"/>
                  </w:pPr>
                </w:p>
              </w:tc>
              <w:tc>
                <w:tcPr>
                  <w:tcW w:w="868" w:type="dxa"/>
                  <w:vAlign w:val="center"/>
                </w:tcPr>
                <w:p>
                  <w:pPr>
                    <w:jc w:val="center"/>
                    <w:rPr>
                      <w:szCs w:val="21"/>
                    </w:rPr>
                  </w:pPr>
                  <w:r>
                    <w:rPr>
                      <w:szCs w:val="21"/>
                    </w:rPr>
                    <w:t>24.4</w:t>
                  </w:r>
                </w:p>
              </w:tc>
              <w:tc>
                <w:tcPr>
                  <w:tcW w:w="568" w:type="dxa"/>
                  <w:vAlign w:val="center"/>
                </w:tcPr>
                <w:p>
                  <w:pPr>
                    <w:pStyle w:val="51"/>
                    <w:adjustRightInd w:val="0"/>
                    <w:snapToGrid w:val="0"/>
                  </w:pPr>
                  <w:r>
                    <w:t>1m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58" w:type="dxa"/>
                  <w:vMerge w:val="continue"/>
                  <w:vAlign w:val="center"/>
                </w:tcPr>
                <w:p>
                  <w:pPr>
                    <w:pStyle w:val="51"/>
                    <w:adjustRightInd w:val="0"/>
                    <w:snapToGrid w:val="0"/>
                  </w:pPr>
                </w:p>
              </w:tc>
              <w:tc>
                <w:tcPr>
                  <w:tcW w:w="546" w:type="dxa"/>
                  <w:vMerge w:val="continue"/>
                  <w:vAlign w:val="center"/>
                </w:tcPr>
                <w:p>
                  <w:pPr>
                    <w:pStyle w:val="51"/>
                    <w:adjustRightInd w:val="0"/>
                    <w:snapToGrid w:val="0"/>
                  </w:pPr>
                </w:p>
              </w:tc>
              <w:tc>
                <w:tcPr>
                  <w:tcW w:w="776" w:type="dxa"/>
                  <w:vMerge w:val="continue"/>
                  <w:vAlign w:val="center"/>
                </w:tcPr>
                <w:p>
                  <w:pPr>
                    <w:pStyle w:val="51"/>
                    <w:adjustRightInd w:val="0"/>
                    <w:snapToGrid w:val="0"/>
                  </w:pPr>
                </w:p>
              </w:tc>
              <w:tc>
                <w:tcPr>
                  <w:tcW w:w="778" w:type="dxa"/>
                  <w:vMerge w:val="continue"/>
                  <w:vAlign w:val="center"/>
                </w:tcPr>
                <w:p>
                  <w:pPr>
                    <w:pStyle w:val="51"/>
                    <w:adjustRightInd w:val="0"/>
                    <w:snapToGrid w:val="0"/>
                    <w:rPr>
                      <w:rFonts w:eastAsia="MS Gothic"/>
                    </w:rPr>
                  </w:pPr>
                </w:p>
              </w:tc>
              <w:tc>
                <w:tcPr>
                  <w:tcW w:w="1515" w:type="dxa"/>
                  <w:vMerge w:val="continue"/>
                  <w:vAlign w:val="center"/>
                </w:tcPr>
                <w:p>
                  <w:pPr>
                    <w:pStyle w:val="51"/>
                    <w:adjustRightInd w:val="0"/>
                    <w:snapToGrid w:val="0"/>
                  </w:pPr>
                </w:p>
              </w:tc>
              <w:tc>
                <w:tcPr>
                  <w:tcW w:w="565" w:type="dxa"/>
                  <w:vMerge w:val="continue"/>
                  <w:vAlign w:val="center"/>
                </w:tcPr>
                <w:p>
                  <w:pPr>
                    <w:pStyle w:val="51"/>
                    <w:adjustRightInd w:val="0"/>
                    <w:snapToGrid w:val="0"/>
                    <w:rPr>
                      <w:highlight w:val="yellow"/>
                    </w:rPr>
                  </w:pPr>
                </w:p>
              </w:tc>
              <w:tc>
                <w:tcPr>
                  <w:tcW w:w="778" w:type="dxa"/>
                  <w:vMerge w:val="continue"/>
                  <w:vAlign w:val="center"/>
                </w:tcPr>
                <w:p>
                  <w:pPr>
                    <w:jc w:val="center"/>
                    <w:rPr>
                      <w:szCs w:val="21"/>
                    </w:rPr>
                  </w:pPr>
                </w:p>
              </w:tc>
              <w:tc>
                <w:tcPr>
                  <w:tcW w:w="838" w:type="dxa"/>
                  <w:vMerge w:val="continue"/>
                  <w:vAlign w:val="center"/>
                </w:tcPr>
                <w:p>
                  <w:pPr>
                    <w:jc w:val="center"/>
                    <w:rPr>
                      <w:szCs w:val="21"/>
                    </w:rPr>
                  </w:pPr>
                </w:p>
              </w:tc>
              <w:tc>
                <w:tcPr>
                  <w:tcW w:w="839" w:type="dxa"/>
                  <w:vMerge w:val="continue"/>
                  <w:vAlign w:val="center"/>
                </w:tcPr>
                <w:p>
                  <w:pPr>
                    <w:pStyle w:val="51"/>
                    <w:adjustRightInd w:val="0"/>
                    <w:snapToGrid w:val="0"/>
                  </w:pPr>
                </w:p>
              </w:tc>
              <w:tc>
                <w:tcPr>
                  <w:tcW w:w="511" w:type="dxa"/>
                  <w:vMerge w:val="continue"/>
                  <w:vAlign w:val="center"/>
                </w:tcPr>
                <w:p>
                  <w:pPr>
                    <w:jc w:val="center"/>
                    <w:rPr>
                      <w:szCs w:val="21"/>
                    </w:rPr>
                  </w:pPr>
                </w:p>
              </w:tc>
              <w:tc>
                <w:tcPr>
                  <w:tcW w:w="511" w:type="dxa"/>
                  <w:vMerge w:val="continue"/>
                  <w:vAlign w:val="center"/>
                </w:tcPr>
                <w:p>
                  <w:pPr>
                    <w:jc w:val="center"/>
                    <w:rPr>
                      <w:szCs w:val="21"/>
                    </w:rPr>
                  </w:pPr>
                </w:p>
              </w:tc>
              <w:tc>
                <w:tcPr>
                  <w:tcW w:w="523" w:type="dxa"/>
                  <w:vMerge w:val="continue"/>
                  <w:vAlign w:val="center"/>
                </w:tcPr>
                <w:p>
                  <w:pPr>
                    <w:jc w:val="center"/>
                    <w:rPr>
                      <w:szCs w:val="21"/>
                    </w:rPr>
                  </w:pPr>
                </w:p>
              </w:tc>
              <w:tc>
                <w:tcPr>
                  <w:tcW w:w="750" w:type="dxa"/>
                  <w:vAlign w:val="center"/>
                </w:tcPr>
                <w:p>
                  <w:pPr>
                    <w:jc w:val="center"/>
                    <w:rPr>
                      <w:szCs w:val="21"/>
                    </w:rPr>
                  </w:pPr>
                  <w:r>
                    <w:rPr>
                      <w:szCs w:val="21"/>
                    </w:rPr>
                    <w:t>西6</w:t>
                  </w:r>
                </w:p>
              </w:tc>
              <w:tc>
                <w:tcPr>
                  <w:tcW w:w="721" w:type="dxa"/>
                  <w:vAlign w:val="center"/>
                </w:tcPr>
                <w:p>
                  <w:pPr>
                    <w:jc w:val="center"/>
                    <w:rPr>
                      <w:szCs w:val="21"/>
                    </w:rPr>
                  </w:pPr>
                  <w:r>
                    <w:rPr>
                      <w:szCs w:val="21"/>
                    </w:rPr>
                    <w:t>39.4</w:t>
                  </w:r>
                </w:p>
              </w:tc>
              <w:tc>
                <w:tcPr>
                  <w:tcW w:w="325" w:type="dxa"/>
                  <w:vMerge w:val="continue"/>
                  <w:vAlign w:val="center"/>
                </w:tcPr>
                <w:p>
                  <w:pPr>
                    <w:pStyle w:val="51"/>
                    <w:adjustRightInd w:val="0"/>
                    <w:snapToGrid w:val="0"/>
                  </w:pPr>
                </w:p>
              </w:tc>
              <w:tc>
                <w:tcPr>
                  <w:tcW w:w="829" w:type="dxa"/>
                  <w:vMerge w:val="continue"/>
                  <w:vAlign w:val="center"/>
                </w:tcPr>
                <w:p>
                  <w:pPr>
                    <w:pStyle w:val="51"/>
                    <w:adjustRightInd w:val="0"/>
                    <w:snapToGrid w:val="0"/>
                  </w:pPr>
                </w:p>
              </w:tc>
              <w:tc>
                <w:tcPr>
                  <w:tcW w:w="868" w:type="dxa"/>
                  <w:vAlign w:val="center"/>
                </w:tcPr>
                <w:p>
                  <w:pPr>
                    <w:jc w:val="center"/>
                    <w:rPr>
                      <w:szCs w:val="21"/>
                    </w:rPr>
                  </w:pPr>
                  <w:r>
                    <w:rPr>
                      <w:szCs w:val="21"/>
                    </w:rPr>
                    <w:t>33.4</w:t>
                  </w:r>
                </w:p>
              </w:tc>
              <w:tc>
                <w:tcPr>
                  <w:tcW w:w="568" w:type="dxa"/>
                  <w:vAlign w:val="center"/>
                </w:tcPr>
                <w:p>
                  <w:pPr>
                    <w:pStyle w:val="51"/>
                    <w:adjustRightInd w:val="0"/>
                    <w:snapToGrid w:val="0"/>
                  </w:pPr>
                  <w:r>
                    <w:t>1m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58" w:type="dxa"/>
                  <w:vMerge w:val="continue"/>
                  <w:vAlign w:val="center"/>
                </w:tcPr>
                <w:p>
                  <w:pPr>
                    <w:pStyle w:val="51"/>
                    <w:adjustRightInd w:val="0"/>
                    <w:snapToGrid w:val="0"/>
                  </w:pPr>
                </w:p>
              </w:tc>
              <w:tc>
                <w:tcPr>
                  <w:tcW w:w="546" w:type="dxa"/>
                  <w:vMerge w:val="continue"/>
                  <w:vAlign w:val="center"/>
                </w:tcPr>
                <w:p>
                  <w:pPr>
                    <w:pStyle w:val="51"/>
                    <w:adjustRightInd w:val="0"/>
                    <w:snapToGrid w:val="0"/>
                  </w:pPr>
                </w:p>
              </w:tc>
              <w:tc>
                <w:tcPr>
                  <w:tcW w:w="776" w:type="dxa"/>
                  <w:vMerge w:val="continue"/>
                  <w:vAlign w:val="center"/>
                </w:tcPr>
                <w:p>
                  <w:pPr>
                    <w:pStyle w:val="51"/>
                    <w:adjustRightInd w:val="0"/>
                    <w:snapToGrid w:val="0"/>
                  </w:pPr>
                </w:p>
              </w:tc>
              <w:tc>
                <w:tcPr>
                  <w:tcW w:w="778" w:type="dxa"/>
                  <w:vMerge w:val="continue"/>
                  <w:vAlign w:val="center"/>
                </w:tcPr>
                <w:p>
                  <w:pPr>
                    <w:pStyle w:val="51"/>
                    <w:adjustRightInd w:val="0"/>
                    <w:snapToGrid w:val="0"/>
                    <w:rPr>
                      <w:rFonts w:eastAsia="MS Gothic"/>
                    </w:rPr>
                  </w:pPr>
                </w:p>
              </w:tc>
              <w:tc>
                <w:tcPr>
                  <w:tcW w:w="1515" w:type="dxa"/>
                  <w:vMerge w:val="continue"/>
                  <w:vAlign w:val="center"/>
                </w:tcPr>
                <w:p>
                  <w:pPr>
                    <w:pStyle w:val="51"/>
                    <w:adjustRightInd w:val="0"/>
                    <w:snapToGrid w:val="0"/>
                  </w:pPr>
                </w:p>
              </w:tc>
              <w:tc>
                <w:tcPr>
                  <w:tcW w:w="565" w:type="dxa"/>
                  <w:vMerge w:val="continue"/>
                  <w:vAlign w:val="center"/>
                </w:tcPr>
                <w:p>
                  <w:pPr>
                    <w:pStyle w:val="51"/>
                    <w:adjustRightInd w:val="0"/>
                    <w:snapToGrid w:val="0"/>
                    <w:rPr>
                      <w:highlight w:val="yellow"/>
                    </w:rPr>
                  </w:pPr>
                </w:p>
              </w:tc>
              <w:tc>
                <w:tcPr>
                  <w:tcW w:w="778" w:type="dxa"/>
                  <w:vMerge w:val="continue"/>
                  <w:vAlign w:val="center"/>
                </w:tcPr>
                <w:p>
                  <w:pPr>
                    <w:jc w:val="center"/>
                    <w:rPr>
                      <w:szCs w:val="21"/>
                    </w:rPr>
                  </w:pPr>
                </w:p>
              </w:tc>
              <w:tc>
                <w:tcPr>
                  <w:tcW w:w="838" w:type="dxa"/>
                  <w:vMerge w:val="continue"/>
                  <w:vAlign w:val="center"/>
                </w:tcPr>
                <w:p>
                  <w:pPr>
                    <w:jc w:val="center"/>
                    <w:rPr>
                      <w:szCs w:val="21"/>
                    </w:rPr>
                  </w:pPr>
                </w:p>
              </w:tc>
              <w:tc>
                <w:tcPr>
                  <w:tcW w:w="839" w:type="dxa"/>
                  <w:vMerge w:val="continue"/>
                  <w:vAlign w:val="center"/>
                </w:tcPr>
                <w:p>
                  <w:pPr>
                    <w:pStyle w:val="51"/>
                    <w:adjustRightInd w:val="0"/>
                    <w:snapToGrid w:val="0"/>
                  </w:pPr>
                </w:p>
              </w:tc>
              <w:tc>
                <w:tcPr>
                  <w:tcW w:w="511" w:type="dxa"/>
                  <w:vMerge w:val="continue"/>
                  <w:vAlign w:val="center"/>
                </w:tcPr>
                <w:p>
                  <w:pPr>
                    <w:jc w:val="center"/>
                    <w:rPr>
                      <w:szCs w:val="21"/>
                    </w:rPr>
                  </w:pPr>
                </w:p>
              </w:tc>
              <w:tc>
                <w:tcPr>
                  <w:tcW w:w="511" w:type="dxa"/>
                  <w:vMerge w:val="continue"/>
                  <w:vAlign w:val="center"/>
                </w:tcPr>
                <w:p>
                  <w:pPr>
                    <w:jc w:val="center"/>
                    <w:rPr>
                      <w:szCs w:val="21"/>
                    </w:rPr>
                  </w:pPr>
                </w:p>
              </w:tc>
              <w:tc>
                <w:tcPr>
                  <w:tcW w:w="523" w:type="dxa"/>
                  <w:vMerge w:val="continue"/>
                  <w:vAlign w:val="center"/>
                </w:tcPr>
                <w:p>
                  <w:pPr>
                    <w:jc w:val="center"/>
                    <w:rPr>
                      <w:szCs w:val="21"/>
                    </w:rPr>
                  </w:pPr>
                </w:p>
              </w:tc>
              <w:tc>
                <w:tcPr>
                  <w:tcW w:w="750" w:type="dxa"/>
                  <w:vAlign w:val="center"/>
                </w:tcPr>
                <w:p>
                  <w:pPr>
                    <w:jc w:val="center"/>
                    <w:rPr>
                      <w:szCs w:val="21"/>
                    </w:rPr>
                  </w:pPr>
                  <w:r>
                    <w:rPr>
                      <w:szCs w:val="21"/>
                    </w:rPr>
                    <w:t>北27</w:t>
                  </w:r>
                </w:p>
              </w:tc>
              <w:tc>
                <w:tcPr>
                  <w:tcW w:w="721" w:type="dxa"/>
                  <w:vAlign w:val="center"/>
                </w:tcPr>
                <w:p>
                  <w:pPr>
                    <w:jc w:val="center"/>
                    <w:rPr>
                      <w:szCs w:val="21"/>
                    </w:rPr>
                  </w:pPr>
                  <w:r>
                    <w:rPr>
                      <w:szCs w:val="21"/>
                    </w:rPr>
                    <w:t>26.4</w:t>
                  </w:r>
                </w:p>
              </w:tc>
              <w:tc>
                <w:tcPr>
                  <w:tcW w:w="325" w:type="dxa"/>
                  <w:vMerge w:val="continue"/>
                  <w:vAlign w:val="center"/>
                </w:tcPr>
                <w:p>
                  <w:pPr>
                    <w:pStyle w:val="51"/>
                    <w:adjustRightInd w:val="0"/>
                    <w:snapToGrid w:val="0"/>
                  </w:pPr>
                </w:p>
              </w:tc>
              <w:tc>
                <w:tcPr>
                  <w:tcW w:w="829" w:type="dxa"/>
                  <w:vMerge w:val="continue"/>
                  <w:vAlign w:val="center"/>
                </w:tcPr>
                <w:p>
                  <w:pPr>
                    <w:pStyle w:val="51"/>
                    <w:adjustRightInd w:val="0"/>
                    <w:snapToGrid w:val="0"/>
                  </w:pPr>
                </w:p>
              </w:tc>
              <w:tc>
                <w:tcPr>
                  <w:tcW w:w="868" w:type="dxa"/>
                  <w:vAlign w:val="center"/>
                </w:tcPr>
                <w:p>
                  <w:pPr>
                    <w:jc w:val="center"/>
                    <w:rPr>
                      <w:szCs w:val="21"/>
                    </w:rPr>
                  </w:pPr>
                  <w:r>
                    <w:rPr>
                      <w:szCs w:val="21"/>
                    </w:rPr>
                    <w:t>20.4</w:t>
                  </w:r>
                </w:p>
              </w:tc>
              <w:tc>
                <w:tcPr>
                  <w:tcW w:w="568" w:type="dxa"/>
                  <w:vAlign w:val="center"/>
                </w:tcPr>
                <w:p>
                  <w:pPr>
                    <w:pStyle w:val="51"/>
                    <w:adjustRightInd w:val="0"/>
                    <w:snapToGrid w:val="0"/>
                  </w:pPr>
                  <w:r>
                    <w:t>1m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58" w:type="dxa"/>
                  <w:vMerge w:val="restart"/>
                  <w:vAlign w:val="center"/>
                </w:tcPr>
                <w:p>
                  <w:pPr>
                    <w:pStyle w:val="51"/>
                    <w:adjustRightInd w:val="0"/>
                    <w:snapToGrid w:val="0"/>
                  </w:pPr>
                  <w:r>
                    <w:t>3</w:t>
                  </w:r>
                </w:p>
              </w:tc>
              <w:tc>
                <w:tcPr>
                  <w:tcW w:w="546" w:type="dxa"/>
                  <w:vMerge w:val="continue"/>
                  <w:vAlign w:val="center"/>
                </w:tcPr>
                <w:p>
                  <w:pPr>
                    <w:pStyle w:val="51"/>
                    <w:adjustRightInd w:val="0"/>
                    <w:snapToGrid w:val="0"/>
                  </w:pPr>
                </w:p>
              </w:tc>
              <w:tc>
                <w:tcPr>
                  <w:tcW w:w="776" w:type="dxa"/>
                  <w:vMerge w:val="restart"/>
                  <w:vAlign w:val="center"/>
                </w:tcPr>
                <w:p>
                  <w:pPr>
                    <w:pStyle w:val="51"/>
                    <w:adjustRightInd w:val="0"/>
                    <w:snapToGrid w:val="0"/>
                  </w:pPr>
                  <w:r>
                    <w:rPr>
                      <w:spacing w:val="-2"/>
                    </w:rPr>
                    <w:t>高速冷冻离心机</w:t>
                  </w:r>
                </w:p>
              </w:tc>
              <w:tc>
                <w:tcPr>
                  <w:tcW w:w="778" w:type="dxa"/>
                  <w:vMerge w:val="restart"/>
                  <w:vAlign w:val="center"/>
                </w:tcPr>
                <w:p>
                  <w:pPr>
                    <w:pStyle w:val="51"/>
                    <w:adjustRightInd w:val="0"/>
                    <w:snapToGrid w:val="0"/>
                    <w:rPr>
                      <w:rFonts w:eastAsia="等线"/>
                    </w:rPr>
                  </w:pPr>
                  <w:r>
                    <w:rPr>
                      <w:rFonts w:eastAsia="等线"/>
                    </w:rPr>
                    <w:t>TGL-1650</w:t>
                  </w:r>
                </w:p>
              </w:tc>
              <w:tc>
                <w:tcPr>
                  <w:tcW w:w="1515" w:type="dxa"/>
                  <w:vMerge w:val="restart"/>
                  <w:vAlign w:val="center"/>
                </w:tcPr>
                <w:p>
                  <w:pPr>
                    <w:pStyle w:val="51"/>
                    <w:adjustRightInd w:val="0"/>
                    <w:snapToGrid w:val="0"/>
                  </w:pPr>
                  <w:r>
                    <w:t>75/1</w:t>
                  </w:r>
                </w:p>
              </w:tc>
              <w:tc>
                <w:tcPr>
                  <w:tcW w:w="565" w:type="dxa"/>
                  <w:vMerge w:val="restart"/>
                  <w:vAlign w:val="center"/>
                </w:tcPr>
                <w:p>
                  <w:pPr>
                    <w:pStyle w:val="51"/>
                    <w:adjustRightInd w:val="0"/>
                    <w:snapToGrid w:val="0"/>
                  </w:pPr>
                  <w:r>
                    <w:t>1</w:t>
                  </w:r>
                </w:p>
              </w:tc>
              <w:tc>
                <w:tcPr>
                  <w:tcW w:w="778" w:type="dxa"/>
                  <w:vMerge w:val="restart"/>
                  <w:vAlign w:val="center"/>
                </w:tcPr>
                <w:p>
                  <w:pPr>
                    <w:jc w:val="center"/>
                    <w:rPr>
                      <w:szCs w:val="21"/>
                    </w:rPr>
                  </w:pPr>
                  <w:r>
                    <w:rPr>
                      <w:color w:val="000000"/>
                      <w:szCs w:val="21"/>
                    </w:rPr>
                    <w:t>隔声罩壳、</w:t>
                  </w:r>
                  <w:r>
                    <w:rPr>
                      <w:rFonts w:hint="eastAsia"/>
                      <w:color w:val="000000"/>
                      <w:szCs w:val="21"/>
                    </w:rPr>
                    <w:t>房间</w:t>
                  </w:r>
                  <w:r>
                    <w:rPr>
                      <w:color w:val="000000"/>
                      <w:szCs w:val="21"/>
                    </w:rPr>
                    <w:t>隔声</w:t>
                  </w:r>
                </w:p>
              </w:tc>
              <w:tc>
                <w:tcPr>
                  <w:tcW w:w="838" w:type="dxa"/>
                  <w:vMerge w:val="restart"/>
                  <w:vAlign w:val="center"/>
                </w:tcPr>
                <w:p>
                  <w:pPr>
                    <w:jc w:val="center"/>
                    <w:rPr>
                      <w:szCs w:val="21"/>
                    </w:rPr>
                  </w:pPr>
                  <w:r>
                    <w:rPr>
                      <w:szCs w:val="21"/>
                    </w:rPr>
                    <w:t>50</w:t>
                  </w:r>
                </w:p>
              </w:tc>
              <w:tc>
                <w:tcPr>
                  <w:tcW w:w="839" w:type="dxa"/>
                  <w:vMerge w:val="restart"/>
                  <w:vAlign w:val="center"/>
                </w:tcPr>
                <w:p>
                  <w:pPr>
                    <w:pStyle w:val="51"/>
                    <w:adjustRightInd w:val="0"/>
                    <w:snapToGrid w:val="0"/>
                  </w:pPr>
                  <w:r>
                    <w:t>50</w:t>
                  </w:r>
                </w:p>
              </w:tc>
              <w:tc>
                <w:tcPr>
                  <w:tcW w:w="511" w:type="dxa"/>
                  <w:vMerge w:val="restart"/>
                  <w:vAlign w:val="center"/>
                </w:tcPr>
                <w:p>
                  <w:pPr>
                    <w:jc w:val="center"/>
                    <w:rPr>
                      <w:szCs w:val="21"/>
                    </w:rPr>
                  </w:pPr>
                  <w:r>
                    <w:rPr>
                      <w:szCs w:val="21"/>
                    </w:rPr>
                    <w:t>37</w:t>
                  </w:r>
                </w:p>
              </w:tc>
              <w:tc>
                <w:tcPr>
                  <w:tcW w:w="511" w:type="dxa"/>
                  <w:vMerge w:val="restart"/>
                  <w:vAlign w:val="center"/>
                </w:tcPr>
                <w:p>
                  <w:pPr>
                    <w:jc w:val="center"/>
                    <w:rPr>
                      <w:szCs w:val="21"/>
                    </w:rPr>
                  </w:pPr>
                  <w:r>
                    <w:rPr>
                      <w:szCs w:val="21"/>
                    </w:rPr>
                    <w:t>17</w:t>
                  </w:r>
                </w:p>
              </w:tc>
              <w:tc>
                <w:tcPr>
                  <w:tcW w:w="523" w:type="dxa"/>
                  <w:vMerge w:val="restart"/>
                  <w:vAlign w:val="center"/>
                </w:tcPr>
                <w:p>
                  <w:pPr>
                    <w:jc w:val="center"/>
                    <w:rPr>
                      <w:szCs w:val="21"/>
                    </w:rPr>
                  </w:pPr>
                  <w:r>
                    <w:rPr>
                      <w:szCs w:val="21"/>
                    </w:rPr>
                    <w:t>6.4</w:t>
                  </w:r>
                </w:p>
              </w:tc>
              <w:tc>
                <w:tcPr>
                  <w:tcW w:w="750" w:type="dxa"/>
                  <w:vAlign w:val="center"/>
                </w:tcPr>
                <w:p>
                  <w:pPr>
                    <w:jc w:val="center"/>
                    <w:rPr>
                      <w:szCs w:val="21"/>
                    </w:rPr>
                  </w:pPr>
                  <w:r>
                    <w:rPr>
                      <w:szCs w:val="21"/>
                    </w:rPr>
                    <w:t>东18</w:t>
                  </w:r>
                </w:p>
              </w:tc>
              <w:tc>
                <w:tcPr>
                  <w:tcW w:w="721" w:type="dxa"/>
                  <w:vAlign w:val="center"/>
                </w:tcPr>
                <w:p>
                  <w:pPr>
                    <w:jc w:val="center"/>
                    <w:rPr>
                      <w:szCs w:val="21"/>
                    </w:rPr>
                  </w:pPr>
                  <w:r>
                    <w:rPr>
                      <w:szCs w:val="21"/>
                    </w:rPr>
                    <w:t>24.9</w:t>
                  </w:r>
                </w:p>
              </w:tc>
              <w:tc>
                <w:tcPr>
                  <w:tcW w:w="325" w:type="dxa"/>
                  <w:vMerge w:val="restart"/>
                  <w:vAlign w:val="center"/>
                </w:tcPr>
                <w:p>
                  <w:pPr>
                    <w:pStyle w:val="51"/>
                    <w:adjustRightInd w:val="0"/>
                    <w:snapToGrid w:val="0"/>
                  </w:pPr>
                  <w:r>
                    <w:t>持续运行</w:t>
                  </w:r>
                </w:p>
              </w:tc>
              <w:tc>
                <w:tcPr>
                  <w:tcW w:w="829" w:type="dxa"/>
                  <w:vMerge w:val="restart"/>
                  <w:vAlign w:val="center"/>
                </w:tcPr>
                <w:p>
                  <w:pPr>
                    <w:pStyle w:val="51"/>
                    <w:adjustRightInd w:val="0"/>
                    <w:snapToGrid w:val="0"/>
                  </w:pPr>
                  <w:r>
                    <w:t>6</w:t>
                  </w:r>
                </w:p>
              </w:tc>
              <w:tc>
                <w:tcPr>
                  <w:tcW w:w="868" w:type="dxa"/>
                  <w:vAlign w:val="center"/>
                </w:tcPr>
                <w:p>
                  <w:pPr>
                    <w:jc w:val="center"/>
                    <w:rPr>
                      <w:szCs w:val="21"/>
                    </w:rPr>
                  </w:pPr>
                  <w:r>
                    <w:rPr>
                      <w:szCs w:val="21"/>
                    </w:rPr>
                    <w:t>18.9</w:t>
                  </w:r>
                </w:p>
              </w:tc>
              <w:tc>
                <w:tcPr>
                  <w:tcW w:w="568" w:type="dxa"/>
                  <w:vAlign w:val="center"/>
                </w:tcPr>
                <w:p>
                  <w:pPr>
                    <w:pStyle w:val="51"/>
                    <w:adjustRightInd w:val="0"/>
                    <w:snapToGrid w:val="0"/>
                  </w:pPr>
                  <w:r>
                    <w:t>1m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58" w:type="dxa"/>
                  <w:vMerge w:val="continue"/>
                  <w:vAlign w:val="center"/>
                </w:tcPr>
                <w:p>
                  <w:pPr>
                    <w:pStyle w:val="51"/>
                    <w:adjustRightInd w:val="0"/>
                    <w:snapToGrid w:val="0"/>
                  </w:pPr>
                </w:p>
              </w:tc>
              <w:tc>
                <w:tcPr>
                  <w:tcW w:w="546" w:type="dxa"/>
                  <w:vMerge w:val="continue"/>
                  <w:vAlign w:val="center"/>
                </w:tcPr>
                <w:p>
                  <w:pPr>
                    <w:pStyle w:val="51"/>
                    <w:adjustRightInd w:val="0"/>
                    <w:snapToGrid w:val="0"/>
                  </w:pPr>
                </w:p>
              </w:tc>
              <w:tc>
                <w:tcPr>
                  <w:tcW w:w="776" w:type="dxa"/>
                  <w:vMerge w:val="continue"/>
                  <w:vAlign w:val="center"/>
                </w:tcPr>
                <w:p>
                  <w:pPr>
                    <w:pStyle w:val="51"/>
                    <w:adjustRightInd w:val="0"/>
                    <w:snapToGrid w:val="0"/>
                  </w:pPr>
                </w:p>
              </w:tc>
              <w:tc>
                <w:tcPr>
                  <w:tcW w:w="778" w:type="dxa"/>
                  <w:vMerge w:val="continue"/>
                  <w:vAlign w:val="center"/>
                </w:tcPr>
                <w:p>
                  <w:pPr>
                    <w:pStyle w:val="51"/>
                    <w:adjustRightInd w:val="0"/>
                    <w:snapToGrid w:val="0"/>
                    <w:rPr>
                      <w:rFonts w:eastAsia="MS Gothic"/>
                    </w:rPr>
                  </w:pPr>
                </w:p>
              </w:tc>
              <w:tc>
                <w:tcPr>
                  <w:tcW w:w="1515" w:type="dxa"/>
                  <w:vMerge w:val="continue"/>
                  <w:vAlign w:val="center"/>
                </w:tcPr>
                <w:p>
                  <w:pPr>
                    <w:pStyle w:val="51"/>
                    <w:adjustRightInd w:val="0"/>
                    <w:snapToGrid w:val="0"/>
                  </w:pPr>
                </w:p>
              </w:tc>
              <w:tc>
                <w:tcPr>
                  <w:tcW w:w="565" w:type="dxa"/>
                  <w:vMerge w:val="continue"/>
                  <w:vAlign w:val="center"/>
                </w:tcPr>
                <w:p>
                  <w:pPr>
                    <w:pStyle w:val="51"/>
                    <w:adjustRightInd w:val="0"/>
                    <w:snapToGrid w:val="0"/>
                  </w:pPr>
                </w:p>
              </w:tc>
              <w:tc>
                <w:tcPr>
                  <w:tcW w:w="778" w:type="dxa"/>
                  <w:vMerge w:val="continue"/>
                  <w:vAlign w:val="center"/>
                </w:tcPr>
                <w:p>
                  <w:pPr>
                    <w:jc w:val="center"/>
                    <w:rPr>
                      <w:szCs w:val="21"/>
                    </w:rPr>
                  </w:pPr>
                </w:p>
              </w:tc>
              <w:tc>
                <w:tcPr>
                  <w:tcW w:w="838" w:type="dxa"/>
                  <w:vMerge w:val="continue"/>
                  <w:vAlign w:val="center"/>
                </w:tcPr>
                <w:p>
                  <w:pPr>
                    <w:jc w:val="center"/>
                    <w:rPr>
                      <w:szCs w:val="21"/>
                    </w:rPr>
                  </w:pPr>
                </w:p>
              </w:tc>
              <w:tc>
                <w:tcPr>
                  <w:tcW w:w="839" w:type="dxa"/>
                  <w:vMerge w:val="continue"/>
                  <w:vAlign w:val="center"/>
                </w:tcPr>
                <w:p>
                  <w:pPr>
                    <w:pStyle w:val="51"/>
                    <w:adjustRightInd w:val="0"/>
                    <w:snapToGrid w:val="0"/>
                  </w:pPr>
                </w:p>
              </w:tc>
              <w:tc>
                <w:tcPr>
                  <w:tcW w:w="511" w:type="dxa"/>
                  <w:vMerge w:val="continue"/>
                  <w:vAlign w:val="center"/>
                </w:tcPr>
                <w:p>
                  <w:pPr>
                    <w:jc w:val="center"/>
                    <w:rPr>
                      <w:szCs w:val="21"/>
                    </w:rPr>
                  </w:pPr>
                </w:p>
              </w:tc>
              <w:tc>
                <w:tcPr>
                  <w:tcW w:w="511" w:type="dxa"/>
                  <w:vMerge w:val="continue"/>
                  <w:vAlign w:val="center"/>
                </w:tcPr>
                <w:p>
                  <w:pPr>
                    <w:jc w:val="center"/>
                    <w:rPr>
                      <w:szCs w:val="21"/>
                    </w:rPr>
                  </w:pPr>
                </w:p>
              </w:tc>
              <w:tc>
                <w:tcPr>
                  <w:tcW w:w="523" w:type="dxa"/>
                  <w:vMerge w:val="continue"/>
                  <w:vAlign w:val="center"/>
                </w:tcPr>
                <w:p>
                  <w:pPr>
                    <w:jc w:val="center"/>
                    <w:rPr>
                      <w:szCs w:val="21"/>
                    </w:rPr>
                  </w:pPr>
                </w:p>
              </w:tc>
              <w:tc>
                <w:tcPr>
                  <w:tcW w:w="750" w:type="dxa"/>
                  <w:vAlign w:val="center"/>
                </w:tcPr>
                <w:p>
                  <w:pPr>
                    <w:jc w:val="center"/>
                    <w:rPr>
                      <w:szCs w:val="21"/>
                    </w:rPr>
                  </w:pPr>
                  <w:r>
                    <w:rPr>
                      <w:szCs w:val="21"/>
                    </w:rPr>
                    <w:t>南30</w:t>
                  </w:r>
                </w:p>
              </w:tc>
              <w:tc>
                <w:tcPr>
                  <w:tcW w:w="721" w:type="dxa"/>
                  <w:vAlign w:val="center"/>
                </w:tcPr>
                <w:p>
                  <w:pPr>
                    <w:jc w:val="center"/>
                    <w:rPr>
                      <w:szCs w:val="21"/>
                    </w:rPr>
                  </w:pPr>
                  <w:r>
                    <w:rPr>
                      <w:szCs w:val="21"/>
                    </w:rPr>
                    <w:t>20.5</w:t>
                  </w:r>
                </w:p>
              </w:tc>
              <w:tc>
                <w:tcPr>
                  <w:tcW w:w="325" w:type="dxa"/>
                  <w:vMerge w:val="continue"/>
                  <w:vAlign w:val="center"/>
                </w:tcPr>
                <w:p>
                  <w:pPr>
                    <w:pStyle w:val="51"/>
                    <w:adjustRightInd w:val="0"/>
                    <w:snapToGrid w:val="0"/>
                  </w:pPr>
                </w:p>
              </w:tc>
              <w:tc>
                <w:tcPr>
                  <w:tcW w:w="829" w:type="dxa"/>
                  <w:vMerge w:val="continue"/>
                  <w:vAlign w:val="center"/>
                </w:tcPr>
                <w:p>
                  <w:pPr>
                    <w:pStyle w:val="51"/>
                    <w:adjustRightInd w:val="0"/>
                    <w:snapToGrid w:val="0"/>
                  </w:pPr>
                </w:p>
              </w:tc>
              <w:tc>
                <w:tcPr>
                  <w:tcW w:w="868" w:type="dxa"/>
                  <w:vAlign w:val="center"/>
                </w:tcPr>
                <w:p>
                  <w:pPr>
                    <w:jc w:val="center"/>
                    <w:rPr>
                      <w:szCs w:val="21"/>
                    </w:rPr>
                  </w:pPr>
                  <w:r>
                    <w:rPr>
                      <w:szCs w:val="21"/>
                    </w:rPr>
                    <w:t>14.5</w:t>
                  </w:r>
                </w:p>
              </w:tc>
              <w:tc>
                <w:tcPr>
                  <w:tcW w:w="568" w:type="dxa"/>
                  <w:vAlign w:val="center"/>
                </w:tcPr>
                <w:p>
                  <w:pPr>
                    <w:pStyle w:val="51"/>
                    <w:adjustRightInd w:val="0"/>
                    <w:snapToGrid w:val="0"/>
                  </w:pPr>
                  <w:r>
                    <w:t>1m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58" w:type="dxa"/>
                  <w:vMerge w:val="continue"/>
                  <w:vAlign w:val="center"/>
                </w:tcPr>
                <w:p>
                  <w:pPr>
                    <w:pStyle w:val="51"/>
                    <w:adjustRightInd w:val="0"/>
                    <w:snapToGrid w:val="0"/>
                  </w:pPr>
                </w:p>
              </w:tc>
              <w:tc>
                <w:tcPr>
                  <w:tcW w:w="546" w:type="dxa"/>
                  <w:vMerge w:val="continue"/>
                  <w:vAlign w:val="center"/>
                </w:tcPr>
                <w:p>
                  <w:pPr>
                    <w:pStyle w:val="51"/>
                    <w:adjustRightInd w:val="0"/>
                    <w:snapToGrid w:val="0"/>
                  </w:pPr>
                </w:p>
              </w:tc>
              <w:tc>
                <w:tcPr>
                  <w:tcW w:w="776" w:type="dxa"/>
                  <w:vMerge w:val="continue"/>
                  <w:vAlign w:val="center"/>
                </w:tcPr>
                <w:p>
                  <w:pPr>
                    <w:pStyle w:val="51"/>
                    <w:adjustRightInd w:val="0"/>
                    <w:snapToGrid w:val="0"/>
                  </w:pPr>
                </w:p>
              </w:tc>
              <w:tc>
                <w:tcPr>
                  <w:tcW w:w="778" w:type="dxa"/>
                  <w:vMerge w:val="continue"/>
                  <w:vAlign w:val="center"/>
                </w:tcPr>
                <w:p>
                  <w:pPr>
                    <w:pStyle w:val="51"/>
                    <w:adjustRightInd w:val="0"/>
                    <w:snapToGrid w:val="0"/>
                    <w:rPr>
                      <w:rFonts w:eastAsia="MS Gothic"/>
                    </w:rPr>
                  </w:pPr>
                </w:p>
              </w:tc>
              <w:tc>
                <w:tcPr>
                  <w:tcW w:w="1515" w:type="dxa"/>
                  <w:vMerge w:val="continue"/>
                  <w:vAlign w:val="center"/>
                </w:tcPr>
                <w:p>
                  <w:pPr>
                    <w:pStyle w:val="51"/>
                    <w:adjustRightInd w:val="0"/>
                    <w:snapToGrid w:val="0"/>
                  </w:pPr>
                </w:p>
              </w:tc>
              <w:tc>
                <w:tcPr>
                  <w:tcW w:w="565" w:type="dxa"/>
                  <w:vMerge w:val="continue"/>
                  <w:vAlign w:val="center"/>
                </w:tcPr>
                <w:p>
                  <w:pPr>
                    <w:pStyle w:val="51"/>
                    <w:adjustRightInd w:val="0"/>
                    <w:snapToGrid w:val="0"/>
                  </w:pPr>
                </w:p>
              </w:tc>
              <w:tc>
                <w:tcPr>
                  <w:tcW w:w="778" w:type="dxa"/>
                  <w:vMerge w:val="continue"/>
                  <w:vAlign w:val="center"/>
                </w:tcPr>
                <w:p>
                  <w:pPr>
                    <w:jc w:val="center"/>
                    <w:rPr>
                      <w:szCs w:val="21"/>
                    </w:rPr>
                  </w:pPr>
                </w:p>
              </w:tc>
              <w:tc>
                <w:tcPr>
                  <w:tcW w:w="838" w:type="dxa"/>
                  <w:vMerge w:val="continue"/>
                  <w:vAlign w:val="center"/>
                </w:tcPr>
                <w:p>
                  <w:pPr>
                    <w:jc w:val="center"/>
                    <w:rPr>
                      <w:szCs w:val="21"/>
                    </w:rPr>
                  </w:pPr>
                </w:p>
              </w:tc>
              <w:tc>
                <w:tcPr>
                  <w:tcW w:w="839" w:type="dxa"/>
                  <w:vMerge w:val="continue"/>
                  <w:vAlign w:val="center"/>
                </w:tcPr>
                <w:p>
                  <w:pPr>
                    <w:pStyle w:val="51"/>
                    <w:adjustRightInd w:val="0"/>
                    <w:snapToGrid w:val="0"/>
                  </w:pPr>
                </w:p>
              </w:tc>
              <w:tc>
                <w:tcPr>
                  <w:tcW w:w="511" w:type="dxa"/>
                  <w:vMerge w:val="continue"/>
                  <w:vAlign w:val="center"/>
                </w:tcPr>
                <w:p>
                  <w:pPr>
                    <w:jc w:val="center"/>
                    <w:rPr>
                      <w:szCs w:val="21"/>
                    </w:rPr>
                  </w:pPr>
                </w:p>
              </w:tc>
              <w:tc>
                <w:tcPr>
                  <w:tcW w:w="511" w:type="dxa"/>
                  <w:vMerge w:val="continue"/>
                  <w:vAlign w:val="center"/>
                </w:tcPr>
                <w:p>
                  <w:pPr>
                    <w:jc w:val="center"/>
                    <w:rPr>
                      <w:szCs w:val="21"/>
                    </w:rPr>
                  </w:pPr>
                </w:p>
              </w:tc>
              <w:tc>
                <w:tcPr>
                  <w:tcW w:w="523" w:type="dxa"/>
                  <w:vMerge w:val="continue"/>
                  <w:vAlign w:val="center"/>
                </w:tcPr>
                <w:p>
                  <w:pPr>
                    <w:jc w:val="center"/>
                    <w:rPr>
                      <w:szCs w:val="21"/>
                    </w:rPr>
                  </w:pPr>
                </w:p>
              </w:tc>
              <w:tc>
                <w:tcPr>
                  <w:tcW w:w="750" w:type="dxa"/>
                  <w:vAlign w:val="center"/>
                </w:tcPr>
                <w:p>
                  <w:pPr>
                    <w:jc w:val="center"/>
                    <w:rPr>
                      <w:szCs w:val="21"/>
                    </w:rPr>
                  </w:pPr>
                  <w:r>
                    <w:rPr>
                      <w:szCs w:val="21"/>
                    </w:rPr>
                    <w:t>西4</w:t>
                  </w:r>
                </w:p>
              </w:tc>
              <w:tc>
                <w:tcPr>
                  <w:tcW w:w="721" w:type="dxa"/>
                  <w:vAlign w:val="center"/>
                </w:tcPr>
                <w:p>
                  <w:pPr>
                    <w:jc w:val="center"/>
                    <w:rPr>
                      <w:szCs w:val="21"/>
                    </w:rPr>
                  </w:pPr>
                  <w:r>
                    <w:rPr>
                      <w:szCs w:val="21"/>
                    </w:rPr>
                    <w:t>37.9</w:t>
                  </w:r>
                </w:p>
              </w:tc>
              <w:tc>
                <w:tcPr>
                  <w:tcW w:w="325" w:type="dxa"/>
                  <w:vMerge w:val="continue"/>
                  <w:vAlign w:val="center"/>
                </w:tcPr>
                <w:p>
                  <w:pPr>
                    <w:pStyle w:val="51"/>
                    <w:adjustRightInd w:val="0"/>
                    <w:snapToGrid w:val="0"/>
                  </w:pPr>
                </w:p>
              </w:tc>
              <w:tc>
                <w:tcPr>
                  <w:tcW w:w="829" w:type="dxa"/>
                  <w:vMerge w:val="continue"/>
                  <w:vAlign w:val="center"/>
                </w:tcPr>
                <w:p>
                  <w:pPr>
                    <w:pStyle w:val="51"/>
                    <w:adjustRightInd w:val="0"/>
                    <w:snapToGrid w:val="0"/>
                  </w:pPr>
                </w:p>
              </w:tc>
              <w:tc>
                <w:tcPr>
                  <w:tcW w:w="868" w:type="dxa"/>
                  <w:vAlign w:val="center"/>
                </w:tcPr>
                <w:p>
                  <w:pPr>
                    <w:jc w:val="center"/>
                    <w:rPr>
                      <w:szCs w:val="21"/>
                    </w:rPr>
                  </w:pPr>
                  <w:r>
                    <w:rPr>
                      <w:szCs w:val="21"/>
                    </w:rPr>
                    <w:t>31.9</w:t>
                  </w:r>
                </w:p>
              </w:tc>
              <w:tc>
                <w:tcPr>
                  <w:tcW w:w="568" w:type="dxa"/>
                  <w:vAlign w:val="center"/>
                </w:tcPr>
                <w:p>
                  <w:pPr>
                    <w:pStyle w:val="51"/>
                    <w:adjustRightInd w:val="0"/>
                    <w:snapToGrid w:val="0"/>
                  </w:pPr>
                  <w:r>
                    <w:t>1m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58" w:type="dxa"/>
                  <w:vMerge w:val="continue"/>
                  <w:vAlign w:val="center"/>
                </w:tcPr>
                <w:p>
                  <w:pPr>
                    <w:pStyle w:val="51"/>
                    <w:adjustRightInd w:val="0"/>
                    <w:snapToGrid w:val="0"/>
                  </w:pPr>
                </w:p>
              </w:tc>
              <w:tc>
                <w:tcPr>
                  <w:tcW w:w="546" w:type="dxa"/>
                  <w:vMerge w:val="continue"/>
                  <w:vAlign w:val="center"/>
                </w:tcPr>
                <w:p>
                  <w:pPr>
                    <w:pStyle w:val="51"/>
                    <w:adjustRightInd w:val="0"/>
                    <w:snapToGrid w:val="0"/>
                  </w:pPr>
                </w:p>
              </w:tc>
              <w:tc>
                <w:tcPr>
                  <w:tcW w:w="776" w:type="dxa"/>
                  <w:vMerge w:val="continue"/>
                  <w:vAlign w:val="center"/>
                </w:tcPr>
                <w:p>
                  <w:pPr>
                    <w:pStyle w:val="51"/>
                    <w:adjustRightInd w:val="0"/>
                    <w:snapToGrid w:val="0"/>
                  </w:pPr>
                </w:p>
              </w:tc>
              <w:tc>
                <w:tcPr>
                  <w:tcW w:w="778" w:type="dxa"/>
                  <w:vMerge w:val="continue"/>
                  <w:vAlign w:val="center"/>
                </w:tcPr>
                <w:p>
                  <w:pPr>
                    <w:pStyle w:val="51"/>
                    <w:adjustRightInd w:val="0"/>
                    <w:snapToGrid w:val="0"/>
                    <w:rPr>
                      <w:rFonts w:eastAsia="MS Gothic"/>
                    </w:rPr>
                  </w:pPr>
                </w:p>
              </w:tc>
              <w:tc>
                <w:tcPr>
                  <w:tcW w:w="1515" w:type="dxa"/>
                  <w:vMerge w:val="continue"/>
                  <w:vAlign w:val="center"/>
                </w:tcPr>
                <w:p>
                  <w:pPr>
                    <w:pStyle w:val="51"/>
                    <w:adjustRightInd w:val="0"/>
                    <w:snapToGrid w:val="0"/>
                  </w:pPr>
                </w:p>
              </w:tc>
              <w:tc>
                <w:tcPr>
                  <w:tcW w:w="565" w:type="dxa"/>
                  <w:vMerge w:val="continue"/>
                  <w:vAlign w:val="center"/>
                </w:tcPr>
                <w:p>
                  <w:pPr>
                    <w:pStyle w:val="51"/>
                    <w:adjustRightInd w:val="0"/>
                    <w:snapToGrid w:val="0"/>
                  </w:pPr>
                </w:p>
              </w:tc>
              <w:tc>
                <w:tcPr>
                  <w:tcW w:w="778" w:type="dxa"/>
                  <w:vMerge w:val="continue"/>
                  <w:vAlign w:val="center"/>
                </w:tcPr>
                <w:p>
                  <w:pPr>
                    <w:jc w:val="center"/>
                    <w:rPr>
                      <w:szCs w:val="21"/>
                    </w:rPr>
                  </w:pPr>
                </w:p>
              </w:tc>
              <w:tc>
                <w:tcPr>
                  <w:tcW w:w="838" w:type="dxa"/>
                  <w:vMerge w:val="continue"/>
                  <w:vAlign w:val="center"/>
                </w:tcPr>
                <w:p>
                  <w:pPr>
                    <w:jc w:val="center"/>
                    <w:rPr>
                      <w:szCs w:val="21"/>
                    </w:rPr>
                  </w:pPr>
                </w:p>
              </w:tc>
              <w:tc>
                <w:tcPr>
                  <w:tcW w:w="839" w:type="dxa"/>
                  <w:vMerge w:val="continue"/>
                  <w:vAlign w:val="center"/>
                </w:tcPr>
                <w:p>
                  <w:pPr>
                    <w:pStyle w:val="51"/>
                    <w:adjustRightInd w:val="0"/>
                    <w:snapToGrid w:val="0"/>
                  </w:pPr>
                </w:p>
              </w:tc>
              <w:tc>
                <w:tcPr>
                  <w:tcW w:w="511" w:type="dxa"/>
                  <w:vMerge w:val="continue"/>
                  <w:vAlign w:val="center"/>
                </w:tcPr>
                <w:p>
                  <w:pPr>
                    <w:jc w:val="center"/>
                    <w:rPr>
                      <w:szCs w:val="21"/>
                    </w:rPr>
                  </w:pPr>
                </w:p>
              </w:tc>
              <w:tc>
                <w:tcPr>
                  <w:tcW w:w="511" w:type="dxa"/>
                  <w:vMerge w:val="continue"/>
                  <w:vAlign w:val="center"/>
                </w:tcPr>
                <w:p>
                  <w:pPr>
                    <w:jc w:val="center"/>
                    <w:rPr>
                      <w:szCs w:val="21"/>
                    </w:rPr>
                  </w:pPr>
                </w:p>
              </w:tc>
              <w:tc>
                <w:tcPr>
                  <w:tcW w:w="523" w:type="dxa"/>
                  <w:vMerge w:val="continue"/>
                  <w:vAlign w:val="center"/>
                </w:tcPr>
                <w:p>
                  <w:pPr>
                    <w:jc w:val="center"/>
                    <w:rPr>
                      <w:szCs w:val="21"/>
                    </w:rPr>
                  </w:pPr>
                </w:p>
              </w:tc>
              <w:tc>
                <w:tcPr>
                  <w:tcW w:w="750" w:type="dxa"/>
                  <w:vAlign w:val="center"/>
                </w:tcPr>
                <w:p>
                  <w:pPr>
                    <w:jc w:val="center"/>
                    <w:rPr>
                      <w:szCs w:val="21"/>
                    </w:rPr>
                  </w:pPr>
                  <w:r>
                    <w:rPr>
                      <w:szCs w:val="21"/>
                    </w:rPr>
                    <w:t>北14</w:t>
                  </w:r>
                </w:p>
              </w:tc>
              <w:tc>
                <w:tcPr>
                  <w:tcW w:w="721" w:type="dxa"/>
                  <w:vAlign w:val="center"/>
                </w:tcPr>
                <w:p>
                  <w:pPr>
                    <w:jc w:val="center"/>
                    <w:rPr>
                      <w:szCs w:val="21"/>
                    </w:rPr>
                  </w:pPr>
                  <w:r>
                    <w:rPr>
                      <w:szCs w:val="21"/>
                    </w:rPr>
                    <w:t>27.1</w:t>
                  </w:r>
                </w:p>
              </w:tc>
              <w:tc>
                <w:tcPr>
                  <w:tcW w:w="325" w:type="dxa"/>
                  <w:vMerge w:val="continue"/>
                  <w:vAlign w:val="center"/>
                </w:tcPr>
                <w:p>
                  <w:pPr>
                    <w:pStyle w:val="51"/>
                    <w:adjustRightInd w:val="0"/>
                    <w:snapToGrid w:val="0"/>
                  </w:pPr>
                </w:p>
              </w:tc>
              <w:tc>
                <w:tcPr>
                  <w:tcW w:w="829" w:type="dxa"/>
                  <w:vMerge w:val="continue"/>
                  <w:vAlign w:val="center"/>
                </w:tcPr>
                <w:p>
                  <w:pPr>
                    <w:pStyle w:val="51"/>
                    <w:adjustRightInd w:val="0"/>
                    <w:snapToGrid w:val="0"/>
                  </w:pPr>
                </w:p>
              </w:tc>
              <w:tc>
                <w:tcPr>
                  <w:tcW w:w="868" w:type="dxa"/>
                  <w:vAlign w:val="center"/>
                </w:tcPr>
                <w:p>
                  <w:pPr>
                    <w:jc w:val="center"/>
                    <w:rPr>
                      <w:szCs w:val="21"/>
                    </w:rPr>
                  </w:pPr>
                  <w:r>
                    <w:rPr>
                      <w:szCs w:val="21"/>
                    </w:rPr>
                    <w:t>21.1</w:t>
                  </w:r>
                </w:p>
              </w:tc>
              <w:tc>
                <w:tcPr>
                  <w:tcW w:w="568" w:type="dxa"/>
                  <w:vAlign w:val="center"/>
                </w:tcPr>
                <w:p>
                  <w:pPr>
                    <w:pStyle w:val="51"/>
                    <w:adjustRightInd w:val="0"/>
                    <w:snapToGrid w:val="0"/>
                  </w:pPr>
                  <w:r>
                    <w:t>1m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58" w:type="dxa"/>
                  <w:vMerge w:val="restart"/>
                  <w:vAlign w:val="center"/>
                </w:tcPr>
                <w:p>
                  <w:pPr>
                    <w:pStyle w:val="51"/>
                    <w:adjustRightInd w:val="0"/>
                    <w:snapToGrid w:val="0"/>
                  </w:pPr>
                  <w:r>
                    <w:rPr>
                      <w:rFonts w:hint="eastAsia"/>
                    </w:rPr>
                    <w:t>4</w:t>
                  </w:r>
                </w:p>
              </w:tc>
              <w:tc>
                <w:tcPr>
                  <w:tcW w:w="546" w:type="dxa"/>
                  <w:vMerge w:val="continue"/>
                  <w:vAlign w:val="center"/>
                </w:tcPr>
                <w:p>
                  <w:pPr>
                    <w:pStyle w:val="51"/>
                    <w:adjustRightInd w:val="0"/>
                    <w:snapToGrid w:val="0"/>
                  </w:pPr>
                </w:p>
              </w:tc>
              <w:tc>
                <w:tcPr>
                  <w:tcW w:w="776" w:type="dxa"/>
                  <w:vMerge w:val="restart"/>
                  <w:vAlign w:val="center"/>
                </w:tcPr>
                <w:p>
                  <w:pPr>
                    <w:pStyle w:val="51"/>
                    <w:adjustRightInd w:val="0"/>
                    <w:snapToGrid w:val="0"/>
                  </w:pPr>
                  <w:r>
                    <w:rPr>
                      <w:rFonts w:hint="eastAsia"/>
                    </w:rPr>
                    <w:t>中草药粉碎机</w:t>
                  </w:r>
                </w:p>
              </w:tc>
              <w:tc>
                <w:tcPr>
                  <w:tcW w:w="778" w:type="dxa"/>
                  <w:vMerge w:val="restart"/>
                  <w:vAlign w:val="center"/>
                </w:tcPr>
                <w:p>
                  <w:pPr>
                    <w:pStyle w:val="51"/>
                    <w:adjustRightInd w:val="0"/>
                    <w:snapToGrid w:val="0"/>
                    <w:rPr>
                      <w:rFonts w:eastAsia="MS Gothic"/>
                    </w:rPr>
                  </w:pPr>
                  <w:r>
                    <w:rPr>
                      <w:rFonts w:eastAsia="MS Gothic"/>
                    </w:rPr>
                    <w:t>FW135</w:t>
                  </w:r>
                </w:p>
              </w:tc>
              <w:tc>
                <w:tcPr>
                  <w:tcW w:w="1515" w:type="dxa"/>
                  <w:vMerge w:val="restart"/>
                  <w:vAlign w:val="center"/>
                </w:tcPr>
                <w:p>
                  <w:pPr>
                    <w:pStyle w:val="51"/>
                    <w:adjustRightInd w:val="0"/>
                    <w:snapToGrid w:val="0"/>
                  </w:pPr>
                  <w:r>
                    <w:t>80/1</w:t>
                  </w:r>
                </w:p>
              </w:tc>
              <w:tc>
                <w:tcPr>
                  <w:tcW w:w="565" w:type="dxa"/>
                  <w:vMerge w:val="restart"/>
                  <w:vAlign w:val="center"/>
                </w:tcPr>
                <w:p>
                  <w:pPr>
                    <w:pStyle w:val="51"/>
                    <w:adjustRightInd w:val="0"/>
                    <w:snapToGrid w:val="0"/>
                  </w:pPr>
                  <w:r>
                    <w:rPr>
                      <w:color w:val="000000"/>
                    </w:rPr>
                    <w:t>1</w:t>
                  </w:r>
                </w:p>
              </w:tc>
              <w:tc>
                <w:tcPr>
                  <w:tcW w:w="778" w:type="dxa"/>
                  <w:vMerge w:val="restart"/>
                  <w:vAlign w:val="center"/>
                </w:tcPr>
                <w:p>
                  <w:pPr>
                    <w:jc w:val="center"/>
                    <w:rPr>
                      <w:szCs w:val="21"/>
                    </w:rPr>
                  </w:pPr>
                  <w:r>
                    <w:rPr>
                      <w:color w:val="000000"/>
                      <w:szCs w:val="21"/>
                    </w:rPr>
                    <w:t>隔声罩壳、</w:t>
                  </w:r>
                  <w:r>
                    <w:rPr>
                      <w:rFonts w:hint="eastAsia"/>
                      <w:color w:val="000000"/>
                      <w:szCs w:val="21"/>
                    </w:rPr>
                    <w:t>房间</w:t>
                  </w:r>
                  <w:r>
                    <w:rPr>
                      <w:color w:val="000000"/>
                      <w:szCs w:val="21"/>
                    </w:rPr>
                    <w:t>隔声</w:t>
                  </w:r>
                </w:p>
              </w:tc>
              <w:tc>
                <w:tcPr>
                  <w:tcW w:w="838" w:type="dxa"/>
                  <w:vMerge w:val="restart"/>
                  <w:vAlign w:val="center"/>
                </w:tcPr>
                <w:p>
                  <w:pPr>
                    <w:jc w:val="center"/>
                    <w:rPr>
                      <w:szCs w:val="21"/>
                    </w:rPr>
                  </w:pPr>
                  <w:r>
                    <w:rPr>
                      <w:szCs w:val="21"/>
                    </w:rPr>
                    <w:t>55</w:t>
                  </w:r>
                </w:p>
              </w:tc>
              <w:tc>
                <w:tcPr>
                  <w:tcW w:w="839" w:type="dxa"/>
                  <w:vMerge w:val="restart"/>
                  <w:vAlign w:val="center"/>
                </w:tcPr>
                <w:p>
                  <w:pPr>
                    <w:pStyle w:val="51"/>
                    <w:adjustRightInd w:val="0"/>
                    <w:snapToGrid w:val="0"/>
                  </w:pPr>
                  <w:r>
                    <w:t>55</w:t>
                  </w:r>
                </w:p>
              </w:tc>
              <w:tc>
                <w:tcPr>
                  <w:tcW w:w="511" w:type="dxa"/>
                  <w:vMerge w:val="restart"/>
                  <w:vAlign w:val="center"/>
                </w:tcPr>
                <w:p>
                  <w:pPr>
                    <w:jc w:val="center"/>
                    <w:rPr>
                      <w:szCs w:val="21"/>
                    </w:rPr>
                  </w:pPr>
                  <w:r>
                    <w:rPr>
                      <w:rFonts w:hint="eastAsia"/>
                      <w:szCs w:val="21"/>
                    </w:rPr>
                    <w:t>3</w:t>
                  </w:r>
                  <w:r>
                    <w:rPr>
                      <w:szCs w:val="21"/>
                    </w:rPr>
                    <w:t>2</w:t>
                  </w:r>
                </w:p>
              </w:tc>
              <w:tc>
                <w:tcPr>
                  <w:tcW w:w="511" w:type="dxa"/>
                  <w:vMerge w:val="restart"/>
                  <w:vAlign w:val="center"/>
                </w:tcPr>
                <w:p>
                  <w:pPr>
                    <w:jc w:val="center"/>
                    <w:rPr>
                      <w:szCs w:val="21"/>
                    </w:rPr>
                  </w:pPr>
                  <w:r>
                    <w:rPr>
                      <w:rFonts w:hint="eastAsia"/>
                      <w:szCs w:val="21"/>
                    </w:rPr>
                    <w:t>2</w:t>
                  </w:r>
                  <w:r>
                    <w:rPr>
                      <w:szCs w:val="21"/>
                    </w:rPr>
                    <w:t>0</w:t>
                  </w:r>
                </w:p>
              </w:tc>
              <w:tc>
                <w:tcPr>
                  <w:tcW w:w="523" w:type="dxa"/>
                  <w:vMerge w:val="restart"/>
                  <w:vAlign w:val="center"/>
                </w:tcPr>
                <w:p>
                  <w:pPr>
                    <w:jc w:val="center"/>
                    <w:rPr>
                      <w:szCs w:val="21"/>
                    </w:rPr>
                  </w:pPr>
                  <w:r>
                    <w:rPr>
                      <w:rFonts w:hint="eastAsia"/>
                      <w:szCs w:val="21"/>
                    </w:rPr>
                    <w:t>6</w:t>
                  </w:r>
                  <w:r>
                    <w:rPr>
                      <w:szCs w:val="21"/>
                    </w:rPr>
                    <w:t>.8</w:t>
                  </w:r>
                </w:p>
              </w:tc>
              <w:tc>
                <w:tcPr>
                  <w:tcW w:w="750" w:type="dxa"/>
                  <w:vAlign w:val="center"/>
                </w:tcPr>
                <w:p>
                  <w:pPr>
                    <w:jc w:val="center"/>
                    <w:rPr>
                      <w:szCs w:val="21"/>
                    </w:rPr>
                  </w:pPr>
                  <w:r>
                    <w:rPr>
                      <w:szCs w:val="21"/>
                    </w:rPr>
                    <w:t>东</w:t>
                  </w:r>
                  <w:r>
                    <w:rPr>
                      <w:rFonts w:hint="eastAsia"/>
                      <w:szCs w:val="21"/>
                    </w:rPr>
                    <w:t>6</w:t>
                  </w:r>
                </w:p>
              </w:tc>
              <w:tc>
                <w:tcPr>
                  <w:tcW w:w="721" w:type="dxa"/>
                  <w:vAlign w:val="center"/>
                </w:tcPr>
                <w:p>
                  <w:pPr>
                    <w:jc w:val="center"/>
                    <w:rPr>
                      <w:szCs w:val="21"/>
                    </w:rPr>
                  </w:pPr>
                  <w:r>
                    <w:rPr>
                      <w:rFonts w:hint="eastAsia"/>
                      <w:szCs w:val="21"/>
                    </w:rPr>
                    <w:t>3</w:t>
                  </w:r>
                  <w:r>
                    <w:rPr>
                      <w:szCs w:val="21"/>
                    </w:rPr>
                    <w:t>9.4</w:t>
                  </w:r>
                </w:p>
              </w:tc>
              <w:tc>
                <w:tcPr>
                  <w:tcW w:w="325" w:type="dxa"/>
                  <w:vMerge w:val="restart"/>
                  <w:vAlign w:val="center"/>
                </w:tcPr>
                <w:p>
                  <w:pPr>
                    <w:pStyle w:val="51"/>
                    <w:adjustRightInd w:val="0"/>
                    <w:snapToGrid w:val="0"/>
                  </w:pPr>
                  <w:r>
                    <w:t>持续运行</w:t>
                  </w:r>
                </w:p>
              </w:tc>
              <w:tc>
                <w:tcPr>
                  <w:tcW w:w="829" w:type="dxa"/>
                  <w:vMerge w:val="restart"/>
                  <w:vAlign w:val="center"/>
                </w:tcPr>
                <w:p>
                  <w:pPr>
                    <w:pStyle w:val="51"/>
                    <w:adjustRightInd w:val="0"/>
                    <w:snapToGrid w:val="0"/>
                  </w:pPr>
                  <w:r>
                    <w:t>6</w:t>
                  </w:r>
                </w:p>
              </w:tc>
              <w:tc>
                <w:tcPr>
                  <w:tcW w:w="868" w:type="dxa"/>
                  <w:vAlign w:val="center"/>
                </w:tcPr>
                <w:p>
                  <w:pPr>
                    <w:jc w:val="center"/>
                    <w:rPr>
                      <w:szCs w:val="21"/>
                    </w:rPr>
                  </w:pPr>
                  <w:r>
                    <w:rPr>
                      <w:rFonts w:hint="eastAsia"/>
                      <w:szCs w:val="21"/>
                    </w:rPr>
                    <w:t>3</w:t>
                  </w:r>
                  <w:r>
                    <w:rPr>
                      <w:szCs w:val="21"/>
                    </w:rPr>
                    <w:t>3.4</w:t>
                  </w:r>
                </w:p>
              </w:tc>
              <w:tc>
                <w:tcPr>
                  <w:tcW w:w="568" w:type="dxa"/>
                  <w:vAlign w:val="center"/>
                </w:tcPr>
                <w:p>
                  <w:pPr>
                    <w:pStyle w:val="51"/>
                    <w:adjustRightInd w:val="0"/>
                    <w:snapToGrid w:val="0"/>
                  </w:pPr>
                  <w:r>
                    <w:t>1m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58" w:type="dxa"/>
                  <w:vMerge w:val="continue"/>
                  <w:vAlign w:val="center"/>
                </w:tcPr>
                <w:p>
                  <w:pPr>
                    <w:pStyle w:val="51"/>
                    <w:adjustRightInd w:val="0"/>
                    <w:snapToGrid w:val="0"/>
                  </w:pPr>
                </w:p>
              </w:tc>
              <w:tc>
                <w:tcPr>
                  <w:tcW w:w="546" w:type="dxa"/>
                  <w:vMerge w:val="continue"/>
                  <w:vAlign w:val="center"/>
                </w:tcPr>
                <w:p>
                  <w:pPr>
                    <w:pStyle w:val="51"/>
                    <w:adjustRightInd w:val="0"/>
                    <w:snapToGrid w:val="0"/>
                  </w:pPr>
                </w:p>
              </w:tc>
              <w:tc>
                <w:tcPr>
                  <w:tcW w:w="776" w:type="dxa"/>
                  <w:vMerge w:val="continue"/>
                  <w:vAlign w:val="center"/>
                </w:tcPr>
                <w:p>
                  <w:pPr>
                    <w:pStyle w:val="51"/>
                    <w:adjustRightInd w:val="0"/>
                    <w:snapToGrid w:val="0"/>
                  </w:pPr>
                </w:p>
              </w:tc>
              <w:tc>
                <w:tcPr>
                  <w:tcW w:w="778" w:type="dxa"/>
                  <w:vMerge w:val="continue"/>
                  <w:vAlign w:val="center"/>
                </w:tcPr>
                <w:p>
                  <w:pPr>
                    <w:pStyle w:val="51"/>
                    <w:adjustRightInd w:val="0"/>
                    <w:snapToGrid w:val="0"/>
                    <w:rPr>
                      <w:rFonts w:eastAsia="MS Gothic"/>
                    </w:rPr>
                  </w:pPr>
                </w:p>
              </w:tc>
              <w:tc>
                <w:tcPr>
                  <w:tcW w:w="1515" w:type="dxa"/>
                  <w:vMerge w:val="continue"/>
                  <w:vAlign w:val="center"/>
                </w:tcPr>
                <w:p>
                  <w:pPr>
                    <w:pStyle w:val="51"/>
                    <w:adjustRightInd w:val="0"/>
                    <w:snapToGrid w:val="0"/>
                  </w:pPr>
                </w:p>
              </w:tc>
              <w:tc>
                <w:tcPr>
                  <w:tcW w:w="565" w:type="dxa"/>
                  <w:vMerge w:val="continue"/>
                  <w:vAlign w:val="center"/>
                </w:tcPr>
                <w:p>
                  <w:pPr>
                    <w:pStyle w:val="51"/>
                    <w:adjustRightInd w:val="0"/>
                    <w:snapToGrid w:val="0"/>
                  </w:pPr>
                </w:p>
              </w:tc>
              <w:tc>
                <w:tcPr>
                  <w:tcW w:w="778" w:type="dxa"/>
                  <w:vMerge w:val="continue"/>
                  <w:vAlign w:val="center"/>
                </w:tcPr>
                <w:p>
                  <w:pPr>
                    <w:jc w:val="center"/>
                    <w:rPr>
                      <w:szCs w:val="21"/>
                    </w:rPr>
                  </w:pPr>
                </w:p>
              </w:tc>
              <w:tc>
                <w:tcPr>
                  <w:tcW w:w="838" w:type="dxa"/>
                  <w:vMerge w:val="continue"/>
                  <w:vAlign w:val="center"/>
                </w:tcPr>
                <w:p>
                  <w:pPr>
                    <w:jc w:val="center"/>
                    <w:rPr>
                      <w:szCs w:val="21"/>
                    </w:rPr>
                  </w:pPr>
                </w:p>
              </w:tc>
              <w:tc>
                <w:tcPr>
                  <w:tcW w:w="839" w:type="dxa"/>
                  <w:vMerge w:val="continue"/>
                  <w:vAlign w:val="center"/>
                </w:tcPr>
                <w:p>
                  <w:pPr>
                    <w:pStyle w:val="51"/>
                    <w:adjustRightInd w:val="0"/>
                    <w:snapToGrid w:val="0"/>
                  </w:pPr>
                </w:p>
              </w:tc>
              <w:tc>
                <w:tcPr>
                  <w:tcW w:w="511" w:type="dxa"/>
                  <w:vMerge w:val="continue"/>
                  <w:vAlign w:val="center"/>
                </w:tcPr>
                <w:p>
                  <w:pPr>
                    <w:jc w:val="center"/>
                    <w:rPr>
                      <w:szCs w:val="21"/>
                    </w:rPr>
                  </w:pPr>
                </w:p>
              </w:tc>
              <w:tc>
                <w:tcPr>
                  <w:tcW w:w="511" w:type="dxa"/>
                  <w:vMerge w:val="continue"/>
                  <w:vAlign w:val="center"/>
                </w:tcPr>
                <w:p>
                  <w:pPr>
                    <w:jc w:val="center"/>
                    <w:rPr>
                      <w:szCs w:val="21"/>
                    </w:rPr>
                  </w:pPr>
                </w:p>
              </w:tc>
              <w:tc>
                <w:tcPr>
                  <w:tcW w:w="523" w:type="dxa"/>
                  <w:vMerge w:val="continue"/>
                  <w:vAlign w:val="center"/>
                </w:tcPr>
                <w:p>
                  <w:pPr>
                    <w:jc w:val="center"/>
                    <w:rPr>
                      <w:szCs w:val="21"/>
                    </w:rPr>
                  </w:pPr>
                </w:p>
              </w:tc>
              <w:tc>
                <w:tcPr>
                  <w:tcW w:w="750" w:type="dxa"/>
                  <w:vAlign w:val="center"/>
                </w:tcPr>
                <w:p>
                  <w:pPr>
                    <w:jc w:val="center"/>
                    <w:rPr>
                      <w:szCs w:val="21"/>
                    </w:rPr>
                  </w:pPr>
                  <w:r>
                    <w:rPr>
                      <w:szCs w:val="21"/>
                    </w:rPr>
                    <w:t>南</w:t>
                  </w:r>
                  <w:r>
                    <w:rPr>
                      <w:rFonts w:hint="eastAsia"/>
                      <w:szCs w:val="21"/>
                    </w:rPr>
                    <w:t>1</w:t>
                  </w:r>
                  <w:r>
                    <w:rPr>
                      <w:szCs w:val="21"/>
                    </w:rPr>
                    <w:t>8</w:t>
                  </w:r>
                </w:p>
              </w:tc>
              <w:tc>
                <w:tcPr>
                  <w:tcW w:w="721" w:type="dxa"/>
                  <w:vAlign w:val="center"/>
                </w:tcPr>
                <w:p>
                  <w:pPr>
                    <w:jc w:val="center"/>
                    <w:rPr>
                      <w:szCs w:val="21"/>
                    </w:rPr>
                  </w:pPr>
                  <w:r>
                    <w:rPr>
                      <w:rFonts w:hint="eastAsia"/>
                      <w:szCs w:val="21"/>
                    </w:rPr>
                    <w:t>2</w:t>
                  </w:r>
                  <w:r>
                    <w:rPr>
                      <w:szCs w:val="21"/>
                    </w:rPr>
                    <w:t>9.9</w:t>
                  </w:r>
                </w:p>
              </w:tc>
              <w:tc>
                <w:tcPr>
                  <w:tcW w:w="325" w:type="dxa"/>
                  <w:vMerge w:val="continue"/>
                  <w:vAlign w:val="center"/>
                </w:tcPr>
                <w:p>
                  <w:pPr>
                    <w:pStyle w:val="51"/>
                    <w:adjustRightInd w:val="0"/>
                    <w:snapToGrid w:val="0"/>
                  </w:pPr>
                </w:p>
              </w:tc>
              <w:tc>
                <w:tcPr>
                  <w:tcW w:w="829" w:type="dxa"/>
                  <w:vMerge w:val="continue"/>
                  <w:vAlign w:val="center"/>
                </w:tcPr>
                <w:p>
                  <w:pPr>
                    <w:pStyle w:val="51"/>
                    <w:adjustRightInd w:val="0"/>
                    <w:snapToGrid w:val="0"/>
                  </w:pPr>
                </w:p>
              </w:tc>
              <w:tc>
                <w:tcPr>
                  <w:tcW w:w="868" w:type="dxa"/>
                  <w:vAlign w:val="center"/>
                </w:tcPr>
                <w:p>
                  <w:pPr>
                    <w:jc w:val="center"/>
                    <w:rPr>
                      <w:szCs w:val="21"/>
                    </w:rPr>
                  </w:pPr>
                  <w:r>
                    <w:rPr>
                      <w:rFonts w:hint="eastAsia"/>
                      <w:szCs w:val="21"/>
                    </w:rPr>
                    <w:t>2</w:t>
                  </w:r>
                  <w:r>
                    <w:rPr>
                      <w:szCs w:val="21"/>
                    </w:rPr>
                    <w:t>3.9</w:t>
                  </w:r>
                </w:p>
              </w:tc>
              <w:tc>
                <w:tcPr>
                  <w:tcW w:w="568" w:type="dxa"/>
                  <w:vAlign w:val="center"/>
                </w:tcPr>
                <w:p>
                  <w:pPr>
                    <w:pStyle w:val="51"/>
                    <w:adjustRightInd w:val="0"/>
                    <w:snapToGrid w:val="0"/>
                  </w:pPr>
                  <w:r>
                    <w:t>1m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58" w:type="dxa"/>
                  <w:vMerge w:val="continue"/>
                  <w:vAlign w:val="center"/>
                </w:tcPr>
                <w:p>
                  <w:pPr>
                    <w:pStyle w:val="51"/>
                    <w:adjustRightInd w:val="0"/>
                    <w:snapToGrid w:val="0"/>
                  </w:pPr>
                </w:p>
              </w:tc>
              <w:tc>
                <w:tcPr>
                  <w:tcW w:w="546" w:type="dxa"/>
                  <w:vMerge w:val="continue"/>
                  <w:vAlign w:val="center"/>
                </w:tcPr>
                <w:p>
                  <w:pPr>
                    <w:pStyle w:val="51"/>
                    <w:adjustRightInd w:val="0"/>
                    <w:snapToGrid w:val="0"/>
                  </w:pPr>
                </w:p>
              </w:tc>
              <w:tc>
                <w:tcPr>
                  <w:tcW w:w="776" w:type="dxa"/>
                  <w:vMerge w:val="continue"/>
                  <w:vAlign w:val="center"/>
                </w:tcPr>
                <w:p>
                  <w:pPr>
                    <w:pStyle w:val="51"/>
                    <w:adjustRightInd w:val="0"/>
                    <w:snapToGrid w:val="0"/>
                  </w:pPr>
                </w:p>
              </w:tc>
              <w:tc>
                <w:tcPr>
                  <w:tcW w:w="778" w:type="dxa"/>
                  <w:vMerge w:val="continue"/>
                  <w:vAlign w:val="center"/>
                </w:tcPr>
                <w:p>
                  <w:pPr>
                    <w:pStyle w:val="51"/>
                    <w:adjustRightInd w:val="0"/>
                    <w:snapToGrid w:val="0"/>
                    <w:rPr>
                      <w:rFonts w:eastAsia="MS Gothic"/>
                    </w:rPr>
                  </w:pPr>
                </w:p>
              </w:tc>
              <w:tc>
                <w:tcPr>
                  <w:tcW w:w="1515" w:type="dxa"/>
                  <w:vMerge w:val="continue"/>
                  <w:vAlign w:val="center"/>
                </w:tcPr>
                <w:p>
                  <w:pPr>
                    <w:pStyle w:val="51"/>
                    <w:adjustRightInd w:val="0"/>
                    <w:snapToGrid w:val="0"/>
                  </w:pPr>
                </w:p>
              </w:tc>
              <w:tc>
                <w:tcPr>
                  <w:tcW w:w="565" w:type="dxa"/>
                  <w:vMerge w:val="continue"/>
                  <w:vAlign w:val="center"/>
                </w:tcPr>
                <w:p>
                  <w:pPr>
                    <w:pStyle w:val="51"/>
                    <w:adjustRightInd w:val="0"/>
                    <w:snapToGrid w:val="0"/>
                  </w:pPr>
                </w:p>
              </w:tc>
              <w:tc>
                <w:tcPr>
                  <w:tcW w:w="778" w:type="dxa"/>
                  <w:vMerge w:val="continue"/>
                  <w:vAlign w:val="center"/>
                </w:tcPr>
                <w:p>
                  <w:pPr>
                    <w:jc w:val="center"/>
                    <w:rPr>
                      <w:szCs w:val="21"/>
                    </w:rPr>
                  </w:pPr>
                </w:p>
              </w:tc>
              <w:tc>
                <w:tcPr>
                  <w:tcW w:w="838" w:type="dxa"/>
                  <w:vMerge w:val="continue"/>
                  <w:vAlign w:val="center"/>
                </w:tcPr>
                <w:p>
                  <w:pPr>
                    <w:jc w:val="center"/>
                    <w:rPr>
                      <w:szCs w:val="21"/>
                    </w:rPr>
                  </w:pPr>
                </w:p>
              </w:tc>
              <w:tc>
                <w:tcPr>
                  <w:tcW w:w="839" w:type="dxa"/>
                  <w:vMerge w:val="continue"/>
                  <w:vAlign w:val="center"/>
                </w:tcPr>
                <w:p>
                  <w:pPr>
                    <w:pStyle w:val="51"/>
                    <w:adjustRightInd w:val="0"/>
                    <w:snapToGrid w:val="0"/>
                  </w:pPr>
                </w:p>
              </w:tc>
              <w:tc>
                <w:tcPr>
                  <w:tcW w:w="511" w:type="dxa"/>
                  <w:vMerge w:val="continue"/>
                  <w:vAlign w:val="center"/>
                </w:tcPr>
                <w:p>
                  <w:pPr>
                    <w:jc w:val="center"/>
                    <w:rPr>
                      <w:szCs w:val="21"/>
                    </w:rPr>
                  </w:pPr>
                </w:p>
              </w:tc>
              <w:tc>
                <w:tcPr>
                  <w:tcW w:w="511" w:type="dxa"/>
                  <w:vMerge w:val="continue"/>
                  <w:vAlign w:val="center"/>
                </w:tcPr>
                <w:p>
                  <w:pPr>
                    <w:jc w:val="center"/>
                    <w:rPr>
                      <w:szCs w:val="21"/>
                    </w:rPr>
                  </w:pPr>
                </w:p>
              </w:tc>
              <w:tc>
                <w:tcPr>
                  <w:tcW w:w="523" w:type="dxa"/>
                  <w:vMerge w:val="continue"/>
                  <w:vAlign w:val="center"/>
                </w:tcPr>
                <w:p>
                  <w:pPr>
                    <w:jc w:val="center"/>
                    <w:rPr>
                      <w:szCs w:val="21"/>
                    </w:rPr>
                  </w:pPr>
                </w:p>
              </w:tc>
              <w:tc>
                <w:tcPr>
                  <w:tcW w:w="750" w:type="dxa"/>
                  <w:vAlign w:val="center"/>
                </w:tcPr>
                <w:p>
                  <w:pPr>
                    <w:jc w:val="center"/>
                    <w:rPr>
                      <w:szCs w:val="21"/>
                    </w:rPr>
                  </w:pPr>
                  <w:r>
                    <w:rPr>
                      <w:szCs w:val="21"/>
                    </w:rPr>
                    <w:t>西</w:t>
                  </w:r>
                  <w:r>
                    <w:rPr>
                      <w:rFonts w:hint="eastAsia"/>
                      <w:szCs w:val="21"/>
                    </w:rPr>
                    <w:t>3</w:t>
                  </w:r>
                  <w:r>
                    <w:rPr>
                      <w:szCs w:val="21"/>
                    </w:rPr>
                    <w:t>8</w:t>
                  </w:r>
                </w:p>
              </w:tc>
              <w:tc>
                <w:tcPr>
                  <w:tcW w:w="721" w:type="dxa"/>
                  <w:vAlign w:val="center"/>
                </w:tcPr>
                <w:p>
                  <w:pPr>
                    <w:jc w:val="center"/>
                    <w:rPr>
                      <w:szCs w:val="21"/>
                    </w:rPr>
                  </w:pPr>
                  <w:r>
                    <w:rPr>
                      <w:rFonts w:hint="eastAsia"/>
                      <w:szCs w:val="21"/>
                    </w:rPr>
                    <w:t>2</w:t>
                  </w:r>
                  <w:r>
                    <w:rPr>
                      <w:szCs w:val="21"/>
                    </w:rPr>
                    <w:t>3.4</w:t>
                  </w:r>
                </w:p>
              </w:tc>
              <w:tc>
                <w:tcPr>
                  <w:tcW w:w="325" w:type="dxa"/>
                  <w:vMerge w:val="continue"/>
                  <w:vAlign w:val="center"/>
                </w:tcPr>
                <w:p>
                  <w:pPr>
                    <w:pStyle w:val="51"/>
                    <w:adjustRightInd w:val="0"/>
                    <w:snapToGrid w:val="0"/>
                  </w:pPr>
                </w:p>
              </w:tc>
              <w:tc>
                <w:tcPr>
                  <w:tcW w:w="829" w:type="dxa"/>
                  <w:vMerge w:val="continue"/>
                  <w:vAlign w:val="center"/>
                </w:tcPr>
                <w:p>
                  <w:pPr>
                    <w:pStyle w:val="51"/>
                    <w:adjustRightInd w:val="0"/>
                    <w:snapToGrid w:val="0"/>
                  </w:pPr>
                </w:p>
              </w:tc>
              <w:tc>
                <w:tcPr>
                  <w:tcW w:w="868" w:type="dxa"/>
                  <w:vAlign w:val="center"/>
                </w:tcPr>
                <w:p>
                  <w:pPr>
                    <w:jc w:val="center"/>
                    <w:rPr>
                      <w:szCs w:val="21"/>
                    </w:rPr>
                  </w:pPr>
                  <w:r>
                    <w:rPr>
                      <w:rFonts w:hint="eastAsia"/>
                      <w:szCs w:val="21"/>
                    </w:rPr>
                    <w:t>1</w:t>
                  </w:r>
                  <w:r>
                    <w:rPr>
                      <w:szCs w:val="21"/>
                    </w:rPr>
                    <w:t>7.4</w:t>
                  </w:r>
                </w:p>
              </w:tc>
              <w:tc>
                <w:tcPr>
                  <w:tcW w:w="568" w:type="dxa"/>
                  <w:vAlign w:val="center"/>
                </w:tcPr>
                <w:p>
                  <w:pPr>
                    <w:pStyle w:val="51"/>
                    <w:adjustRightInd w:val="0"/>
                    <w:snapToGrid w:val="0"/>
                  </w:pPr>
                  <w:r>
                    <w:t>1m</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4" w:hRule="atLeast"/>
                <w:jc w:val="center"/>
              </w:trPr>
              <w:tc>
                <w:tcPr>
                  <w:tcW w:w="458" w:type="dxa"/>
                  <w:vMerge w:val="continue"/>
                  <w:vAlign w:val="center"/>
                </w:tcPr>
                <w:p>
                  <w:pPr>
                    <w:pStyle w:val="51"/>
                    <w:adjustRightInd w:val="0"/>
                    <w:snapToGrid w:val="0"/>
                  </w:pPr>
                </w:p>
              </w:tc>
              <w:tc>
                <w:tcPr>
                  <w:tcW w:w="546" w:type="dxa"/>
                  <w:vMerge w:val="continue"/>
                  <w:vAlign w:val="center"/>
                </w:tcPr>
                <w:p>
                  <w:pPr>
                    <w:pStyle w:val="51"/>
                    <w:adjustRightInd w:val="0"/>
                    <w:snapToGrid w:val="0"/>
                  </w:pPr>
                </w:p>
              </w:tc>
              <w:tc>
                <w:tcPr>
                  <w:tcW w:w="776" w:type="dxa"/>
                  <w:vMerge w:val="continue"/>
                  <w:vAlign w:val="center"/>
                </w:tcPr>
                <w:p>
                  <w:pPr>
                    <w:pStyle w:val="51"/>
                    <w:adjustRightInd w:val="0"/>
                    <w:snapToGrid w:val="0"/>
                  </w:pPr>
                </w:p>
              </w:tc>
              <w:tc>
                <w:tcPr>
                  <w:tcW w:w="778" w:type="dxa"/>
                  <w:vMerge w:val="continue"/>
                  <w:vAlign w:val="center"/>
                </w:tcPr>
                <w:p>
                  <w:pPr>
                    <w:pStyle w:val="51"/>
                    <w:adjustRightInd w:val="0"/>
                    <w:snapToGrid w:val="0"/>
                    <w:rPr>
                      <w:rFonts w:eastAsia="MS Gothic"/>
                    </w:rPr>
                  </w:pPr>
                </w:p>
              </w:tc>
              <w:tc>
                <w:tcPr>
                  <w:tcW w:w="1515" w:type="dxa"/>
                  <w:vMerge w:val="continue"/>
                  <w:vAlign w:val="center"/>
                </w:tcPr>
                <w:p>
                  <w:pPr>
                    <w:pStyle w:val="51"/>
                    <w:adjustRightInd w:val="0"/>
                    <w:snapToGrid w:val="0"/>
                  </w:pPr>
                </w:p>
              </w:tc>
              <w:tc>
                <w:tcPr>
                  <w:tcW w:w="565" w:type="dxa"/>
                  <w:vMerge w:val="continue"/>
                  <w:vAlign w:val="center"/>
                </w:tcPr>
                <w:p>
                  <w:pPr>
                    <w:pStyle w:val="51"/>
                    <w:adjustRightInd w:val="0"/>
                    <w:snapToGrid w:val="0"/>
                  </w:pPr>
                </w:p>
              </w:tc>
              <w:tc>
                <w:tcPr>
                  <w:tcW w:w="778" w:type="dxa"/>
                  <w:vMerge w:val="continue"/>
                  <w:vAlign w:val="center"/>
                </w:tcPr>
                <w:p>
                  <w:pPr>
                    <w:jc w:val="center"/>
                    <w:rPr>
                      <w:szCs w:val="21"/>
                    </w:rPr>
                  </w:pPr>
                </w:p>
              </w:tc>
              <w:tc>
                <w:tcPr>
                  <w:tcW w:w="838" w:type="dxa"/>
                  <w:vMerge w:val="continue"/>
                  <w:vAlign w:val="center"/>
                </w:tcPr>
                <w:p>
                  <w:pPr>
                    <w:jc w:val="center"/>
                    <w:rPr>
                      <w:szCs w:val="21"/>
                    </w:rPr>
                  </w:pPr>
                </w:p>
              </w:tc>
              <w:tc>
                <w:tcPr>
                  <w:tcW w:w="839" w:type="dxa"/>
                  <w:vMerge w:val="continue"/>
                  <w:vAlign w:val="center"/>
                </w:tcPr>
                <w:p>
                  <w:pPr>
                    <w:pStyle w:val="51"/>
                    <w:adjustRightInd w:val="0"/>
                    <w:snapToGrid w:val="0"/>
                  </w:pPr>
                </w:p>
              </w:tc>
              <w:tc>
                <w:tcPr>
                  <w:tcW w:w="511" w:type="dxa"/>
                  <w:vMerge w:val="continue"/>
                  <w:vAlign w:val="center"/>
                </w:tcPr>
                <w:p>
                  <w:pPr>
                    <w:jc w:val="center"/>
                    <w:rPr>
                      <w:szCs w:val="21"/>
                    </w:rPr>
                  </w:pPr>
                </w:p>
              </w:tc>
              <w:tc>
                <w:tcPr>
                  <w:tcW w:w="511" w:type="dxa"/>
                  <w:vMerge w:val="continue"/>
                  <w:vAlign w:val="center"/>
                </w:tcPr>
                <w:p>
                  <w:pPr>
                    <w:jc w:val="center"/>
                    <w:rPr>
                      <w:szCs w:val="21"/>
                    </w:rPr>
                  </w:pPr>
                </w:p>
              </w:tc>
              <w:tc>
                <w:tcPr>
                  <w:tcW w:w="523" w:type="dxa"/>
                  <w:vMerge w:val="continue"/>
                  <w:vAlign w:val="center"/>
                </w:tcPr>
                <w:p>
                  <w:pPr>
                    <w:jc w:val="center"/>
                    <w:rPr>
                      <w:szCs w:val="21"/>
                    </w:rPr>
                  </w:pPr>
                </w:p>
              </w:tc>
              <w:tc>
                <w:tcPr>
                  <w:tcW w:w="750" w:type="dxa"/>
                  <w:vAlign w:val="center"/>
                </w:tcPr>
                <w:p>
                  <w:pPr>
                    <w:jc w:val="center"/>
                    <w:rPr>
                      <w:szCs w:val="21"/>
                    </w:rPr>
                  </w:pPr>
                  <w:r>
                    <w:rPr>
                      <w:szCs w:val="21"/>
                    </w:rPr>
                    <w:t>北</w:t>
                  </w:r>
                  <w:r>
                    <w:rPr>
                      <w:rFonts w:hint="eastAsia"/>
                      <w:szCs w:val="21"/>
                    </w:rPr>
                    <w:t>4</w:t>
                  </w:r>
                </w:p>
              </w:tc>
              <w:tc>
                <w:tcPr>
                  <w:tcW w:w="721" w:type="dxa"/>
                  <w:vAlign w:val="center"/>
                </w:tcPr>
                <w:p>
                  <w:pPr>
                    <w:jc w:val="center"/>
                    <w:rPr>
                      <w:szCs w:val="21"/>
                    </w:rPr>
                  </w:pPr>
                  <w:r>
                    <w:rPr>
                      <w:rFonts w:hint="eastAsia"/>
                      <w:szCs w:val="21"/>
                    </w:rPr>
                    <w:t>4</w:t>
                  </w:r>
                  <w:r>
                    <w:rPr>
                      <w:szCs w:val="21"/>
                    </w:rPr>
                    <w:t>2.9</w:t>
                  </w:r>
                </w:p>
              </w:tc>
              <w:tc>
                <w:tcPr>
                  <w:tcW w:w="325" w:type="dxa"/>
                  <w:vMerge w:val="continue"/>
                  <w:vAlign w:val="center"/>
                </w:tcPr>
                <w:p>
                  <w:pPr>
                    <w:pStyle w:val="51"/>
                    <w:adjustRightInd w:val="0"/>
                    <w:snapToGrid w:val="0"/>
                  </w:pPr>
                </w:p>
              </w:tc>
              <w:tc>
                <w:tcPr>
                  <w:tcW w:w="829" w:type="dxa"/>
                  <w:vMerge w:val="continue"/>
                  <w:vAlign w:val="center"/>
                </w:tcPr>
                <w:p>
                  <w:pPr>
                    <w:pStyle w:val="51"/>
                    <w:adjustRightInd w:val="0"/>
                    <w:snapToGrid w:val="0"/>
                  </w:pPr>
                </w:p>
              </w:tc>
              <w:tc>
                <w:tcPr>
                  <w:tcW w:w="868" w:type="dxa"/>
                  <w:vAlign w:val="center"/>
                </w:tcPr>
                <w:p>
                  <w:pPr>
                    <w:jc w:val="center"/>
                    <w:rPr>
                      <w:szCs w:val="21"/>
                    </w:rPr>
                  </w:pPr>
                  <w:r>
                    <w:rPr>
                      <w:rFonts w:hint="eastAsia"/>
                      <w:szCs w:val="21"/>
                    </w:rPr>
                    <w:t>3</w:t>
                  </w:r>
                  <w:r>
                    <w:rPr>
                      <w:szCs w:val="21"/>
                    </w:rPr>
                    <w:t>6.9</w:t>
                  </w:r>
                </w:p>
              </w:tc>
              <w:tc>
                <w:tcPr>
                  <w:tcW w:w="568" w:type="dxa"/>
                  <w:vAlign w:val="center"/>
                </w:tcPr>
                <w:p>
                  <w:pPr>
                    <w:pStyle w:val="51"/>
                    <w:adjustRightInd w:val="0"/>
                    <w:snapToGrid w:val="0"/>
                  </w:pPr>
                  <w:r>
                    <w:t>1m</w:t>
                  </w:r>
                </w:p>
              </w:tc>
            </w:tr>
          </w:tbl>
          <w:p/>
        </w:tc>
      </w:tr>
    </w:tbl>
    <w:p>
      <w:pPr>
        <w:pStyle w:val="17"/>
        <w:jc w:val="center"/>
        <w:outlineLvl w:val="0"/>
        <w:rPr>
          <w:rFonts w:ascii="Times New Roman" w:hAnsi="Times New Roman" w:eastAsia="黑体"/>
          <w:snapToGrid w:val="0"/>
          <w:sz w:val="30"/>
          <w:szCs w:val="30"/>
        </w:rPr>
        <w:sectPr>
          <w:footerReference r:id="rId6" w:type="default"/>
          <w:pgSz w:w="16838" w:h="11906" w:orient="landscape"/>
          <w:pgMar w:top="1418" w:right="1701" w:bottom="1418" w:left="1701" w:header="851" w:footer="851" w:gutter="0"/>
          <w:cols w:space="720" w:num="1"/>
          <w:docGrid w:linePitch="312" w:charSpace="0"/>
        </w:sectPr>
      </w:pP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3" w:type="pct"/>
            <w:vAlign w:val="center"/>
          </w:tcPr>
          <w:p>
            <w:pPr>
              <w:pStyle w:val="17"/>
              <w:jc w:val="center"/>
              <w:outlineLvl w:val="0"/>
              <w:rPr>
                <w:rFonts w:ascii="Times New Roman" w:hAnsi="Times New Roman" w:eastAsia="黑体"/>
                <w:snapToGrid w:val="0"/>
                <w:sz w:val="30"/>
                <w:szCs w:val="30"/>
              </w:rPr>
            </w:pPr>
          </w:p>
        </w:tc>
        <w:tc>
          <w:tcPr>
            <w:tcW w:w="4637" w:type="pct"/>
            <w:vAlign w:val="center"/>
          </w:tcPr>
          <w:p>
            <w:pPr>
              <w:pStyle w:val="59"/>
              <w:spacing w:line="460" w:lineRule="exact"/>
              <w:ind w:firstLine="482" w:firstLineChars="200"/>
              <w:rPr>
                <w:b/>
                <w:color w:val="000000"/>
                <w:sz w:val="24"/>
              </w:rPr>
            </w:pPr>
            <w:r>
              <w:rPr>
                <w:rFonts w:hint="eastAsia"/>
                <w:b/>
                <w:color w:val="000000"/>
                <w:sz w:val="24"/>
              </w:rPr>
              <w:t>2、</w:t>
            </w:r>
            <w:r>
              <w:rPr>
                <w:b/>
                <w:color w:val="000000"/>
                <w:sz w:val="24"/>
              </w:rPr>
              <w:t>预测计算</w:t>
            </w:r>
          </w:p>
          <w:p>
            <w:pPr>
              <w:tabs>
                <w:tab w:val="left" w:pos="8370"/>
                <w:tab w:val="left" w:pos="8600"/>
              </w:tabs>
              <w:spacing w:line="460" w:lineRule="exact"/>
              <w:ind w:firstLine="480" w:firstLineChars="200"/>
              <w:rPr>
                <w:sz w:val="24"/>
              </w:rPr>
            </w:pPr>
            <w:r>
              <w:rPr>
                <w:rFonts w:hint="eastAsia" w:ascii="宋体" w:hAnsi="宋体" w:cs="宋体"/>
                <w:sz w:val="24"/>
              </w:rPr>
              <w:t>①</w:t>
            </w:r>
            <w:r>
              <w:rPr>
                <w:sz w:val="24"/>
              </w:rPr>
              <w:t>噪声源衰减分析方法</w:t>
            </w:r>
          </w:p>
          <w:p>
            <w:pPr>
              <w:tabs>
                <w:tab w:val="left" w:pos="8370"/>
                <w:tab w:val="left" w:pos="8600"/>
              </w:tabs>
              <w:spacing w:line="460" w:lineRule="exact"/>
              <w:ind w:firstLine="480" w:firstLineChars="200"/>
              <w:rPr>
                <w:sz w:val="24"/>
              </w:rPr>
            </w:pPr>
            <w:r>
              <w:rPr>
                <w:sz w:val="24"/>
              </w:rPr>
              <w:t>设备声源传播到受声点的距离为</w:t>
            </w:r>
            <w:r>
              <w:rPr>
                <w:sz w:val="24"/>
              </w:rPr>
              <w:drawing>
                <wp:inline distT="0" distB="0" distL="0" distR="0">
                  <wp:extent cx="114300" cy="142875"/>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r>
              <w:rPr>
                <w:sz w:val="24"/>
              </w:rPr>
              <w:t>，厂房高度为</w:t>
            </w:r>
            <w:r>
              <w:rPr>
                <w:sz w:val="24"/>
              </w:rPr>
              <w:drawing>
                <wp:inline distT="0" distB="0" distL="0" distR="0">
                  <wp:extent cx="142875" cy="142875"/>
                  <wp:effectExtent l="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r>
              <w:rPr>
                <w:sz w:val="24"/>
              </w:rPr>
              <w:t>，厂房的长度为</w:t>
            </w:r>
            <w:r>
              <w:rPr>
                <w:sz w:val="24"/>
              </w:rPr>
              <w:drawing>
                <wp:inline distT="0" distB="0" distL="0" distR="0">
                  <wp:extent cx="142875" cy="180975"/>
                  <wp:effectExtent l="0" t="0" r="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42875" cy="180975"/>
                          </a:xfrm>
                          <a:prstGeom prst="rect">
                            <a:avLst/>
                          </a:prstGeom>
                          <a:noFill/>
                          <a:ln>
                            <a:noFill/>
                          </a:ln>
                        </pic:spPr>
                      </pic:pic>
                    </a:graphicData>
                  </a:graphic>
                </wp:inline>
              </w:drawing>
            </w:r>
            <w:r>
              <w:rPr>
                <w:sz w:val="24"/>
              </w:rPr>
              <w:t>，对于靠近墙面中心为</w:t>
            </w:r>
            <w:r>
              <w:rPr>
                <w:sz w:val="24"/>
              </w:rPr>
              <w:drawing>
                <wp:inline distT="0" distB="0" distL="0" distR="0">
                  <wp:extent cx="114300" cy="142875"/>
                  <wp:effectExtent l="0" t="0" r="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r>
              <w:rPr>
                <w:sz w:val="24"/>
              </w:rPr>
              <w:t>距离的受声点声压级的计算（仅考虑距离衰减）：</w:t>
            </w:r>
          </w:p>
          <w:p>
            <w:pPr>
              <w:tabs>
                <w:tab w:val="left" w:pos="8370"/>
                <w:tab w:val="left" w:pos="8600"/>
              </w:tabs>
              <w:spacing w:line="460" w:lineRule="exact"/>
              <w:ind w:firstLine="480" w:firstLineChars="200"/>
              <w:rPr>
                <w:sz w:val="24"/>
              </w:rPr>
            </w:pPr>
            <w:r>
              <w:rPr>
                <w:sz w:val="24"/>
              </w:rPr>
              <w:t>当</w:t>
            </w:r>
            <w:r>
              <w:rPr>
                <w:sz w:val="24"/>
              </w:rPr>
              <w:drawing>
                <wp:inline distT="0" distB="0" distL="0" distR="0">
                  <wp:extent cx="114300" cy="142875"/>
                  <wp:effectExtent l="0" t="0" r="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r>
              <w:rPr>
                <w:sz w:val="24"/>
              </w:rPr>
              <w:t>≤</w:t>
            </w:r>
            <w:r>
              <w:rPr>
                <w:sz w:val="24"/>
              </w:rPr>
              <w:drawing>
                <wp:inline distT="0" distB="0" distL="0" distR="0">
                  <wp:extent cx="323850" cy="180975"/>
                  <wp:effectExtent l="0" t="0" r="0"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23850" cy="180975"/>
                          </a:xfrm>
                          <a:prstGeom prst="rect">
                            <a:avLst/>
                          </a:prstGeom>
                          <a:noFill/>
                          <a:ln>
                            <a:noFill/>
                          </a:ln>
                        </pic:spPr>
                      </pic:pic>
                    </a:graphicData>
                  </a:graphic>
                </wp:inline>
              </w:drawing>
            </w:r>
            <w:r>
              <w:rPr>
                <w:sz w:val="24"/>
              </w:rPr>
              <w:t>，噪声传播途径中的声级值与距离无关，基本上没有明显衰减；</w:t>
            </w:r>
          </w:p>
          <w:p>
            <w:pPr>
              <w:tabs>
                <w:tab w:val="left" w:pos="8370"/>
                <w:tab w:val="left" w:pos="8600"/>
              </w:tabs>
              <w:spacing w:line="460" w:lineRule="exact"/>
              <w:ind w:firstLine="480" w:firstLineChars="200"/>
              <w:rPr>
                <w:sz w:val="24"/>
              </w:rPr>
            </w:pPr>
            <w:r>
              <w:rPr>
                <w:sz w:val="24"/>
              </w:rPr>
              <w:t>当</w:t>
            </w:r>
            <w:r>
              <w:rPr>
                <w:sz w:val="24"/>
              </w:rPr>
              <w:drawing>
                <wp:inline distT="0" distB="0" distL="0" distR="0">
                  <wp:extent cx="323850" cy="180975"/>
                  <wp:effectExtent l="0" t="0" r="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23850" cy="180975"/>
                          </a:xfrm>
                          <a:prstGeom prst="rect">
                            <a:avLst/>
                          </a:prstGeom>
                          <a:noFill/>
                          <a:ln>
                            <a:noFill/>
                          </a:ln>
                        </pic:spPr>
                      </pic:pic>
                    </a:graphicData>
                  </a:graphic>
                </wp:inline>
              </w:drawing>
            </w:r>
            <w:r>
              <w:rPr>
                <w:sz w:val="24"/>
              </w:rPr>
              <w:t>≤</w:t>
            </w:r>
            <w:r>
              <w:rPr>
                <w:sz w:val="24"/>
              </w:rPr>
              <w:drawing>
                <wp:inline distT="0" distB="0" distL="0" distR="0">
                  <wp:extent cx="114300" cy="142875"/>
                  <wp:effectExtent l="0" t="0" r="0"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r>
              <w:rPr>
                <w:sz w:val="24"/>
              </w:rPr>
              <w:t>≤</w:t>
            </w:r>
            <w:r>
              <w:rPr>
                <w:sz w:val="24"/>
              </w:rPr>
              <w:drawing>
                <wp:inline distT="0" distB="0" distL="0" distR="0">
                  <wp:extent cx="304800" cy="180975"/>
                  <wp:effectExtent l="0" t="0" r="0" b="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04800" cy="180975"/>
                          </a:xfrm>
                          <a:prstGeom prst="rect">
                            <a:avLst/>
                          </a:prstGeom>
                          <a:noFill/>
                          <a:ln>
                            <a:noFill/>
                          </a:ln>
                        </pic:spPr>
                      </pic:pic>
                    </a:graphicData>
                  </a:graphic>
                </wp:inline>
              </w:drawing>
            </w:r>
            <w:r>
              <w:rPr>
                <w:sz w:val="24"/>
              </w:rPr>
              <w:t>时，声源面可近似退化为线源，声压级计算公式为：</w:t>
            </w:r>
          </w:p>
          <w:p>
            <w:pPr>
              <w:tabs>
                <w:tab w:val="left" w:pos="8370"/>
                <w:tab w:val="left" w:pos="8600"/>
              </w:tabs>
              <w:spacing w:line="460" w:lineRule="exact"/>
              <w:ind w:firstLine="480" w:firstLineChars="200"/>
              <w:rPr>
                <w:sz w:val="24"/>
              </w:rPr>
            </w:pPr>
            <w:r>
              <w:rPr>
                <w:sz w:val="24"/>
              </w:rPr>
              <w:drawing>
                <wp:inline distT="0" distB="0" distL="0" distR="0">
                  <wp:extent cx="1219200" cy="228600"/>
                  <wp:effectExtent l="0" t="0" r="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19200" cy="228600"/>
                          </a:xfrm>
                          <a:prstGeom prst="rect">
                            <a:avLst/>
                          </a:prstGeom>
                          <a:noFill/>
                          <a:ln>
                            <a:noFill/>
                          </a:ln>
                        </pic:spPr>
                      </pic:pic>
                    </a:graphicData>
                  </a:graphic>
                </wp:inline>
              </w:drawing>
            </w:r>
          </w:p>
          <w:p>
            <w:pPr>
              <w:tabs>
                <w:tab w:val="left" w:pos="8370"/>
                <w:tab w:val="left" w:pos="8600"/>
              </w:tabs>
              <w:spacing w:line="460" w:lineRule="exact"/>
              <w:ind w:firstLine="480" w:firstLineChars="200"/>
              <w:rPr>
                <w:sz w:val="24"/>
              </w:rPr>
            </w:pPr>
            <w:r>
              <w:rPr>
                <w:sz w:val="24"/>
              </w:rPr>
              <w:t>当</w:t>
            </w:r>
            <w:r>
              <w:rPr>
                <w:sz w:val="24"/>
              </w:rPr>
              <w:drawing>
                <wp:inline distT="0" distB="0" distL="0" distR="0">
                  <wp:extent cx="114300" cy="142875"/>
                  <wp:effectExtent l="0" t="0" r="0"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r>
              <w:rPr>
                <w:sz w:val="24"/>
              </w:rPr>
              <w:t>＞</w:t>
            </w:r>
            <w:r>
              <w:rPr>
                <w:sz w:val="24"/>
              </w:rPr>
              <w:drawing>
                <wp:inline distT="0" distB="0" distL="0" distR="0">
                  <wp:extent cx="304800" cy="180975"/>
                  <wp:effectExtent l="0" t="0" r="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04800" cy="180975"/>
                          </a:xfrm>
                          <a:prstGeom prst="rect">
                            <a:avLst/>
                          </a:prstGeom>
                          <a:noFill/>
                          <a:ln>
                            <a:noFill/>
                          </a:ln>
                        </pic:spPr>
                      </pic:pic>
                    </a:graphicData>
                  </a:graphic>
                </wp:inline>
              </w:drawing>
            </w:r>
            <w:r>
              <w:rPr>
                <w:sz w:val="24"/>
              </w:rPr>
              <w:t>时，可近似认为声源退化为一个点源，计算公式为：</w:t>
            </w:r>
          </w:p>
          <w:p>
            <w:pPr>
              <w:tabs>
                <w:tab w:val="left" w:pos="8370"/>
                <w:tab w:val="left" w:pos="8600"/>
              </w:tabs>
              <w:spacing w:line="460" w:lineRule="exact"/>
              <w:ind w:firstLine="480" w:firstLineChars="200"/>
              <w:rPr>
                <w:sz w:val="24"/>
              </w:rPr>
            </w:pPr>
            <w:r>
              <w:rPr>
                <w:sz w:val="24"/>
              </w:rPr>
              <w:drawing>
                <wp:inline distT="0" distB="0" distL="0" distR="0">
                  <wp:extent cx="1390650" cy="219075"/>
                  <wp:effectExtent l="0" t="0" r="0"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90650" cy="219075"/>
                          </a:xfrm>
                          <a:prstGeom prst="rect">
                            <a:avLst/>
                          </a:prstGeom>
                          <a:noFill/>
                          <a:ln>
                            <a:noFill/>
                          </a:ln>
                        </pic:spPr>
                      </pic:pic>
                    </a:graphicData>
                  </a:graphic>
                </wp:inline>
              </w:drawing>
            </w:r>
          </w:p>
          <w:p>
            <w:pPr>
              <w:tabs>
                <w:tab w:val="left" w:pos="8370"/>
                <w:tab w:val="left" w:pos="8600"/>
              </w:tabs>
              <w:spacing w:line="460" w:lineRule="exact"/>
              <w:ind w:firstLine="480" w:firstLineChars="200"/>
              <w:rPr>
                <w:sz w:val="24"/>
              </w:rPr>
            </w:pPr>
            <w:r>
              <w:rPr>
                <w:sz w:val="24"/>
              </w:rPr>
              <w:t>式中：</w:t>
            </w:r>
            <w:r>
              <w:rPr>
                <w:sz w:val="24"/>
              </w:rPr>
              <w:drawing>
                <wp:inline distT="0" distB="0" distL="0" distR="0">
                  <wp:extent cx="180975" cy="219075"/>
                  <wp:effectExtent l="0" t="0" r="0" b="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80975" cy="219075"/>
                          </a:xfrm>
                          <a:prstGeom prst="rect">
                            <a:avLst/>
                          </a:prstGeom>
                          <a:noFill/>
                          <a:ln>
                            <a:noFill/>
                          </a:ln>
                        </pic:spPr>
                      </pic:pic>
                    </a:graphicData>
                  </a:graphic>
                </wp:inline>
              </w:drawing>
            </w:r>
            <w:r>
              <w:rPr>
                <w:sz w:val="24"/>
              </w:rPr>
              <w:t>—距噪声源距离为</w:t>
            </w:r>
            <w:r>
              <w:rPr>
                <w:sz w:val="24"/>
              </w:rPr>
              <w:drawing>
                <wp:inline distT="0" distB="0" distL="0" distR="0">
                  <wp:extent cx="114300" cy="142875"/>
                  <wp:effectExtent l="0" t="0" r="0"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r>
              <w:rPr>
                <w:sz w:val="24"/>
              </w:rPr>
              <w:t>处声级值，[dB(A)]；</w:t>
            </w:r>
          </w:p>
          <w:p>
            <w:pPr>
              <w:tabs>
                <w:tab w:val="left" w:pos="8370"/>
                <w:tab w:val="left" w:pos="8600"/>
              </w:tabs>
              <w:spacing w:line="460" w:lineRule="exact"/>
              <w:ind w:firstLine="480" w:firstLineChars="200"/>
              <w:rPr>
                <w:sz w:val="24"/>
              </w:rPr>
            </w:pPr>
            <w:r>
              <w:rPr>
                <w:sz w:val="24"/>
              </w:rPr>
              <w:drawing>
                <wp:inline distT="0" distB="0" distL="0" distR="0">
                  <wp:extent cx="180975" cy="228600"/>
                  <wp:effectExtent l="0" t="0" r="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80975" cy="228600"/>
                          </a:xfrm>
                          <a:prstGeom prst="rect">
                            <a:avLst/>
                          </a:prstGeom>
                          <a:noFill/>
                          <a:ln>
                            <a:noFill/>
                          </a:ln>
                        </pic:spPr>
                      </pic:pic>
                    </a:graphicData>
                  </a:graphic>
                </wp:inline>
              </w:drawing>
            </w:r>
            <w:r>
              <w:rPr>
                <w:sz w:val="24"/>
              </w:rPr>
              <w:t>—距噪声源距离为</w:t>
            </w:r>
            <w:r>
              <w:rPr>
                <w:sz w:val="24"/>
              </w:rPr>
              <w:drawing>
                <wp:inline distT="0" distB="0" distL="0" distR="0">
                  <wp:extent cx="142875" cy="228600"/>
                  <wp:effectExtent l="0" t="0" r="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42875" cy="228600"/>
                          </a:xfrm>
                          <a:prstGeom prst="rect">
                            <a:avLst/>
                          </a:prstGeom>
                          <a:noFill/>
                          <a:ln>
                            <a:noFill/>
                          </a:ln>
                        </pic:spPr>
                      </pic:pic>
                    </a:graphicData>
                  </a:graphic>
                </wp:inline>
              </w:drawing>
            </w:r>
            <w:r>
              <w:rPr>
                <w:sz w:val="24"/>
              </w:rPr>
              <w:t>处声级值，[dB(A)]；</w:t>
            </w:r>
          </w:p>
          <w:p>
            <w:pPr>
              <w:tabs>
                <w:tab w:val="left" w:pos="8370"/>
                <w:tab w:val="left" w:pos="8600"/>
              </w:tabs>
              <w:spacing w:line="460" w:lineRule="exact"/>
              <w:ind w:firstLine="480" w:firstLineChars="200"/>
              <w:rPr>
                <w:sz w:val="24"/>
              </w:rPr>
            </w:pPr>
            <w:r>
              <w:rPr>
                <w:sz w:val="24"/>
              </w:rPr>
              <w:drawing>
                <wp:inline distT="0" distB="0" distL="0" distR="0">
                  <wp:extent cx="114300" cy="142875"/>
                  <wp:effectExtent l="0" t="0" r="0" b="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r>
              <w:rPr>
                <w:sz w:val="24"/>
              </w:rPr>
              <w:t>—关心点距噪声源距离，m；</w:t>
            </w:r>
          </w:p>
          <w:p>
            <w:pPr>
              <w:tabs>
                <w:tab w:val="left" w:pos="8370"/>
                <w:tab w:val="left" w:pos="8600"/>
              </w:tabs>
              <w:spacing w:line="460" w:lineRule="exact"/>
              <w:ind w:firstLine="480" w:firstLineChars="200"/>
              <w:rPr>
                <w:sz w:val="24"/>
              </w:rPr>
            </w:pPr>
            <w:r>
              <w:rPr>
                <w:sz w:val="24"/>
              </w:rPr>
              <w:drawing>
                <wp:inline distT="0" distB="0" distL="0" distR="0">
                  <wp:extent cx="142875" cy="228600"/>
                  <wp:effectExtent l="0" t="0" r="0"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42875" cy="228600"/>
                          </a:xfrm>
                          <a:prstGeom prst="rect">
                            <a:avLst/>
                          </a:prstGeom>
                          <a:noFill/>
                          <a:ln>
                            <a:noFill/>
                          </a:ln>
                        </pic:spPr>
                      </pic:pic>
                    </a:graphicData>
                  </a:graphic>
                </wp:inline>
              </w:drawing>
            </w:r>
            <w:r>
              <w:rPr>
                <w:sz w:val="24"/>
              </w:rPr>
              <w:t>—距噪声源距离，</w:t>
            </w:r>
            <w:r>
              <w:rPr>
                <w:sz w:val="24"/>
              </w:rPr>
              <w:drawing>
                <wp:inline distT="0" distB="0" distL="0" distR="0">
                  <wp:extent cx="142875" cy="228600"/>
                  <wp:effectExtent l="0" t="0" r="0" b="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42875" cy="228600"/>
                          </a:xfrm>
                          <a:prstGeom prst="rect">
                            <a:avLst/>
                          </a:prstGeom>
                          <a:noFill/>
                          <a:ln>
                            <a:noFill/>
                          </a:ln>
                        </pic:spPr>
                      </pic:pic>
                    </a:graphicData>
                  </a:graphic>
                </wp:inline>
              </w:drawing>
            </w:r>
            <w:r>
              <w:rPr>
                <w:sz w:val="24"/>
              </w:rPr>
              <w:t>取1m。</w:t>
            </w:r>
          </w:p>
          <w:p>
            <w:pPr>
              <w:tabs>
                <w:tab w:val="left" w:pos="8370"/>
                <w:tab w:val="left" w:pos="8600"/>
              </w:tabs>
              <w:spacing w:line="460" w:lineRule="exact"/>
              <w:ind w:firstLine="480" w:firstLineChars="200"/>
              <w:rPr>
                <w:sz w:val="24"/>
              </w:rPr>
            </w:pPr>
            <w:r>
              <w:rPr>
                <w:sz w:val="24"/>
              </w:rPr>
              <w:t>预测时，根据判定结果，取合适公式进行预测。</w:t>
            </w:r>
          </w:p>
          <w:p>
            <w:pPr>
              <w:tabs>
                <w:tab w:val="left" w:pos="8370"/>
                <w:tab w:val="left" w:pos="8600"/>
              </w:tabs>
              <w:spacing w:line="460" w:lineRule="exact"/>
              <w:ind w:firstLine="480" w:firstLineChars="200"/>
              <w:rPr>
                <w:sz w:val="24"/>
              </w:rPr>
            </w:pPr>
            <w:r>
              <w:rPr>
                <w:rFonts w:hint="eastAsia" w:ascii="宋体" w:hAnsi="宋体" w:cs="宋体"/>
                <w:sz w:val="24"/>
              </w:rPr>
              <w:t>②</w:t>
            </w:r>
            <w:r>
              <w:rPr>
                <w:sz w:val="24"/>
              </w:rPr>
              <w:t>室内声源等效室外声源声功率计算</w:t>
            </w:r>
          </w:p>
          <w:p>
            <w:pPr>
              <w:tabs>
                <w:tab w:val="left" w:pos="8370"/>
                <w:tab w:val="left" w:pos="8600"/>
              </w:tabs>
              <w:spacing w:line="460" w:lineRule="exact"/>
              <w:ind w:firstLine="480" w:firstLineChars="200"/>
              <w:rPr>
                <w:sz w:val="24"/>
              </w:rPr>
            </w:pPr>
            <w:r>
              <w:rPr>
                <w:sz w:val="24"/>
              </w:rPr>
              <w:t>噪声声源位于室内，室内声源可采用等效室外声源声功率级法进行计算。设靠近开口处(或窗户)室内、室外某倍频带的声压级分别为Lp1和Lp2。若声源所在室内声场为近似扩散声场，则室外的倍频带声压级可按公式近似求出:</w:t>
            </w:r>
          </w:p>
          <w:p>
            <w:pPr>
              <w:tabs>
                <w:tab w:val="left" w:pos="8370"/>
                <w:tab w:val="left" w:pos="8600"/>
              </w:tabs>
              <w:spacing w:line="460" w:lineRule="exact"/>
              <w:ind w:firstLine="480" w:firstLineChars="200"/>
              <w:rPr>
                <w:sz w:val="24"/>
              </w:rPr>
            </w:pPr>
            <w:r>
              <w:rPr>
                <w:sz w:val="24"/>
              </w:rPr>
              <w:t>Lp2=Lp1-(TL+6)</w:t>
            </w:r>
          </w:p>
          <w:p>
            <w:pPr>
              <w:tabs>
                <w:tab w:val="left" w:pos="8370"/>
                <w:tab w:val="left" w:pos="8600"/>
              </w:tabs>
              <w:spacing w:line="460" w:lineRule="exact"/>
              <w:ind w:firstLine="480" w:firstLineChars="200"/>
              <w:rPr>
                <w:sz w:val="24"/>
              </w:rPr>
            </w:pPr>
            <w:r>
              <w:rPr>
                <w:sz w:val="24"/>
              </w:rPr>
              <w:t>式中:TL一隔墙(或窗户)倍频带的隔声量，dB。</w:t>
            </w:r>
          </w:p>
          <w:p>
            <w:pPr>
              <w:tabs>
                <w:tab w:val="left" w:pos="8370"/>
                <w:tab w:val="left" w:pos="8600"/>
              </w:tabs>
              <w:spacing w:line="460" w:lineRule="exact"/>
              <w:ind w:firstLine="480" w:firstLineChars="200"/>
              <w:rPr>
                <w:sz w:val="24"/>
              </w:rPr>
            </w:pPr>
            <w:r>
              <w:rPr>
                <w:rFonts w:hint="eastAsia" w:ascii="宋体" w:hAnsi="宋体" w:cs="宋体"/>
                <w:sz w:val="24"/>
              </w:rPr>
              <w:t>③</w:t>
            </w:r>
            <w:r>
              <w:rPr>
                <w:sz w:val="24"/>
              </w:rPr>
              <w:t>噪声源叠加影响分析方法</w:t>
            </w:r>
          </w:p>
          <w:p>
            <w:pPr>
              <w:tabs>
                <w:tab w:val="left" w:pos="8370"/>
                <w:tab w:val="left" w:pos="8600"/>
              </w:tabs>
              <w:jc w:val="center"/>
              <w:rPr>
                <w:sz w:val="24"/>
              </w:rPr>
            </w:pPr>
            <w:r>
              <w:rPr>
                <w:sz w:val="24"/>
              </w:rPr>
              <w:drawing>
                <wp:inline distT="0" distB="0" distL="0" distR="0">
                  <wp:extent cx="1438275" cy="5238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438275" cy="523875"/>
                          </a:xfrm>
                          <a:prstGeom prst="rect">
                            <a:avLst/>
                          </a:prstGeom>
                          <a:noFill/>
                          <a:ln>
                            <a:noFill/>
                          </a:ln>
                        </pic:spPr>
                      </pic:pic>
                    </a:graphicData>
                  </a:graphic>
                </wp:inline>
              </w:drawing>
            </w:r>
          </w:p>
          <w:p>
            <w:pPr>
              <w:tabs>
                <w:tab w:val="left" w:pos="8370"/>
                <w:tab w:val="left" w:pos="8600"/>
              </w:tabs>
              <w:spacing w:line="460" w:lineRule="exact"/>
              <w:ind w:firstLine="480" w:firstLineChars="200"/>
              <w:rPr>
                <w:sz w:val="24"/>
              </w:rPr>
            </w:pPr>
            <w:r>
              <w:rPr>
                <w:sz w:val="24"/>
              </w:rPr>
              <w:t>式中：</w:t>
            </w:r>
            <w:r>
              <w:rPr>
                <w:sz w:val="24"/>
              </w:rPr>
              <w:drawing>
                <wp:inline distT="0" distB="0" distL="0" distR="0">
                  <wp:extent cx="142875" cy="1714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42875" cy="171450"/>
                          </a:xfrm>
                          <a:prstGeom prst="rect">
                            <a:avLst/>
                          </a:prstGeom>
                          <a:noFill/>
                          <a:ln>
                            <a:noFill/>
                          </a:ln>
                        </pic:spPr>
                      </pic:pic>
                    </a:graphicData>
                  </a:graphic>
                </wp:inline>
              </w:drawing>
            </w:r>
            <w:r>
              <w:rPr>
                <w:sz w:val="24"/>
              </w:rPr>
              <w:t>—总声压级，[dB(A)]；</w:t>
            </w:r>
          </w:p>
          <w:p>
            <w:pPr>
              <w:tabs>
                <w:tab w:val="left" w:pos="8370"/>
                <w:tab w:val="left" w:pos="8600"/>
              </w:tabs>
              <w:spacing w:line="460" w:lineRule="exact"/>
              <w:ind w:firstLine="480" w:firstLineChars="200"/>
              <w:rPr>
                <w:sz w:val="24"/>
              </w:rPr>
            </w:pPr>
            <w:r>
              <w:rPr>
                <w:sz w:val="24"/>
              </w:rPr>
              <w:drawing>
                <wp:inline distT="0" distB="0" distL="0" distR="0">
                  <wp:extent cx="171450" cy="2286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1450" cy="228600"/>
                          </a:xfrm>
                          <a:prstGeom prst="rect">
                            <a:avLst/>
                          </a:prstGeom>
                          <a:noFill/>
                          <a:ln>
                            <a:noFill/>
                          </a:ln>
                        </pic:spPr>
                      </pic:pic>
                    </a:graphicData>
                  </a:graphic>
                </wp:inline>
              </w:drawing>
            </w:r>
            <w:r>
              <w:rPr>
                <w:sz w:val="24"/>
              </w:rPr>
              <w:t>—第</w:t>
            </w:r>
            <w:r>
              <w:rPr>
                <w:sz w:val="24"/>
              </w:rPr>
              <w:drawing>
                <wp:inline distT="0" distB="0" distL="0" distR="0">
                  <wp:extent cx="95250" cy="171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95250" cy="171450"/>
                          </a:xfrm>
                          <a:prstGeom prst="rect">
                            <a:avLst/>
                          </a:prstGeom>
                          <a:noFill/>
                          <a:ln>
                            <a:noFill/>
                          </a:ln>
                        </pic:spPr>
                      </pic:pic>
                    </a:graphicData>
                  </a:graphic>
                </wp:inline>
              </w:drawing>
            </w:r>
            <w:r>
              <w:rPr>
                <w:sz w:val="24"/>
              </w:rPr>
              <w:t>个声源的声压级，[dB(A)]；</w:t>
            </w:r>
          </w:p>
          <w:p>
            <w:pPr>
              <w:tabs>
                <w:tab w:val="left" w:pos="8370"/>
                <w:tab w:val="left" w:pos="8600"/>
              </w:tabs>
              <w:spacing w:line="460" w:lineRule="exact"/>
              <w:ind w:firstLine="480" w:firstLineChars="200"/>
              <w:rPr>
                <w:sz w:val="24"/>
              </w:rPr>
            </w:pPr>
            <w:r>
              <w:rPr>
                <w:sz w:val="24"/>
              </w:rPr>
              <w:drawing>
                <wp:inline distT="0" distB="0" distL="0" distR="0">
                  <wp:extent cx="142875" cy="1428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r>
              <w:rPr>
                <w:sz w:val="24"/>
              </w:rPr>
              <w:t>—声源数量。</w:t>
            </w:r>
          </w:p>
          <w:p>
            <w:pPr>
              <w:tabs>
                <w:tab w:val="left" w:pos="8370"/>
                <w:tab w:val="left" w:pos="8600"/>
              </w:tabs>
              <w:spacing w:line="460" w:lineRule="exact"/>
              <w:ind w:firstLine="480" w:firstLineChars="200"/>
              <w:rPr>
                <w:sz w:val="24"/>
              </w:rPr>
            </w:pPr>
            <w:r>
              <w:rPr>
                <w:rFonts w:hint="eastAsia" w:ascii="宋体" w:hAnsi="宋体" w:cs="宋体"/>
                <w:sz w:val="24"/>
              </w:rPr>
              <w:t>④</w:t>
            </w:r>
            <w:r>
              <w:rPr>
                <w:sz w:val="24"/>
              </w:rPr>
              <w:t>户外声传播衰减计算公式</w:t>
            </w:r>
          </w:p>
          <w:p>
            <w:pPr>
              <w:tabs>
                <w:tab w:val="left" w:pos="8370"/>
                <w:tab w:val="left" w:pos="8600"/>
              </w:tabs>
              <w:spacing w:line="460" w:lineRule="exact"/>
              <w:ind w:firstLine="480" w:firstLineChars="200"/>
              <w:rPr>
                <w:sz w:val="24"/>
              </w:rPr>
            </w:pPr>
            <w:r>
              <w:rPr>
                <w:sz w:val="24"/>
              </w:rPr>
              <w:t>L(r)=Lref(r0)-(Adiv+Abar+Aatm+Aexe)</w:t>
            </w:r>
          </w:p>
          <w:p>
            <w:pPr>
              <w:tabs>
                <w:tab w:val="left" w:pos="8370"/>
                <w:tab w:val="left" w:pos="8600"/>
              </w:tabs>
              <w:spacing w:line="460" w:lineRule="exact"/>
              <w:ind w:firstLine="480" w:firstLineChars="200"/>
              <w:rPr>
                <w:sz w:val="24"/>
              </w:rPr>
            </w:pPr>
            <w:r>
              <w:rPr>
                <w:sz w:val="24"/>
              </w:rPr>
              <w:t>式中：Adiv</w:t>
            </w:r>
            <w:r>
              <w:rPr>
                <w:sz w:val="24"/>
              </w:rPr>
              <w:softHyphen/>
            </w:r>
            <w:r>
              <w:rPr>
                <w:sz w:val="24"/>
              </w:rPr>
              <w:t>—几何发散；</w:t>
            </w:r>
          </w:p>
          <w:p>
            <w:pPr>
              <w:tabs>
                <w:tab w:val="left" w:pos="8370"/>
                <w:tab w:val="left" w:pos="8600"/>
              </w:tabs>
              <w:spacing w:line="460" w:lineRule="exact"/>
              <w:ind w:firstLine="480" w:firstLineChars="200"/>
              <w:rPr>
                <w:sz w:val="24"/>
              </w:rPr>
            </w:pPr>
            <w:r>
              <w:rPr>
                <w:sz w:val="24"/>
              </w:rPr>
              <w:t>Abar</w:t>
            </w:r>
            <w:r>
              <w:rPr>
                <w:sz w:val="24"/>
              </w:rPr>
              <w:softHyphen/>
            </w:r>
            <w:r>
              <w:rPr>
                <w:sz w:val="24"/>
              </w:rPr>
              <w:t>—遮挡物衰减；</w:t>
            </w:r>
          </w:p>
          <w:p>
            <w:pPr>
              <w:tabs>
                <w:tab w:val="left" w:pos="8370"/>
                <w:tab w:val="left" w:pos="8600"/>
              </w:tabs>
              <w:spacing w:line="460" w:lineRule="exact"/>
              <w:ind w:firstLine="480" w:firstLineChars="200"/>
              <w:rPr>
                <w:sz w:val="24"/>
              </w:rPr>
            </w:pPr>
            <w:r>
              <w:rPr>
                <w:sz w:val="24"/>
              </w:rPr>
              <w:t>Aatm—大气吸收；</w:t>
            </w:r>
          </w:p>
          <w:p>
            <w:pPr>
              <w:tabs>
                <w:tab w:val="left" w:pos="8370"/>
                <w:tab w:val="left" w:pos="8600"/>
              </w:tabs>
              <w:spacing w:line="460" w:lineRule="exact"/>
              <w:ind w:firstLine="480" w:firstLineChars="200"/>
              <w:rPr>
                <w:sz w:val="24"/>
              </w:rPr>
            </w:pPr>
            <w:r>
              <w:rPr>
                <w:sz w:val="24"/>
              </w:rPr>
              <w:t>Aexe—附加衰减；</w:t>
            </w:r>
          </w:p>
          <w:p>
            <w:pPr>
              <w:pStyle w:val="59"/>
              <w:spacing w:line="460" w:lineRule="exact"/>
              <w:ind w:firstLine="482" w:firstLineChars="200"/>
              <w:rPr>
                <w:b/>
                <w:color w:val="000000"/>
                <w:sz w:val="24"/>
              </w:rPr>
            </w:pPr>
            <w:r>
              <w:rPr>
                <w:rFonts w:hint="eastAsia"/>
                <w:b/>
                <w:color w:val="000000"/>
                <w:sz w:val="24"/>
              </w:rPr>
              <w:t>3、</w:t>
            </w:r>
            <w:r>
              <w:rPr>
                <w:b/>
                <w:color w:val="000000"/>
                <w:sz w:val="24"/>
              </w:rPr>
              <w:t>厂界预测结果及评价</w:t>
            </w:r>
          </w:p>
          <w:p>
            <w:pPr>
              <w:tabs>
                <w:tab w:val="left" w:pos="8370"/>
                <w:tab w:val="left" w:pos="8600"/>
              </w:tabs>
              <w:spacing w:line="460" w:lineRule="exact"/>
              <w:ind w:firstLine="480" w:firstLineChars="200"/>
              <w:rPr>
                <w:sz w:val="24"/>
              </w:rPr>
            </w:pPr>
            <w:r>
              <w:rPr>
                <w:sz w:val="24"/>
              </w:rPr>
              <w:t>根据工程噪声源在厂区的分布和源强，以及其与四周厂界的距离及建筑物的衰减状况，计算出各声源对四周厂界的噪声贡献值，结合背景值，对本工程完成后各厂界噪声值进行预测，各厂界噪声影响情况预测结果见下表。</w:t>
            </w:r>
          </w:p>
          <w:p>
            <w:pPr>
              <w:tabs>
                <w:tab w:val="left" w:pos="8370"/>
                <w:tab w:val="left" w:pos="8600"/>
              </w:tabs>
              <w:spacing w:line="460" w:lineRule="exact"/>
              <w:ind w:firstLine="480" w:firstLineChars="200"/>
              <w:rPr>
                <w:rFonts w:eastAsia="黑体"/>
                <w:color w:val="000000"/>
                <w:sz w:val="24"/>
              </w:rPr>
            </w:pPr>
            <w:r>
              <w:rPr>
                <w:rFonts w:eastAsia="黑体"/>
                <w:color w:val="000000"/>
                <w:sz w:val="24"/>
              </w:rPr>
              <w:t>表44              四周厂界噪声贡献值叠加结果</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996"/>
              <w:gridCol w:w="1272"/>
              <w:gridCol w:w="1134"/>
              <w:gridCol w:w="1075"/>
              <w:gridCol w:w="1090"/>
              <w:gridCol w:w="194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6" w:type="dxa"/>
                  <w:vAlign w:val="center"/>
                </w:tcPr>
                <w:p>
                  <w:pPr>
                    <w:pStyle w:val="56"/>
                    <w:rPr>
                      <w:rFonts w:cs="Times New Roman"/>
                      <w:szCs w:val="21"/>
                    </w:rPr>
                  </w:pPr>
                  <w:r>
                    <w:rPr>
                      <w:rFonts w:cs="Times New Roman"/>
                      <w:szCs w:val="21"/>
                    </w:rPr>
                    <w:t>预测点</w:t>
                  </w:r>
                </w:p>
              </w:tc>
              <w:tc>
                <w:tcPr>
                  <w:tcW w:w="996" w:type="dxa"/>
                  <w:vAlign w:val="center"/>
                </w:tcPr>
                <w:p>
                  <w:pPr>
                    <w:pStyle w:val="56"/>
                    <w:rPr>
                      <w:rFonts w:cs="Times New Roman"/>
                      <w:szCs w:val="21"/>
                    </w:rPr>
                  </w:pPr>
                  <w:r>
                    <w:rPr>
                      <w:rFonts w:cs="Times New Roman"/>
                      <w:szCs w:val="21"/>
                    </w:rPr>
                    <w:t>主要噪声源</w:t>
                  </w:r>
                </w:p>
              </w:tc>
              <w:tc>
                <w:tcPr>
                  <w:tcW w:w="1272" w:type="dxa"/>
                  <w:vAlign w:val="center"/>
                </w:tcPr>
                <w:p>
                  <w:pPr>
                    <w:pStyle w:val="56"/>
                    <w:rPr>
                      <w:rFonts w:cs="Times New Roman"/>
                      <w:szCs w:val="21"/>
                    </w:rPr>
                  </w:pPr>
                  <w:r>
                    <w:rPr>
                      <w:rFonts w:cs="Times New Roman"/>
                      <w:szCs w:val="21"/>
                    </w:rPr>
                    <w:t>治理后噪声值dB(A)</w:t>
                  </w:r>
                </w:p>
              </w:tc>
              <w:tc>
                <w:tcPr>
                  <w:tcW w:w="1134" w:type="dxa"/>
                  <w:vAlign w:val="center"/>
                </w:tcPr>
                <w:p>
                  <w:pPr>
                    <w:pStyle w:val="56"/>
                    <w:rPr>
                      <w:rFonts w:cs="Times New Roman"/>
                      <w:szCs w:val="21"/>
                    </w:rPr>
                  </w:pPr>
                  <w:r>
                    <w:rPr>
                      <w:rFonts w:cs="Times New Roman"/>
                      <w:szCs w:val="21"/>
                    </w:rPr>
                    <w:t>距厂界的距离m</w:t>
                  </w:r>
                </w:p>
              </w:tc>
              <w:tc>
                <w:tcPr>
                  <w:tcW w:w="1075" w:type="dxa"/>
                  <w:vAlign w:val="center"/>
                </w:tcPr>
                <w:p>
                  <w:pPr>
                    <w:pStyle w:val="56"/>
                    <w:rPr>
                      <w:rFonts w:cs="Times New Roman"/>
                      <w:szCs w:val="21"/>
                    </w:rPr>
                  </w:pPr>
                  <w:r>
                    <w:rPr>
                      <w:rFonts w:cs="Times New Roman"/>
                      <w:szCs w:val="21"/>
                    </w:rPr>
                    <w:t>贡献值dB(A)</w:t>
                  </w:r>
                </w:p>
              </w:tc>
              <w:tc>
                <w:tcPr>
                  <w:tcW w:w="1090" w:type="dxa"/>
                  <w:vAlign w:val="center"/>
                </w:tcPr>
                <w:p>
                  <w:pPr>
                    <w:pStyle w:val="56"/>
                    <w:rPr>
                      <w:rFonts w:cs="Times New Roman"/>
                      <w:szCs w:val="21"/>
                    </w:rPr>
                  </w:pPr>
                  <w:r>
                    <w:rPr>
                      <w:rFonts w:cs="Times New Roman"/>
                      <w:szCs w:val="21"/>
                    </w:rPr>
                    <w:t>贡献叠加值dB(A)</w:t>
                  </w:r>
                </w:p>
              </w:tc>
              <w:tc>
                <w:tcPr>
                  <w:tcW w:w="1943" w:type="dxa"/>
                  <w:vAlign w:val="center"/>
                </w:tcPr>
                <w:p>
                  <w:pPr>
                    <w:pStyle w:val="56"/>
                    <w:rPr>
                      <w:rFonts w:cs="Times New Roman"/>
                      <w:szCs w:val="21"/>
                    </w:rPr>
                  </w:pPr>
                  <w:r>
                    <w:rPr>
                      <w:rFonts w:cs="Times New Roman"/>
                      <w:szCs w:val="21"/>
                    </w:rPr>
                    <w:t>标准值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6" w:type="dxa"/>
                  <w:vMerge w:val="restart"/>
                  <w:vAlign w:val="center"/>
                </w:tcPr>
                <w:p>
                  <w:pPr>
                    <w:pStyle w:val="51"/>
                    <w:rPr>
                      <w:color w:val="000000"/>
                    </w:rPr>
                  </w:pPr>
                  <w:r>
                    <w:rPr>
                      <w:color w:val="000000"/>
                    </w:rPr>
                    <w:t>东厂界</w:t>
                  </w:r>
                </w:p>
              </w:tc>
              <w:tc>
                <w:tcPr>
                  <w:tcW w:w="996" w:type="dxa"/>
                  <w:vAlign w:val="center"/>
                </w:tcPr>
                <w:p>
                  <w:pPr>
                    <w:pStyle w:val="51"/>
                    <w:rPr>
                      <w:color w:val="000000"/>
                    </w:rPr>
                  </w:pPr>
                  <w:r>
                    <w:rPr>
                      <w:spacing w:val="-2"/>
                    </w:rPr>
                    <w:t>风机</w:t>
                  </w:r>
                </w:p>
              </w:tc>
              <w:tc>
                <w:tcPr>
                  <w:tcW w:w="1272" w:type="dxa"/>
                  <w:vAlign w:val="center"/>
                </w:tcPr>
                <w:p>
                  <w:pPr>
                    <w:pStyle w:val="51"/>
                    <w:rPr>
                      <w:color w:val="000000"/>
                    </w:rPr>
                  </w:pPr>
                  <w:r>
                    <w:rPr>
                      <w:color w:val="000000"/>
                    </w:rPr>
                    <w:t>50</w:t>
                  </w:r>
                </w:p>
              </w:tc>
              <w:tc>
                <w:tcPr>
                  <w:tcW w:w="1134" w:type="dxa"/>
                  <w:vAlign w:val="center"/>
                </w:tcPr>
                <w:p>
                  <w:pPr>
                    <w:pStyle w:val="51"/>
                    <w:rPr>
                      <w:color w:val="000000"/>
                    </w:rPr>
                  </w:pPr>
                  <w:r>
                    <w:rPr>
                      <w:color w:val="000000"/>
                    </w:rPr>
                    <w:t>1</w:t>
                  </w:r>
                </w:p>
              </w:tc>
              <w:tc>
                <w:tcPr>
                  <w:tcW w:w="1075" w:type="dxa"/>
                  <w:vAlign w:val="center"/>
                </w:tcPr>
                <w:p>
                  <w:pPr>
                    <w:pStyle w:val="51"/>
                    <w:rPr>
                      <w:color w:val="000000"/>
                    </w:rPr>
                  </w:pPr>
                  <w:r>
                    <w:rPr>
                      <w:color w:val="000000"/>
                    </w:rPr>
                    <w:t>50</w:t>
                  </w:r>
                </w:p>
              </w:tc>
              <w:tc>
                <w:tcPr>
                  <w:tcW w:w="1090" w:type="dxa"/>
                  <w:vMerge w:val="restart"/>
                  <w:vAlign w:val="center"/>
                </w:tcPr>
                <w:p>
                  <w:pPr>
                    <w:pStyle w:val="51"/>
                    <w:rPr>
                      <w:color w:val="000000"/>
                    </w:rPr>
                  </w:pPr>
                  <w:r>
                    <w:rPr>
                      <w:rFonts w:hint="eastAsia"/>
                      <w:color w:val="000000"/>
                    </w:rPr>
                    <w:t>5</w:t>
                  </w:r>
                  <w:r>
                    <w:rPr>
                      <w:color w:val="000000"/>
                    </w:rPr>
                    <w:t>0.3</w:t>
                  </w:r>
                </w:p>
              </w:tc>
              <w:tc>
                <w:tcPr>
                  <w:tcW w:w="1943" w:type="dxa"/>
                  <w:vMerge w:val="restart"/>
                  <w:vAlign w:val="center"/>
                </w:tcPr>
                <w:p>
                  <w:pPr>
                    <w:pStyle w:val="51"/>
                    <w:jc w:val="both"/>
                    <w:rPr>
                      <w:color w:val="000000"/>
                    </w:rPr>
                  </w:pPr>
                  <w:r>
                    <w:rPr>
                      <w:color w:val="000000"/>
                    </w:rPr>
                    <w:t>《工业企业厂界环境噪声排放标准》（GB12348-2008）3类标准：昼间65dB(A)，夜间55dB(A)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6" w:type="dxa"/>
                  <w:vMerge w:val="continue"/>
                  <w:vAlign w:val="center"/>
                </w:tcPr>
                <w:p>
                  <w:pPr>
                    <w:pStyle w:val="51"/>
                    <w:rPr>
                      <w:color w:val="000000"/>
                    </w:rPr>
                  </w:pPr>
                </w:p>
              </w:tc>
              <w:tc>
                <w:tcPr>
                  <w:tcW w:w="996" w:type="dxa"/>
                  <w:vAlign w:val="center"/>
                </w:tcPr>
                <w:p>
                  <w:pPr>
                    <w:pStyle w:val="51"/>
                    <w:rPr>
                      <w:color w:val="000000"/>
                    </w:rPr>
                  </w:pPr>
                  <w:r>
                    <w:rPr>
                      <w:color w:val="000000"/>
                    </w:rPr>
                    <w:t>实验楼</w:t>
                  </w:r>
                </w:p>
              </w:tc>
              <w:tc>
                <w:tcPr>
                  <w:tcW w:w="1272" w:type="dxa"/>
                  <w:vAlign w:val="center"/>
                </w:tcPr>
                <w:p>
                  <w:pPr>
                    <w:pStyle w:val="51"/>
                    <w:rPr>
                      <w:color w:val="000000"/>
                    </w:rPr>
                  </w:pPr>
                  <w:r>
                    <w:rPr>
                      <w:color w:val="000000"/>
                    </w:rPr>
                    <w:t>38.1</w:t>
                  </w:r>
                </w:p>
              </w:tc>
              <w:tc>
                <w:tcPr>
                  <w:tcW w:w="1134" w:type="dxa"/>
                  <w:vAlign w:val="center"/>
                </w:tcPr>
                <w:p>
                  <w:pPr>
                    <w:pStyle w:val="51"/>
                    <w:rPr>
                      <w:color w:val="000000"/>
                    </w:rPr>
                  </w:pPr>
                  <w:r>
                    <w:rPr>
                      <w:color w:val="000000"/>
                    </w:rPr>
                    <w:t>1</w:t>
                  </w:r>
                </w:p>
              </w:tc>
              <w:tc>
                <w:tcPr>
                  <w:tcW w:w="1075" w:type="dxa"/>
                  <w:vAlign w:val="center"/>
                </w:tcPr>
                <w:p>
                  <w:pPr>
                    <w:pStyle w:val="51"/>
                    <w:rPr>
                      <w:color w:val="000000"/>
                    </w:rPr>
                  </w:pPr>
                  <w:r>
                    <w:rPr>
                      <w:color w:val="000000"/>
                    </w:rPr>
                    <w:t>38.1</w:t>
                  </w:r>
                </w:p>
              </w:tc>
              <w:tc>
                <w:tcPr>
                  <w:tcW w:w="1090" w:type="dxa"/>
                  <w:vMerge w:val="continue"/>
                  <w:vAlign w:val="center"/>
                </w:tcPr>
                <w:p>
                  <w:pPr>
                    <w:pStyle w:val="51"/>
                    <w:rPr>
                      <w:color w:val="000000"/>
                    </w:rPr>
                  </w:pPr>
                </w:p>
              </w:tc>
              <w:tc>
                <w:tcPr>
                  <w:tcW w:w="1943" w:type="dxa"/>
                  <w:vMerge w:val="continue"/>
                  <w:vAlign w:val="center"/>
                </w:tcPr>
                <w:p>
                  <w:pPr>
                    <w:pStyle w:val="51"/>
                    <w:rPr>
                      <w:color w:val="00000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6" w:type="dxa"/>
                  <w:vMerge w:val="restart"/>
                  <w:vAlign w:val="center"/>
                </w:tcPr>
                <w:p>
                  <w:pPr>
                    <w:pStyle w:val="51"/>
                    <w:rPr>
                      <w:color w:val="000000"/>
                    </w:rPr>
                  </w:pPr>
                  <w:r>
                    <w:rPr>
                      <w:color w:val="000000"/>
                    </w:rPr>
                    <w:t>南厂界</w:t>
                  </w:r>
                </w:p>
              </w:tc>
              <w:tc>
                <w:tcPr>
                  <w:tcW w:w="996" w:type="dxa"/>
                  <w:vAlign w:val="center"/>
                </w:tcPr>
                <w:p>
                  <w:pPr>
                    <w:pStyle w:val="51"/>
                    <w:rPr>
                      <w:color w:val="000000"/>
                    </w:rPr>
                  </w:pPr>
                  <w:r>
                    <w:rPr>
                      <w:spacing w:val="-2"/>
                    </w:rPr>
                    <w:t>风机</w:t>
                  </w:r>
                </w:p>
              </w:tc>
              <w:tc>
                <w:tcPr>
                  <w:tcW w:w="1272" w:type="dxa"/>
                  <w:vAlign w:val="center"/>
                </w:tcPr>
                <w:p>
                  <w:pPr>
                    <w:pStyle w:val="51"/>
                    <w:rPr>
                      <w:color w:val="000000"/>
                    </w:rPr>
                  </w:pPr>
                  <w:r>
                    <w:rPr>
                      <w:color w:val="000000"/>
                    </w:rPr>
                    <w:t>50</w:t>
                  </w:r>
                </w:p>
              </w:tc>
              <w:tc>
                <w:tcPr>
                  <w:tcW w:w="1134" w:type="dxa"/>
                  <w:vAlign w:val="center"/>
                </w:tcPr>
                <w:p>
                  <w:pPr>
                    <w:pStyle w:val="51"/>
                    <w:rPr>
                      <w:color w:val="000000"/>
                    </w:rPr>
                  </w:pPr>
                  <w:r>
                    <w:rPr>
                      <w:color w:val="000000"/>
                    </w:rPr>
                    <w:t>17</w:t>
                  </w:r>
                </w:p>
              </w:tc>
              <w:tc>
                <w:tcPr>
                  <w:tcW w:w="1075" w:type="dxa"/>
                  <w:vAlign w:val="center"/>
                </w:tcPr>
                <w:p>
                  <w:pPr>
                    <w:pStyle w:val="51"/>
                    <w:rPr>
                      <w:color w:val="000000"/>
                    </w:rPr>
                  </w:pPr>
                  <w:r>
                    <w:rPr>
                      <w:color w:val="000000"/>
                    </w:rPr>
                    <w:t>25.4</w:t>
                  </w:r>
                </w:p>
              </w:tc>
              <w:tc>
                <w:tcPr>
                  <w:tcW w:w="1090" w:type="dxa"/>
                  <w:vMerge w:val="restart"/>
                  <w:vAlign w:val="center"/>
                </w:tcPr>
                <w:p>
                  <w:pPr>
                    <w:pStyle w:val="51"/>
                    <w:rPr>
                      <w:color w:val="000000"/>
                    </w:rPr>
                  </w:pPr>
                  <w:r>
                    <w:rPr>
                      <w:rFonts w:hint="eastAsia"/>
                      <w:color w:val="000000"/>
                    </w:rPr>
                    <w:t>3</w:t>
                  </w:r>
                  <w:r>
                    <w:rPr>
                      <w:color w:val="000000"/>
                    </w:rPr>
                    <w:t>4.2</w:t>
                  </w:r>
                </w:p>
              </w:tc>
              <w:tc>
                <w:tcPr>
                  <w:tcW w:w="1943" w:type="dxa"/>
                  <w:vMerge w:val="continue"/>
                  <w:vAlign w:val="center"/>
                </w:tcPr>
                <w:p>
                  <w:pPr>
                    <w:pStyle w:val="51"/>
                    <w:rPr>
                      <w:color w:val="00000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6" w:type="dxa"/>
                  <w:vMerge w:val="continue"/>
                  <w:vAlign w:val="center"/>
                </w:tcPr>
                <w:p>
                  <w:pPr>
                    <w:pStyle w:val="51"/>
                    <w:rPr>
                      <w:color w:val="000000"/>
                    </w:rPr>
                  </w:pPr>
                </w:p>
              </w:tc>
              <w:tc>
                <w:tcPr>
                  <w:tcW w:w="996" w:type="dxa"/>
                  <w:vAlign w:val="center"/>
                </w:tcPr>
                <w:p>
                  <w:pPr>
                    <w:pStyle w:val="51"/>
                    <w:rPr>
                      <w:color w:val="000000"/>
                    </w:rPr>
                  </w:pPr>
                  <w:r>
                    <w:rPr>
                      <w:color w:val="000000"/>
                    </w:rPr>
                    <w:t>实验楼</w:t>
                  </w:r>
                </w:p>
              </w:tc>
              <w:tc>
                <w:tcPr>
                  <w:tcW w:w="1272" w:type="dxa"/>
                  <w:vAlign w:val="center"/>
                </w:tcPr>
                <w:p>
                  <w:pPr>
                    <w:pStyle w:val="51"/>
                    <w:rPr>
                      <w:color w:val="000000"/>
                    </w:rPr>
                  </w:pPr>
                  <w:r>
                    <w:rPr>
                      <w:rFonts w:hint="eastAsia"/>
                      <w:color w:val="000000"/>
                    </w:rPr>
                    <w:t>3</w:t>
                  </w:r>
                  <w:r>
                    <w:rPr>
                      <w:color w:val="000000"/>
                    </w:rPr>
                    <w:t>3.6</w:t>
                  </w:r>
                </w:p>
              </w:tc>
              <w:tc>
                <w:tcPr>
                  <w:tcW w:w="1134" w:type="dxa"/>
                  <w:vAlign w:val="center"/>
                </w:tcPr>
                <w:p>
                  <w:pPr>
                    <w:pStyle w:val="51"/>
                    <w:rPr>
                      <w:color w:val="000000"/>
                    </w:rPr>
                  </w:pPr>
                  <w:r>
                    <w:rPr>
                      <w:color w:val="000000"/>
                    </w:rPr>
                    <w:t>1</w:t>
                  </w:r>
                </w:p>
              </w:tc>
              <w:tc>
                <w:tcPr>
                  <w:tcW w:w="1075" w:type="dxa"/>
                  <w:vAlign w:val="center"/>
                </w:tcPr>
                <w:p>
                  <w:pPr>
                    <w:pStyle w:val="51"/>
                    <w:rPr>
                      <w:color w:val="000000"/>
                    </w:rPr>
                  </w:pPr>
                  <w:r>
                    <w:rPr>
                      <w:rFonts w:hint="eastAsia"/>
                      <w:color w:val="000000"/>
                    </w:rPr>
                    <w:t>3</w:t>
                  </w:r>
                  <w:r>
                    <w:rPr>
                      <w:color w:val="000000"/>
                    </w:rPr>
                    <w:t>3.6</w:t>
                  </w:r>
                </w:p>
              </w:tc>
              <w:tc>
                <w:tcPr>
                  <w:tcW w:w="1090" w:type="dxa"/>
                  <w:vMerge w:val="continue"/>
                  <w:vAlign w:val="center"/>
                </w:tcPr>
                <w:p>
                  <w:pPr>
                    <w:pStyle w:val="51"/>
                    <w:rPr>
                      <w:color w:val="000000"/>
                    </w:rPr>
                  </w:pPr>
                </w:p>
              </w:tc>
              <w:tc>
                <w:tcPr>
                  <w:tcW w:w="1943" w:type="dxa"/>
                  <w:vMerge w:val="continue"/>
                  <w:vAlign w:val="center"/>
                </w:tcPr>
                <w:p>
                  <w:pPr>
                    <w:pStyle w:val="51"/>
                    <w:rPr>
                      <w:color w:val="00000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6" w:type="dxa"/>
                  <w:vMerge w:val="restart"/>
                  <w:vAlign w:val="center"/>
                </w:tcPr>
                <w:p>
                  <w:pPr>
                    <w:pStyle w:val="51"/>
                    <w:rPr>
                      <w:color w:val="000000"/>
                    </w:rPr>
                  </w:pPr>
                  <w:r>
                    <w:rPr>
                      <w:color w:val="000000"/>
                    </w:rPr>
                    <w:t>西厂界</w:t>
                  </w:r>
                </w:p>
              </w:tc>
              <w:tc>
                <w:tcPr>
                  <w:tcW w:w="996" w:type="dxa"/>
                  <w:vAlign w:val="center"/>
                </w:tcPr>
                <w:p>
                  <w:pPr>
                    <w:pStyle w:val="51"/>
                    <w:rPr>
                      <w:color w:val="000000"/>
                    </w:rPr>
                  </w:pPr>
                  <w:r>
                    <w:rPr>
                      <w:spacing w:val="-2"/>
                    </w:rPr>
                    <w:t>风机</w:t>
                  </w:r>
                </w:p>
              </w:tc>
              <w:tc>
                <w:tcPr>
                  <w:tcW w:w="1272" w:type="dxa"/>
                  <w:vAlign w:val="center"/>
                </w:tcPr>
                <w:p>
                  <w:pPr>
                    <w:pStyle w:val="51"/>
                    <w:rPr>
                      <w:color w:val="000000"/>
                    </w:rPr>
                  </w:pPr>
                  <w:r>
                    <w:rPr>
                      <w:color w:val="000000"/>
                    </w:rPr>
                    <w:t>50</w:t>
                  </w:r>
                </w:p>
              </w:tc>
              <w:tc>
                <w:tcPr>
                  <w:tcW w:w="1134" w:type="dxa"/>
                  <w:vAlign w:val="center"/>
                </w:tcPr>
                <w:p>
                  <w:pPr>
                    <w:pStyle w:val="51"/>
                    <w:rPr>
                      <w:color w:val="000000"/>
                    </w:rPr>
                  </w:pPr>
                  <w:r>
                    <w:rPr>
                      <w:color w:val="000000"/>
                    </w:rPr>
                    <w:t>22</w:t>
                  </w:r>
                </w:p>
              </w:tc>
              <w:tc>
                <w:tcPr>
                  <w:tcW w:w="1075" w:type="dxa"/>
                  <w:vAlign w:val="center"/>
                </w:tcPr>
                <w:p>
                  <w:pPr>
                    <w:pStyle w:val="51"/>
                    <w:rPr>
                      <w:color w:val="000000"/>
                    </w:rPr>
                  </w:pPr>
                  <w:r>
                    <w:rPr>
                      <w:color w:val="000000"/>
                    </w:rPr>
                    <w:t>23.2</w:t>
                  </w:r>
                </w:p>
              </w:tc>
              <w:tc>
                <w:tcPr>
                  <w:tcW w:w="1090" w:type="dxa"/>
                  <w:vMerge w:val="restart"/>
                  <w:vAlign w:val="center"/>
                </w:tcPr>
                <w:p>
                  <w:pPr>
                    <w:pStyle w:val="51"/>
                    <w:rPr>
                      <w:color w:val="000000"/>
                    </w:rPr>
                  </w:pPr>
                  <w:r>
                    <w:rPr>
                      <w:rFonts w:hint="eastAsia"/>
                      <w:color w:val="000000"/>
                    </w:rPr>
                    <w:t>3</w:t>
                  </w:r>
                  <w:r>
                    <w:rPr>
                      <w:color w:val="000000"/>
                    </w:rPr>
                    <w:t>7.3</w:t>
                  </w:r>
                </w:p>
              </w:tc>
              <w:tc>
                <w:tcPr>
                  <w:tcW w:w="1943" w:type="dxa"/>
                  <w:vMerge w:val="continue"/>
                  <w:vAlign w:val="center"/>
                </w:tcPr>
                <w:p>
                  <w:pPr>
                    <w:pStyle w:val="51"/>
                    <w:rPr>
                      <w:color w:val="00000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6" w:type="dxa"/>
                  <w:vMerge w:val="continue"/>
                  <w:vAlign w:val="center"/>
                </w:tcPr>
                <w:p>
                  <w:pPr>
                    <w:pStyle w:val="51"/>
                    <w:rPr>
                      <w:color w:val="000000"/>
                    </w:rPr>
                  </w:pPr>
                </w:p>
              </w:tc>
              <w:tc>
                <w:tcPr>
                  <w:tcW w:w="996" w:type="dxa"/>
                  <w:vAlign w:val="center"/>
                </w:tcPr>
                <w:p>
                  <w:pPr>
                    <w:pStyle w:val="51"/>
                    <w:rPr>
                      <w:color w:val="000000"/>
                    </w:rPr>
                  </w:pPr>
                  <w:r>
                    <w:rPr>
                      <w:color w:val="000000"/>
                    </w:rPr>
                    <w:t>实验楼</w:t>
                  </w:r>
                </w:p>
              </w:tc>
              <w:tc>
                <w:tcPr>
                  <w:tcW w:w="1272" w:type="dxa"/>
                  <w:vAlign w:val="center"/>
                </w:tcPr>
                <w:p>
                  <w:pPr>
                    <w:pStyle w:val="51"/>
                    <w:rPr>
                      <w:color w:val="000000"/>
                    </w:rPr>
                  </w:pPr>
                  <w:r>
                    <w:rPr>
                      <w:rFonts w:hint="eastAsia"/>
                      <w:color w:val="000000"/>
                    </w:rPr>
                    <w:t>3</w:t>
                  </w:r>
                  <w:r>
                    <w:rPr>
                      <w:color w:val="000000"/>
                    </w:rPr>
                    <w:t>7.1</w:t>
                  </w:r>
                </w:p>
              </w:tc>
              <w:tc>
                <w:tcPr>
                  <w:tcW w:w="1134" w:type="dxa"/>
                  <w:vAlign w:val="center"/>
                </w:tcPr>
                <w:p>
                  <w:pPr>
                    <w:pStyle w:val="51"/>
                    <w:rPr>
                      <w:color w:val="000000"/>
                    </w:rPr>
                  </w:pPr>
                  <w:r>
                    <w:rPr>
                      <w:color w:val="000000"/>
                    </w:rPr>
                    <w:t>1</w:t>
                  </w:r>
                </w:p>
              </w:tc>
              <w:tc>
                <w:tcPr>
                  <w:tcW w:w="1075" w:type="dxa"/>
                  <w:vAlign w:val="center"/>
                </w:tcPr>
                <w:p>
                  <w:pPr>
                    <w:pStyle w:val="51"/>
                    <w:rPr>
                      <w:color w:val="000000"/>
                    </w:rPr>
                  </w:pPr>
                  <w:r>
                    <w:rPr>
                      <w:rFonts w:hint="eastAsia"/>
                      <w:color w:val="000000"/>
                    </w:rPr>
                    <w:t>3</w:t>
                  </w:r>
                  <w:r>
                    <w:rPr>
                      <w:color w:val="000000"/>
                    </w:rPr>
                    <w:t>7.1</w:t>
                  </w:r>
                </w:p>
              </w:tc>
              <w:tc>
                <w:tcPr>
                  <w:tcW w:w="1090" w:type="dxa"/>
                  <w:vMerge w:val="continue"/>
                  <w:vAlign w:val="center"/>
                </w:tcPr>
                <w:p>
                  <w:pPr>
                    <w:pStyle w:val="51"/>
                    <w:rPr>
                      <w:color w:val="000000"/>
                    </w:rPr>
                  </w:pPr>
                </w:p>
              </w:tc>
              <w:tc>
                <w:tcPr>
                  <w:tcW w:w="1943" w:type="dxa"/>
                  <w:vMerge w:val="continue"/>
                  <w:vAlign w:val="center"/>
                </w:tcPr>
                <w:p>
                  <w:pPr>
                    <w:pStyle w:val="51"/>
                    <w:rPr>
                      <w:color w:val="00000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6" w:type="dxa"/>
                  <w:vMerge w:val="restart"/>
                  <w:vAlign w:val="center"/>
                </w:tcPr>
                <w:p>
                  <w:pPr>
                    <w:pStyle w:val="51"/>
                    <w:rPr>
                      <w:color w:val="000000"/>
                    </w:rPr>
                  </w:pPr>
                  <w:r>
                    <w:rPr>
                      <w:color w:val="000000"/>
                    </w:rPr>
                    <w:t>北厂界</w:t>
                  </w:r>
                </w:p>
              </w:tc>
              <w:tc>
                <w:tcPr>
                  <w:tcW w:w="996" w:type="dxa"/>
                  <w:vAlign w:val="center"/>
                </w:tcPr>
                <w:p>
                  <w:pPr>
                    <w:pStyle w:val="51"/>
                    <w:rPr>
                      <w:color w:val="000000"/>
                    </w:rPr>
                  </w:pPr>
                  <w:r>
                    <w:rPr>
                      <w:spacing w:val="-2"/>
                    </w:rPr>
                    <w:t>风机</w:t>
                  </w:r>
                </w:p>
              </w:tc>
              <w:tc>
                <w:tcPr>
                  <w:tcW w:w="1272" w:type="dxa"/>
                  <w:vAlign w:val="center"/>
                </w:tcPr>
                <w:p>
                  <w:pPr>
                    <w:pStyle w:val="51"/>
                    <w:rPr>
                      <w:color w:val="000000"/>
                    </w:rPr>
                  </w:pPr>
                  <w:r>
                    <w:rPr>
                      <w:color w:val="000000"/>
                    </w:rPr>
                    <w:t>50</w:t>
                  </w:r>
                </w:p>
              </w:tc>
              <w:tc>
                <w:tcPr>
                  <w:tcW w:w="1134" w:type="dxa"/>
                  <w:vAlign w:val="center"/>
                </w:tcPr>
                <w:p>
                  <w:pPr>
                    <w:pStyle w:val="51"/>
                    <w:rPr>
                      <w:color w:val="000000"/>
                    </w:rPr>
                  </w:pPr>
                  <w:r>
                    <w:rPr>
                      <w:color w:val="000000"/>
                    </w:rPr>
                    <w:t>27</w:t>
                  </w:r>
                </w:p>
              </w:tc>
              <w:tc>
                <w:tcPr>
                  <w:tcW w:w="1075" w:type="dxa"/>
                  <w:vAlign w:val="center"/>
                </w:tcPr>
                <w:p>
                  <w:pPr>
                    <w:pStyle w:val="51"/>
                    <w:rPr>
                      <w:color w:val="000000"/>
                    </w:rPr>
                  </w:pPr>
                  <w:r>
                    <w:rPr>
                      <w:color w:val="000000"/>
                    </w:rPr>
                    <w:t>21.4</w:t>
                  </w:r>
                </w:p>
              </w:tc>
              <w:tc>
                <w:tcPr>
                  <w:tcW w:w="1090" w:type="dxa"/>
                  <w:vMerge w:val="restart"/>
                  <w:vAlign w:val="center"/>
                </w:tcPr>
                <w:p>
                  <w:pPr>
                    <w:pStyle w:val="51"/>
                    <w:rPr>
                      <w:color w:val="000000"/>
                    </w:rPr>
                  </w:pPr>
                  <w:r>
                    <w:rPr>
                      <w:rFonts w:hint="eastAsia"/>
                      <w:color w:val="000000"/>
                    </w:rPr>
                    <w:t>3</w:t>
                  </w:r>
                  <w:r>
                    <w:rPr>
                      <w:color w:val="000000"/>
                    </w:rPr>
                    <w:t>7.4</w:t>
                  </w:r>
                </w:p>
              </w:tc>
              <w:tc>
                <w:tcPr>
                  <w:tcW w:w="1943" w:type="dxa"/>
                  <w:vMerge w:val="continue"/>
                  <w:vAlign w:val="center"/>
                </w:tcPr>
                <w:p>
                  <w:pPr>
                    <w:pStyle w:val="51"/>
                    <w:rPr>
                      <w:color w:val="000000"/>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6" w:type="dxa"/>
                  <w:vMerge w:val="continue"/>
                  <w:vAlign w:val="center"/>
                </w:tcPr>
                <w:p>
                  <w:pPr>
                    <w:pStyle w:val="51"/>
                    <w:rPr>
                      <w:color w:val="000000"/>
                    </w:rPr>
                  </w:pPr>
                </w:p>
              </w:tc>
              <w:tc>
                <w:tcPr>
                  <w:tcW w:w="996" w:type="dxa"/>
                  <w:vAlign w:val="center"/>
                </w:tcPr>
                <w:p>
                  <w:pPr>
                    <w:pStyle w:val="51"/>
                    <w:rPr>
                      <w:color w:val="000000"/>
                    </w:rPr>
                  </w:pPr>
                  <w:r>
                    <w:rPr>
                      <w:color w:val="000000"/>
                    </w:rPr>
                    <w:t>实验楼</w:t>
                  </w:r>
                </w:p>
              </w:tc>
              <w:tc>
                <w:tcPr>
                  <w:tcW w:w="1272" w:type="dxa"/>
                  <w:vAlign w:val="center"/>
                </w:tcPr>
                <w:p>
                  <w:pPr>
                    <w:pStyle w:val="51"/>
                    <w:rPr>
                      <w:color w:val="000000"/>
                    </w:rPr>
                  </w:pPr>
                  <w:r>
                    <w:rPr>
                      <w:rFonts w:hint="eastAsia"/>
                      <w:color w:val="000000"/>
                    </w:rPr>
                    <w:t>3</w:t>
                  </w:r>
                  <w:r>
                    <w:rPr>
                      <w:color w:val="000000"/>
                    </w:rPr>
                    <w:t>7.3</w:t>
                  </w:r>
                </w:p>
              </w:tc>
              <w:tc>
                <w:tcPr>
                  <w:tcW w:w="1134" w:type="dxa"/>
                  <w:vAlign w:val="center"/>
                </w:tcPr>
                <w:p>
                  <w:pPr>
                    <w:pStyle w:val="51"/>
                    <w:rPr>
                      <w:color w:val="000000"/>
                    </w:rPr>
                  </w:pPr>
                  <w:r>
                    <w:rPr>
                      <w:color w:val="000000"/>
                    </w:rPr>
                    <w:t>1</w:t>
                  </w:r>
                </w:p>
              </w:tc>
              <w:tc>
                <w:tcPr>
                  <w:tcW w:w="1075" w:type="dxa"/>
                  <w:vAlign w:val="center"/>
                </w:tcPr>
                <w:p>
                  <w:pPr>
                    <w:pStyle w:val="51"/>
                    <w:rPr>
                      <w:color w:val="000000"/>
                    </w:rPr>
                  </w:pPr>
                  <w:r>
                    <w:rPr>
                      <w:rFonts w:hint="eastAsia"/>
                      <w:color w:val="000000"/>
                    </w:rPr>
                    <w:t>3</w:t>
                  </w:r>
                  <w:r>
                    <w:rPr>
                      <w:color w:val="000000"/>
                    </w:rPr>
                    <w:t>7.3</w:t>
                  </w:r>
                </w:p>
              </w:tc>
              <w:tc>
                <w:tcPr>
                  <w:tcW w:w="1090" w:type="dxa"/>
                  <w:vMerge w:val="continue"/>
                  <w:vAlign w:val="center"/>
                </w:tcPr>
                <w:p>
                  <w:pPr>
                    <w:pStyle w:val="51"/>
                    <w:rPr>
                      <w:color w:val="000000"/>
                    </w:rPr>
                  </w:pPr>
                </w:p>
              </w:tc>
              <w:tc>
                <w:tcPr>
                  <w:tcW w:w="1943" w:type="dxa"/>
                  <w:vMerge w:val="continue"/>
                  <w:vAlign w:val="center"/>
                </w:tcPr>
                <w:p>
                  <w:pPr>
                    <w:pStyle w:val="51"/>
                    <w:rPr>
                      <w:color w:val="000000"/>
                    </w:rPr>
                  </w:pPr>
                </w:p>
              </w:tc>
            </w:tr>
          </w:tbl>
          <w:p>
            <w:pPr>
              <w:tabs>
                <w:tab w:val="left" w:pos="8370"/>
                <w:tab w:val="left" w:pos="8600"/>
              </w:tabs>
              <w:spacing w:line="460" w:lineRule="exact"/>
              <w:ind w:firstLine="480" w:firstLineChars="200"/>
              <w:rPr>
                <w:sz w:val="24"/>
              </w:rPr>
            </w:pPr>
            <w:r>
              <w:rPr>
                <w:sz w:val="24"/>
              </w:rPr>
              <w:t>由上表可以看出，工项目生产期间，东、西、南、北厂界昼间、夜间噪声贡献值均能满足《工业企业厂界环境噪声排放标准》（GB12348-2008）3类昼间65dB(A)、夜间55dB(A)的标准要求，工程噪声对周围声环境影响不大，可接受。</w:t>
            </w:r>
          </w:p>
          <w:p>
            <w:pPr>
              <w:spacing w:line="460" w:lineRule="exact"/>
              <w:ind w:firstLine="482" w:firstLineChars="200"/>
              <w:textAlignment w:val="baseline"/>
              <w:rPr>
                <w:b/>
                <w:sz w:val="24"/>
              </w:rPr>
            </w:pPr>
            <w:r>
              <w:rPr>
                <w:b/>
                <w:sz w:val="24"/>
              </w:rPr>
              <w:t>4、监测要求</w:t>
            </w:r>
          </w:p>
          <w:p>
            <w:pPr>
              <w:spacing w:line="460" w:lineRule="exact"/>
              <w:ind w:firstLine="480" w:firstLineChars="200"/>
              <w:textAlignment w:val="baseline"/>
              <w:rPr>
                <w:color w:val="000000"/>
                <w:sz w:val="24"/>
              </w:rPr>
            </w:pPr>
            <w:r>
              <w:rPr>
                <w:color w:val="000000"/>
                <w:sz w:val="24"/>
              </w:rPr>
              <w:t>根据《排污单位自行监测技术指南总则》的规定，评价提出项目在生产运行阶段的污染源监测计划，具体监测计划见下表。</w:t>
            </w:r>
          </w:p>
          <w:p>
            <w:pPr>
              <w:tabs>
                <w:tab w:val="left" w:pos="8370"/>
                <w:tab w:val="left" w:pos="8600"/>
              </w:tabs>
              <w:spacing w:line="460" w:lineRule="exact"/>
              <w:ind w:firstLine="480" w:firstLineChars="200"/>
              <w:rPr>
                <w:rFonts w:eastAsia="黑体"/>
                <w:color w:val="000000"/>
                <w:sz w:val="24"/>
              </w:rPr>
            </w:pPr>
            <w:r>
              <w:rPr>
                <w:rFonts w:eastAsia="黑体"/>
                <w:color w:val="000000"/>
                <w:sz w:val="24"/>
              </w:rPr>
              <w:t>表45                污染源自行监测计划表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758"/>
              <w:gridCol w:w="1508"/>
              <w:gridCol w:w="1191"/>
              <w:gridCol w:w="1786"/>
              <w:gridCol w:w="315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779" w:type="dxa"/>
                  <w:vAlign w:val="center"/>
                </w:tcPr>
                <w:p>
                  <w:pPr>
                    <w:autoSpaceDE w:val="0"/>
                    <w:autoSpaceDN w:val="0"/>
                    <w:adjustRightInd w:val="0"/>
                    <w:snapToGrid w:val="0"/>
                    <w:jc w:val="center"/>
                    <w:rPr>
                      <w:b/>
                      <w:bCs/>
                      <w:color w:val="000000"/>
                      <w:szCs w:val="21"/>
                    </w:rPr>
                  </w:pPr>
                  <w:r>
                    <w:rPr>
                      <w:b/>
                      <w:bCs/>
                      <w:color w:val="000000"/>
                      <w:szCs w:val="21"/>
                    </w:rPr>
                    <w:t>监控类别</w:t>
                  </w:r>
                </w:p>
              </w:tc>
              <w:tc>
                <w:tcPr>
                  <w:tcW w:w="1576" w:type="dxa"/>
                  <w:tcMar>
                    <w:top w:w="0" w:type="dxa"/>
                    <w:left w:w="28" w:type="dxa"/>
                    <w:bottom w:w="0" w:type="dxa"/>
                    <w:right w:w="28" w:type="dxa"/>
                  </w:tcMar>
                  <w:vAlign w:val="center"/>
                </w:tcPr>
                <w:p>
                  <w:pPr>
                    <w:autoSpaceDE w:val="0"/>
                    <w:autoSpaceDN w:val="0"/>
                    <w:adjustRightInd w:val="0"/>
                    <w:snapToGrid w:val="0"/>
                    <w:jc w:val="center"/>
                    <w:rPr>
                      <w:b/>
                      <w:bCs/>
                      <w:color w:val="000000"/>
                      <w:szCs w:val="21"/>
                    </w:rPr>
                  </w:pPr>
                  <w:r>
                    <w:rPr>
                      <w:b/>
                      <w:bCs/>
                      <w:color w:val="000000"/>
                      <w:szCs w:val="21"/>
                    </w:rPr>
                    <w:t>监测指标</w:t>
                  </w:r>
                </w:p>
              </w:tc>
              <w:tc>
                <w:tcPr>
                  <w:tcW w:w="1238" w:type="dxa"/>
                  <w:tcMar>
                    <w:top w:w="0" w:type="dxa"/>
                    <w:left w:w="28" w:type="dxa"/>
                    <w:bottom w:w="0" w:type="dxa"/>
                    <w:right w:w="28" w:type="dxa"/>
                  </w:tcMar>
                  <w:vAlign w:val="center"/>
                </w:tcPr>
                <w:p>
                  <w:pPr>
                    <w:autoSpaceDE w:val="0"/>
                    <w:autoSpaceDN w:val="0"/>
                    <w:adjustRightInd w:val="0"/>
                    <w:snapToGrid w:val="0"/>
                    <w:jc w:val="center"/>
                    <w:rPr>
                      <w:b/>
                      <w:bCs/>
                      <w:color w:val="000000"/>
                      <w:szCs w:val="21"/>
                    </w:rPr>
                  </w:pPr>
                  <w:r>
                    <w:rPr>
                      <w:b/>
                      <w:bCs/>
                      <w:color w:val="000000"/>
                      <w:szCs w:val="21"/>
                    </w:rPr>
                    <w:t>监测点位</w:t>
                  </w:r>
                </w:p>
              </w:tc>
              <w:tc>
                <w:tcPr>
                  <w:tcW w:w="1858" w:type="dxa"/>
                  <w:tcMar>
                    <w:top w:w="0" w:type="dxa"/>
                    <w:left w:w="28" w:type="dxa"/>
                    <w:bottom w:w="0" w:type="dxa"/>
                    <w:right w:w="28" w:type="dxa"/>
                  </w:tcMar>
                  <w:vAlign w:val="center"/>
                </w:tcPr>
                <w:p>
                  <w:pPr>
                    <w:autoSpaceDE w:val="0"/>
                    <w:autoSpaceDN w:val="0"/>
                    <w:adjustRightInd w:val="0"/>
                    <w:snapToGrid w:val="0"/>
                    <w:jc w:val="center"/>
                    <w:rPr>
                      <w:b/>
                      <w:bCs/>
                      <w:color w:val="000000"/>
                      <w:szCs w:val="21"/>
                    </w:rPr>
                  </w:pPr>
                  <w:r>
                    <w:rPr>
                      <w:b/>
                      <w:bCs/>
                      <w:color w:val="000000"/>
                      <w:szCs w:val="21"/>
                    </w:rPr>
                    <w:t>监测频次</w:t>
                  </w:r>
                </w:p>
              </w:tc>
              <w:tc>
                <w:tcPr>
                  <w:tcW w:w="3228" w:type="dxa"/>
                  <w:tcMar>
                    <w:top w:w="0" w:type="dxa"/>
                    <w:left w:w="28" w:type="dxa"/>
                    <w:bottom w:w="0" w:type="dxa"/>
                    <w:right w:w="28" w:type="dxa"/>
                  </w:tcMar>
                  <w:vAlign w:val="center"/>
                </w:tcPr>
                <w:p>
                  <w:pPr>
                    <w:autoSpaceDE w:val="0"/>
                    <w:autoSpaceDN w:val="0"/>
                    <w:adjustRightInd w:val="0"/>
                    <w:snapToGrid w:val="0"/>
                    <w:jc w:val="center"/>
                    <w:rPr>
                      <w:b/>
                      <w:bCs/>
                      <w:color w:val="000000"/>
                      <w:szCs w:val="21"/>
                    </w:rPr>
                  </w:pPr>
                  <w:r>
                    <w:rPr>
                      <w:b/>
                      <w:bCs/>
                      <w:color w:val="000000"/>
                      <w:szCs w:val="21"/>
                    </w:rPr>
                    <w:t>执行排放标准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779"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color w:val="000000"/>
                      <w:szCs w:val="21"/>
                    </w:rPr>
                    <w:t>噪声</w:t>
                  </w:r>
                </w:p>
              </w:tc>
              <w:tc>
                <w:tcPr>
                  <w:tcW w:w="1576"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color w:val="000000"/>
                      <w:szCs w:val="21"/>
                    </w:rPr>
                    <w:t>等效连续A声级</w:t>
                  </w:r>
                </w:p>
              </w:tc>
              <w:tc>
                <w:tcPr>
                  <w:tcW w:w="1238"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color w:val="000000"/>
                      <w:szCs w:val="21"/>
                    </w:rPr>
                    <w:t>四周厂界外1m处</w:t>
                  </w:r>
                </w:p>
              </w:tc>
              <w:tc>
                <w:tcPr>
                  <w:tcW w:w="1858" w:type="dxa"/>
                  <w:tcMar>
                    <w:top w:w="0" w:type="dxa"/>
                    <w:left w:w="28" w:type="dxa"/>
                    <w:bottom w:w="0" w:type="dxa"/>
                    <w:right w:w="28" w:type="dxa"/>
                  </w:tcMar>
                  <w:vAlign w:val="center"/>
                </w:tcPr>
                <w:p>
                  <w:pPr>
                    <w:autoSpaceDE w:val="0"/>
                    <w:autoSpaceDN w:val="0"/>
                    <w:adjustRightInd w:val="0"/>
                    <w:snapToGrid w:val="0"/>
                    <w:jc w:val="center"/>
                    <w:rPr>
                      <w:b/>
                      <w:color w:val="000000"/>
                      <w:szCs w:val="21"/>
                    </w:rPr>
                  </w:pPr>
                  <w:r>
                    <w:rPr>
                      <w:color w:val="000000"/>
                      <w:kern w:val="0"/>
                      <w:szCs w:val="21"/>
                    </w:rPr>
                    <w:t>每季1次，昼</w:t>
                  </w:r>
                  <w:r>
                    <w:rPr>
                      <w:color w:val="000000"/>
                    </w:rPr>
                    <w:t>夜</w:t>
                  </w:r>
                  <w:r>
                    <w:rPr>
                      <w:color w:val="000000"/>
                      <w:kern w:val="0"/>
                      <w:szCs w:val="21"/>
                    </w:rPr>
                    <w:t>检测</w:t>
                  </w:r>
                  <w:r>
                    <w:rPr>
                      <w:rFonts w:hint="eastAsia"/>
                      <w:color w:val="000000"/>
                      <w:kern w:val="0"/>
                      <w:szCs w:val="21"/>
                    </w:rPr>
                    <w:t>各</w:t>
                  </w:r>
                  <w:r>
                    <w:rPr>
                      <w:color w:val="000000"/>
                      <w:kern w:val="0"/>
                      <w:szCs w:val="21"/>
                    </w:rPr>
                    <w:t>1次</w:t>
                  </w:r>
                </w:p>
              </w:tc>
              <w:tc>
                <w:tcPr>
                  <w:tcW w:w="3228" w:type="dxa"/>
                  <w:tcMar>
                    <w:top w:w="0" w:type="dxa"/>
                    <w:left w:w="28" w:type="dxa"/>
                    <w:bottom w:w="0" w:type="dxa"/>
                    <w:right w:w="28" w:type="dxa"/>
                  </w:tcMar>
                  <w:vAlign w:val="center"/>
                </w:tcPr>
                <w:p>
                  <w:pPr>
                    <w:autoSpaceDE w:val="0"/>
                    <w:autoSpaceDN w:val="0"/>
                    <w:adjustRightInd w:val="0"/>
                    <w:snapToGrid w:val="0"/>
                    <w:jc w:val="center"/>
                    <w:rPr>
                      <w:color w:val="000000"/>
                      <w:szCs w:val="21"/>
                    </w:rPr>
                  </w:pPr>
                  <w:r>
                    <w:rPr>
                      <w:color w:val="000000"/>
                      <w:kern w:val="0"/>
                      <w:szCs w:val="21"/>
                    </w:rPr>
                    <w:t>《工业企业厂界环境噪声排放标准》（GB12348-2008）3类</w:t>
                  </w:r>
                </w:p>
              </w:tc>
            </w:tr>
          </w:tbl>
          <w:p>
            <w:pPr>
              <w:adjustRightInd w:val="0"/>
              <w:snapToGrid w:val="0"/>
              <w:spacing w:line="460" w:lineRule="exact"/>
              <w:ind w:firstLine="482" w:firstLineChars="200"/>
              <w:rPr>
                <w:bCs/>
                <w:spacing w:val="-10"/>
                <w:sz w:val="24"/>
              </w:rPr>
            </w:pPr>
            <w:r>
              <w:rPr>
                <w:b/>
                <w:color w:val="000000"/>
                <w:sz w:val="24"/>
              </w:rPr>
              <w:t>四、固废</w:t>
            </w:r>
          </w:p>
          <w:p>
            <w:pPr>
              <w:spacing w:line="460" w:lineRule="exact"/>
              <w:ind w:firstLine="480" w:firstLineChars="200"/>
              <w:rPr>
                <w:color w:val="000000"/>
                <w:sz w:val="24"/>
              </w:rPr>
            </w:pPr>
            <w:r>
              <w:rPr>
                <w:color w:val="000000"/>
                <w:sz w:val="24"/>
              </w:rPr>
              <w:t>本项目运营期产生的一般固废主要为：（1）生活垃圾、（2）废食品类样品、（3）纯水制备产生的废PP棉滤芯、废RO反渗透膜、废树脂</w:t>
            </w:r>
            <w:r>
              <w:rPr>
                <w:rFonts w:hint="eastAsia"/>
                <w:color w:val="000000"/>
                <w:sz w:val="24"/>
              </w:rPr>
              <w:t>、</w:t>
            </w:r>
            <w:r>
              <w:rPr>
                <w:color w:val="000000"/>
                <w:sz w:val="24"/>
              </w:rPr>
              <w:t>（4）</w:t>
            </w:r>
            <w:r>
              <w:rPr>
                <w:rFonts w:hint="eastAsia"/>
                <w:color w:val="000000"/>
                <w:sz w:val="24"/>
              </w:rPr>
              <w:t>不含危险化学品废包装物</w:t>
            </w:r>
            <w:r>
              <w:rPr>
                <w:color w:val="000000"/>
                <w:sz w:val="24"/>
              </w:rPr>
              <w:t>；</w:t>
            </w:r>
          </w:p>
          <w:p>
            <w:pPr>
              <w:spacing w:line="460" w:lineRule="exact"/>
              <w:ind w:firstLine="480" w:firstLineChars="200"/>
              <w:rPr>
                <w:color w:val="000000"/>
                <w:sz w:val="24"/>
              </w:rPr>
            </w:pPr>
            <w:r>
              <w:rPr>
                <w:color w:val="000000"/>
                <w:sz w:val="24"/>
              </w:rPr>
              <w:t>危险废物主要为：（1）含重金属废试剂、（2）废酸碱液、（3）废有机溶剂、（4）废试剂、（5）废有机实验样品、（6）一次性实验用品、（7）废培养基、（8）废试剂瓶、（9）废危险化学品、（10）废UV灯管、（11）废活性炭、（12）一体化污水处理设备产生的污泥</w:t>
            </w:r>
            <w:r>
              <w:rPr>
                <w:rFonts w:hint="eastAsia"/>
                <w:color w:val="000000"/>
                <w:sz w:val="24"/>
              </w:rPr>
              <w:t>、（</w:t>
            </w:r>
            <w:r>
              <w:rPr>
                <w:color w:val="000000"/>
                <w:sz w:val="24"/>
              </w:rPr>
              <w:t>13</w:t>
            </w:r>
            <w:r>
              <w:rPr>
                <w:rFonts w:hint="eastAsia"/>
                <w:color w:val="000000"/>
                <w:sz w:val="24"/>
              </w:rPr>
              <w:t>）实验室器皿一次、二次清洗废水</w:t>
            </w:r>
            <w:r>
              <w:rPr>
                <w:color w:val="000000"/>
                <w:sz w:val="24"/>
              </w:rPr>
              <w:t>。</w:t>
            </w:r>
          </w:p>
          <w:p>
            <w:pPr>
              <w:spacing w:line="460" w:lineRule="exact"/>
              <w:ind w:firstLine="482" w:firstLineChars="200"/>
              <w:rPr>
                <w:b/>
                <w:sz w:val="24"/>
              </w:rPr>
            </w:pPr>
            <w:r>
              <w:rPr>
                <w:b/>
                <w:sz w:val="24"/>
              </w:rPr>
              <w:t>1、一般固废</w:t>
            </w:r>
          </w:p>
          <w:p>
            <w:pPr>
              <w:adjustRightInd w:val="0"/>
              <w:snapToGrid w:val="0"/>
              <w:spacing w:line="460" w:lineRule="exact"/>
              <w:ind w:firstLine="480" w:firstLineChars="200"/>
              <w:textAlignment w:val="baseline"/>
              <w:rPr>
                <w:sz w:val="24"/>
              </w:rPr>
            </w:pPr>
            <w:r>
              <w:rPr>
                <w:sz w:val="24"/>
              </w:rPr>
              <w:t>（1）生活垃圾</w:t>
            </w:r>
          </w:p>
          <w:p>
            <w:pPr>
              <w:adjustRightInd w:val="0"/>
              <w:snapToGrid w:val="0"/>
              <w:spacing w:line="460" w:lineRule="exact"/>
              <w:ind w:firstLine="480" w:firstLineChars="200"/>
              <w:textAlignment w:val="baseline"/>
              <w:rPr>
                <w:sz w:val="24"/>
              </w:rPr>
            </w:pPr>
            <w:r>
              <w:rPr>
                <w:sz w:val="24"/>
              </w:rPr>
              <w:t>本项目劳动定员50人，年工作270天，生活垃圾按0.5kg/d·人计，则生活垃圾产生量为6.75t/a，垃圾桶收集暂存，由环卫部门统一清运。</w:t>
            </w:r>
          </w:p>
          <w:p>
            <w:pPr>
              <w:adjustRightInd w:val="0"/>
              <w:snapToGrid w:val="0"/>
              <w:spacing w:line="460" w:lineRule="exact"/>
              <w:ind w:firstLine="480" w:firstLineChars="200"/>
              <w:textAlignment w:val="baseline"/>
              <w:rPr>
                <w:sz w:val="24"/>
              </w:rPr>
            </w:pPr>
            <w:r>
              <w:rPr>
                <w:sz w:val="24"/>
              </w:rPr>
              <w:t>（2）</w:t>
            </w:r>
            <w:r>
              <w:rPr>
                <w:color w:val="000000"/>
                <w:sz w:val="24"/>
              </w:rPr>
              <w:t>废食品类样品</w:t>
            </w:r>
          </w:p>
          <w:p>
            <w:pPr>
              <w:spacing w:line="460" w:lineRule="exact"/>
              <w:ind w:firstLine="480" w:firstLineChars="200"/>
              <w:rPr>
                <w:sz w:val="24"/>
              </w:rPr>
            </w:pPr>
            <w:r>
              <w:rPr>
                <w:sz w:val="24"/>
              </w:rPr>
              <w:t>本项目在进行食品</w:t>
            </w:r>
            <w:r>
              <w:rPr>
                <w:rFonts w:hint="eastAsia"/>
                <w:sz w:val="24"/>
              </w:rPr>
              <w:t>样品取样后</w:t>
            </w:r>
            <w:r>
              <w:rPr>
                <w:sz w:val="24"/>
              </w:rPr>
              <w:t>会产生</w:t>
            </w:r>
            <w:r>
              <w:rPr>
                <w:color w:val="000000"/>
                <w:sz w:val="24"/>
              </w:rPr>
              <w:t>废食品类样品</w:t>
            </w:r>
            <w:r>
              <w:rPr>
                <w:sz w:val="24"/>
              </w:rPr>
              <w:t>，根据企业提供数据产生量约为：2.5t/a。</w:t>
            </w:r>
            <w:r>
              <w:rPr>
                <w:bCs/>
                <w:sz w:val="24"/>
              </w:rPr>
              <w:t>评价提出，</w:t>
            </w:r>
            <w:r>
              <w:rPr>
                <w:color w:val="000000"/>
                <w:sz w:val="24"/>
              </w:rPr>
              <w:t>废食品类样品</w:t>
            </w:r>
            <w:r>
              <w:rPr>
                <w:bCs/>
                <w:sz w:val="24"/>
              </w:rPr>
              <w:t>在一般固废暂存间暂存，定期出售给饲料生产企业。</w:t>
            </w:r>
          </w:p>
          <w:p>
            <w:pPr>
              <w:adjustRightInd w:val="0"/>
              <w:snapToGrid w:val="0"/>
              <w:spacing w:line="460" w:lineRule="exact"/>
              <w:ind w:firstLine="480" w:firstLineChars="200"/>
              <w:textAlignment w:val="baseline"/>
              <w:rPr>
                <w:sz w:val="24"/>
              </w:rPr>
            </w:pPr>
            <w:r>
              <w:rPr>
                <w:sz w:val="24"/>
              </w:rPr>
              <w:t>（3）纯水制备产生的废PP棉滤芯、废RO反渗透膜、废树脂</w:t>
            </w:r>
          </w:p>
          <w:p>
            <w:pPr>
              <w:spacing w:line="460" w:lineRule="exact"/>
              <w:ind w:firstLine="480" w:firstLineChars="200"/>
              <w:rPr>
                <w:sz w:val="24"/>
              </w:rPr>
            </w:pPr>
            <w:r>
              <w:rPr>
                <w:sz w:val="24"/>
              </w:rPr>
              <w:t>本项目</w:t>
            </w:r>
            <w:r>
              <w:rPr>
                <w:bCs/>
                <w:sz w:val="24"/>
              </w:rPr>
              <w:t>实验室纯水机采用</w:t>
            </w:r>
            <w:r>
              <w:rPr>
                <w:rFonts w:hint="eastAsia"/>
                <w:bCs/>
                <w:sz w:val="24"/>
              </w:rPr>
              <w:t>“</w:t>
            </w:r>
            <w:r>
              <w:rPr>
                <w:bCs/>
                <w:sz w:val="24"/>
              </w:rPr>
              <w:t>PP棉滤芯+颗粒活性炭滤芯+烧结活性炭滤芯+RO反渗透膜+抛光树脂纯化柱</w:t>
            </w:r>
            <w:r>
              <w:rPr>
                <w:rFonts w:hint="eastAsia"/>
                <w:bCs/>
                <w:sz w:val="24"/>
              </w:rPr>
              <w:t>”</w:t>
            </w:r>
            <w:r>
              <w:rPr>
                <w:bCs/>
                <w:sz w:val="24"/>
              </w:rPr>
              <w:t>工艺。纯水制备装置中PP棉滤芯、RO反渗透膜、抛光树脂</w:t>
            </w:r>
            <w:r>
              <w:rPr>
                <w:sz w:val="24"/>
              </w:rPr>
              <w:t>使用至吸附杂质达到饱和之后需要进行更换。该设备</w:t>
            </w:r>
            <w:r>
              <w:rPr>
                <w:bCs/>
                <w:sz w:val="24"/>
              </w:rPr>
              <w:t>使用过程中会产生废PP棉滤芯、废RO反渗透膜、废树脂，</w:t>
            </w:r>
            <w:r>
              <w:rPr>
                <w:sz w:val="24"/>
              </w:rPr>
              <w:t>纯水制备装置为间断运行，</w:t>
            </w:r>
            <w:r>
              <w:rPr>
                <w:bCs/>
                <w:sz w:val="24"/>
              </w:rPr>
              <w:t>根据建设单位提供的资料，纯水制备机每使用三个月需要换一次滤芯，每一个废滤芯质量为0.5kg，则本项目产生的滤芯量为8个/年，即0.004t/a；抛光树脂</w:t>
            </w:r>
            <w:r>
              <w:rPr>
                <w:sz w:val="24"/>
              </w:rPr>
              <w:t>更换频率为2年一次，每次更换量为0.03t；</w:t>
            </w:r>
            <w:r>
              <w:rPr>
                <w:bCs/>
                <w:sz w:val="24"/>
              </w:rPr>
              <w:t>RO反渗透膜</w:t>
            </w:r>
            <w:r>
              <w:rPr>
                <w:sz w:val="24"/>
              </w:rPr>
              <w:t>更换频率为2年一次，每次更换量为0.02t，评价要求将其集中收集，厂家定期回收。</w:t>
            </w:r>
          </w:p>
          <w:p>
            <w:pPr>
              <w:spacing w:line="460" w:lineRule="exact"/>
              <w:ind w:firstLine="480" w:firstLineChars="200"/>
              <w:rPr>
                <w:color w:val="000000"/>
                <w:sz w:val="24"/>
              </w:rPr>
            </w:pPr>
            <w:r>
              <w:rPr>
                <w:color w:val="000000"/>
                <w:sz w:val="24"/>
              </w:rPr>
              <w:t>（4）</w:t>
            </w:r>
            <w:r>
              <w:rPr>
                <w:rFonts w:hint="eastAsia"/>
                <w:color w:val="000000"/>
                <w:sz w:val="24"/>
              </w:rPr>
              <w:t>不含危险化学品废包装物</w:t>
            </w:r>
          </w:p>
          <w:p>
            <w:pPr>
              <w:spacing w:line="460" w:lineRule="exact"/>
              <w:ind w:firstLine="480" w:firstLineChars="200"/>
              <w:rPr>
                <w:sz w:val="24"/>
              </w:rPr>
            </w:pPr>
            <w:r>
              <w:rPr>
                <w:rFonts w:hint="eastAsia"/>
                <w:color w:val="000000"/>
                <w:sz w:val="24"/>
              </w:rPr>
              <w:t>本实验室药剂在使用过程中会产生有少量废包装物，该部分废包装物不含且未沾染危险化学品，故作为一般固废处理，不含危险化学品废包装物产生量约0.1t/a，集中收集后，一般固废间暂存定期外售。</w:t>
            </w:r>
          </w:p>
          <w:p>
            <w:pPr>
              <w:spacing w:line="460" w:lineRule="exact"/>
              <w:ind w:firstLine="482" w:firstLineChars="200"/>
              <w:rPr>
                <w:b/>
                <w:sz w:val="24"/>
              </w:rPr>
            </w:pPr>
            <w:r>
              <w:rPr>
                <w:b/>
                <w:sz w:val="24"/>
              </w:rPr>
              <w:t>2、危险固废</w:t>
            </w:r>
          </w:p>
          <w:p>
            <w:pPr>
              <w:spacing w:line="460" w:lineRule="exact"/>
              <w:ind w:firstLine="480" w:firstLineChars="200"/>
              <w:rPr>
                <w:color w:val="000000"/>
                <w:sz w:val="24"/>
              </w:rPr>
            </w:pPr>
            <w:r>
              <w:rPr>
                <w:color w:val="000000"/>
                <w:sz w:val="24"/>
              </w:rPr>
              <w:t>（1）含重金属废试剂</w:t>
            </w:r>
          </w:p>
          <w:p>
            <w:pPr>
              <w:spacing w:line="460" w:lineRule="exact"/>
              <w:ind w:firstLine="480" w:firstLineChars="200"/>
              <w:rPr>
                <w:sz w:val="24"/>
              </w:rPr>
            </w:pPr>
            <w:r>
              <w:rPr>
                <w:sz w:val="24"/>
              </w:rPr>
              <w:t>本项目试剂标准品含有少量重金属试剂，镉、铬、铅、铜、锑、镍、锰、汞、铊等试剂，根据《国家危险废物名录》（2021年版），重金属无机废液属于危险废物，危险废物类别为HW49其他废物，危险废物代码为</w:t>
            </w:r>
            <w:r>
              <w:rPr>
                <w:rFonts w:hint="eastAsia"/>
                <w:sz w:val="24"/>
              </w:rPr>
              <w:t>：</w:t>
            </w:r>
            <w:r>
              <w:rPr>
                <w:sz w:val="24"/>
              </w:rPr>
              <w:t>900-047-49</w:t>
            </w:r>
            <w:r>
              <w:rPr>
                <w:rFonts w:hint="eastAsia"/>
                <w:sz w:val="24"/>
              </w:rPr>
              <w:t>生产、研究、开发、教学、环境检测（监测）活动中，化学和生物实验室（不包含感染性医学实验室及医疗机构化验室）产生的含氰、氟、重金属无机废液及无机废液处理产生的残渣、残液</w:t>
            </w:r>
            <w:r>
              <w:rPr>
                <w:sz w:val="24"/>
              </w:rPr>
              <w:t>。</w:t>
            </w:r>
          </w:p>
          <w:p>
            <w:pPr>
              <w:spacing w:line="460" w:lineRule="exact"/>
              <w:ind w:firstLine="480" w:firstLineChars="200"/>
              <w:rPr>
                <w:color w:val="FF0000"/>
                <w:sz w:val="24"/>
              </w:rPr>
            </w:pPr>
            <w:r>
              <w:rPr>
                <w:color w:val="000000"/>
                <w:sz w:val="24"/>
              </w:rPr>
              <w:t>根据</w:t>
            </w:r>
            <w:r>
              <w:rPr>
                <w:rFonts w:hint="eastAsia"/>
                <w:color w:val="000000"/>
                <w:sz w:val="24"/>
              </w:rPr>
              <w:t>建设单位</w:t>
            </w:r>
            <w:r>
              <w:rPr>
                <w:color w:val="000000"/>
                <w:sz w:val="24"/>
              </w:rPr>
              <w:t>提供</w:t>
            </w:r>
            <w:r>
              <w:rPr>
                <w:rFonts w:hint="eastAsia"/>
                <w:color w:val="000000"/>
                <w:sz w:val="24"/>
              </w:rPr>
              <w:t>试剂</w:t>
            </w:r>
            <w:r>
              <w:rPr>
                <w:color w:val="000000"/>
                <w:sz w:val="24"/>
              </w:rPr>
              <w:t>清单重金属试剂使用量为</w:t>
            </w:r>
            <w:r>
              <w:rPr>
                <w:sz w:val="24"/>
              </w:rPr>
              <w:t>0.0015t/a</w:t>
            </w:r>
            <w:r>
              <w:rPr>
                <w:color w:val="000000"/>
                <w:sz w:val="24"/>
              </w:rPr>
              <w:t>，则含重金属废试剂</w:t>
            </w:r>
            <w:r>
              <w:rPr>
                <w:sz w:val="24"/>
              </w:rPr>
              <w:t>产生量</w:t>
            </w:r>
            <w:r>
              <w:rPr>
                <w:rFonts w:hint="eastAsia"/>
                <w:sz w:val="24"/>
              </w:rPr>
              <w:t>最大为</w:t>
            </w:r>
            <w:r>
              <w:rPr>
                <w:sz w:val="24"/>
              </w:rPr>
              <w:t>0.0015t/a，本次评价提出，废试剂采取分类收集，使用小口密闭型废液收集桶收集，暂存于危废暂存间，定期交由有资质单位处置。</w:t>
            </w:r>
          </w:p>
          <w:p>
            <w:pPr>
              <w:spacing w:line="460" w:lineRule="exact"/>
              <w:ind w:firstLine="480" w:firstLineChars="200"/>
              <w:rPr>
                <w:color w:val="000000"/>
                <w:sz w:val="24"/>
              </w:rPr>
            </w:pPr>
            <w:r>
              <w:rPr>
                <w:color w:val="000000"/>
                <w:sz w:val="24"/>
              </w:rPr>
              <w:t>（2）废酸碱液</w:t>
            </w:r>
          </w:p>
          <w:p>
            <w:pPr>
              <w:spacing w:line="460" w:lineRule="exact"/>
              <w:ind w:firstLine="480" w:firstLineChars="200"/>
              <w:rPr>
                <w:sz w:val="24"/>
              </w:rPr>
            </w:pPr>
            <w:r>
              <w:rPr>
                <w:sz w:val="24"/>
              </w:rPr>
              <w:t>本项目主要酸碱试剂为盐酸、硫酸、硝酸、高氯酸、氨水等，在配制溶液和实验过程中，会有少量酸雾及氨气产生。根据《国家危险废物名录》（2021年版），废酸碱液属于危险废物，危险废物类别为HW49其他废物，危险废物代码为</w:t>
            </w:r>
            <w:r>
              <w:rPr>
                <w:rFonts w:hint="eastAsia"/>
                <w:sz w:val="24"/>
              </w:rPr>
              <w:t>：</w:t>
            </w:r>
            <w:r>
              <w:rPr>
                <w:sz w:val="24"/>
              </w:rPr>
              <w:t>900-047-49</w:t>
            </w:r>
            <w:r>
              <w:rPr>
                <w:rFonts w:hint="eastAsia"/>
                <w:sz w:val="24"/>
              </w:rPr>
              <w:t>生产、研究、开发、教学、环境检测（监测）活动中，化学和生物实验室（不包含感染性医学实验室及医疗机构化验室）产生的废酸、废碱</w:t>
            </w:r>
            <w:r>
              <w:rPr>
                <w:sz w:val="24"/>
              </w:rPr>
              <w:t>。</w:t>
            </w:r>
          </w:p>
          <w:p>
            <w:pPr>
              <w:spacing w:line="460" w:lineRule="exact"/>
              <w:ind w:firstLine="480" w:firstLineChars="200"/>
              <w:rPr>
                <w:sz w:val="24"/>
              </w:rPr>
            </w:pPr>
            <w:r>
              <w:rPr>
                <w:sz w:val="24"/>
              </w:rPr>
              <w:t>本项目盐酸、硫酸、硝酸使用量分别为0.0024t/a、0.0037t/a、0.0030/a，氨水使用量为0.0018t/a，经计算项目废酸液产生量为0.0112t/a，废碱液产生量为0.0009t/a，废酸碱液总计0.0121t/a。本次评价提出</w:t>
            </w:r>
            <w:r>
              <w:rPr>
                <w:color w:val="000000"/>
                <w:sz w:val="24"/>
              </w:rPr>
              <w:t>废酸碱液分类</w:t>
            </w:r>
            <w:r>
              <w:rPr>
                <w:sz w:val="24"/>
              </w:rPr>
              <w:t>收集后，暂存于危废暂存间，定期交由有资质单位处置。</w:t>
            </w:r>
          </w:p>
          <w:p>
            <w:pPr>
              <w:spacing w:line="460" w:lineRule="exact"/>
              <w:ind w:firstLine="480" w:firstLineChars="200"/>
              <w:rPr>
                <w:color w:val="000000"/>
                <w:sz w:val="24"/>
              </w:rPr>
            </w:pPr>
            <w:r>
              <w:rPr>
                <w:color w:val="000000"/>
                <w:sz w:val="24"/>
              </w:rPr>
              <w:t>（3）废有机溶剂</w:t>
            </w:r>
          </w:p>
          <w:p>
            <w:pPr>
              <w:spacing w:line="460" w:lineRule="exact"/>
              <w:ind w:firstLine="480" w:firstLineChars="200"/>
              <w:rPr>
                <w:sz w:val="24"/>
              </w:rPr>
            </w:pPr>
            <w:r>
              <w:rPr>
                <w:sz w:val="24"/>
              </w:rPr>
              <w:t>本项目在实验检测中会产生</w:t>
            </w:r>
            <w:r>
              <w:rPr>
                <w:color w:val="000000"/>
                <w:sz w:val="24"/>
              </w:rPr>
              <w:t>废有机溶剂</w:t>
            </w:r>
            <w:r>
              <w:rPr>
                <w:sz w:val="24"/>
              </w:rPr>
              <w:t>，根据《国家危险废物名录》（2021年版），该部分实验样品属于危险废物，危险废物类别为HW49其他废物，危险废物代码为900-047-49</w:t>
            </w:r>
            <w:r>
              <w:rPr>
                <w:rFonts w:hint="eastAsia"/>
                <w:sz w:val="24"/>
              </w:rPr>
              <w:t>生产、研究、开发、教学、环境检测（监测）活动中，化学和生物实验室（不包含感染性医学实验室及医疗机构化验室）产生的含氰、氟、重金属无机废液及无机废液处理产生的残渣、残液，含矿物油、有机溶剂、甲醛有机废液</w:t>
            </w:r>
            <w:r>
              <w:rPr>
                <w:sz w:val="24"/>
              </w:rPr>
              <w:t>。</w:t>
            </w:r>
          </w:p>
          <w:p>
            <w:pPr>
              <w:spacing w:line="460" w:lineRule="exact"/>
              <w:ind w:firstLine="480" w:firstLineChars="200"/>
              <w:rPr>
                <w:sz w:val="24"/>
              </w:rPr>
            </w:pPr>
            <w:r>
              <w:rPr>
                <w:sz w:val="24"/>
              </w:rPr>
              <w:t>根据建设单位提供的资料，本项目实验室使用的有机溶剂总量为0.0469t/a，实验室试剂</w:t>
            </w:r>
            <w:r>
              <w:rPr>
                <w:rFonts w:hint="eastAsia"/>
                <w:sz w:val="24"/>
              </w:rPr>
              <w:t>损耗量约</w:t>
            </w:r>
            <w:r>
              <w:rPr>
                <w:sz w:val="24"/>
              </w:rPr>
              <w:t>为原料量的1%~50%之间</w:t>
            </w:r>
            <w:r>
              <w:rPr>
                <w:rFonts w:hint="eastAsia"/>
                <w:sz w:val="24"/>
              </w:rPr>
              <w:t>，本次评价按照损耗的量全部作为废气挥发进行考虑，</w:t>
            </w:r>
            <w:r>
              <w:rPr>
                <w:sz w:val="24"/>
              </w:rPr>
              <w:t>剩余有机溶剂为危险废物，</w:t>
            </w:r>
            <w:r>
              <w:rPr>
                <w:rFonts w:hint="eastAsia"/>
                <w:sz w:val="24"/>
              </w:rPr>
              <w:t>按照环评最不利因素考虑，有机废气产生量按照原料损耗量的1</w:t>
            </w:r>
            <w:r>
              <w:rPr>
                <w:sz w:val="24"/>
              </w:rPr>
              <w:t>%</w:t>
            </w:r>
            <w:r>
              <w:rPr>
                <w:rFonts w:hint="eastAsia"/>
                <w:sz w:val="24"/>
              </w:rPr>
              <w:t>进行考虑，</w:t>
            </w:r>
            <w:r>
              <w:rPr>
                <w:sz w:val="24"/>
              </w:rPr>
              <w:t>则废有机溶剂产生量为0.0464t/a，本次评价提出</w:t>
            </w:r>
            <w:r>
              <w:rPr>
                <w:color w:val="000000"/>
                <w:sz w:val="24"/>
              </w:rPr>
              <w:t>废有机溶剂</w:t>
            </w:r>
            <w:r>
              <w:rPr>
                <w:sz w:val="24"/>
              </w:rPr>
              <w:t>收集后，暂存于危废暂存间，定期交由有资质单位处置。</w:t>
            </w:r>
          </w:p>
          <w:p>
            <w:pPr>
              <w:spacing w:line="460" w:lineRule="exact"/>
              <w:ind w:firstLine="480" w:firstLineChars="200"/>
              <w:rPr>
                <w:color w:val="000000"/>
                <w:sz w:val="24"/>
              </w:rPr>
            </w:pPr>
            <w:r>
              <w:rPr>
                <w:color w:val="000000"/>
                <w:sz w:val="24"/>
              </w:rPr>
              <w:t>（4）废试剂</w:t>
            </w:r>
          </w:p>
          <w:p>
            <w:pPr>
              <w:spacing w:line="460" w:lineRule="exact"/>
              <w:ind w:firstLine="480" w:firstLineChars="200"/>
              <w:rPr>
                <w:sz w:val="24"/>
              </w:rPr>
            </w:pPr>
            <w:r>
              <w:rPr>
                <w:sz w:val="24"/>
              </w:rPr>
              <w:t>本项目在实验检测过程中会产生废试剂，根据《国家危险废物名录》（2021年版），废试剂属于危险废物，危险废物类别为HW49其他废物，危险废物代码为900-047-49。</w:t>
            </w:r>
            <w:r>
              <w:rPr>
                <w:rFonts w:hint="eastAsia"/>
                <w:sz w:val="24"/>
              </w:rPr>
              <w:t>经类比分析</w:t>
            </w:r>
            <w:r>
              <w:rPr>
                <w:sz w:val="24"/>
              </w:rPr>
              <w:t>，产生量约0.05t/a，本次评价提出，废试剂采取分类收集，使用小口密闭型废液收集桶收集，暂存于危废暂存间，定期交由有资质单位处置。</w:t>
            </w:r>
          </w:p>
          <w:p>
            <w:pPr>
              <w:spacing w:line="460" w:lineRule="exact"/>
              <w:ind w:firstLine="480" w:firstLineChars="200"/>
              <w:rPr>
                <w:color w:val="000000"/>
                <w:sz w:val="24"/>
              </w:rPr>
            </w:pPr>
            <w:r>
              <w:rPr>
                <w:color w:val="000000"/>
                <w:sz w:val="24"/>
              </w:rPr>
              <w:t>（5）废有机实验样品</w:t>
            </w:r>
          </w:p>
          <w:p>
            <w:pPr>
              <w:spacing w:line="460" w:lineRule="exact"/>
              <w:ind w:firstLine="480" w:firstLineChars="200"/>
              <w:rPr>
                <w:sz w:val="24"/>
              </w:rPr>
            </w:pPr>
            <w:r>
              <w:rPr>
                <w:sz w:val="24"/>
              </w:rPr>
              <w:t>本项目在油品检测中会产生</w:t>
            </w:r>
            <w:r>
              <w:rPr>
                <w:color w:val="000000"/>
                <w:sz w:val="24"/>
              </w:rPr>
              <w:t>废有机实验样品</w:t>
            </w:r>
            <w:r>
              <w:rPr>
                <w:sz w:val="24"/>
              </w:rPr>
              <w:t>，根据《国家危险废物名录》（2021年版），该部分实验样品属于危险废物，危险废物类别为HW49其他废物，危险废物代码为900-047-49。</w:t>
            </w:r>
            <w:r>
              <w:rPr>
                <w:rFonts w:hint="eastAsia"/>
                <w:sz w:val="24"/>
              </w:rPr>
              <w:t>经类比分析</w:t>
            </w:r>
            <w:r>
              <w:rPr>
                <w:sz w:val="24"/>
              </w:rPr>
              <w:t>，</w:t>
            </w:r>
            <w:r>
              <w:rPr>
                <w:color w:val="000000"/>
                <w:sz w:val="24"/>
              </w:rPr>
              <w:t>废有机实验样品</w:t>
            </w:r>
            <w:r>
              <w:rPr>
                <w:sz w:val="24"/>
              </w:rPr>
              <w:t>产生量约0.02t/a，本次评价提出</w:t>
            </w:r>
            <w:r>
              <w:rPr>
                <w:color w:val="000000"/>
                <w:sz w:val="24"/>
              </w:rPr>
              <w:t>废有机实验样品</w:t>
            </w:r>
            <w:r>
              <w:rPr>
                <w:sz w:val="24"/>
              </w:rPr>
              <w:t>收集后，暂存于危废暂存间，定期交由有资质单位处置。</w:t>
            </w:r>
          </w:p>
          <w:p>
            <w:pPr>
              <w:spacing w:line="460" w:lineRule="exact"/>
              <w:ind w:firstLine="480" w:firstLineChars="200"/>
              <w:rPr>
                <w:color w:val="000000"/>
                <w:sz w:val="24"/>
              </w:rPr>
            </w:pPr>
            <w:r>
              <w:rPr>
                <w:color w:val="000000"/>
                <w:sz w:val="24"/>
              </w:rPr>
              <w:t>（6）一次性实验用品</w:t>
            </w:r>
          </w:p>
          <w:p>
            <w:pPr>
              <w:spacing w:line="460" w:lineRule="exact"/>
              <w:ind w:firstLine="480" w:firstLineChars="200"/>
              <w:rPr>
                <w:sz w:val="24"/>
              </w:rPr>
            </w:pPr>
            <w:r>
              <w:rPr>
                <w:sz w:val="24"/>
              </w:rPr>
              <w:t>本项目在实验检测中需使用到一次性实验用品，根据《国家危险废物名录》（2021年版），沾染废酸碱液、重金属无机废液、有机溶剂、甲醛有机溶剂的一次性实验用品属于危险废物，危险废物类别为HW49其他废物，危险废物代码为900-047-49。</w:t>
            </w:r>
            <w:r>
              <w:rPr>
                <w:rFonts w:hint="eastAsia"/>
                <w:sz w:val="24"/>
              </w:rPr>
              <w:t>经类比分析</w:t>
            </w:r>
            <w:r>
              <w:rPr>
                <w:sz w:val="24"/>
              </w:rPr>
              <w:t>，</w:t>
            </w:r>
            <w:r>
              <w:rPr>
                <w:color w:val="000000"/>
                <w:sz w:val="24"/>
              </w:rPr>
              <w:t>废</w:t>
            </w:r>
            <w:r>
              <w:rPr>
                <w:sz w:val="24"/>
              </w:rPr>
              <w:t>一次性实验用品产生量约0.08t/a，本次评价提出</w:t>
            </w:r>
            <w:r>
              <w:rPr>
                <w:color w:val="000000"/>
                <w:sz w:val="24"/>
              </w:rPr>
              <w:t>废有机实验样品</w:t>
            </w:r>
            <w:r>
              <w:rPr>
                <w:sz w:val="24"/>
              </w:rPr>
              <w:t>收集后，暂存于危废暂存间，定期交由有资质单位处置。</w:t>
            </w:r>
          </w:p>
          <w:p>
            <w:pPr>
              <w:spacing w:line="460" w:lineRule="exact"/>
              <w:ind w:firstLine="480" w:firstLineChars="200"/>
              <w:rPr>
                <w:color w:val="000000"/>
                <w:sz w:val="24"/>
              </w:rPr>
            </w:pPr>
            <w:r>
              <w:rPr>
                <w:color w:val="000000"/>
                <w:sz w:val="24"/>
              </w:rPr>
              <w:t>（7）废培养基</w:t>
            </w:r>
          </w:p>
          <w:p>
            <w:pPr>
              <w:spacing w:line="460" w:lineRule="exact"/>
              <w:ind w:firstLine="480" w:firstLineChars="200"/>
              <w:rPr>
                <w:sz w:val="24"/>
              </w:rPr>
            </w:pPr>
            <w:r>
              <w:rPr>
                <w:sz w:val="24"/>
              </w:rPr>
              <w:t>本项目在进行微生物样品分析的时候用到培养基，根据《国家危险废物名录》（2021年版），</w:t>
            </w:r>
            <w:r>
              <w:rPr>
                <w:color w:val="000000"/>
                <w:sz w:val="24"/>
              </w:rPr>
              <w:t>废培养基</w:t>
            </w:r>
            <w:r>
              <w:rPr>
                <w:sz w:val="24"/>
              </w:rPr>
              <w:t>属于危险废物，危险废物类别为HW49其他废物，危险废物代码为900-047-49。</w:t>
            </w:r>
            <w:r>
              <w:rPr>
                <w:rFonts w:hint="eastAsia"/>
                <w:sz w:val="24"/>
              </w:rPr>
              <w:t>经类比分析，</w:t>
            </w:r>
            <w:r>
              <w:rPr>
                <w:color w:val="000000"/>
                <w:sz w:val="24"/>
              </w:rPr>
              <w:t>废培养基</w:t>
            </w:r>
            <w:r>
              <w:rPr>
                <w:sz w:val="24"/>
              </w:rPr>
              <w:t>产生量约0.006t/a，本次评价提出</w:t>
            </w:r>
            <w:r>
              <w:rPr>
                <w:color w:val="000000"/>
                <w:sz w:val="24"/>
              </w:rPr>
              <w:t>废培养基</w:t>
            </w:r>
            <w:r>
              <w:rPr>
                <w:sz w:val="24"/>
              </w:rPr>
              <w:t>收集后，暂存于危废暂存间，定期交由有资质单位处置。</w:t>
            </w:r>
          </w:p>
          <w:p>
            <w:pPr>
              <w:spacing w:line="460" w:lineRule="exact"/>
              <w:ind w:firstLine="480" w:firstLineChars="200"/>
              <w:rPr>
                <w:color w:val="000000"/>
                <w:sz w:val="24"/>
              </w:rPr>
            </w:pPr>
            <w:r>
              <w:rPr>
                <w:color w:val="000000"/>
                <w:sz w:val="24"/>
              </w:rPr>
              <w:t>（8）废试剂瓶</w:t>
            </w:r>
          </w:p>
          <w:p>
            <w:pPr>
              <w:spacing w:line="460" w:lineRule="exact"/>
              <w:ind w:firstLine="480" w:firstLineChars="200"/>
              <w:rPr>
                <w:sz w:val="24"/>
              </w:rPr>
            </w:pPr>
            <w:r>
              <w:rPr>
                <w:sz w:val="24"/>
              </w:rPr>
              <w:t>本项目所用到的化学试剂全部为瓶装，试剂在使用过程中会产生废试剂瓶，根据《国家危险废物名录》（2021年版），</w:t>
            </w:r>
            <w:r>
              <w:rPr>
                <w:color w:val="000000"/>
                <w:sz w:val="24"/>
              </w:rPr>
              <w:t>废试剂瓶</w:t>
            </w:r>
            <w:r>
              <w:rPr>
                <w:sz w:val="24"/>
              </w:rPr>
              <w:t>属于危险废物，危险废物类别为HW49其他废物，危险废物代码为900-047-49。</w:t>
            </w:r>
            <w:r>
              <w:rPr>
                <w:rFonts w:hint="eastAsia"/>
                <w:sz w:val="24"/>
              </w:rPr>
              <w:t>经类比分析</w:t>
            </w:r>
            <w:r>
              <w:rPr>
                <w:sz w:val="24"/>
              </w:rPr>
              <w:t>，</w:t>
            </w:r>
            <w:r>
              <w:rPr>
                <w:color w:val="000000"/>
                <w:sz w:val="24"/>
              </w:rPr>
              <w:t>废试剂瓶</w:t>
            </w:r>
            <w:r>
              <w:rPr>
                <w:sz w:val="24"/>
              </w:rPr>
              <w:t>产生量约0.02t/a，本次评价提出</w:t>
            </w:r>
            <w:r>
              <w:rPr>
                <w:color w:val="000000"/>
                <w:sz w:val="24"/>
              </w:rPr>
              <w:t>废试剂瓶</w:t>
            </w:r>
            <w:r>
              <w:rPr>
                <w:sz w:val="24"/>
              </w:rPr>
              <w:t>收集后，暂存于危废暂存间，定期交由有资质单位处置。</w:t>
            </w:r>
          </w:p>
          <w:p>
            <w:pPr>
              <w:spacing w:line="460" w:lineRule="exact"/>
              <w:ind w:firstLine="480" w:firstLineChars="200"/>
              <w:rPr>
                <w:color w:val="000000"/>
                <w:sz w:val="24"/>
              </w:rPr>
            </w:pPr>
            <w:r>
              <w:rPr>
                <w:color w:val="000000"/>
                <w:sz w:val="24"/>
              </w:rPr>
              <w:t>（9）废危险化学品</w:t>
            </w:r>
          </w:p>
          <w:p>
            <w:pPr>
              <w:spacing w:line="460" w:lineRule="exact"/>
              <w:ind w:firstLine="480" w:firstLineChars="200"/>
              <w:rPr>
                <w:sz w:val="24"/>
              </w:rPr>
            </w:pPr>
            <w:r>
              <w:rPr>
                <w:sz w:val="24"/>
              </w:rPr>
              <w:t>本项目所用到的化学试剂中含有危险化学品，根据《国家危险废物名录》（2021年版），</w:t>
            </w:r>
            <w:r>
              <w:rPr>
                <w:color w:val="000000"/>
                <w:sz w:val="24"/>
              </w:rPr>
              <w:t>废危险化学品</w:t>
            </w:r>
            <w:r>
              <w:rPr>
                <w:sz w:val="24"/>
              </w:rPr>
              <w:t>属于危险废物，危险废物类别为HW49其他废物，危险废物代码为900-047-49。根据</w:t>
            </w:r>
            <w:r>
              <w:rPr>
                <w:rFonts w:hint="eastAsia"/>
                <w:sz w:val="24"/>
              </w:rPr>
              <w:t>建设单位提供试剂</w:t>
            </w:r>
            <w:r>
              <w:rPr>
                <w:sz w:val="24"/>
              </w:rPr>
              <w:t>清单项目危险化学品使用量为0.0027t/a，</w:t>
            </w:r>
            <w:r>
              <w:rPr>
                <w:rFonts w:hint="eastAsia"/>
                <w:sz w:val="24"/>
              </w:rPr>
              <w:t>按照最不利情况考虑，不考虑物料损耗的情况下，该危险废物最大产生量为</w:t>
            </w:r>
            <w:r>
              <w:rPr>
                <w:sz w:val="24"/>
              </w:rPr>
              <w:t>0.0027t/a</w:t>
            </w:r>
            <w:r>
              <w:rPr>
                <w:rFonts w:hint="eastAsia"/>
                <w:sz w:val="24"/>
              </w:rPr>
              <w:t>，</w:t>
            </w:r>
            <w:r>
              <w:rPr>
                <w:sz w:val="24"/>
              </w:rPr>
              <w:t>本次评价提出</w:t>
            </w:r>
            <w:r>
              <w:rPr>
                <w:color w:val="000000"/>
                <w:sz w:val="24"/>
              </w:rPr>
              <w:t>废危险化学品</w:t>
            </w:r>
            <w:r>
              <w:rPr>
                <w:sz w:val="24"/>
              </w:rPr>
              <w:t>收集后，专用容器收集，暂存于危废暂存间，定期交由有资质单位处置。</w:t>
            </w:r>
          </w:p>
          <w:p>
            <w:pPr>
              <w:spacing w:line="460" w:lineRule="exact"/>
              <w:ind w:firstLine="480" w:firstLineChars="200"/>
              <w:rPr>
                <w:sz w:val="24"/>
              </w:rPr>
            </w:pPr>
            <w:r>
              <w:rPr>
                <w:sz w:val="24"/>
              </w:rPr>
              <w:t>（10）废UV光灯管</w:t>
            </w:r>
          </w:p>
          <w:p>
            <w:pPr>
              <w:spacing w:line="460" w:lineRule="exact"/>
              <w:ind w:firstLine="480" w:firstLineChars="200"/>
              <w:rPr>
                <w:sz w:val="24"/>
              </w:rPr>
            </w:pPr>
            <w:r>
              <w:rPr>
                <w:sz w:val="24"/>
              </w:rPr>
              <w:t>本项目废气治理措施为“</w:t>
            </w:r>
            <w:r>
              <w:rPr>
                <w:bCs/>
                <w:spacing w:val="-10"/>
                <w:sz w:val="24"/>
              </w:rPr>
              <w:t>酸/碱液塔+</w:t>
            </w:r>
            <w:r>
              <w:rPr>
                <w:color w:val="000000"/>
                <w:kern w:val="0"/>
                <w:sz w:val="24"/>
              </w:rPr>
              <w:t>UV光催化氧化装置+活性炭吸附装置</w:t>
            </w:r>
            <w:r>
              <w:rPr>
                <w:sz w:val="24"/>
              </w:rPr>
              <w:t>”，设备运行后会产生</w:t>
            </w:r>
            <w:r>
              <w:rPr>
                <w:color w:val="000000"/>
                <w:sz w:val="24"/>
              </w:rPr>
              <w:t>废UV灯管，</w:t>
            </w:r>
            <w:r>
              <w:rPr>
                <w:sz w:val="24"/>
              </w:rPr>
              <w:t>本项目建成后每年废旧紫外灯管产生量约为0.01t，</w:t>
            </w:r>
            <w:r>
              <w:rPr>
                <w:bCs/>
                <w:sz w:val="24"/>
              </w:rPr>
              <w:t>根据《国家危险废物名录》（2021年版），</w:t>
            </w:r>
            <w:r>
              <w:rPr>
                <w:sz w:val="24"/>
              </w:rPr>
              <w:t>属于危险废物（HW29；900-023-29含汞废物）。评价要求集中收集，危废暂存间暂存后定期交由有危废处理资质单位安全处置。</w:t>
            </w:r>
          </w:p>
          <w:p>
            <w:pPr>
              <w:spacing w:line="460" w:lineRule="exact"/>
              <w:ind w:firstLine="480" w:firstLineChars="200"/>
              <w:rPr>
                <w:sz w:val="24"/>
              </w:rPr>
            </w:pPr>
            <w:r>
              <w:rPr>
                <w:sz w:val="24"/>
              </w:rPr>
              <w:t>（11）废活性炭</w:t>
            </w:r>
          </w:p>
          <w:p>
            <w:pPr>
              <w:spacing w:line="460" w:lineRule="exact"/>
              <w:ind w:firstLine="480" w:firstLineChars="200"/>
              <w:rPr>
                <w:sz w:val="24"/>
              </w:rPr>
            </w:pPr>
            <w:r>
              <w:rPr>
                <w:sz w:val="24"/>
              </w:rPr>
              <w:t>本项目废气治理措施活性炭吸脱附装置，需定期更换活性炭，根据《国家危险废物名录》（2021年版），更换下的废活性炭属于危险废物（HW49；900-039-49），</w:t>
            </w:r>
            <w:r>
              <w:rPr>
                <w:rFonts w:hint="eastAsia"/>
                <w:sz w:val="24"/>
              </w:rPr>
              <w:t>按照最不利情况，不考虑VOCs废气的经“水喷淋塔+碱液塔+UV光催化氧化装置”的效率，只考虑VOCs废气经活性炭吸附装置处理。</w:t>
            </w:r>
          </w:p>
          <w:p>
            <w:pPr>
              <w:spacing w:line="460" w:lineRule="exact"/>
              <w:ind w:firstLine="480" w:firstLineChars="200"/>
              <w:rPr>
                <w:sz w:val="24"/>
              </w:rPr>
            </w:pPr>
            <w:r>
              <w:rPr>
                <w:rFonts w:hint="eastAsia"/>
                <w:sz w:val="24"/>
              </w:rPr>
              <w:t>经查阅相关资料，1g活性炭吸收</w:t>
            </w:r>
            <w:r>
              <w:rPr>
                <w:sz w:val="24"/>
              </w:rPr>
              <w:t>0.25</w:t>
            </w:r>
            <w:r>
              <w:rPr>
                <w:rFonts w:hint="eastAsia"/>
                <w:sz w:val="24"/>
              </w:rPr>
              <w:t>g有机废气，本项目需经活性炭吸附装置处理的有机废气量约为</w:t>
            </w:r>
            <w:r>
              <w:rPr>
                <w:sz w:val="24"/>
              </w:rPr>
              <w:t>0.0429</w:t>
            </w:r>
            <w:r>
              <w:rPr>
                <w:rFonts w:hint="eastAsia"/>
                <w:sz w:val="24"/>
              </w:rPr>
              <w:t>t/a，则本项目需要活性炭的量约为0.1716t/a。评价建议活性炭装填量为0.5t，项目活性炭根据压力表显示的数据进行更换，每2年需更换活性炭1次，以保证活性炭吸附装置正常运行。按照环评最不利因素处理的有机废气全部经活性炭吸附考虑，本项目废活性炭产生量为</w:t>
            </w:r>
            <w:r>
              <w:rPr>
                <w:sz w:val="24"/>
              </w:rPr>
              <w:t>0.2145</w:t>
            </w:r>
            <w:r>
              <w:rPr>
                <w:rFonts w:hint="eastAsia"/>
                <w:sz w:val="24"/>
              </w:rPr>
              <w:t>t/a。</w:t>
            </w:r>
            <w:r>
              <w:rPr>
                <w:sz w:val="24"/>
              </w:rPr>
              <w:t>评价要求</w:t>
            </w:r>
            <w:r>
              <w:rPr>
                <w:rFonts w:hint="eastAsia"/>
                <w:sz w:val="24"/>
              </w:rPr>
              <w:t>废活性炭采取</w:t>
            </w:r>
            <w:r>
              <w:rPr>
                <w:sz w:val="24"/>
              </w:rPr>
              <w:t>密闭容器收集、危废暂存间暂存，定期委托有相应资质的危废处理单位进行安全处置。</w:t>
            </w:r>
          </w:p>
          <w:p>
            <w:pPr>
              <w:spacing w:line="460" w:lineRule="exact"/>
              <w:ind w:firstLine="480" w:firstLineChars="200"/>
              <w:rPr>
                <w:sz w:val="24"/>
              </w:rPr>
            </w:pPr>
            <w:r>
              <w:rPr>
                <w:color w:val="000000"/>
                <w:sz w:val="24"/>
              </w:rPr>
              <w:t>（12）一体化污水处理设备产生的污泥。</w:t>
            </w:r>
          </w:p>
          <w:p>
            <w:pPr>
              <w:spacing w:line="460" w:lineRule="exact"/>
              <w:ind w:firstLine="480" w:firstLineChars="200"/>
              <w:rPr>
                <w:sz w:val="24"/>
              </w:rPr>
            </w:pPr>
            <w:r>
              <w:rPr>
                <w:sz w:val="24"/>
              </w:rPr>
              <w:t>本项目新建一体化污水处理设备处理产生的清洗废水时产生废水处理站污泥，根据《国家危险废物名录》（2021年版），废水处理站污泥属于危险废物（HW49；900-047-49）。类比同类企业，污水处理站污泥产生系数为0.825（吨/万吨-废水处理量），本项目生产废水处理水量为0.2327万吨/a，则污泥产量约为0.192t/a；评价要求密闭容器收集、危废暂存间暂存，定期委托有相应资质的危废处理单位进行安全处置。</w:t>
            </w:r>
          </w:p>
          <w:p>
            <w:pPr>
              <w:spacing w:line="460" w:lineRule="exact"/>
              <w:ind w:firstLine="480" w:firstLineChars="200"/>
              <w:rPr>
                <w:color w:val="000000"/>
                <w:sz w:val="24"/>
              </w:rPr>
            </w:pPr>
            <w:r>
              <w:rPr>
                <w:rFonts w:hint="eastAsia"/>
                <w:color w:val="000000"/>
                <w:sz w:val="24"/>
              </w:rPr>
              <w:t>（13）实验室器皿一次、二次清洗废水</w:t>
            </w:r>
          </w:p>
          <w:p>
            <w:pPr>
              <w:spacing w:line="460" w:lineRule="exact"/>
              <w:ind w:firstLine="480" w:firstLineChars="200"/>
              <w:rPr>
                <w:sz w:val="24"/>
              </w:rPr>
            </w:pPr>
            <w:r>
              <w:rPr>
                <w:rFonts w:hint="eastAsia"/>
                <w:sz w:val="24"/>
              </w:rPr>
              <w:t>本项目检测实验室在检测过程中需对使用到的器皿进行清洗，该过程会产生清洗废水，实验室器皿首次、二次清洗废水不作为废水排放，单独收集后作为危险处置，实验室器皿三次清洗作为废水排放。根据《国家危险废物名录》（2021年版），该部分清洗废水属于危险废物，危险废物类别为HW49其他废物，危险废物代码为900-047-49。</w:t>
            </w:r>
          </w:p>
          <w:p>
            <w:pPr>
              <w:spacing w:line="460" w:lineRule="exact"/>
              <w:ind w:firstLine="480" w:firstLineChars="200"/>
              <w:rPr>
                <w:sz w:val="24"/>
              </w:rPr>
            </w:pPr>
            <w:r>
              <w:rPr>
                <w:rFonts w:hint="eastAsia"/>
                <w:bCs/>
                <w:sz w:val="24"/>
              </w:rPr>
              <w:t>根据企业提供的资料，项目全产期间</w:t>
            </w:r>
            <w:r>
              <w:rPr>
                <w:rFonts w:hint="eastAsia"/>
                <w:sz w:val="24"/>
              </w:rPr>
              <w:t>清洗用水量为</w:t>
            </w:r>
            <w:r>
              <w:rPr>
                <w:sz w:val="24"/>
              </w:rPr>
              <w:t>2.0m</w:t>
            </w:r>
            <w:r>
              <w:rPr>
                <w:sz w:val="24"/>
                <w:vertAlign w:val="superscript"/>
              </w:rPr>
              <w:t>3</w:t>
            </w:r>
            <w:r>
              <w:rPr>
                <w:sz w:val="24"/>
              </w:rPr>
              <w:t>/d（540m</w:t>
            </w:r>
            <w:r>
              <w:rPr>
                <w:sz w:val="24"/>
                <w:vertAlign w:val="superscript"/>
              </w:rPr>
              <w:t>3</w:t>
            </w:r>
            <w:r>
              <w:rPr>
                <w:sz w:val="24"/>
              </w:rPr>
              <w:t>/a）</w:t>
            </w:r>
            <w:r>
              <w:rPr>
                <w:rFonts w:hint="eastAsia"/>
                <w:sz w:val="24"/>
              </w:rPr>
              <w:t>，首次、二次清洗用水量为总清洗用水量的</w:t>
            </w:r>
            <w:r>
              <w:rPr>
                <w:sz w:val="24"/>
              </w:rPr>
              <w:t>25%</w:t>
            </w:r>
            <w:r>
              <w:rPr>
                <w:rFonts w:hint="eastAsia"/>
                <w:sz w:val="24"/>
              </w:rPr>
              <w:t>，首次、二次清洗用水量为</w:t>
            </w:r>
            <w:r>
              <w:rPr>
                <w:sz w:val="24"/>
              </w:rPr>
              <w:t>0.5m</w:t>
            </w:r>
            <w:r>
              <w:rPr>
                <w:sz w:val="24"/>
                <w:vertAlign w:val="superscript"/>
              </w:rPr>
              <w:t>3</w:t>
            </w:r>
            <w:r>
              <w:rPr>
                <w:sz w:val="24"/>
              </w:rPr>
              <w:t>/d（135m</w:t>
            </w:r>
            <w:r>
              <w:rPr>
                <w:sz w:val="24"/>
                <w:vertAlign w:val="superscript"/>
              </w:rPr>
              <w:t>3</w:t>
            </w:r>
            <w:r>
              <w:rPr>
                <w:sz w:val="24"/>
              </w:rPr>
              <w:t>/a）</w:t>
            </w:r>
            <w:r>
              <w:rPr>
                <w:rFonts w:hint="eastAsia"/>
                <w:sz w:val="24"/>
              </w:rPr>
              <w:t>，本次评价提出，</w:t>
            </w:r>
            <w:r>
              <w:rPr>
                <w:rFonts w:hint="eastAsia"/>
                <w:color w:val="000000"/>
                <w:sz w:val="24"/>
              </w:rPr>
              <w:t>实验室器皿一次、二次清洗废水</w:t>
            </w:r>
            <w:r>
              <w:rPr>
                <w:rFonts w:hint="eastAsia"/>
                <w:sz w:val="24"/>
              </w:rPr>
              <w:t>采取分类收集，使用小口密闭型废液收集桶收集，暂存于危废暂存间，定期交由有资质单位处置。</w:t>
            </w:r>
          </w:p>
          <w:p>
            <w:pPr>
              <w:spacing w:line="460" w:lineRule="exact"/>
              <w:ind w:firstLine="480" w:firstLineChars="200"/>
              <w:jc w:val="left"/>
              <w:rPr>
                <w:color w:val="000000"/>
                <w:sz w:val="24"/>
                <w:highlight w:val="lightGray"/>
              </w:rPr>
            </w:pPr>
            <w:r>
              <w:rPr>
                <w:bCs/>
                <w:kern w:val="0"/>
                <w:sz w:val="24"/>
              </w:rPr>
              <w:t>综上，本项目固废产生及处置情况见下表。</w:t>
            </w:r>
          </w:p>
          <w:p>
            <w:pPr>
              <w:spacing w:line="460" w:lineRule="exact"/>
              <w:ind w:firstLine="480" w:firstLineChars="200"/>
              <w:rPr>
                <w:rFonts w:eastAsia="黑体"/>
                <w:sz w:val="24"/>
              </w:rPr>
            </w:pPr>
            <w:r>
              <w:rPr>
                <w:rFonts w:eastAsia="黑体"/>
                <w:sz w:val="24"/>
              </w:rPr>
              <w:t>表46             本项目固体废物详情一览表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97"/>
              <w:gridCol w:w="2472"/>
              <w:gridCol w:w="1309"/>
              <w:gridCol w:w="1163"/>
              <w:gridCol w:w="235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Align w:val="center"/>
                </w:tcPr>
                <w:p>
                  <w:pPr>
                    <w:jc w:val="center"/>
                    <w:rPr>
                      <w:b/>
                      <w:szCs w:val="21"/>
                    </w:rPr>
                  </w:pPr>
                  <w:r>
                    <w:rPr>
                      <w:b/>
                      <w:szCs w:val="21"/>
                    </w:rPr>
                    <w:t>排放源</w:t>
                  </w:r>
                </w:p>
              </w:tc>
              <w:tc>
                <w:tcPr>
                  <w:tcW w:w="2410" w:type="dxa"/>
                  <w:vAlign w:val="center"/>
                </w:tcPr>
                <w:p>
                  <w:pPr>
                    <w:jc w:val="center"/>
                    <w:rPr>
                      <w:b/>
                      <w:szCs w:val="21"/>
                    </w:rPr>
                  </w:pPr>
                  <w:r>
                    <w:rPr>
                      <w:b/>
                      <w:szCs w:val="21"/>
                    </w:rPr>
                    <w:t>固废名称</w:t>
                  </w:r>
                </w:p>
              </w:tc>
              <w:tc>
                <w:tcPr>
                  <w:tcW w:w="1276" w:type="dxa"/>
                  <w:vAlign w:val="center"/>
                </w:tcPr>
                <w:p>
                  <w:pPr>
                    <w:jc w:val="center"/>
                    <w:rPr>
                      <w:b/>
                      <w:szCs w:val="21"/>
                    </w:rPr>
                  </w:pPr>
                  <w:r>
                    <w:rPr>
                      <w:b/>
                      <w:szCs w:val="21"/>
                    </w:rPr>
                    <w:t>固废性质</w:t>
                  </w:r>
                </w:p>
              </w:tc>
              <w:tc>
                <w:tcPr>
                  <w:tcW w:w="1134" w:type="dxa"/>
                  <w:vAlign w:val="center"/>
                </w:tcPr>
                <w:p>
                  <w:pPr>
                    <w:jc w:val="center"/>
                    <w:rPr>
                      <w:b/>
                      <w:szCs w:val="21"/>
                    </w:rPr>
                  </w:pPr>
                  <w:r>
                    <w:rPr>
                      <w:b/>
                      <w:szCs w:val="21"/>
                    </w:rPr>
                    <w:t>产生量</w:t>
                  </w:r>
                </w:p>
                <w:p>
                  <w:pPr>
                    <w:jc w:val="center"/>
                    <w:rPr>
                      <w:b/>
                      <w:szCs w:val="21"/>
                    </w:rPr>
                  </w:pPr>
                  <w:r>
                    <w:rPr>
                      <w:b/>
                      <w:szCs w:val="21"/>
                    </w:rPr>
                    <w:t>（t/a）</w:t>
                  </w:r>
                </w:p>
              </w:tc>
              <w:tc>
                <w:tcPr>
                  <w:tcW w:w="2296" w:type="dxa"/>
                  <w:vAlign w:val="center"/>
                </w:tcPr>
                <w:p>
                  <w:pPr>
                    <w:jc w:val="center"/>
                    <w:rPr>
                      <w:b/>
                      <w:szCs w:val="21"/>
                    </w:rPr>
                  </w:pPr>
                  <w:r>
                    <w:rPr>
                      <w:b/>
                      <w:szCs w:val="21"/>
                    </w:rPr>
                    <w:t>处理措施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Align w:val="center"/>
                </w:tcPr>
                <w:p>
                  <w:pPr>
                    <w:pStyle w:val="51"/>
                  </w:pPr>
                  <w:r>
                    <w:t>生产生活</w:t>
                  </w:r>
                </w:p>
              </w:tc>
              <w:tc>
                <w:tcPr>
                  <w:tcW w:w="2410" w:type="dxa"/>
                  <w:vAlign w:val="center"/>
                </w:tcPr>
                <w:p>
                  <w:pPr>
                    <w:pStyle w:val="51"/>
                  </w:pPr>
                  <w:r>
                    <w:t>生活垃圾</w:t>
                  </w:r>
                </w:p>
              </w:tc>
              <w:tc>
                <w:tcPr>
                  <w:tcW w:w="1276" w:type="dxa"/>
                  <w:vMerge w:val="restart"/>
                  <w:vAlign w:val="center"/>
                </w:tcPr>
                <w:p>
                  <w:pPr>
                    <w:jc w:val="center"/>
                    <w:rPr>
                      <w:szCs w:val="21"/>
                    </w:rPr>
                  </w:pPr>
                  <w:r>
                    <w:rPr>
                      <w:szCs w:val="21"/>
                    </w:rPr>
                    <w:t>一般固废</w:t>
                  </w:r>
                </w:p>
              </w:tc>
              <w:tc>
                <w:tcPr>
                  <w:tcW w:w="1134" w:type="dxa"/>
                  <w:vAlign w:val="center"/>
                </w:tcPr>
                <w:p>
                  <w:pPr>
                    <w:pStyle w:val="51"/>
                  </w:pPr>
                  <w:r>
                    <w:t>6.75</w:t>
                  </w:r>
                </w:p>
              </w:tc>
              <w:tc>
                <w:tcPr>
                  <w:tcW w:w="2296" w:type="dxa"/>
                  <w:vAlign w:val="center"/>
                </w:tcPr>
                <w:p>
                  <w:pPr>
                    <w:jc w:val="center"/>
                    <w:rPr>
                      <w:kern w:val="36"/>
                      <w:szCs w:val="21"/>
                    </w:rPr>
                  </w:pPr>
                  <w:r>
                    <w:rPr>
                      <w:kern w:val="36"/>
                      <w:szCs w:val="21"/>
                    </w:rPr>
                    <w:t>垃圾桶收集暂存，由环卫部门统一清运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Merge w:val="restart"/>
                  <w:vAlign w:val="center"/>
                </w:tcPr>
                <w:p>
                  <w:pPr>
                    <w:pStyle w:val="51"/>
                  </w:pPr>
                  <w:r>
                    <w:t>实验检测</w:t>
                  </w:r>
                </w:p>
              </w:tc>
              <w:tc>
                <w:tcPr>
                  <w:tcW w:w="2410" w:type="dxa"/>
                  <w:vAlign w:val="center"/>
                </w:tcPr>
                <w:p>
                  <w:pPr>
                    <w:pStyle w:val="51"/>
                  </w:pPr>
                  <w:r>
                    <w:t>废食品类样品</w:t>
                  </w:r>
                </w:p>
              </w:tc>
              <w:tc>
                <w:tcPr>
                  <w:tcW w:w="1276" w:type="dxa"/>
                  <w:vMerge w:val="continue"/>
                  <w:vAlign w:val="center"/>
                </w:tcPr>
                <w:p>
                  <w:pPr>
                    <w:jc w:val="center"/>
                    <w:rPr>
                      <w:szCs w:val="21"/>
                    </w:rPr>
                  </w:pPr>
                </w:p>
              </w:tc>
              <w:tc>
                <w:tcPr>
                  <w:tcW w:w="1134" w:type="dxa"/>
                  <w:vAlign w:val="center"/>
                </w:tcPr>
                <w:p>
                  <w:pPr>
                    <w:pStyle w:val="51"/>
                  </w:pPr>
                  <w:r>
                    <w:t>2.5</w:t>
                  </w:r>
                </w:p>
              </w:tc>
              <w:tc>
                <w:tcPr>
                  <w:tcW w:w="2296" w:type="dxa"/>
                  <w:vMerge w:val="restart"/>
                  <w:vAlign w:val="center"/>
                </w:tcPr>
                <w:p>
                  <w:pPr>
                    <w:pStyle w:val="51"/>
                  </w:pPr>
                  <w:r>
                    <w:t>一般固废</w:t>
                  </w:r>
                  <w:r>
                    <w:rPr>
                      <w:rFonts w:hint="eastAsia"/>
                    </w:rPr>
                    <w:t>间</w:t>
                  </w:r>
                  <w:r>
                    <w:t>暂存</w:t>
                  </w:r>
                  <w:r>
                    <w:rPr>
                      <w:rFonts w:hint="eastAsia"/>
                    </w:rPr>
                    <w:t>，</w:t>
                  </w:r>
                  <w:r>
                    <w:t>定期外售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Merge w:val="continue"/>
                  <w:vAlign w:val="center"/>
                </w:tcPr>
                <w:p>
                  <w:pPr>
                    <w:pStyle w:val="51"/>
                  </w:pPr>
                </w:p>
              </w:tc>
              <w:tc>
                <w:tcPr>
                  <w:tcW w:w="2410" w:type="dxa"/>
                  <w:vAlign w:val="center"/>
                </w:tcPr>
                <w:p>
                  <w:pPr>
                    <w:pStyle w:val="51"/>
                  </w:pPr>
                  <w:r>
                    <w:rPr>
                      <w:rFonts w:hint="eastAsia"/>
                    </w:rPr>
                    <w:t>不含危险化学品废包装物</w:t>
                  </w:r>
                </w:p>
              </w:tc>
              <w:tc>
                <w:tcPr>
                  <w:tcW w:w="1276" w:type="dxa"/>
                  <w:vMerge w:val="continue"/>
                  <w:vAlign w:val="center"/>
                </w:tcPr>
                <w:p>
                  <w:pPr>
                    <w:jc w:val="center"/>
                    <w:rPr>
                      <w:szCs w:val="21"/>
                    </w:rPr>
                  </w:pPr>
                </w:p>
              </w:tc>
              <w:tc>
                <w:tcPr>
                  <w:tcW w:w="1134" w:type="dxa"/>
                  <w:vAlign w:val="center"/>
                </w:tcPr>
                <w:p>
                  <w:pPr>
                    <w:pStyle w:val="51"/>
                  </w:pPr>
                  <w:r>
                    <w:rPr>
                      <w:rFonts w:hint="eastAsia"/>
                    </w:rPr>
                    <w:t>0</w:t>
                  </w:r>
                  <w:r>
                    <w:t>.1</w:t>
                  </w:r>
                </w:p>
              </w:tc>
              <w:tc>
                <w:tcPr>
                  <w:tcW w:w="2296" w:type="dxa"/>
                  <w:vMerge w:val="continue"/>
                  <w:vAlign w:val="center"/>
                </w:tcPr>
                <w:p>
                  <w:pPr>
                    <w:pStyle w:val="51"/>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Merge w:val="restart"/>
                  <w:vAlign w:val="center"/>
                </w:tcPr>
                <w:p>
                  <w:pPr>
                    <w:pStyle w:val="51"/>
                  </w:pPr>
                  <w:r>
                    <w:t>纯水制备</w:t>
                  </w:r>
                </w:p>
              </w:tc>
              <w:tc>
                <w:tcPr>
                  <w:tcW w:w="2410" w:type="dxa"/>
                  <w:vAlign w:val="center"/>
                </w:tcPr>
                <w:p>
                  <w:pPr>
                    <w:pStyle w:val="51"/>
                  </w:pPr>
                  <w:r>
                    <w:t>废PP棉滤芯</w:t>
                  </w:r>
                </w:p>
              </w:tc>
              <w:tc>
                <w:tcPr>
                  <w:tcW w:w="1276" w:type="dxa"/>
                  <w:vMerge w:val="continue"/>
                  <w:vAlign w:val="center"/>
                </w:tcPr>
                <w:p>
                  <w:pPr>
                    <w:jc w:val="center"/>
                    <w:rPr>
                      <w:szCs w:val="21"/>
                    </w:rPr>
                  </w:pPr>
                </w:p>
              </w:tc>
              <w:tc>
                <w:tcPr>
                  <w:tcW w:w="1134" w:type="dxa"/>
                  <w:vAlign w:val="center"/>
                </w:tcPr>
                <w:p>
                  <w:pPr>
                    <w:pStyle w:val="51"/>
                  </w:pPr>
                  <w:r>
                    <w:t>0.004</w:t>
                  </w:r>
                </w:p>
              </w:tc>
              <w:tc>
                <w:tcPr>
                  <w:tcW w:w="2296" w:type="dxa"/>
                  <w:vMerge w:val="restart"/>
                  <w:vAlign w:val="center"/>
                </w:tcPr>
                <w:p>
                  <w:pPr>
                    <w:jc w:val="center"/>
                    <w:rPr>
                      <w:kern w:val="36"/>
                      <w:szCs w:val="21"/>
                    </w:rPr>
                  </w:pPr>
                  <w:r>
                    <w:rPr>
                      <w:kern w:val="36"/>
                      <w:szCs w:val="21"/>
                    </w:rPr>
                    <w:t>集中收集，厂家定期回收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Merge w:val="continue"/>
                  <w:vAlign w:val="center"/>
                </w:tcPr>
                <w:p>
                  <w:pPr>
                    <w:pStyle w:val="51"/>
                  </w:pPr>
                </w:p>
              </w:tc>
              <w:tc>
                <w:tcPr>
                  <w:tcW w:w="2410" w:type="dxa"/>
                  <w:vAlign w:val="center"/>
                </w:tcPr>
                <w:p>
                  <w:pPr>
                    <w:pStyle w:val="51"/>
                  </w:pPr>
                  <w:r>
                    <w:t>废RO反渗透膜</w:t>
                  </w:r>
                </w:p>
              </w:tc>
              <w:tc>
                <w:tcPr>
                  <w:tcW w:w="1276" w:type="dxa"/>
                  <w:vMerge w:val="continue"/>
                  <w:vAlign w:val="center"/>
                </w:tcPr>
                <w:p>
                  <w:pPr>
                    <w:jc w:val="center"/>
                    <w:rPr>
                      <w:szCs w:val="21"/>
                    </w:rPr>
                  </w:pPr>
                </w:p>
              </w:tc>
              <w:tc>
                <w:tcPr>
                  <w:tcW w:w="1134" w:type="dxa"/>
                  <w:vAlign w:val="center"/>
                </w:tcPr>
                <w:p>
                  <w:pPr>
                    <w:pStyle w:val="51"/>
                  </w:pPr>
                  <w:r>
                    <w:t>0.02</w:t>
                  </w:r>
                </w:p>
              </w:tc>
              <w:tc>
                <w:tcPr>
                  <w:tcW w:w="2296" w:type="dxa"/>
                  <w:vMerge w:val="continue"/>
                  <w:vAlign w:val="center"/>
                </w:tcPr>
                <w:p>
                  <w:pPr>
                    <w:jc w:val="center"/>
                    <w:rPr>
                      <w:kern w:val="36"/>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Merge w:val="continue"/>
                  <w:vAlign w:val="center"/>
                </w:tcPr>
                <w:p>
                  <w:pPr>
                    <w:pStyle w:val="51"/>
                  </w:pPr>
                </w:p>
              </w:tc>
              <w:tc>
                <w:tcPr>
                  <w:tcW w:w="2410" w:type="dxa"/>
                  <w:vAlign w:val="center"/>
                </w:tcPr>
                <w:p>
                  <w:pPr>
                    <w:pStyle w:val="51"/>
                  </w:pPr>
                  <w:r>
                    <w:t>废树脂</w:t>
                  </w:r>
                </w:p>
              </w:tc>
              <w:tc>
                <w:tcPr>
                  <w:tcW w:w="1276" w:type="dxa"/>
                  <w:vMerge w:val="continue"/>
                  <w:vAlign w:val="center"/>
                </w:tcPr>
                <w:p>
                  <w:pPr>
                    <w:jc w:val="center"/>
                    <w:rPr>
                      <w:szCs w:val="21"/>
                    </w:rPr>
                  </w:pPr>
                </w:p>
              </w:tc>
              <w:tc>
                <w:tcPr>
                  <w:tcW w:w="1134" w:type="dxa"/>
                  <w:vAlign w:val="center"/>
                </w:tcPr>
                <w:p>
                  <w:pPr>
                    <w:pStyle w:val="51"/>
                  </w:pPr>
                  <w:r>
                    <w:t>0.03</w:t>
                  </w:r>
                </w:p>
              </w:tc>
              <w:tc>
                <w:tcPr>
                  <w:tcW w:w="2296" w:type="dxa"/>
                  <w:vMerge w:val="continue"/>
                  <w:vAlign w:val="center"/>
                </w:tcPr>
                <w:p>
                  <w:pPr>
                    <w:jc w:val="center"/>
                    <w:rPr>
                      <w:kern w:val="36"/>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Merge w:val="restart"/>
                  <w:vAlign w:val="center"/>
                </w:tcPr>
                <w:p>
                  <w:pPr>
                    <w:pStyle w:val="51"/>
                  </w:pPr>
                  <w:r>
                    <w:t>试剂配制、实验检测</w:t>
                  </w:r>
                </w:p>
              </w:tc>
              <w:tc>
                <w:tcPr>
                  <w:tcW w:w="2410" w:type="dxa"/>
                  <w:vAlign w:val="center"/>
                </w:tcPr>
                <w:p>
                  <w:pPr>
                    <w:pStyle w:val="51"/>
                  </w:pPr>
                  <w:r>
                    <w:t>含重金属废试剂</w:t>
                  </w:r>
                </w:p>
              </w:tc>
              <w:tc>
                <w:tcPr>
                  <w:tcW w:w="1276" w:type="dxa"/>
                  <w:vMerge w:val="restart"/>
                  <w:vAlign w:val="center"/>
                </w:tcPr>
                <w:p>
                  <w:pPr>
                    <w:jc w:val="center"/>
                    <w:rPr>
                      <w:kern w:val="0"/>
                      <w:szCs w:val="21"/>
                    </w:rPr>
                  </w:pPr>
                  <w:r>
                    <w:rPr>
                      <w:kern w:val="0"/>
                      <w:szCs w:val="21"/>
                    </w:rPr>
                    <w:t>危险废物</w:t>
                  </w:r>
                </w:p>
              </w:tc>
              <w:tc>
                <w:tcPr>
                  <w:tcW w:w="1134" w:type="dxa"/>
                  <w:vAlign w:val="center"/>
                </w:tcPr>
                <w:p>
                  <w:pPr>
                    <w:pStyle w:val="51"/>
                  </w:pPr>
                  <w:r>
                    <w:t>0.0015</w:t>
                  </w:r>
                </w:p>
              </w:tc>
              <w:tc>
                <w:tcPr>
                  <w:tcW w:w="2296" w:type="dxa"/>
                  <w:vMerge w:val="restart"/>
                  <w:vAlign w:val="center"/>
                </w:tcPr>
                <w:p>
                  <w:pPr>
                    <w:jc w:val="center"/>
                    <w:rPr>
                      <w:kern w:val="36"/>
                      <w:szCs w:val="21"/>
                    </w:rPr>
                  </w:pPr>
                  <w:r>
                    <w:rPr>
                      <w:kern w:val="36"/>
                      <w:szCs w:val="21"/>
                    </w:rPr>
                    <w:t>危废暂存间暂存后定期委托有资质单位进行安全处置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Merge w:val="continue"/>
                  <w:vAlign w:val="center"/>
                </w:tcPr>
                <w:p>
                  <w:pPr>
                    <w:pStyle w:val="51"/>
                  </w:pPr>
                </w:p>
              </w:tc>
              <w:tc>
                <w:tcPr>
                  <w:tcW w:w="2410" w:type="dxa"/>
                  <w:vAlign w:val="center"/>
                </w:tcPr>
                <w:p>
                  <w:pPr>
                    <w:pStyle w:val="51"/>
                  </w:pPr>
                  <w:r>
                    <w:t>废酸碱液</w:t>
                  </w:r>
                </w:p>
              </w:tc>
              <w:tc>
                <w:tcPr>
                  <w:tcW w:w="1276" w:type="dxa"/>
                  <w:vMerge w:val="continue"/>
                  <w:vAlign w:val="center"/>
                </w:tcPr>
                <w:p>
                  <w:pPr>
                    <w:jc w:val="center"/>
                    <w:rPr>
                      <w:kern w:val="0"/>
                      <w:szCs w:val="21"/>
                    </w:rPr>
                  </w:pPr>
                </w:p>
              </w:tc>
              <w:tc>
                <w:tcPr>
                  <w:tcW w:w="1134" w:type="dxa"/>
                  <w:vAlign w:val="center"/>
                </w:tcPr>
                <w:p>
                  <w:pPr>
                    <w:pStyle w:val="51"/>
                  </w:pPr>
                  <w:r>
                    <w:t>0.0121</w:t>
                  </w:r>
                </w:p>
              </w:tc>
              <w:tc>
                <w:tcPr>
                  <w:tcW w:w="2296" w:type="dxa"/>
                  <w:vMerge w:val="continue"/>
                  <w:vAlign w:val="center"/>
                </w:tcPr>
                <w:p>
                  <w:pPr>
                    <w:jc w:val="center"/>
                    <w:rPr>
                      <w:kern w:val="36"/>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Merge w:val="continue"/>
                  <w:vAlign w:val="center"/>
                </w:tcPr>
                <w:p>
                  <w:pPr>
                    <w:pStyle w:val="51"/>
                  </w:pPr>
                </w:p>
              </w:tc>
              <w:tc>
                <w:tcPr>
                  <w:tcW w:w="2410" w:type="dxa"/>
                  <w:vAlign w:val="center"/>
                </w:tcPr>
                <w:p>
                  <w:pPr>
                    <w:pStyle w:val="51"/>
                  </w:pPr>
                  <w:r>
                    <w:t>废有机溶剂</w:t>
                  </w:r>
                </w:p>
              </w:tc>
              <w:tc>
                <w:tcPr>
                  <w:tcW w:w="1276" w:type="dxa"/>
                  <w:vMerge w:val="continue"/>
                  <w:vAlign w:val="center"/>
                </w:tcPr>
                <w:p>
                  <w:pPr>
                    <w:jc w:val="center"/>
                    <w:rPr>
                      <w:kern w:val="0"/>
                      <w:szCs w:val="21"/>
                    </w:rPr>
                  </w:pPr>
                </w:p>
              </w:tc>
              <w:tc>
                <w:tcPr>
                  <w:tcW w:w="1134" w:type="dxa"/>
                  <w:vAlign w:val="center"/>
                </w:tcPr>
                <w:p>
                  <w:pPr>
                    <w:pStyle w:val="51"/>
                  </w:pPr>
                  <w:r>
                    <w:t>0.0464</w:t>
                  </w:r>
                </w:p>
              </w:tc>
              <w:tc>
                <w:tcPr>
                  <w:tcW w:w="2296" w:type="dxa"/>
                  <w:vMerge w:val="continue"/>
                  <w:vAlign w:val="center"/>
                </w:tcPr>
                <w:p>
                  <w:pPr>
                    <w:jc w:val="center"/>
                    <w:rPr>
                      <w:kern w:val="36"/>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Merge w:val="continue"/>
                  <w:vAlign w:val="center"/>
                </w:tcPr>
                <w:p>
                  <w:pPr>
                    <w:pStyle w:val="51"/>
                  </w:pPr>
                </w:p>
              </w:tc>
              <w:tc>
                <w:tcPr>
                  <w:tcW w:w="2410" w:type="dxa"/>
                  <w:vAlign w:val="center"/>
                </w:tcPr>
                <w:p>
                  <w:pPr>
                    <w:pStyle w:val="51"/>
                  </w:pPr>
                  <w:r>
                    <w:t>废试剂</w:t>
                  </w:r>
                </w:p>
              </w:tc>
              <w:tc>
                <w:tcPr>
                  <w:tcW w:w="1276" w:type="dxa"/>
                  <w:vMerge w:val="continue"/>
                  <w:vAlign w:val="center"/>
                </w:tcPr>
                <w:p>
                  <w:pPr>
                    <w:jc w:val="center"/>
                    <w:rPr>
                      <w:kern w:val="0"/>
                      <w:szCs w:val="21"/>
                    </w:rPr>
                  </w:pPr>
                </w:p>
              </w:tc>
              <w:tc>
                <w:tcPr>
                  <w:tcW w:w="1134" w:type="dxa"/>
                  <w:vAlign w:val="center"/>
                </w:tcPr>
                <w:p>
                  <w:pPr>
                    <w:pStyle w:val="51"/>
                  </w:pPr>
                  <w:r>
                    <w:t>0.05</w:t>
                  </w:r>
                </w:p>
              </w:tc>
              <w:tc>
                <w:tcPr>
                  <w:tcW w:w="2296" w:type="dxa"/>
                  <w:vMerge w:val="continue"/>
                  <w:vAlign w:val="center"/>
                </w:tcPr>
                <w:p>
                  <w:pPr>
                    <w:jc w:val="center"/>
                    <w:rPr>
                      <w:kern w:val="36"/>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Merge w:val="continue"/>
                  <w:vAlign w:val="center"/>
                </w:tcPr>
                <w:p>
                  <w:pPr>
                    <w:pStyle w:val="51"/>
                    <w:ind w:firstLine="420"/>
                  </w:pPr>
                </w:p>
              </w:tc>
              <w:tc>
                <w:tcPr>
                  <w:tcW w:w="2410" w:type="dxa"/>
                  <w:vAlign w:val="center"/>
                </w:tcPr>
                <w:p>
                  <w:pPr>
                    <w:pStyle w:val="51"/>
                  </w:pPr>
                  <w:r>
                    <w:t>废有机实验样品</w:t>
                  </w:r>
                </w:p>
              </w:tc>
              <w:tc>
                <w:tcPr>
                  <w:tcW w:w="1276" w:type="dxa"/>
                  <w:vMerge w:val="continue"/>
                  <w:vAlign w:val="center"/>
                </w:tcPr>
                <w:p>
                  <w:pPr>
                    <w:jc w:val="center"/>
                    <w:rPr>
                      <w:kern w:val="0"/>
                      <w:szCs w:val="21"/>
                    </w:rPr>
                  </w:pPr>
                </w:p>
              </w:tc>
              <w:tc>
                <w:tcPr>
                  <w:tcW w:w="1134" w:type="dxa"/>
                  <w:vAlign w:val="center"/>
                </w:tcPr>
                <w:p>
                  <w:pPr>
                    <w:pStyle w:val="51"/>
                  </w:pPr>
                  <w:r>
                    <w:t>0.02</w:t>
                  </w:r>
                </w:p>
              </w:tc>
              <w:tc>
                <w:tcPr>
                  <w:tcW w:w="2296" w:type="dxa"/>
                  <w:vMerge w:val="continue"/>
                  <w:vAlign w:val="center"/>
                </w:tcPr>
                <w:p>
                  <w:pPr>
                    <w:jc w:val="center"/>
                    <w:rPr>
                      <w:kern w:val="36"/>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Merge w:val="continue"/>
                  <w:vAlign w:val="center"/>
                </w:tcPr>
                <w:p>
                  <w:pPr>
                    <w:pStyle w:val="51"/>
                    <w:ind w:firstLine="420"/>
                  </w:pPr>
                </w:p>
              </w:tc>
              <w:tc>
                <w:tcPr>
                  <w:tcW w:w="2410" w:type="dxa"/>
                  <w:vAlign w:val="center"/>
                </w:tcPr>
                <w:p>
                  <w:pPr>
                    <w:pStyle w:val="51"/>
                  </w:pPr>
                  <w:r>
                    <w:rPr>
                      <w:rFonts w:hint="eastAsia"/>
                    </w:rPr>
                    <w:t>实验室器皿一次、二次清洗废水</w:t>
                  </w:r>
                </w:p>
              </w:tc>
              <w:tc>
                <w:tcPr>
                  <w:tcW w:w="1276" w:type="dxa"/>
                  <w:vMerge w:val="continue"/>
                  <w:vAlign w:val="center"/>
                </w:tcPr>
                <w:p>
                  <w:pPr>
                    <w:jc w:val="center"/>
                    <w:rPr>
                      <w:kern w:val="0"/>
                      <w:szCs w:val="21"/>
                    </w:rPr>
                  </w:pPr>
                </w:p>
              </w:tc>
              <w:tc>
                <w:tcPr>
                  <w:tcW w:w="1134" w:type="dxa"/>
                  <w:vAlign w:val="center"/>
                </w:tcPr>
                <w:p>
                  <w:pPr>
                    <w:pStyle w:val="51"/>
                  </w:pPr>
                  <w:r>
                    <w:rPr>
                      <w:rFonts w:hint="eastAsia"/>
                    </w:rPr>
                    <w:t>0</w:t>
                  </w:r>
                  <w:r>
                    <w:t>.5</w:t>
                  </w:r>
                </w:p>
              </w:tc>
              <w:tc>
                <w:tcPr>
                  <w:tcW w:w="2296" w:type="dxa"/>
                  <w:vMerge w:val="continue"/>
                  <w:vAlign w:val="center"/>
                </w:tcPr>
                <w:p>
                  <w:pPr>
                    <w:jc w:val="center"/>
                    <w:rPr>
                      <w:kern w:val="36"/>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Merge w:val="continue"/>
                  <w:vAlign w:val="center"/>
                </w:tcPr>
                <w:p>
                  <w:pPr>
                    <w:pStyle w:val="51"/>
                    <w:ind w:firstLine="420"/>
                  </w:pPr>
                </w:p>
              </w:tc>
              <w:tc>
                <w:tcPr>
                  <w:tcW w:w="2410" w:type="dxa"/>
                  <w:vAlign w:val="center"/>
                </w:tcPr>
                <w:p>
                  <w:pPr>
                    <w:pStyle w:val="51"/>
                  </w:pPr>
                  <w:r>
                    <w:t>一次性实验用品</w:t>
                  </w:r>
                </w:p>
              </w:tc>
              <w:tc>
                <w:tcPr>
                  <w:tcW w:w="1276" w:type="dxa"/>
                  <w:vMerge w:val="continue"/>
                  <w:vAlign w:val="center"/>
                </w:tcPr>
                <w:p>
                  <w:pPr>
                    <w:jc w:val="center"/>
                    <w:rPr>
                      <w:kern w:val="0"/>
                      <w:szCs w:val="21"/>
                    </w:rPr>
                  </w:pPr>
                </w:p>
              </w:tc>
              <w:tc>
                <w:tcPr>
                  <w:tcW w:w="1134" w:type="dxa"/>
                  <w:vAlign w:val="center"/>
                </w:tcPr>
                <w:p>
                  <w:pPr>
                    <w:pStyle w:val="51"/>
                  </w:pPr>
                  <w:r>
                    <w:t>0.08</w:t>
                  </w:r>
                </w:p>
              </w:tc>
              <w:tc>
                <w:tcPr>
                  <w:tcW w:w="2296" w:type="dxa"/>
                  <w:vMerge w:val="continue"/>
                  <w:vAlign w:val="center"/>
                </w:tcPr>
                <w:p>
                  <w:pPr>
                    <w:jc w:val="center"/>
                    <w:rPr>
                      <w:kern w:val="36"/>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Merge w:val="continue"/>
                  <w:vAlign w:val="center"/>
                </w:tcPr>
                <w:p>
                  <w:pPr>
                    <w:pStyle w:val="51"/>
                    <w:ind w:firstLine="420"/>
                  </w:pPr>
                </w:p>
              </w:tc>
              <w:tc>
                <w:tcPr>
                  <w:tcW w:w="2410" w:type="dxa"/>
                  <w:vAlign w:val="center"/>
                </w:tcPr>
                <w:p>
                  <w:pPr>
                    <w:pStyle w:val="51"/>
                  </w:pPr>
                  <w:r>
                    <w:t>废培养基</w:t>
                  </w:r>
                </w:p>
              </w:tc>
              <w:tc>
                <w:tcPr>
                  <w:tcW w:w="1276" w:type="dxa"/>
                  <w:vMerge w:val="continue"/>
                  <w:vAlign w:val="center"/>
                </w:tcPr>
                <w:p>
                  <w:pPr>
                    <w:jc w:val="center"/>
                    <w:rPr>
                      <w:kern w:val="0"/>
                      <w:szCs w:val="21"/>
                    </w:rPr>
                  </w:pPr>
                </w:p>
              </w:tc>
              <w:tc>
                <w:tcPr>
                  <w:tcW w:w="1134" w:type="dxa"/>
                  <w:vAlign w:val="center"/>
                </w:tcPr>
                <w:p>
                  <w:pPr>
                    <w:pStyle w:val="51"/>
                  </w:pPr>
                  <w:r>
                    <w:t>0.006</w:t>
                  </w:r>
                </w:p>
              </w:tc>
              <w:tc>
                <w:tcPr>
                  <w:tcW w:w="2296" w:type="dxa"/>
                  <w:vMerge w:val="continue"/>
                  <w:vAlign w:val="center"/>
                </w:tcPr>
                <w:p>
                  <w:pPr>
                    <w:jc w:val="center"/>
                    <w:rPr>
                      <w:kern w:val="36"/>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Merge w:val="continue"/>
                  <w:vAlign w:val="center"/>
                </w:tcPr>
                <w:p>
                  <w:pPr>
                    <w:pStyle w:val="51"/>
                  </w:pPr>
                </w:p>
              </w:tc>
              <w:tc>
                <w:tcPr>
                  <w:tcW w:w="2410" w:type="dxa"/>
                  <w:vAlign w:val="center"/>
                </w:tcPr>
                <w:p>
                  <w:pPr>
                    <w:pStyle w:val="51"/>
                  </w:pPr>
                  <w:r>
                    <w:t>废试剂瓶</w:t>
                  </w:r>
                </w:p>
              </w:tc>
              <w:tc>
                <w:tcPr>
                  <w:tcW w:w="1276" w:type="dxa"/>
                  <w:vMerge w:val="continue"/>
                  <w:vAlign w:val="center"/>
                </w:tcPr>
                <w:p>
                  <w:pPr>
                    <w:jc w:val="center"/>
                    <w:rPr>
                      <w:kern w:val="0"/>
                      <w:szCs w:val="21"/>
                    </w:rPr>
                  </w:pPr>
                </w:p>
              </w:tc>
              <w:tc>
                <w:tcPr>
                  <w:tcW w:w="1134" w:type="dxa"/>
                  <w:vAlign w:val="center"/>
                </w:tcPr>
                <w:p>
                  <w:pPr>
                    <w:pStyle w:val="51"/>
                  </w:pPr>
                  <w:r>
                    <w:t>0.02</w:t>
                  </w:r>
                </w:p>
              </w:tc>
              <w:tc>
                <w:tcPr>
                  <w:tcW w:w="2296" w:type="dxa"/>
                  <w:vMerge w:val="continue"/>
                  <w:vAlign w:val="center"/>
                </w:tcPr>
                <w:p>
                  <w:pPr>
                    <w:jc w:val="center"/>
                    <w:rPr>
                      <w:kern w:val="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Merge w:val="continue"/>
                  <w:vAlign w:val="center"/>
                </w:tcPr>
                <w:p>
                  <w:pPr>
                    <w:pStyle w:val="51"/>
                  </w:pPr>
                </w:p>
              </w:tc>
              <w:tc>
                <w:tcPr>
                  <w:tcW w:w="2410" w:type="dxa"/>
                  <w:vAlign w:val="center"/>
                </w:tcPr>
                <w:p>
                  <w:pPr>
                    <w:pStyle w:val="51"/>
                  </w:pPr>
                  <w:r>
                    <w:t>废危险化学品</w:t>
                  </w:r>
                </w:p>
              </w:tc>
              <w:tc>
                <w:tcPr>
                  <w:tcW w:w="1276" w:type="dxa"/>
                  <w:vMerge w:val="continue"/>
                  <w:vAlign w:val="center"/>
                </w:tcPr>
                <w:p>
                  <w:pPr>
                    <w:jc w:val="center"/>
                    <w:rPr>
                      <w:kern w:val="0"/>
                      <w:szCs w:val="21"/>
                    </w:rPr>
                  </w:pPr>
                </w:p>
              </w:tc>
              <w:tc>
                <w:tcPr>
                  <w:tcW w:w="1134" w:type="dxa"/>
                  <w:vAlign w:val="center"/>
                </w:tcPr>
                <w:p>
                  <w:pPr>
                    <w:pStyle w:val="51"/>
                  </w:pPr>
                  <w:r>
                    <w:t>0.0027</w:t>
                  </w:r>
                </w:p>
              </w:tc>
              <w:tc>
                <w:tcPr>
                  <w:tcW w:w="2296" w:type="dxa"/>
                  <w:vMerge w:val="continue"/>
                  <w:vAlign w:val="center"/>
                </w:tcPr>
                <w:p>
                  <w:pPr>
                    <w:jc w:val="center"/>
                    <w:rPr>
                      <w:kern w:val="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Merge w:val="restart"/>
                  <w:vAlign w:val="center"/>
                </w:tcPr>
                <w:p>
                  <w:pPr>
                    <w:pStyle w:val="51"/>
                  </w:pPr>
                  <w:r>
                    <w:t>废气治理设施</w:t>
                  </w:r>
                </w:p>
              </w:tc>
              <w:tc>
                <w:tcPr>
                  <w:tcW w:w="2410" w:type="dxa"/>
                  <w:vAlign w:val="center"/>
                </w:tcPr>
                <w:p>
                  <w:pPr>
                    <w:pStyle w:val="51"/>
                  </w:pPr>
                  <w:r>
                    <w:t>废UV光灯管</w:t>
                  </w:r>
                </w:p>
              </w:tc>
              <w:tc>
                <w:tcPr>
                  <w:tcW w:w="1276" w:type="dxa"/>
                  <w:vMerge w:val="continue"/>
                  <w:vAlign w:val="center"/>
                </w:tcPr>
                <w:p>
                  <w:pPr>
                    <w:jc w:val="center"/>
                    <w:rPr>
                      <w:kern w:val="0"/>
                      <w:szCs w:val="21"/>
                    </w:rPr>
                  </w:pPr>
                </w:p>
              </w:tc>
              <w:tc>
                <w:tcPr>
                  <w:tcW w:w="1134" w:type="dxa"/>
                  <w:vAlign w:val="center"/>
                </w:tcPr>
                <w:p>
                  <w:pPr>
                    <w:pStyle w:val="51"/>
                  </w:pPr>
                  <w:r>
                    <w:t>0.01</w:t>
                  </w:r>
                </w:p>
              </w:tc>
              <w:tc>
                <w:tcPr>
                  <w:tcW w:w="2296" w:type="dxa"/>
                  <w:vMerge w:val="continue"/>
                  <w:vAlign w:val="center"/>
                </w:tcPr>
                <w:p>
                  <w:pPr>
                    <w:jc w:val="center"/>
                    <w:rPr>
                      <w:kern w:val="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Merge w:val="continue"/>
                  <w:vAlign w:val="center"/>
                </w:tcPr>
                <w:p>
                  <w:pPr>
                    <w:pStyle w:val="51"/>
                  </w:pPr>
                </w:p>
              </w:tc>
              <w:tc>
                <w:tcPr>
                  <w:tcW w:w="2410" w:type="dxa"/>
                  <w:vAlign w:val="center"/>
                </w:tcPr>
                <w:p>
                  <w:pPr>
                    <w:pStyle w:val="51"/>
                  </w:pPr>
                  <w:r>
                    <w:t>废活性炭</w:t>
                  </w:r>
                </w:p>
              </w:tc>
              <w:tc>
                <w:tcPr>
                  <w:tcW w:w="1276" w:type="dxa"/>
                  <w:vMerge w:val="continue"/>
                  <w:vAlign w:val="center"/>
                </w:tcPr>
                <w:p>
                  <w:pPr>
                    <w:jc w:val="center"/>
                    <w:rPr>
                      <w:kern w:val="0"/>
                      <w:szCs w:val="21"/>
                    </w:rPr>
                  </w:pPr>
                </w:p>
              </w:tc>
              <w:tc>
                <w:tcPr>
                  <w:tcW w:w="1134" w:type="dxa"/>
                  <w:vAlign w:val="center"/>
                </w:tcPr>
                <w:p>
                  <w:pPr>
                    <w:pStyle w:val="51"/>
                  </w:pPr>
                  <w:r>
                    <w:t>0.2145</w:t>
                  </w:r>
                </w:p>
              </w:tc>
              <w:tc>
                <w:tcPr>
                  <w:tcW w:w="2296" w:type="dxa"/>
                  <w:vMerge w:val="continue"/>
                  <w:vAlign w:val="center"/>
                </w:tcPr>
                <w:p>
                  <w:pPr>
                    <w:jc w:val="center"/>
                    <w:rPr>
                      <w:kern w:val="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70" w:type="dxa"/>
                  <w:vAlign w:val="center"/>
                </w:tcPr>
                <w:p>
                  <w:pPr>
                    <w:pStyle w:val="51"/>
                  </w:pPr>
                  <w:r>
                    <w:t>一体化污水处理设备</w:t>
                  </w:r>
                </w:p>
              </w:tc>
              <w:tc>
                <w:tcPr>
                  <w:tcW w:w="2410" w:type="dxa"/>
                  <w:vAlign w:val="center"/>
                </w:tcPr>
                <w:p>
                  <w:pPr>
                    <w:pStyle w:val="51"/>
                  </w:pPr>
                  <w:r>
                    <w:t>污泥</w:t>
                  </w:r>
                </w:p>
              </w:tc>
              <w:tc>
                <w:tcPr>
                  <w:tcW w:w="1276" w:type="dxa"/>
                  <w:vMerge w:val="continue"/>
                  <w:vAlign w:val="center"/>
                </w:tcPr>
                <w:p>
                  <w:pPr>
                    <w:jc w:val="center"/>
                    <w:rPr>
                      <w:kern w:val="0"/>
                      <w:szCs w:val="21"/>
                    </w:rPr>
                  </w:pPr>
                </w:p>
              </w:tc>
              <w:tc>
                <w:tcPr>
                  <w:tcW w:w="1134" w:type="dxa"/>
                  <w:vAlign w:val="center"/>
                </w:tcPr>
                <w:p>
                  <w:pPr>
                    <w:pStyle w:val="51"/>
                  </w:pPr>
                  <w:r>
                    <w:t>0.192</w:t>
                  </w:r>
                </w:p>
              </w:tc>
              <w:tc>
                <w:tcPr>
                  <w:tcW w:w="2296" w:type="dxa"/>
                  <w:vMerge w:val="continue"/>
                  <w:vAlign w:val="center"/>
                </w:tcPr>
                <w:p>
                  <w:pPr>
                    <w:jc w:val="center"/>
                    <w:rPr>
                      <w:kern w:val="0"/>
                      <w:szCs w:val="21"/>
                    </w:rPr>
                  </w:pPr>
                </w:p>
              </w:tc>
            </w:tr>
          </w:tbl>
          <w:p>
            <w:pPr>
              <w:spacing w:line="460" w:lineRule="exact"/>
              <w:ind w:firstLine="480" w:firstLineChars="200"/>
              <w:rPr>
                <w:rFonts w:eastAsia="黑体"/>
                <w:sz w:val="24"/>
              </w:rPr>
            </w:pPr>
            <w:r>
              <w:rPr>
                <w:rFonts w:eastAsia="黑体"/>
                <w:sz w:val="24"/>
              </w:rPr>
              <w:t>表47                  本项目一般固废汇总表</w:t>
            </w:r>
          </w:p>
          <w:tbl>
            <w:tblPr>
              <w:tblStyle w:val="21"/>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42"/>
              <w:gridCol w:w="1621"/>
              <w:gridCol w:w="991"/>
              <w:gridCol w:w="1314"/>
              <w:gridCol w:w="873"/>
              <w:gridCol w:w="235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2" w:type="dxa"/>
                  <w:vAlign w:val="center"/>
                </w:tcPr>
                <w:p>
                  <w:pPr>
                    <w:jc w:val="center"/>
                    <w:rPr>
                      <w:b/>
                      <w:szCs w:val="21"/>
                    </w:rPr>
                  </w:pPr>
                  <w:r>
                    <w:rPr>
                      <w:b/>
                      <w:szCs w:val="21"/>
                    </w:rPr>
                    <w:t>排放源</w:t>
                  </w:r>
                </w:p>
              </w:tc>
              <w:tc>
                <w:tcPr>
                  <w:tcW w:w="1580" w:type="dxa"/>
                  <w:vAlign w:val="center"/>
                </w:tcPr>
                <w:p>
                  <w:pPr>
                    <w:jc w:val="center"/>
                    <w:rPr>
                      <w:b/>
                      <w:szCs w:val="21"/>
                    </w:rPr>
                  </w:pPr>
                  <w:r>
                    <w:rPr>
                      <w:b/>
                      <w:szCs w:val="21"/>
                    </w:rPr>
                    <w:t>固废名称</w:t>
                  </w:r>
                </w:p>
              </w:tc>
              <w:tc>
                <w:tcPr>
                  <w:tcW w:w="966" w:type="dxa"/>
                  <w:vAlign w:val="center"/>
                </w:tcPr>
                <w:p>
                  <w:pPr>
                    <w:jc w:val="center"/>
                    <w:rPr>
                      <w:b/>
                      <w:szCs w:val="21"/>
                    </w:rPr>
                  </w:pPr>
                  <w:r>
                    <w:rPr>
                      <w:b/>
                      <w:szCs w:val="21"/>
                    </w:rPr>
                    <w:t>固废类别</w:t>
                  </w:r>
                </w:p>
              </w:tc>
              <w:tc>
                <w:tcPr>
                  <w:tcW w:w="1281" w:type="dxa"/>
                  <w:vAlign w:val="center"/>
                </w:tcPr>
                <w:p>
                  <w:pPr>
                    <w:jc w:val="center"/>
                    <w:rPr>
                      <w:b/>
                      <w:szCs w:val="21"/>
                    </w:rPr>
                  </w:pPr>
                  <w:r>
                    <w:rPr>
                      <w:b/>
                      <w:szCs w:val="21"/>
                    </w:rPr>
                    <w:t>固体废物代码</w:t>
                  </w:r>
                </w:p>
              </w:tc>
              <w:tc>
                <w:tcPr>
                  <w:tcW w:w="851" w:type="dxa"/>
                  <w:vAlign w:val="center"/>
                </w:tcPr>
                <w:p>
                  <w:pPr>
                    <w:jc w:val="center"/>
                    <w:rPr>
                      <w:b/>
                      <w:szCs w:val="21"/>
                    </w:rPr>
                  </w:pPr>
                  <w:r>
                    <w:rPr>
                      <w:b/>
                      <w:szCs w:val="21"/>
                    </w:rPr>
                    <w:t>产生量（t/a）</w:t>
                  </w:r>
                </w:p>
              </w:tc>
              <w:tc>
                <w:tcPr>
                  <w:tcW w:w="2293" w:type="dxa"/>
                  <w:vAlign w:val="center"/>
                </w:tcPr>
                <w:p>
                  <w:pPr>
                    <w:jc w:val="center"/>
                    <w:rPr>
                      <w:b/>
                      <w:szCs w:val="21"/>
                    </w:rPr>
                  </w:pPr>
                  <w:r>
                    <w:rPr>
                      <w:b/>
                      <w:szCs w:val="21"/>
                    </w:rPr>
                    <w:t>处理措施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2" w:type="dxa"/>
                  <w:vAlign w:val="center"/>
                </w:tcPr>
                <w:p>
                  <w:pPr>
                    <w:pStyle w:val="51"/>
                  </w:pPr>
                  <w:r>
                    <w:t>生产生活</w:t>
                  </w:r>
                </w:p>
              </w:tc>
              <w:tc>
                <w:tcPr>
                  <w:tcW w:w="1580" w:type="dxa"/>
                  <w:vAlign w:val="center"/>
                </w:tcPr>
                <w:p>
                  <w:pPr>
                    <w:pStyle w:val="51"/>
                  </w:pPr>
                  <w:r>
                    <w:t>生活垃圾</w:t>
                  </w:r>
                </w:p>
              </w:tc>
              <w:tc>
                <w:tcPr>
                  <w:tcW w:w="966" w:type="dxa"/>
                  <w:vMerge w:val="restart"/>
                  <w:vAlign w:val="center"/>
                </w:tcPr>
                <w:p>
                  <w:pPr>
                    <w:jc w:val="center"/>
                    <w:rPr>
                      <w:szCs w:val="21"/>
                    </w:rPr>
                  </w:pPr>
                  <w:r>
                    <w:rPr>
                      <w:szCs w:val="21"/>
                    </w:rPr>
                    <w:t>一般固废</w:t>
                  </w:r>
                </w:p>
              </w:tc>
              <w:tc>
                <w:tcPr>
                  <w:tcW w:w="1281" w:type="dxa"/>
                  <w:vAlign w:val="center"/>
                </w:tcPr>
                <w:p>
                  <w:pPr>
                    <w:pStyle w:val="51"/>
                  </w:pPr>
                  <w:r>
                    <w:t>745-999-01</w:t>
                  </w:r>
                </w:p>
              </w:tc>
              <w:tc>
                <w:tcPr>
                  <w:tcW w:w="851" w:type="dxa"/>
                  <w:vAlign w:val="center"/>
                </w:tcPr>
                <w:p>
                  <w:pPr>
                    <w:pStyle w:val="51"/>
                  </w:pPr>
                  <w:r>
                    <w:t>6.75</w:t>
                  </w:r>
                </w:p>
              </w:tc>
              <w:tc>
                <w:tcPr>
                  <w:tcW w:w="2293" w:type="dxa"/>
                  <w:vAlign w:val="center"/>
                </w:tcPr>
                <w:p>
                  <w:pPr>
                    <w:pStyle w:val="51"/>
                    <w:jc w:val="both"/>
                  </w:pPr>
                  <w:r>
                    <w:t>垃圾桶收集暂存，由环卫部门统一清运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2" w:type="dxa"/>
                  <w:vMerge w:val="restart"/>
                  <w:vAlign w:val="center"/>
                </w:tcPr>
                <w:p>
                  <w:pPr>
                    <w:pStyle w:val="51"/>
                  </w:pPr>
                  <w:r>
                    <w:t>实验检测</w:t>
                  </w:r>
                </w:p>
              </w:tc>
              <w:tc>
                <w:tcPr>
                  <w:tcW w:w="1580" w:type="dxa"/>
                  <w:vAlign w:val="center"/>
                </w:tcPr>
                <w:p>
                  <w:pPr>
                    <w:pStyle w:val="51"/>
                  </w:pPr>
                  <w:r>
                    <w:t>废食品类样品</w:t>
                  </w:r>
                </w:p>
              </w:tc>
              <w:tc>
                <w:tcPr>
                  <w:tcW w:w="966" w:type="dxa"/>
                  <w:vMerge w:val="continue"/>
                  <w:vAlign w:val="center"/>
                </w:tcPr>
                <w:p>
                  <w:pPr>
                    <w:jc w:val="center"/>
                    <w:rPr>
                      <w:szCs w:val="21"/>
                    </w:rPr>
                  </w:pPr>
                </w:p>
              </w:tc>
              <w:tc>
                <w:tcPr>
                  <w:tcW w:w="1281" w:type="dxa"/>
                  <w:vAlign w:val="center"/>
                </w:tcPr>
                <w:p>
                  <w:pPr>
                    <w:pStyle w:val="51"/>
                  </w:pPr>
                  <w:r>
                    <w:t>745-999-01</w:t>
                  </w:r>
                </w:p>
              </w:tc>
              <w:tc>
                <w:tcPr>
                  <w:tcW w:w="851" w:type="dxa"/>
                  <w:vAlign w:val="center"/>
                </w:tcPr>
                <w:p>
                  <w:pPr>
                    <w:pStyle w:val="51"/>
                  </w:pPr>
                  <w:r>
                    <w:t>2.5</w:t>
                  </w:r>
                </w:p>
              </w:tc>
              <w:tc>
                <w:tcPr>
                  <w:tcW w:w="2293" w:type="dxa"/>
                  <w:vMerge w:val="restart"/>
                  <w:vAlign w:val="center"/>
                </w:tcPr>
                <w:p>
                  <w:pPr>
                    <w:pStyle w:val="51"/>
                  </w:pPr>
                  <w:r>
                    <w:t>一般固废</w:t>
                  </w:r>
                  <w:r>
                    <w:rPr>
                      <w:rFonts w:hint="eastAsia"/>
                    </w:rPr>
                    <w:t>间</w:t>
                  </w:r>
                  <w:r>
                    <w:t>暂存</w:t>
                  </w:r>
                  <w:r>
                    <w:rPr>
                      <w:rFonts w:hint="eastAsia"/>
                    </w:rPr>
                    <w:t>，</w:t>
                  </w:r>
                  <w:r>
                    <w:t>定期外售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2" w:type="dxa"/>
                  <w:vMerge w:val="continue"/>
                  <w:vAlign w:val="center"/>
                </w:tcPr>
                <w:p>
                  <w:pPr>
                    <w:pStyle w:val="51"/>
                  </w:pPr>
                </w:p>
              </w:tc>
              <w:tc>
                <w:tcPr>
                  <w:tcW w:w="1580" w:type="dxa"/>
                  <w:vAlign w:val="center"/>
                </w:tcPr>
                <w:p>
                  <w:pPr>
                    <w:pStyle w:val="51"/>
                  </w:pPr>
                  <w:r>
                    <w:rPr>
                      <w:rFonts w:hint="eastAsia"/>
                    </w:rPr>
                    <w:t>不含危险化学品废包装物</w:t>
                  </w:r>
                </w:p>
              </w:tc>
              <w:tc>
                <w:tcPr>
                  <w:tcW w:w="966" w:type="dxa"/>
                  <w:vMerge w:val="continue"/>
                  <w:vAlign w:val="center"/>
                </w:tcPr>
                <w:p>
                  <w:pPr>
                    <w:jc w:val="center"/>
                    <w:rPr>
                      <w:szCs w:val="21"/>
                    </w:rPr>
                  </w:pPr>
                </w:p>
              </w:tc>
              <w:tc>
                <w:tcPr>
                  <w:tcW w:w="1281" w:type="dxa"/>
                  <w:vAlign w:val="center"/>
                </w:tcPr>
                <w:p>
                  <w:pPr>
                    <w:pStyle w:val="51"/>
                  </w:pPr>
                  <w:r>
                    <w:t>745-999-01</w:t>
                  </w:r>
                </w:p>
              </w:tc>
              <w:tc>
                <w:tcPr>
                  <w:tcW w:w="851" w:type="dxa"/>
                  <w:vAlign w:val="center"/>
                </w:tcPr>
                <w:p>
                  <w:pPr>
                    <w:pStyle w:val="51"/>
                  </w:pPr>
                  <w:r>
                    <w:rPr>
                      <w:rFonts w:hint="eastAsia"/>
                    </w:rPr>
                    <w:t>0</w:t>
                  </w:r>
                  <w:r>
                    <w:t>.1</w:t>
                  </w:r>
                </w:p>
              </w:tc>
              <w:tc>
                <w:tcPr>
                  <w:tcW w:w="2293" w:type="dxa"/>
                  <w:vMerge w:val="continue"/>
                  <w:vAlign w:val="center"/>
                </w:tcPr>
                <w:p>
                  <w:pPr>
                    <w:pStyle w:val="51"/>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2" w:type="dxa"/>
                  <w:vMerge w:val="restart"/>
                  <w:vAlign w:val="center"/>
                </w:tcPr>
                <w:p>
                  <w:pPr>
                    <w:pStyle w:val="51"/>
                  </w:pPr>
                  <w:r>
                    <w:t>纯水制备</w:t>
                  </w:r>
                </w:p>
              </w:tc>
              <w:tc>
                <w:tcPr>
                  <w:tcW w:w="1580" w:type="dxa"/>
                  <w:vAlign w:val="center"/>
                </w:tcPr>
                <w:p>
                  <w:pPr>
                    <w:pStyle w:val="51"/>
                  </w:pPr>
                  <w:r>
                    <w:t>废PP棉滤芯</w:t>
                  </w:r>
                </w:p>
              </w:tc>
              <w:tc>
                <w:tcPr>
                  <w:tcW w:w="966" w:type="dxa"/>
                  <w:vMerge w:val="continue"/>
                  <w:vAlign w:val="center"/>
                </w:tcPr>
                <w:p>
                  <w:pPr>
                    <w:jc w:val="center"/>
                    <w:rPr>
                      <w:szCs w:val="21"/>
                    </w:rPr>
                  </w:pPr>
                </w:p>
              </w:tc>
              <w:tc>
                <w:tcPr>
                  <w:tcW w:w="1281" w:type="dxa"/>
                  <w:vAlign w:val="center"/>
                </w:tcPr>
                <w:p>
                  <w:pPr>
                    <w:pStyle w:val="51"/>
                  </w:pPr>
                  <w:r>
                    <w:t>745-999-01</w:t>
                  </w:r>
                </w:p>
              </w:tc>
              <w:tc>
                <w:tcPr>
                  <w:tcW w:w="851" w:type="dxa"/>
                  <w:vAlign w:val="center"/>
                </w:tcPr>
                <w:p>
                  <w:pPr>
                    <w:pStyle w:val="51"/>
                  </w:pPr>
                  <w:r>
                    <w:t>0.004</w:t>
                  </w:r>
                </w:p>
              </w:tc>
              <w:tc>
                <w:tcPr>
                  <w:tcW w:w="2293" w:type="dxa"/>
                  <w:vMerge w:val="restart"/>
                  <w:vAlign w:val="center"/>
                </w:tcPr>
                <w:p>
                  <w:pPr>
                    <w:pStyle w:val="51"/>
                  </w:pPr>
                  <w:r>
                    <w:t>集中收集，厂家定期回收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2" w:type="dxa"/>
                  <w:vMerge w:val="continue"/>
                  <w:vAlign w:val="center"/>
                </w:tcPr>
                <w:p>
                  <w:pPr>
                    <w:pStyle w:val="51"/>
                  </w:pPr>
                </w:p>
              </w:tc>
              <w:tc>
                <w:tcPr>
                  <w:tcW w:w="1580" w:type="dxa"/>
                  <w:vAlign w:val="center"/>
                </w:tcPr>
                <w:p>
                  <w:pPr>
                    <w:pStyle w:val="51"/>
                  </w:pPr>
                  <w:r>
                    <w:t>废RO反渗透膜</w:t>
                  </w:r>
                </w:p>
              </w:tc>
              <w:tc>
                <w:tcPr>
                  <w:tcW w:w="966" w:type="dxa"/>
                  <w:vMerge w:val="continue"/>
                  <w:vAlign w:val="center"/>
                </w:tcPr>
                <w:p>
                  <w:pPr>
                    <w:jc w:val="center"/>
                    <w:rPr>
                      <w:szCs w:val="21"/>
                    </w:rPr>
                  </w:pPr>
                </w:p>
              </w:tc>
              <w:tc>
                <w:tcPr>
                  <w:tcW w:w="1281" w:type="dxa"/>
                  <w:vAlign w:val="center"/>
                </w:tcPr>
                <w:p>
                  <w:pPr>
                    <w:pStyle w:val="51"/>
                  </w:pPr>
                  <w:r>
                    <w:t>745-999-01</w:t>
                  </w:r>
                </w:p>
              </w:tc>
              <w:tc>
                <w:tcPr>
                  <w:tcW w:w="851" w:type="dxa"/>
                  <w:vAlign w:val="center"/>
                </w:tcPr>
                <w:p>
                  <w:pPr>
                    <w:pStyle w:val="51"/>
                  </w:pPr>
                  <w:r>
                    <w:t>0.02</w:t>
                  </w:r>
                </w:p>
              </w:tc>
              <w:tc>
                <w:tcPr>
                  <w:tcW w:w="2293" w:type="dxa"/>
                  <w:vMerge w:val="continue"/>
                  <w:vAlign w:val="center"/>
                </w:tcPr>
                <w:p>
                  <w:pPr>
                    <w:pStyle w:val="51"/>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12" w:type="dxa"/>
                  <w:vMerge w:val="continue"/>
                  <w:vAlign w:val="center"/>
                </w:tcPr>
                <w:p>
                  <w:pPr>
                    <w:pStyle w:val="51"/>
                  </w:pPr>
                </w:p>
              </w:tc>
              <w:tc>
                <w:tcPr>
                  <w:tcW w:w="1580" w:type="dxa"/>
                  <w:vAlign w:val="center"/>
                </w:tcPr>
                <w:p>
                  <w:pPr>
                    <w:pStyle w:val="51"/>
                  </w:pPr>
                  <w:r>
                    <w:t>废树脂</w:t>
                  </w:r>
                </w:p>
              </w:tc>
              <w:tc>
                <w:tcPr>
                  <w:tcW w:w="966" w:type="dxa"/>
                  <w:vMerge w:val="continue"/>
                  <w:vAlign w:val="center"/>
                </w:tcPr>
                <w:p>
                  <w:pPr>
                    <w:jc w:val="center"/>
                    <w:rPr>
                      <w:szCs w:val="21"/>
                    </w:rPr>
                  </w:pPr>
                </w:p>
              </w:tc>
              <w:tc>
                <w:tcPr>
                  <w:tcW w:w="1281" w:type="dxa"/>
                  <w:vAlign w:val="center"/>
                </w:tcPr>
                <w:p>
                  <w:pPr>
                    <w:pStyle w:val="51"/>
                  </w:pPr>
                  <w:r>
                    <w:t>745-999-01</w:t>
                  </w:r>
                </w:p>
              </w:tc>
              <w:tc>
                <w:tcPr>
                  <w:tcW w:w="851" w:type="dxa"/>
                  <w:vAlign w:val="center"/>
                </w:tcPr>
                <w:p>
                  <w:pPr>
                    <w:pStyle w:val="51"/>
                  </w:pPr>
                  <w:r>
                    <w:t>0.03</w:t>
                  </w:r>
                </w:p>
              </w:tc>
              <w:tc>
                <w:tcPr>
                  <w:tcW w:w="2293" w:type="dxa"/>
                  <w:vMerge w:val="continue"/>
                  <w:vAlign w:val="center"/>
                </w:tcPr>
                <w:p>
                  <w:pPr>
                    <w:pStyle w:val="51"/>
                  </w:pPr>
                </w:p>
              </w:tc>
            </w:tr>
          </w:tbl>
          <w:p>
            <w:pPr>
              <w:widowControl/>
              <w:spacing w:line="400" w:lineRule="exact"/>
              <w:ind w:firstLine="480" w:firstLineChars="200"/>
              <w:jc w:val="left"/>
              <w:rPr>
                <w:color w:val="000000"/>
                <w:sz w:val="24"/>
              </w:rPr>
            </w:pPr>
            <w:r>
              <w:rPr>
                <w:rFonts w:eastAsia="黑体"/>
                <w:snapToGrid w:val="0"/>
                <w:kern w:val="0"/>
                <w:sz w:val="24"/>
              </w:rPr>
              <w:t>表48                本项目危险废物汇总表</w:t>
            </w:r>
          </w:p>
          <w:tbl>
            <w:tblPr>
              <w:tblStyle w:val="21"/>
              <w:tblW w:w="4999"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78"/>
              <w:gridCol w:w="873"/>
              <w:gridCol w:w="727"/>
              <w:gridCol w:w="1017"/>
              <w:gridCol w:w="834"/>
              <w:gridCol w:w="911"/>
              <w:gridCol w:w="498"/>
              <w:gridCol w:w="519"/>
              <w:gridCol w:w="1009"/>
              <w:gridCol w:w="582"/>
              <w:gridCol w:w="582"/>
              <w:gridCol w:w="46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9" w:type="dxa"/>
                  <w:vAlign w:val="center"/>
                </w:tcPr>
                <w:p>
                  <w:pPr>
                    <w:widowControl/>
                    <w:topLinePunct/>
                    <w:adjustRightInd w:val="0"/>
                    <w:snapToGrid w:val="0"/>
                    <w:jc w:val="center"/>
                    <w:rPr>
                      <w:b/>
                      <w:kern w:val="0"/>
                      <w:szCs w:val="21"/>
                    </w:rPr>
                  </w:pPr>
                  <w:r>
                    <w:rPr>
                      <w:b/>
                      <w:kern w:val="0"/>
                      <w:szCs w:val="21"/>
                    </w:rPr>
                    <w:t>序号</w:t>
                  </w:r>
                </w:p>
              </w:tc>
              <w:tc>
                <w:tcPr>
                  <w:tcW w:w="851" w:type="dxa"/>
                  <w:vAlign w:val="center"/>
                </w:tcPr>
                <w:p>
                  <w:pPr>
                    <w:widowControl/>
                    <w:topLinePunct/>
                    <w:adjustRightInd w:val="0"/>
                    <w:snapToGrid w:val="0"/>
                    <w:jc w:val="center"/>
                    <w:rPr>
                      <w:b/>
                      <w:kern w:val="0"/>
                      <w:szCs w:val="21"/>
                    </w:rPr>
                  </w:pPr>
                  <w:r>
                    <w:rPr>
                      <w:b/>
                      <w:kern w:val="0"/>
                      <w:szCs w:val="21"/>
                    </w:rPr>
                    <w:t>危险废物名称</w:t>
                  </w:r>
                </w:p>
              </w:tc>
              <w:tc>
                <w:tcPr>
                  <w:tcW w:w="709" w:type="dxa"/>
                  <w:vAlign w:val="center"/>
                </w:tcPr>
                <w:p>
                  <w:pPr>
                    <w:widowControl/>
                    <w:topLinePunct/>
                    <w:adjustRightInd w:val="0"/>
                    <w:snapToGrid w:val="0"/>
                    <w:jc w:val="center"/>
                    <w:rPr>
                      <w:b/>
                      <w:kern w:val="0"/>
                      <w:szCs w:val="21"/>
                    </w:rPr>
                  </w:pPr>
                  <w:r>
                    <w:rPr>
                      <w:b/>
                      <w:kern w:val="0"/>
                      <w:szCs w:val="21"/>
                    </w:rPr>
                    <w:t>危险废物类别</w:t>
                  </w:r>
                </w:p>
              </w:tc>
              <w:tc>
                <w:tcPr>
                  <w:tcW w:w="992" w:type="dxa"/>
                  <w:vAlign w:val="center"/>
                </w:tcPr>
                <w:p>
                  <w:pPr>
                    <w:widowControl/>
                    <w:topLinePunct/>
                    <w:adjustRightInd w:val="0"/>
                    <w:snapToGrid w:val="0"/>
                    <w:jc w:val="center"/>
                    <w:rPr>
                      <w:b/>
                      <w:kern w:val="0"/>
                      <w:szCs w:val="21"/>
                    </w:rPr>
                  </w:pPr>
                  <w:r>
                    <w:rPr>
                      <w:b/>
                      <w:kern w:val="0"/>
                      <w:szCs w:val="21"/>
                    </w:rPr>
                    <w:t>危险废物代码</w:t>
                  </w:r>
                </w:p>
              </w:tc>
              <w:tc>
                <w:tcPr>
                  <w:tcW w:w="813" w:type="dxa"/>
                  <w:vAlign w:val="center"/>
                </w:tcPr>
                <w:p>
                  <w:pPr>
                    <w:widowControl/>
                    <w:topLinePunct/>
                    <w:adjustRightInd w:val="0"/>
                    <w:snapToGrid w:val="0"/>
                    <w:jc w:val="center"/>
                    <w:rPr>
                      <w:b/>
                      <w:kern w:val="0"/>
                      <w:szCs w:val="21"/>
                    </w:rPr>
                  </w:pPr>
                  <w:r>
                    <w:rPr>
                      <w:b/>
                      <w:kern w:val="0"/>
                      <w:szCs w:val="21"/>
                    </w:rPr>
                    <w:t>产生量</w:t>
                  </w:r>
                  <w:r>
                    <w:rPr>
                      <w:b/>
                      <w:szCs w:val="21"/>
                    </w:rPr>
                    <w:t>（t/a）</w:t>
                  </w:r>
                </w:p>
              </w:tc>
              <w:tc>
                <w:tcPr>
                  <w:tcW w:w="888" w:type="dxa"/>
                  <w:vAlign w:val="center"/>
                </w:tcPr>
                <w:p>
                  <w:pPr>
                    <w:widowControl/>
                    <w:topLinePunct/>
                    <w:adjustRightInd w:val="0"/>
                    <w:snapToGrid w:val="0"/>
                    <w:jc w:val="center"/>
                    <w:rPr>
                      <w:b/>
                      <w:kern w:val="0"/>
                      <w:szCs w:val="21"/>
                    </w:rPr>
                  </w:pPr>
                  <w:r>
                    <w:rPr>
                      <w:b/>
                      <w:kern w:val="0"/>
                      <w:szCs w:val="21"/>
                    </w:rPr>
                    <w:t>产生工序及装置</w:t>
                  </w:r>
                </w:p>
              </w:tc>
              <w:tc>
                <w:tcPr>
                  <w:tcW w:w="486" w:type="dxa"/>
                  <w:vAlign w:val="center"/>
                </w:tcPr>
                <w:p>
                  <w:pPr>
                    <w:widowControl/>
                    <w:topLinePunct/>
                    <w:adjustRightInd w:val="0"/>
                    <w:snapToGrid w:val="0"/>
                    <w:jc w:val="center"/>
                    <w:rPr>
                      <w:b/>
                      <w:kern w:val="0"/>
                      <w:szCs w:val="21"/>
                    </w:rPr>
                  </w:pPr>
                  <w:r>
                    <w:rPr>
                      <w:b/>
                      <w:kern w:val="0"/>
                      <w:szCs w:val="21"/>
                    </w:rPr>
                    <w:t>形态</w:t>
                  </w:r>
                </w:p>
              </w:tc>
              <w:tc>
                <w:tcPr>
                  <w:tcW w:w="506" w:type="dxa"/>
                  <w:vAlign w:val="center"/>
                </w:tcPr>
                <w:p>
                  <w:pPr>
                    <w:widowControl/>
                    <w:topLinePunct/>
                    <w:adjustRightInd w:val="0"/>
                    <w:snapToGrid w:val="0"/>
                    <w:jc w:val="center"/>
                    <w:rPr>
                      <w:b/>
                      <w:kern w:val="0"/>
                      <w:szCs w:val="21"/>
                    </w:rPr>
                  </w:pPr>
                  <w:r>
                    <w:rPr>
                      <w:b/>
                      <w:kern w:val="0"/>
                      <w:szCs w:val="21"/>
                    </w:rPr>
                    <w:t>主要成分</w:t>
                  </w:r>
                </w:p>
              </w:tc>
              <w:tc>
                <w:tcPr>
                  <w:tcW w:w="984" w:type="dxa"/>
                  <w:vAlign w:val="center"/>
                </w:tcPr>
                <w:p>
                  <w:pPr>
                    <w:widowControl/>
                    <w:topLinePunct/>
                    <w:adjustRightInd w:val="0"/>
                    <w:snapToGrid w:val="0"/>
                    <w:jc w:val="center"/>
                    <w:rPr>
                      <w:b/>
                      <w:kern w:val="0"/>
                      <w:szCs w:val="21"/>
                    </w:rPr>
                  </w:pPr>
                  <w:r>
                    <w:rPr>
                      <w:b/>
                      <w:kern w:val="0"/>
                      <w:szCs w:val="21"/>
                    </w:rPr>
                    <w:t>有害成分</w:t>
                  </w:r>
                </w:p>
              </w:tc>
              <w:tc>
                <w:tcPr>
                  <w:tcW w:w="567" w:type="dxa"/>
                  <w:vAlign w:val="center"/>
                </w:tcPr>
                <w:p>
                  <w:pPr>
                    <w:widowControl/>
                    <w:topLinePunct/>
                    <w:adjustRightInd w:val="0"/>
                    <w:snapToGrid w:val="0"/>
                    <w:jc w:val="center"/>
                    <w:rPr>
                      <w:b/>
                      <w:kern w:val="0"/>
                      <w:szCs w:val="21"/>
                    </w:rPr>
                  </w:pPr>
                  <w:r>
                    <w:rPr>
                      <w:b/>
                      <w:kern w:val="0"/>
                      <w:szCs w:val="21"/>
                    </w:rPr>
                    <w:t>产废周期</w:t>
                  </w:r>
                </w:p>
              </w:tc>
              <w:tc>
                <w:tcPr>
                  <w:tcW w:w="567" w:type="dxa"/>
                  <w:vAlign w:val="center"/>
                </w:tcPr>
                <w:p>
                  <w:pPr>
                    <w:widowControl/>
                    <w:topLinePunct/>
                    <w:adjustRightInd w:val="0"/>
                    <w:snapToGrid w:val="0"/>
                    <w:jc w:val="center"/>
                    <w:rPr>
                      <w:b/>
                      <w:kern w:val="0"/>
                      <w:szCs w:val="21"/>
                    </w:rPr>
                  </w:pPr>
                  <w:r>
                    <w:rPr>
                      <w:b/>
                      <w:kern w:val="0"/>
                      <w:szCs w:val="21"/>
                    </w:rPr>
                    <w:t>危险</w:t>
                  </w:r>
                </w:p>
                <w:p>
                  <w:pPr>
                    <w:widowControl/>
                    <w:topLinePunct/>
                    <w:adjustRightInd w:val="0"/>
                    <w:snapToGrid w:val="0"/>
                    <w:jc w:val="center"/>
                    <w:rPr>
                      <w:b/>
                      <w:kern w:val="0"/>
                      <w:szCs w:val="21"/>
                    </w:rPr>
                  </w:pPr>
                  <w:r>
                    <w:rPr>
                      <w:b/>
                      <w:kern w:val="0"/>
                      <w:szCs w:val="21"/>
                    </w:rPr>
                    <w:t>特性</w:t>
                  </w:r>
                </w:p>
              </w:tc>
              <w:tc>
                <w:tcPr>
                  <w:tcW w:w="452" w:type="dxa"/>
                  <w:vAlign w:val="center"/>
                </w:tcPr>
                <w:p>
                  <w:pPr>
                    <w:widowControl/>
                    <w:topLinePunct/>
                    <w:adjustRightInd w:val="0"/>
                    <w:snapToGrid w:val="0"/>
                    <w:jc w:val="center"/>
                    <w:rPr>
                      <w:b/>
                      <w:kern w:val="0"/>
                      <w:szCs w:val="21"/>
                    </w:rPr>
                  </w:pPr>
                  <w:r>
                    <w:rPr>
                      <w:b/>
                      <w:kern w:val="0"/>
                      <w:szCs w:val="21"/>
                    </w:rPr>
                    <w:t>处置措施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9" w:type="dxa"/>
                  <w:vAlign w:val="center"/>
                </w:tcPr>
                <w:p>
                  <w:pPr>
                    <w:pStyle w:val="51"/>
                  </w:pPr>
                  <w:r>
                    <w:t>1</w:t>
                  </w:r>
                </w:p>
              </w:tc>
              <w:tc>
                <w:tcPr>
                  <w:tcW w:w="851" w:type="dxa"/>
                  <w:vAlign w:val="center"/>
                </w:tcPr>
                <w:p>
                  <w:pPr>
                    <w:pStyle w:val="51"/>
                  </w:pPr>
                  <w:r>
                    <w:t>含重金属废试剂</w:t>
                  </w:r>
                </w:p>
              </w:tc>
              <w:tc>
                <w:tcPr>
                  <w:tcW w:w="709" w:type="dxa"/>
                  <w:vAlign w:val="center"/>
                </w:tcPr>
                <w:p>
                  <w:pPr>
                    <w:pStyle w:val="51"/>
                  </w:pPr>
                  <w:r>
                    <w:t>HW49</w:t>
                  </w:r>
                </w:p>
              </w:tc>
              <w:tc>
                <w:tcPr>
                  <w:tcW w:w="992" w:type="dxa"/>
                  <w:vAlign w:val="center"/>
                </w:tcPr>
                <w:p>
                  <w:pPr>
                    <w:pStyle w:val="51"/>
                  </w:pPr>
                  <w:r>
                    <w:t>900-047-49</w:t>
                  </w:r>
                </w:p>
              </w:tc>
              <w:tc>
                <w:tcPr>
                  <w:tcW w:w="813" w:type="dxa"/>
                  <w:vAlign w:val="center"/>
                </w:tcPr>
                <w:p>
                  <w:pPr>
                    <w:pStyle w:val="51"/>
                  </w:pPr>
                  <w:r>
                    <w:t>0.0015</w:t>
                  </w:r>
                </w:p>
              </w:tc>
              <w:tc>
                <w:tcPr>
                  <w:tcW w:w="888" w:type="dxa"/>
                  <w:vMerge w:val="restart"/>
                  <w:vAlign w:val="center"/>
                </w:tcPr>
                <w:p>
                  <w:pPr>
                    <w:pStyle w:val="51"/>
                  </w:pPr>
                  <w:r>
                    <w:t>试剂</w:t>
                  </w:r>
                </w:p>
              </w:tc>
              <w:tc>
                <w:tcPr>
                  <w:tcW w:w="486" w:type="dxa"/>
                  <w:vAlign w:val="center"/>
                </w:tcPr>
                <w:p>
                  <w:pPr>
                    <w:topLinePunct/>
                    <w:autoSpaceDE w:val="0"/>
                    <w:autoSpaceDN w:val="0"/>
                    <w:adjustRightInd w:val="0"/>
                    <w:snapToGrid w:val="0"/>
                    <w:jc w:val="center"/>
                    <w:textAlignment w:val="baseline"/>
                    <w:rPr>
                      <w:kern w:val="0"/>
                      <w:szCs w:val="21"/>
                    </w:rPr>
                  </w:pPr>
                  <w:r>
                    <w:rPr>
                      <w:kern w:val="0"/>
                      <w:szCs w:val="21"/>
                    </w:rPr>
                    <w:t>固/液态</w:t>
                  </w:r>
                </w:p>
              </w:tc>
              <w:tc>
                <w:tcPr>
                  <w:tcW w:w="506" w:type="dxa"/>
                  <w:vAlign w:val="center"/>
                </w:tcPr>
                <w:p>
                  <w:pPr>
                    <w:topLinePunct/>
                    <w:autoSpaceDE w:val="0"/>
                    <w:autoSpaceDN w:val="0"/>
                    <w:adjustRightInd w:val="0"/>
                    <w:snapToGrid w:val="0"/>
                    <w:jc w:val="center"/>
                    <w:textAlignment w:val="baseline"/>
                    <w:rPr>
                      <w:kern w:val="0"/>
                      <w:szCs w:val="21"/>
                    </w:rPr>
                  </w:pPr>
                  <w:r>
                    <w:rPr>
                      <w:kern w:val="0"/>
                      <w:szCs w:val="21"/>
                    </w:rPr>
                    <w:t>/</w:t>
                  </w:r>
                </w:p>
              </w:tc>
              <w:tc>
                <w:tcPr>
                  <w:tcW w:w="984" w:type="dxa"/>
                  <w:vAlign w:val="center"/>
                </w:tcPr>
                <w:p>
                  <w:pPr>
                    <w:topLinePunct/>
                    <w:autoSpaceDE w:val="0"/>
                    <w:autoSpaceDN w:val="0"/>
                    <w:adjustRightInd w:val="0"/>
                    <w:snapToGrid w:val="0"/>
                    <w:jc w:val="center"/>
                    <w:textAlignment w:val="baseline"/>
                    <w:rPr>
                      <w:kern w:val="0"/>
                      <w:szCs w:val="21"/>
                    </w:rPr>
                  </w:pPr>
                  <w:r>
                    <w:rPr>
                      <w:kern w:val="0"/>
                      <w:szCs w:val="21"/>
                    </w:rPr>
                    <w:t>铬、铅、锑、镍、汞</w:t>
                  </w:r>
                </w:p>
              </w:tc>
              <w:tc>
                <w:tcPr>
                  <w:tcW w:w="567" w:type="dxa"/>
                  <w:vAlign w:val="center"/>
                </w:tcPr>
                <w:p>
                  <w:pPr>
                    <w:topLinePunct/>
                    <w:autoSpaceDE w:val="0"/>
                    <w:autoSpaceDN w:val="0"/>
                    <w:adjustRightInd w:val="0"/>
                    <w:snapToGrid w:val="0"/>
                    <w:jc w:val="center"/>
                    <w:textAlignment w:val="baseline"/>
                    <w:rPr>
                      <w:kern w:val="0"/>
                      <w:szCs w:val="21"/>
                    </w:rPr>
                  </w:pPr>
                  <w:r>
                    <w:t>6</w:t>
                  </w:r>
                  <w:r>
                    <w:rPr>
                      <w:rFonts w:hint="eastAsia"/>
                    </w:rPr>
                    <w:t>月</w:t>
                  </w:r>
                </w:p>
              </w:tc>
              <w:tc>
                <w:tcPr>
                  <w:tcW w:w="567" w:type="dxa"/>
                  <w:vAlign w:val="center"/>
                </w:tcPr>
                <w:p>
                  <w:pPr>
                    <w:topLinePunct/>
                    <w:autoSpaceDE w:val="0"/>
                    <w:autoSpaceDN w:val="0"/>
                    <w:adjustRightInd w:val="0"/>
                    <w:snapToGrid w:val="0"/>
                    <w:jc w:val="center"/>
                    <w:textAlignment w:val="baseline"/>
                    <w:rPr>
                      <w:kern w:val="0"/>
                      <w:szCs w:val="21"/>
                    </w:rPr>
                  </w:pPr>
                  <w:r>
                    <w:rPr>
                      <w:kern w:val="0"/>
                      <w:szCs w:val="21"/>
                    </w:rPr>
                    <w:t>T/In</w:t>
                  </w:r>
                </w:p>
              </w:tc>
              <w:tc>
                <w:tcPr>
                  <w:tcW w:w="452" w:type="dxa"/>
                  <w:vMerge w:val="restart"/>
                  <w:vAlign w:val="center"/>
                </w:tcPr>
                <w:p>
                  <w:pPr>
                    <w:pStyle w:val="51"/>
                  </w:pPr>
                  <w:r>
                    <w:t>危废暂存间贮存，定期送由有相应危废处理资质单位处理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9" w:type="dxa"/>
                  <w:vAlign w:val="center"/>
                </w:tcPr>
                <w:p>
                  <w:pPr>
                    <w:pStyle w:val="51"/>
                  </w:pPr>
                  <w:r>
                    <w:t>2</w:t>
                  </w:r>
                </w:p>
              </w:tc>
              <w:tc>
                <w:tcPr>
                  <w:tcW w:w="851" w:type="dxa"/>
                  <w:vAlign w:val="center"/>
                </w:tcPr>
                <w:p>
                  <w:pPr>
                    <w:pStyle w:val="51"/>
                  </w:pPr>
                  <w:r>
                    <w:t>废酸碱液</w:t>
                  </w:r>
                </w:p>
              </w:tc>
              <w:tc>
                <w:tcPr>
                  <w:tcW w:w="709" w:type="dxa"/>
                  <w:vAlign w:val="center"/>
                </w:tcPr>
                <w:p>
                  <w:pPr>
                    <w:pStyle w:val="51"/>
                  </w:pPr>
                  <w:r>
                    <w:t>HW49</w:t>
                  </w:r>
                </w:p>
              </w:tc>
              <w:tc>
                <w:tcPr>
                  <w:tcW w:w="992" w:type="dxa"/>
                  <w:vAlign w:val="center"/>
                </w:tcPr>
                <w:p>
                  <w:pPr>
                    <w:pStyle w:val="51"/>
                  </w:pPr>
                  <w:r>
                    <w:t>900-047-49</w:t>
                  </w:r>
                </w:p>
              </w:tc>
              <w:tc>
                <w:tcPr>
                  <w:tcW w:w="813" w:type="dxa"/>
                  <w:vAlign w:val="center"/>
                </w:tcPr>
                <w:p>
                  <w:pPr>
                    <w:pStyle w:val="51"/>
                  </w:pPr>
                  <w:r>
                    <w:t>0.0121</w:t>
                  </w:r>
                </w:p>
              </w:tc>
              <w:tc>
                <w:tcPr>
                  <w:tcW w:w="888" w:type="dxa"/>
                  <w:vMerge w:val="continue"/>
                  <w:vAlign w:val="center"/>
                </w:tcPr>
                <w:p>
                  <w:pPr>
                    <w:pStyle w:val="51"/>
                  </w:pPr>
                </w:p>
              </w:tc>
              <w:tc>
                <w:tcPr>
                  <w:tcW w:w="486" w:type="dxa"/>
                  <w:vAlign w:val="center"/>
                </w:tcPr>
                <w:p>
                  <w:pPr>
                    <w:topLinePunct/>
                    <w:autoSpaceDE w:val="0"/>
                    <w:autoSpaceDN w:val="0"/>
                    <w:adjustRightInd w:val="0"/>
                    <w:snapToGrid w:val="0"/>
                    <w:jc w:val="center"/>
                    <w:textAlignment w:val="baseline"/>
                    <w:rPr>
                      <w:kern w:val="0"/>
                      <w:szCs w:val="21"/>
                    </w:rPr>
                  </w:pPr>
                  <w:r>
                    <w:rPr>
                      <w:kern w:val="0"/>
                      <w:szCs w:val="21"/>
                    </w:rPr>
                    <w:t>液态</w:t>
                  </w:r>
                </w:p>
              </w:tc>
              <w:tc>
                <w:tcPr>
                  <w:tcW w:w="506" w:type="dxa"/>
                  <w:vAlign w:val="center"/>
                </w:tcPr>
                <w:p>
                  <w:pPr>
                    <w:topLinePunct/>
                    <w:autoSpaceDE w:val="0"/>
                    <w:autoSpaceDN w:val="0"/>
                    <w:adjustRightInd w:val="0"/>
                    <w:snapToGrid w:val="0"/>
                    <w:jc w:val="center"/>
                    <w:textAlignment w:val="baseline"/>
                    <w:rPr>
                      <w:kern w:val="0"/>
                      <w:szCs w:val="21"/>
                    </w:rPr>
                  </w:pPr>
                  <w:r>
                    <w:rPr>
                      <w:kern w:val="0"/>
                      <w:szCs w:val="21"/>
                    </w:rPr>
                    <w:t>/</w:t>
                  </w:r>
                </w:p>
              </w:tc>
              <w:tc>
                <w:tcPr>
                  <w:tcW w:w="984" w:type="dxa"/>
                  <w:vAlign w:val="center"/>
                </w:tcPr>
                <w:p>
                  <w:pPr>
                    <w:topLinePunct/>
                    <w:autoSpaceDE w:val="0"/>
                    <w:autoSpaceDN w:val="0"/>
                    <w:adjustRightInd w:val="0"/>
                    <w:snapToGrid w:val="0"/>
                    <w:jc w:val="center"/>
                    <w:textAlignment w:val="baseline"/>
                    <w:rPr>
                      <w:kern w:val="0"/>
                      <w:szCs w:val="21"/>
                    </w:rPr>
                  </w:pPr>
                  <w:r>
                    <w:rPr>
                      <w:kern w:val="0"/>
                      <w:szCs w:val="21"/>
                    </w:rPr>
                    <w:t>盐酸、硫酸、氨水</w:t>
                  </w:r>
                </w:p>
              </w:tc>
              <w:tc>
                <w:tcPr>
                  <w:tcW w:w="567" w:type="dxa"/>
                  <w:vAlign w:val="center"/>
                </w:tcPr>
                <w:p>
                  <w:pPr>
                    <w:topLinePunct/>
                    <w:autoSpaceDE w:val="0"/>
                    <w:autoSpaceDN w:val="0"/>
                    <w:adjustRightInd w:val="0"/>
                    <w:snapToGrid w:val="0"/>
                    <w:jc w:val="center"/>
                    <w:textAlignment w:val="baseline"/>
                    <w:rPr>
                      <w:kern w:val="0"/>
                      <w:szCs w:val="21"/>
                    </w:rPr>
                  </w:pPr>
                  <w:r>
                    <w:rPr>
                      <w:kern w:val="0"/>
                      <w:szCs w:val="21"/>
                    </w:rPr>
                    <w:t>1年</w:t>
                  </w:r>
                </w:p>
              </w:tc>
              <w:tc>
                <w:tcPr>
                  <w:tcW w:w="567" w:type="dxa"/>
                  <w:vAlign w:val="center"/>
                </w:tcPr>
                <w:p>
                  <w:pPr>
                    <w:topLinePunct/>
                    <w:autoSpaceDE w:val="0"/>
                    <w:autoSpaceDN w:val="0"/>
                    <w:adjustRightInd w:val="0"/>
                    <w:snapToGrid w:val="0"/>
                    <w:jc w:val="center"/>
                    <w:textAlignment w:val="baseline"/>
                    <w:rPr>
                      <w:kern w:val="0"/>
                      <w:szCs w:val="21"/>
                    </w:rPr>
                  </w:pPr>
                  <w:r>
                    <w:rPr>
                      <w:kern w:val="0"/>
                      <w:szCs w:val="21"/>
                    </w:rPr>
                    <w:t>T、I</w:t>
                  </w:r>
                </w:p>
              </w:tc>
              <w:tc>
                <w:tcPr>
                  <w:tcW w:w="452" w:type="dxa"/>
                  <w:vMerge w:val="continue"/>
                  <w:vAlign w:val="center"/>
                </w:tcPr>
                <w:p>
                  <w:pPr>
                    <w:widowControl/>
                    <w:jc w:val="center"/>
                    <w:rPr>
                      <w:kern w:val="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9" w:type="dxa"/>
                  <w:vAlign w:val="center"/>
                </w:tcPr>
                <w:p>
                  <w:pPr>
                    <w:pStyle w:val="51"/>
                  </w:pPr>
                  <w:r>
                    <w:rPr>
                      <w:rFonts w:hint="eastAsia"/>
                    </w:rPr>
                    <w:t>3</w:t>
                  </w:r>
                </w:p>
              </w:tc>
              <w:tc>
                <w:tcPr>
                  <w:tcW w:w="851" w:type="dxa"/>
                  <w:vAlign w:val="center"/>
                </w:tcPr>
                <w:p>
                  <w:pPr>
                    <w:pStyle w:val="51"/>
                  </w:pPr>
                  <w:r>
                    <w:t>废有机溶剂</w:t>
                  </w:r>
                </w:p>
              </w:tc>
              <w:tc>
                <w:tcPr>
                  <w:tcW w:w="709" w:type="dxa"/>
                  <w:vAlign w:val="center"/>
                </w:tcPr>
                <w:p>
                  <w:pPr>
                    <w:pStyle w:val="51"/>
                  </w:pPr>
                  <w:r>
                    <w:t>HW49</w:t>
                  </w:r>
                </w:p>
              </w:tc>
              <w:tc>
                <w:tcPr>
                  <w:tcW w:w="992" w:type="dxa"/>
                  <w:vAlign w:val="center"/>
                </w:tcPr>
                <w:p>
                  <w:pPr>
                    <w:pStyle w:val="51"/>
                  </w:pPr>
                  <w:r>
                    <w:t>900-047-49</w:t>
                  </w:r>
                </w:p>
              </w:tc>
              <w:tc>
                <w:tcPr>
                  <w:tcW w:w="813" w:type="dxa"/>
                  <w:vAlign w:val="center"/>
                </w:tcPr>
                <w:p>
                  <w:pPr>
                    <w:pStyle w:val="51"/>
                  </w:pPr>
                  <w:r>
                    <w:t>0.0464</w:t>
                  </w:r>
                </w:p>
              </w:tc>
              <w:tc>
                <w:tcPr>
                  <w:tcW w:w="888" w:type="dxa"/>
                  <w:vAlign w:val="center"/>
                </w:tcPr>
                <w:p>
                  <w:pPr>
                    <w:pStyle w:val="51"/>
                  </w:pPr>
                  <w:r>
                    <w:t>试剂</w:t>
                  </w:r>
                </w:p>
              </w:tc>
              <w:tc>
                <w:tcPr>
                  <w:tcW w:w="486" w:type="dxa"/>
                  <w:vAlign w:val="center"/>
                </w:tcPr>
                <w:p>
                  <w:pPr>
                    <w:topLinePunct/>
                    <w:autoSpaceDE w:val="0"/>
                    <w:autoSpaceDN w:val="0"/>
                    <w:adjustRightInd w:val="0"/>
                    <w:snapToGrid w:val="0"/>
                    <w:jc w:val="center"/>
                    <w:textAlignment w:val="baseline"/>
                    <w:rPr>
                      <w:kern w:val="0"/>
                      <w:szCs w:val="21"/>
                    </w:rPr>
                  </w:pPr>
                  <w:r>
                    <w:rPr>
                      <w:kern w:val="0"/>
                      <w:szCs w:val="21"/>
                    </w:rPr>
                    <w:t>液态</w:t>
                  </w:r>
                </w:p>
              </w:tc>
              <w:tc>
                <w:tcPr>
                  <w:tcW w:w="506" w:type="dxa"/>
                  <w:vAlign w:val="center"/>
                </w:tcPr>
                <w:p>
                  <w:pPr>
                    <w:topLinePunct/>
                    <w:autoSpaceDE w:val="0"/>
                    <w:autoSpaceDN w:val="0"/>
                    <w:adjustRightInd w:val="0"/>
                    <w:snapToGrid w:val="0"/>
                    <w:jc w:val="center"/>
                    <w:textAlignment w:val="baseline"/>
                    <w:rPr>
                      <w:kern w:val="0"/>
                      <w:szCs w:val="21"/>
                    </w:rPr>
                  </w:pPr>
                  <w:r>
                    <w:rPr>
                      <w:kern w:val="0"/>
                      <w:szCs w:val="21"/>
                    </w:rPr>
                    <w:t>/</w:t>
                  </w:r>
                </w:p>
              </w:tc>
              <w:tc>
                <w:tcPr>
                  <w:tcW w:w="984" w:type="dxa"/>
                  <w:vMerge w:val="restart"/>
                  <w:vAlign w:val="center"/>
                </w:tcPr>
                <w:p>
                  <w:pPr>
                    <w:topLinePunct/>
                    <w:autoSpaceDE w:val="0"/>
                    <w:autoSpaceDN w:val="0"/>
                    <w:adjustRightInd w:val="0"/>
                    <w:snapToGrid w:val="0"/>
                    <w:jc w:val="center"/>
                    <w:textAlignment w:val="baseline"/>
                    <w:rPr>
                      <w:kern w:val="0"/>
                      <w:szCs w:val="21"/>
                    </w:rPr>
                  </w:pPr>
                  <w:r>
                    <w:rPr>
                      <w:kern w:val="0"/>
                      <w:szCs w:val="21"/>
                    </w:rPr>
                    <w:t>甲醇、乙腈、甲苯等</w:t>
                  </w:r>
                </w:p>
              </w:tc>
              <w:tc>
                <w:tcPr>
                  <w:tcW w:w="567" w:type="dxa"/>
                  <w:vAlign w:val="center"/>
                </w:tcPr>
                <w:p>
                  <w:pPr>
                    <w:topLinePunct/>
                    <w:autoSpaceDE w:val="0"/>
                    <w:autoSpaceDN w:val="0"/>
                    <w:adjustRightInd w:val="0"/>
                    <w:snapToGrid w:val="0"/>
                    <w:jc w:val="center"/>
                    <w:textAlignment w:val="baseline"/>
                    <w:rPr>
                      <w:kern w:val="0"/>
                      <w:szCs w:val="21"/>
                    </w:rPr>
                  </w:pPr>
                  <w:r>
                    <w:rPr>
                      <w:kern w:val="0"/>
                      <w:szCs w:val="21"/>
                    </w:rPr>
                    <w:t>1年</w:t>
                  </w:r>
                </w:p>
              </w:tc>
              <w:tc>
                <w:tcPr>
                  <w:tcW w:w="567" w:type="dxa"/>
                  <w:vAlign w:val="center"/>
                </w:tcPr>
                <w:p>
                  <w:pPr>
                    <w:topLinePunct/>
                    <w:autoSpaceDE w:val="0"/>
                    <w:autoSpaceDN w:val="0"/>
                    <w:adjustRightInd w:val="0"/>
                    <w:snapToGrid w:val="0"/>
                    <w:jc w:val="center"/>
                    <w:textAlignment w:val="baseline"/>
                    <w:rPr>
                      <w:kern w:val="0"/>
                      <w:szCs w:val="21"/>
                    </w:rPr>
                  </w:pPr>
                  <w:r>
                    <w:rPr>
                      <w:kern w:val="0"/>
                      <w:szCs w:val="21"/>
                    </w:rPr>
                    <w:t>T/In</w:t>
                  </w:r>
                </w:p>
              </w:tc>
              <w:tc>
                <w:tcPr>
                  <w:tcW w:w="452" w:type="dxa"/>
                  <w:vMerge w:val="continue"/>
                  <w:vAlign w:val="center"/>
                </w:tcPr>
                <w:p>
                  <w:pPr>
                    <w:widowControl/>
                    <w:jc w:val="left"/>
                    <w:rPr>
                      <w:kern w:val="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9" w:type="dxa"/>
                  <w:vAlign w:val="center"/>
                </w:tcPr>
                <w:p>
                  <w:pPr>
                    <w:pStyle w:val="51"/>
                  </w:pPr>
                  <w:r>
                    <w:t>4</w:t>
                  </w:r>
                </w:p>
              </w:tc>
              <w:tc>
                <w:tcPr>
                  <w:tcW w:w="851" w:type="dxa"/>
                  <w:vAlign w:val="center"/>
                </w:tcPr>
                <w:p>
                  <w:pPr>
                    <w:pStyle w:val="51"/>
                  </w:pPr>
                  <w:r>
                    <w:t>废试剂</w:t>
                  </w:r>
                </w:p>
              </w:tc>
              <w:tc>
                <w:tcPr>
                  <w:tcW w:w="709" w:type="dxa"/>
                  <w:vAlign w:val="center"/>
                </w:tcPr>
                <w:p>
                  <w:pPr>
                    <w:pStyle w:val="51"/>
                  </w:pPr>
                  <w:r>
                    <w:t>HW49</w:t>
                  </w:r>
                </w:p>
              </w:tc>
              <w:tc>
                <w:tcPr>
                  <w:tcW w:w="992" w:type="dxa"/>
                  <w:vAlign w:val="center"/>
                </w:tcPr>
                <w:p>
                  <w:pPr>
                    <w:pStyle w:val="51"/>
                  </w:pPr>
                  <w:r>
                    <w:t>900-047-49</w:t>
                  </w:r>
                </w:p>
              </w:tc>
              <w:tc>
                <w:tcPr>
                  <w:tcW w:w="813" w:type="dxa"/>
                  <w:vAlign w:val="center"/>
                </w:tcPr>
                <w:p>
                  <w:pPr>
                    <w:pStyle w:val="51"/>
                  </w:pPr>
                  <w:r>
                    <w:t>0.05</w:t>
                  </w:r>
                </w:p>
              </w:tc>
              <w:tc>
                <w:tcPr>
                  <w:tcW w:w="888" w:type="dxa"/>
                  <w:vMerge w:val="restart"/>
                  <w:vAlign w:val="center"/>
                </w:tcPr>
                <w:p>
                  <w:pPr>
                    <w:pStyle w:val="51"/>
                  </w:pPr>
                  <w:r>
                    <w:t>样品</w:t>
                  </w:r>
                </w:p>
              </w:tc>
              <w:tc>
                <w:tcPr>
                  <w:tcW w:w="486" w:type="dxa"/>
                  <w:vAlign w:val="center"/>
                </w:tcPr>
                <w:p>
                  <w:pPr>
                    <w:pStyle w:val="51"/>
                  </w:pPr>
                  <w:r>
                    <w:t>液态</w:t>
                  </w:r>
                </w:p>
              </w:tc>
              <w:tc>
                <w:tcPr>
                  <w:tcW w:w="506" w:type="dxa"/>
                  <w:vAlign w:val="center"/>
                </w:tcPr>
                <w:p>
                  <w:pPr>
                    <w:pStyle w:val="51"/>
                  </w:pPr>
                  <w:r>
                    <w:t>/</w:t>
                  </w:r>
                </w:p>
              </w:tc>
              <w:tc>
                <w:tcPr>
                  <w:tcW w:w="984" w:type="dxa"/>
                  <w:vMerge w:val="continue"/>
                  <w:vAlign w:val="center"/>
                </w:tcPr>
                <w:p>
                  <w:pPr>
                    <w:pStyle w:val="51"/>
                  </w:pPr>
                </w:p>
              </w:tc>
              <w:tc>
                <w:tcPr>
                  <w:tcW w:w="567" w:type="dxa"/>
                  <w:vAlign w:val="center"/>
                </w:tcPr>
                <w:p>
                  <w:pPr>
                    <w:pStyle w:val="51"/>
                  </w:pPr>
                  <w:r>
                    <w:t>6</w:t>
                  </w:r>
                  <w:r>
                    <w:rPr>
                      <w:rFonts w:hint="eastAsia"/>
                    </w:rPr>
                    <w:t>月</w:t>
                  </w:r>
                </w:p>
              </w:tc>
              <w:tc>
                <w:tcPr>
                  <w:tcW w:w="567" w:type="dxa"/>
                  <w:vAlign w:val="center"/>
                </w:tcPr>
                <w:p>
                  <w:pPr>
                    <w:pStyle w:val="51"/>
                  </w:pPr>
                  <w:r>
                    <w:t>T、I</w:t>
                  </w:r>
                </w:p>
              </w:tc>
              <w:tc>
                <w:tcPr>
                  <w:tcW w:w="452" w:type="dxa"/>
                  <w:vMerge w:val="continue"/>
                  <w:vAlign w:val="center"/>
                </w:tcPr>
                <w:p>
                  <w:pPr>
                    <w:widowControl/>
                    <w:jc w:val="left"/>
                    <w:rPr>
                      <w:kern w:val="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9" w:type="dxa"/>
                  <w:vAlign w:val="center"/>
                </w:tcPr>
                <w:p>
                  <w:pPr>
                    <w:pStyle w:val="51"/>
                  </w:pPr>
                  <w:r>
                    <w:t>5</w:t>
                  </w:r>
                </w:p>
              </w:tc>
              <w:tc>
                <w:tcPr>
                  <w:tcW w:w="851" w:type="dxa"/>
                  <w:vAlign w:val="center"/>
                </w:tcPr>
                <w:p>
                  <w:pPr>
                    <w:pStyle w:val="51"/>
                  </w:pPr>
                  <w:r>
                    <w:t>废有机实验样品</w:t>
                  </w:r>
                </w:p>
              </w:tc>
              <w:tc>
                <w:tcPr>
                  <w:tcW w:w="709" w:type="dxa"/>
                  <w:vAlign w:val="center"/>
                </w:tcPr>
                <w:p>
                  <w:pPr>
                    <w:pStyle w:val="51"/>
                  </w:pPr>
                  <w:r>
                    <w:t>HW49</w:t>
                  </w:r>
                </w:p>
              </w:tc>
              <w:tc>
                <w:tcPr>
                  <w:tcW w:w="992" w:type="dxa"/>
                  <w:vAlign w:val="center"/>
                </w:tcPr>
                <w:p>
                  <w:pPr>
                    <w:pStyle w:val="51"/>
                  </w:pPr>
                  <w:r>
                    <w:t>900-047-49</w:t>
                  </w:r>
                </w:p>
              </w:tc>
              <w:tc>
                <w:tcPr>
                  <w:tcW w:w="813" w:type="dxa"/>
                  <w:vAlign w:val="center"/>
                </w:tcPr>
                <w:p>
                  <w:pPr>
                    <w:pStyle w:val="51"/>
                  </w:pPr>
                  <w:r>
                    <w:t>0.02</w:t>
                  </w:r>
                </w:p>
              </w:tc>
              <w:tc>
                <w:tcPr>
                  <w:tcW w:w="888" w:type="dxa"/>
                  <w:vMerge w:val="continue"/>
                  <w:vAlign w:val="center"/>
                </w:tcPr>
                <w:p>
                  <w:pPr>
                    <w:pStyle w:val="51"/>
                  </w:pPr>
                </w:p>
              </w:tc>
              <w:tc>
                <w:tcPr>
                  <w:tcW w:w="486" w:type="dxa"/>
                  <w:vAlign w:val="center"/>
                </w:tcPr>
                <w:p>
                  <w:pPr>
                    <w:pStyle w:val="51"/>
                  </w:pPr>
                  <w:r>
                    <w:t>液态</w:t>
                  </w:r>
                </w:p>
              </w:tc>
              <w:tc>
                <w:tcPr>
                  <w:tcW w:w="506" w:type="dxa"/>
                  <w:vAlign w:val="center"/>
                </w:tcPr>
                <w:p>
                  <w:pPr>
                    <w:pStyle w:val="51"/>
                  </w:pPr>
                  <w:r>
                    <w:t>/</w:t>
                  </w:r>
                </w:p>
              </w:tc>
              <w:tc>
                <w:tcPr>
                  <w:tcW w:w="984" w:type="dxa"/>
                  <w:vMerge w:val="continue"/>
                  <w:vAlign w:val="center"/>
                </w:tcPr>
                <w:p>
                  <w:pPr>
                    <w:pStyle w:val="51"/>
                  </w:pPr>
                </w:p>
              </w:tc>
              <w:tc>
                <w:tcPr>
                  <w:tcW w:w="567" w:type="dxa"/>
                  <w:vAlign w:val="center"/>
                </w:tcPr>
                <w:p>
                  <w:pPr>
                    <w:pStyle w:val="51"/>
                  </w:pPr>
                  <w:r>
                    <w:t>1年</w:t>
                  </w:r>
                </w:p>
              </w:tc>
              <w:tc>
                <w:tcPr>
                  <w:tcW w:w="567" w:type="dxa"/>
                  <w:vAlign w:val="center"/>
                </w:tcPr>
                <w:p>
                  <w:pPr>
                    <w:pStyle w:val="51"/>
                  </w:pPr>
                  <w:r>
                    <w:t>T</w:t>
                  </w:r>
                </w:p>
              </w:tc>
              <w:tc>
                <w:tcPr>
                  <w:tcW w:w="452" w:type="dxa"/>
                  <w:vMerge w:val="continue"/>
                  <w:vAlign w:val="center"/>
                </w:tcPr>
                <w:p>
                  <w:pPr>
                    <w:widowControl/>
                    <w:jc w:val="left"/>
                    <w:rPr>
                      <w:kern w:val="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9" w:type="dxa"/>
                  <w:vAlign w:val="center"/>
                </w:tcPr>
                <w:p>
                  <w:pPr>
                    <w:pStyle w:val="51"/>
                  </w:pPr>
                  <w:r>
                    <w:t>6</w:t>
                  </w:r>
                </w:p>
              </w:tc>
              <w:tc>
                <w:tcPr>
                  <w:tcW w:w="851" w:type="dxa"/>
                  <w:vAlign w:val="center"/>
                </w:tcPr>
                <w:p>
                  <w:pPr>
                    <w:pStyle w:val="51"/>
                  </w:pPr>
                  <w:r>
                    <w:t>一次性实验用品</w:t>
                  </w:r>
                </w:p>
              </w:tc>
              <w:tc>
                <w:tcPr>
                  <w:tcW w:w="709" w:type="dxa"/>
                  <w:vAlign w:val="center"/>
                </w:tcPr>
                <w:p>
                  <w:pPr>
                    <w:pStyle w:val="51"/>
                  </w:pPr>
                  <w:r>
                    <w:t>HW49</w:t>
                  </w:r>
                </w:p>
              </w:tc>
              <w:tc>
                <w:tcPr>
                  <w:tcW w:w="992" w:type="dxa"/>
                  <w:vAlign w:val="center"/>
                </w:tcPr>
                <w:p>
                  <w:pPr>
                    <w:pStyle w:val="51"/>
                  </w:pPr>
                  <w:r>
                    <w:t>900-047-49</w:t>
                  </w:r>
                </w:p>
              </w:tc>
              <w:tc>
                <w:tcPr>
                  <w:tcW w:w="813" w:type="dxa"/>
                  <w:vAlign w:val="center"/>
                </w:tcPr>
                <w:p>
                  <w:pPr>
                    <w:pStyle w:val="51"/>
                  </w:pPr>
                  <w:r>
                    <w:t>0.08</w:t>
                  </w:r>
                </w:p>
              </w:tc>
              <w:tc>
                <w:tcPr>
                  <w:tcW w:w="888" w:type="dxa"/>
                  <w:vMerge w:val="restart"/>
                  <w:vAlign w:val="center"/>
                </w:tcPr>
                <w:p>
                  <w:pPr>
                    <w:pStyle w:val="51"/>
                  </w:pPr>
                  <w:r>
                    <w:t>实验检测</w:t>
                  </w:r>
                </w:p>
              </w:tc>
              <w:tc>
                <w:tcPr>
                  <w:tcW w:w="486" w:type="dxa"/>
                  <w:vAlign w:val="center"/>
                </w:tcPr>
                <w:p>
                  <w:pPr>
                    <w:pStyle w:val="51"/>
                  </w:pPr>
                  <w:r>
                    <w:t>固体</w:t>
                  </w:r>
                </w:p>
              </w:tc>
              <w:tc>
                <w:tcPr>
                  <w:tcW w:w="506" w:type="dxa"/>
                  <w:vAlign w:val="center"/>
                </w:tcPr>
                <w:p>
                  <w:pPr>
                    <w:pStyle w:val="51"/>
                  </w:pPr>
                  <w:r>
                    <w:t>/</w:t>
                  </w:r>
                </w:p>
              </w:tc>
              <w:tc>
                <w:tcPr>
                  <w:tcW w:w="984" w:type="dxa"/>
                  <w:vAlign w:val="center"/>
                </w:tcPr>
                <w:p>
                  <w:pPr>
                    <w:pStyle w:val="51"/>
                  </w:pPr>
                  <w:r>
                    <w:t>有机溶剂、重金属、危险化学品</w:t>
                  </w:r>
                </w:p>
              </w:tc>
              <w:tc>
                <w:tcPr>
                  <w:tcW w:w="567" w:type="dxa"/>
                  <w:vAlign w:val="center"/>
                </w:tcPr>
                <w:p>
                  <w:pPr>
                    <w:pStyle w:val="51"/>
                  </w:pPr>
                  <w:r>
                    <w:t>3</w:t>
                  </w:r>
                  <w:r>
                    <w:rPr>
                      <w:rFonts w:hint="eastAsia"/>
                    </w:rPr>
                    <w:t>月</w:t>
                  </w:r>
                </w:p>
              </w:tc>
              <w:tc>
                <w:tcPr>
                  <w:tcW w:w="567" w:type="dxa"/>
                  <w:vAlign w:val="center"/>
                </w:tcPr>
                <w:p>
                  <w:pPr>
                    <w:pStyle w:val="51"/>
                  </w:pPr>
                  <w:r>
                    <w:t>T、I</w:t>
                  </w:r>
                </w:p>
              </w:tc>
              <w:tc>
                <w:tcPr>
                  <w:tcW w:w="452" w:type="dxa"/>
                  <w:vMerge w:val="continue"/>
                  <w:vAlign w:val="center"/>
                </w:tcPr>
                <w:p>
                  <w:pPr>
                    <w:widowControl/>
                    <w:jc w:val="left"/>
                    <w:rPr>
                      <w:kern w:val="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9" w:type="dxa"/>
                  <w:vAlign w:val="center"/>
                </w:tcPr>
                <w:p>
                  <w:pPr>
                    <w:pStyle w:val="51"/>
                  </w:pPr>
                  <w:r>
                    <w:t>7</w:t>
                  </w:r>
                </w:p>
              </w:tc>
              <w:tc>
                <w:tcPr>
                  <w:tcW w:w="851" w:type="dxa"/>
                  <w:vAlign w:val="center"/>
                </w:tcPr>
                <w:p>
                  <w:pPr>
                    <w:pStyle w:val="51"/>
                  </w:pPr>
                  <w:r>
                    <w:t>废培养基</w:t>
                  </w:r>
                </w:p>
              </w:tc>
              <w:tc>
                <w:tcPr>
                  <w:tcW w:w="709" w:type="dxa"/>
                  <w:vAlign w:val="center"/>
                </w:tcPr>
                <w:p>
                  <w:pPr>
                    <w:pStyle w:val="51"/>
                  </w:pPr>
                  <w:r>
                    <w:t>HW49</w:t>
                  </w:r>
                </w:p>
              </w:tc>
              <w:tc>
                <w:tcPr>
                  <w:tcW w:w="992" w:type="dxa"/>
                  <w:vAlign w:val="center"/>
                </w:tcPr>
                <w:p>
                  <w:pPr>
                    <w:pStyle w:val="51"/>
                  </w:pPr>
                  <w:r>
                    <w:t>900-047-49</w:t>
                  </w:r>
                </w:p>
              </w:tc>
              <w:tc>
                <w:tcPr>
                  <w:tcW w:w="813" w:type="dxa"/>
                  <w:vAlign w:val="center"/>
                </w:tcPr>
                <w:p>
                  <w:pPr>
                    <w:pStyle w:val="51"/>
                  </w:pPr>
                  <w:r>
                    <w:t>0.006</w:t>
                  </w:r>
                </w:p>
              </w:tc>
              <w:tc>
                <w:tcPr>
                  <w:tcW w:w="888" w:type="dxa"/>
                  <w:vMerge w:val="continue"/>
                  <w:vAlign w:val="center"/>
                </w:tcPr>
                <w:p>
                  <w:pPr>
                    <w:pStyle w:val="51"/>
                  </w:pPr>
                </w:p>
              </w:tc>
              <w:tc>
                <w:tcPr>
                  <w:tcW w:w="486" w:type="dxa"/>
                  <w:vAlign w:val="center"/>
                </w:tcPr>
                <w:p>
                  <w:pPr>
                    <w:pStyle w:val="51"/>
                  </w:pPr>
                  <w:r>
                    <w:t>液态</w:t>
                  </w:r>
                </w:p>
              </w:tc>
              <w:tc>
                <w:tcPr>
                  <w:tcW w:w="506" w:type="dxa"/>
                  <w:vAlign w:val="center"/>
                </w:tcPr>
                <w:p>
                  <w:pPr>
                    <w:pStyle w:val="51"/>
                  </w:pPr>
                  <w:r>
                    <w:t>/</w:t>
                  </w:r>
                </w:p>
              </w:tc>
              <w:tc>
                <w:tcPr>
                  <w:tcW w:w="984" w:type="dxa"/>
                  <w:vAlign w:val="center"/>
                </w:tcPr>
                <w:p>
                  <w:pPr>
                    <w:pStyle w:val="51"/>
                  </w:pPr>
                  <w:r>
                    <w:t>病原微生物</w:t>
                  </w:r>
                </w:p>
              </w:tc>
              <w:tc>
                <w:tcPr>
                  <w:tcW w:w="567" w:type="dxa"/>
                  <w:vAlign w:val="center"/>
                </w:tcPr>
                <w:p>
                  <w:pPr>
                    <w:pStyle w:val="51"/>
                  </w:pPr>
                  <w:r>
                    <w:t>1年</w:t>
                  </w:r>
                </w:p>
              </w:tc>
              <w:tc>
                <w:tcPr>
                  <w:tcW w:w="567" w:type="dxa"/>
                  <w:vAlign w:val="center"/>
                </w:tcPr>
                <w:p>
                  <w:pPr>
                    <w:pStyle w:val="51"/>
                  </w:pPr>
                  <w:r>
                    <w:t>T</w:t>
                  </w:r>
                </w:p>
              </w:tc>
              <w:tc>
                <w:tcPr>
                  <w:tcW w:w="452" w:type="dxa"/>
                  <w:vMerge w:val="continue"/>
                  <w:vAlign w:val="center"/>
                </w:tcPr>
                <w:p>
                  <w:pPr>
                    <w:widowControl/>
                    <w:jc w:val="left"/>
                    <w:rPr>
                      <w:kern w:val="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9" w:type="dxa"/>
                  <w:vAlign w:val="center"/>
                </w:tcPr>
                <w:p>
                  <w:pPr>
                    <w:pStyle w:val="51"/>
                  </w:pPr>
                  <w:r>
                    <w:t>8</w:t>
                  </w:r>
                </w:p>
              </w:tc>
              <w:tc>
                <w:tcPr>
                  <w:tcW w:w="851" w:type="dxa"/>
                  <w:vAlign w:val="center"/>
                </w:tcPr>
                <w:p>
                  <w:pPr>
                    <w:pStyle w:val="51"/>
                  </w:pPr>
                  <w:r>
                    <w:rPr>
                      <w:rFonts w:hint="eastAsia"/>
                    </w:rPr>
                    <w:t>实验室器皿一次、二次清洗废水</w:t>
                  </w:r>
                </w:p>
              </w:tc>
              <w:tc>
                <w:tcPr>
                  <w:tcW w:w="709" w:type="dxa"/>
                  <w:vAlign w:val="center"/>
                </w:tcPr>
                <w:p>
                  <w:pPr>
                    <w:pStyle w:val="51"/>
                  </w:pPr>
                  <w:r>
                    <w:t>HW49</w:t>
                  </w:r>
                </w:p>
              </w:tc>
              <w:tc>
                <w:tcPr>
                  <w:tcW w:w="992" w:type="dxa"/>
                  <w:vAlign w:val="center"/>
                </w:tcPr>
                <w:p>
                  <w:pPr>
                    <w:pStyle w:val="51"/>
                  </w:pPr>
                  <w:r>
                    <w:t>900-047-49</w:t>
                  </w:r>
                </w:p>
              </w:tc>
              <w:tc>
                <w:tcPr>
                  <w:tcW w:w="813" w:type="dxa"/>
                  <w:vAlign w:val="center"/>
                </w:tcPr>
                <w:p>
                  <w:pPr>
                    <w:pStyle w:val="51"/>
                  </w:pPr>
                  <w:r>
                    <w:t>0.5</w:t>
                  </w:r>
                </w:p>
              </w:tc>
              <w:tc>
                <w:tcPr>
                  <w:tcW w:w="888" w:type="dxa"/>
                  <w:vMerge w:val="continue"/>
                  <w:vAlign w:val="center"/>
                </w:tcPr>
                <w:p>
                  <w:pPr>
                    <w:pStyle w:val="51"/>
                  </w:pPr>
                </w:p>
              </w:tc>
              <w:tc>
                <w:tcPr>
                  <w:tcW w:w="486" w:type="dxa"/>
                  <w:vAlign w:val="center"/>
                </w:tcPr>
                <w:p>
                  <w:pPr>
                    <w:pStyle w:val="51"/>
                  </w:pPr>
                  <w:r>
                    <w:t>液态</w:t>
                  </w:r>
                </w:p>
              </w:tc>
              <w:tc>
                <w:tcPr>
                  <w:tcW w:w="506" w:type="dxa"/>
                  <w:vAlign w:val="center"/>
                </w:tcPr>
                <w:p>
                  <w:pPr>
                    <w:pStyle w:val="51"/>
                  </w:pPr>
                  <w:r>
                    <w:t>/</w:t>
                  </w:r>
                </w:p>
              </w:tc>
              <w:tc>
                <w:tcPr>
                  <w:tcW w:w="984" w:type="dxa"/>
                  <w:vAlign w:val="center"/>
                </w:tcPr>
                <w:p>
                  <w:pPr>
                    <w:pStyle w:val="51"/>
                  </w:pPr>
                  <w:r>
                    <w:t>沾染危险化学品</w:t>
                  </w:r>
                </w:p>
              </w:tc>
              <w:tc>
                <w:tcPr>
                  <w:tcW w:w="567" w:type="dxa"/>
                  <w:vAlign w:val="center"/>
                </w:tcPr>
                <w:p>
                  <w:pPr>
                    <w:pStyle w:val="51"/>
                  </w:pPr>
                  <w:r>
                    <w:t>3</w:t>
                  </w:r>
                  <w:r>
                    <w:rPr>
                      <w:rFonts w:hint="eastAsia"/>
                    </w:rPr>
                    <w:t>月</w:t>
                  </w:r>
                </w:p>
              </w:tc>
              <w:tc>
                <w:tcPr>
                  <w:tcW w:w="567" w:type="dxa"/>
                  <w:vAlign w:val="center"/>
                </w:tcPr>
                <w:p>
                  <w:pPr>
                    <w:pStyle w:val="51"/>
                  </w:pPr>
                  <w:r>
                    <w:t>T</w:t>
                  </w:r>
                </w:p>
              </w:tc>
              <w:tc>
                <w:tcPr>
                  <w:tcW w:w="452" w:type="dxa"/>
                  <w:vMerge w:val="continue"/>
                  <w:vAlign w:val="center"/>
                </w:tcPr>
                <w:p>
                  <w:pPr>
                    <w:widowControl/>
                    <w:jc w:val="left"/>
                    <w:rPr>
                      <w:kern w:val="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9" w:type="dxa"/>
                  <w:vAlign w:val="center"/>
                </w:tcPr>
                <w:p>
                  <w:pPr>
                    <w:pStyle w:val="51"/>
                  </w:pPr>
                  <w:r>
                    <w:t>9</w:t>
                  </w:r>
                </w:p>
              </w:tc>
              <w:tc>
                <w:tcPr>
                  <w:tcW w:w="851" w:type="dxa"/>
                  <w:vAlign w:val="center"/>
                </w:tcPr>
                <w:p>
                  <w:pPr>
                    <w:pStyle w:val="51"/>
                  </w:pPr>
                  <w:r>
                    <w:t>废试剂瓶</w:t>
                  </w:r>
                </w:p>
              </w:tc>
              <w:tc>
                <w:tcPr>
                  <w:tcW w:w="709" w:type="dxa"/>
                  <w:vAlign w:val="center"/>
                </w:tcPr>
                <w:p>
                  <w:pPr>
                    <w:pStyle w:val="51"/>
                  </w:pPr>
                  <w:r>
                    <w:t>HW49</w:t>
                  </w:r>
                </w:p>
              </w:tc>
              <w:tc>
                <w:tcPr>
                  <w:tcW w:w="992" w:type="dxa"/>
                  <w:vAlign w:val="center"/>
                </w:tcPr>
                <w:p>
                  <w:pPr>
                    <w:pStyle w:val="51"/>
                  </w:pPr>
                  <w:r>
                    <w:t>900-047-49</w:t>
                  </w:r>
                </w:p>
              </w:tc>
              <w:tc>
                <w:tcPr>
                  <w:tcW w:w="813" w:type="dxa"/>
                  <w:vAlign w:val="center"/>
                </w:tcPr>
                <w:p>
                  <w:pPr>
                    <w:pStyle w:val="51"/>
                  </w:pPr>
                  <w:r>
                    <w:t>0.02</w:t>
                  </w:r>
                </w:p>
              </w:tc>
              <w:tc>
                <w:tcPr>
                  <w:tcW w:w="888" w:type="dxa"/>
                  <w:vMerge w:val="continue"/>
                  <w:vAlign w:val="center"/>
                </w:tcPr>
                <w:p>
                  <w:pPr>
                    <w:pStyle w:val="51"/>
                  </w:pPr>
                </w:p>
              </w:tc>
              <w:tc>
                <w:tcPr>
                  <w:tcW w:w="486" w:type="dxa"/>
                  <w:vAlign w:val="center"/>
                </w:tcPr>
                <w:p>
                  <w:pPr>
                    <w:pStyle w:val="51"/>
                  </w:pPr>
                  <w:r>
                    <w:t>固体</w:t>
                  </w:r>
                </w:p>
              </w:tc>
              <w:tc>
                <w:tcPr>
                  <w:tcW w:w="506" w:type="dxa"/>
                  <w:vAlign w:val="center"/>
                </w:tcPr>
                <w:p>
                  <w:pPr>
                    <w:pStyle w:val="51"/>
                  </w:pPr>
                  <w:r>
                    <w:t>/</w:t>
                  </w:r>
                </w:p>
              </w:tc>
              <w:tc>
                <w:tcPr>
                  <w:tcW w:w="984" w:type="dxa"/>
                  <w:vAlign w:val="center"/>
                </w:tcPr>
                <w:p>
                  <w:pPr>
                    <w:pStyle w:val="51"/>
                  </w:pPr>
                  <w:r>
                    <w:t>沾染危险化学品</w:t>
                  </w:r>
                </w:p>
              </w:tc>
              <w:tc>
                <w:tcPr>
                  <w:tcW w:w="567" w:type="dxa"/>
                  <w:vAlign w:val="center"/>
                </w:tcPr>
                <w:p>
                  <w:pPr>
                    <w:pStyle w:val="51"/>
                  </w:pPr>
                  <w:r>
                    <w:t>1年</w:t>
                  </w:r>
                </w:p>
              </w:tc>
              <w:tc>
                <w:tcPr>
                  <w:tcW w:w="567" w:type="dxa"/>
                  <w:vAlign w:val="center"/>
                </w:tcPr>
                <w:p>
                  <w:pPr>
                    <w:pStyle w:val="51"/>
                  </w:pPr>
                  <w:r>
                    <w:t>T、I</w:t>
                  </w:r>
                </w:p>
              </w:tc>
              <w:tc>
                <w:tcPr>
                  <w:tcW w:w="452" w:type="dxa"/>
                  <w:vMerge w:val="continue"/>
                  <w:vAlign w:val="center"/>
                </w:tcPr>
                <w:p>
                  <w:pPr>
                    <w:widowControl/>
                    <w:jc w:val="left"/>
                    <w:rPr>
                      <w:kern w:val="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9" w:type="dxa"/>
                  <w:vAlign w:val="center"/>
                </w:tcPr>
                <w:p>
                  <w:pPr>
                    <w:pStyle w:val="51"/>
                  </w:pPr>
                  <w:r>
                    <w:t>10</w:t>
                  </w:r>
                </w:p>
              </w:tc>
              <w:tc>
                <w:tcPr>
                  <w:tcW w:w="851" w:type="dxa"/>
                  <w:vAlign w:val="center"/>
                </w:tcPr>
                <w:p>
                  <w:pPr>
                    <w:pStyle w:val="51"/>
                  </w:pPr>
                  <w:r>
                    <w:t>废危险化学品</w:t>
                  </w:r>
                </w:p>
              </w:tc>
              <w:tc>
                <w:tcPr>
                  <w:tcW w:w="709" w:type="dxa"/>
                  <w:vAlign w:val="center"/>
                </w:tcPr>
                <w:p>
                  <w:pPr>
                    <w:pStyle w:val="51"/>
                  </w:pPr>
                  <w:r>
                    <w:t>HW49</w:t>
                  </w:r>
                </w:p>
              </w:tc>
              <w:tc>
                <w:tcPr>
                  <w:tcW w:w="992" w:type="dxa"/>
                  <w:vAlign w:val="center"/>
                </w:tcPr>
                <w:p>
                  <w:pPr>
                    <w:pStyle w:val="51"/>
                  </w:pPr>
                  <w:r>
                    <w:t>900-047-49</w:t>
                  </w:r>
                </w:p>
              </w:tc>
              <w:tc>
                <w:tcPr>
                  <w:tcW w:w="813" w:type="dxa"/>
                  <w:vAlign w:val="center"/>
                </w:tcPr>
                <w:p>
                  <w:pPr>
                    <w:pStyle w:val="51"/>
                  </w:pPr>
                  <w:r>
                    <w:t>0.0027</w:t>
                  </w:r>
                </w:p>
              </w:tc>
              <w:tc>
                <w:tcPr>
                  <w:tcW w:w="888" w:type="dxa"/>
                  <w:vMerge w:val="continue"/>
                  <w:vAlign w:val="center"/>
                </w:tcPr>
                <w:p>
                  <w:pPr>
                    <w:pStyle w:val="51"/>
                  </w:pPr>
                </w:p>
              </w:tc>
              <w:tc>
                <w:tcPr>
                  <w:tcW w:w="486" w:type="dxa"/>
                  <w:vAlign w:val="center"/>
                </w:tcPr>
                <w:p>
                  <w:pPr>
                    <w:pStyle w:val="51"/>
                  </w:pPr>
                  <w:r>
                    <w:t>固/液态</w:t>
                  </w:r>
                </w:p>
              </w:tc>
              <w:tc>
                <w:tcPr>
                  <w:tcW w:w="506" w:type="dxa"/>
                  <w:vAlign w:val="center"/>
                </w:tcPr>
                <w:p>
                  <w:pPr>
                    <w:pStyle w:val="51"/>
                  </w:pPr>
                  <w:r>
                    <w:t>/</w:t>
                  </w:r>
                </w:p>
              </w:tc>
              <w:tc>
                <w:tcPr>
                  <w:tcW w:w="984" w:type="dxa"/>
                  <w:vAlign w:val="center"/>
                </w:tcPr>
                <w:p>
                  <w:pPr>
                    <w:pStyle w:val="51"/>
                  </w:pPr>
                  <w:r>
                    <w:t>三氧化二砷、乐果、敌敌畏等</w:t>
                  </w:r>
                </w:p>
              </w:tc>
              <w:tc>
                <w:tcPr>
                  <w:tcW w:w="567" w:type="dxa"/>
                  <w:vAlign w:val="center"/>
                </w:tcPr>
                <w:p>
                  <w:pPr>
                    <w:pStyle w:val="51"/>
                  </w:pPr>
                  <w:r>
                    <w:t>1年</w:t>
                  </w:r>
                </w:p>
              </w:tc>
              <w:tc>
                <w:tcPr>
                  <w:tcW w:w="567" w:type="dxa"/>
                  <w:vAlign w:val="center"/>
                </w:tcPr>
                <w:p>
                  <w:pPr>
                    <w:pStyle w:val="51"/>
                  </w:pPr>
                  <w:r>
                    <w:t>T</w:t>
                  </w:r>
                </w:p>
              </w:tc>
              <w:tc>
                <w:tcPr>
                  <w:tcW w:w="452" w:type="dxa"/>
                  <w:vMerge w:val="continue"/>
                  <w:vAlign w:val="center"/>
                </w:tcPr>
                <w:p>
                  <w:pPr>
                    <w:widowControl/>
                    <w:jc w:val="left"/>
                    <w:rPr>
                      <w:kern w:val="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9" w:type="dxa"/>
                  <w:vAlign w:val="center"/>
                </w:tcPr>
                <w:p>
                  <w:pPr>
                    <w:pStyle w:val="51"/>
                  </w:pPr>
                  <w:r>
                    <w:t>11</w:t>
                  </w:r>
                </w:p>
              </w:tc>
              <w:tc>
                <w:tcPr>
                  <w:tcW w:w="851" w:type="dxa"/>
                  <w:vAlign w:val="center"/>
                </w:tcPr>
                <w:p>
                  <w:pPr>
                    <w:pStyle w:val="51"/>
                  </w:pPr>
                  <w:r>
                    <w:t>废UV光灯管</w:t>
                  </w:r>
                </w:p>
              </w:tc>
              <w:tc>
                <w:tcPr>
                  <w:tcW w:w="709" w:type="dxa"/>
                  <w:vAlign w:val="center"/>
                </w:tcPr>
                <w:p>
                  <w:pPr>
                    <w:pStyle w:val="51"/>
                  </w:pPr>
                  <w:r>
                    <w:t>HW29</w:t>
                  </w:r>
                </w:p>
              </w:tc>
              <w:tc>
                <w:tcPr>
                  <w:tcW w:w="992" w:type="dxa"/>
                  <w:vAlign w:val="center"/>
                </w:tcPr>
                <w:p>
                  <w:pPr>
                    <w:pStyle w:val="51"/>
                  </w:pPr>
                  <w:r>
                    <w:t>900-023-29</w:t>
                  </w:r>
                </w:p>
              </w:tc>
              <w:tc>
                <w:tcPr>
                  <w:tcW w:w="813" w:type="dxa"/>
                  <w:vAlign w:val="center"/>
                </w:tcPr>
                <w:p>
                  <w:pPr>
                    <w:pStyle w:val="51"/>
                  </w:pPr>
                  <w:r>
                    <w:t>0.01</w:t>
                  </w:r>
                </w:p>
              </w:tc>
              <w:tc>
                <w:tcPr>
                  <w:tcW w:w="888" w:type="dxa"/>
                  <w:vMerge w:val="restart"/>
                  <w:vAlign w:val="center"/>
                </w:tcPr>
                <w:p>
                  <w:pPr>
                    <w:pStyle w:val="51"/>
                  </w:pPr>
                  <w:r>
                    <w:t>废气治理设备</w:t>
                  </w:r>
                </w:p>
              </w:tc>
              <w:tc>
                <w:tcPr>
                  <w:tcW w:w="486" w:type="dxa"/>
                  <w:vAlign w:val="center"/>
                </w:tcPr>
                <w:p>
                  <w:pPr>
                    <w:pStyle w:val="51"/>
                  </w:pPr>
                  <w:r>
                    <w:t>固体</w:t>
                  </w:r>
                </w:p>
              </w:tc>
              <w:tc>
                <w:tcPr>
                  <w:tcW w:w="506" w:type="dxa"/>
                  <w:vAlign w:val="center"/>
                </w:tcPr>
                <w:p>
                  <w:pPr>
                    <w:pStyle w:val="51"/>
                  </w:pPr>
                  <w:r>
                    <w:t>/</w:t>
                  </w:r>
                </w:p>
              </w:tc>
              <w:tc>
                <w:tcPr>
                  <w:tcW w:w="984" w:type="dxa"/>
                  <w:vAlign w:val="center"/>
                </w:tcPr>
                <w:p>
                  <w:pPr>
                    <w:pStyle w:val="51"/>
                  </w:pPr>
                  <w:r>
                    <w:t>汞</w:t>
                  </w:r>
                </w:p>
              </w:tc>
              <w:tc>
                <w:tcPr>
                  <w:tcW w:w="567" w:type="dxa"/>
                  <w:vAlign w:val="center"/>
                </w:tcPr>
                <w:p>
                  <w:pPr>
                    <w:pStyle w:val="51"/>
                  </w:pPr>
                  <w:r>
                    <w:t>1年</w:t>
                  </w:r>
                </w:p>
              </w:tc>
              <w:tc>
                <w:tcPr>
                  <w:tcW w:w="567" w:type="dxa"/>
                  <w:vAlign w:val="center"/>
                </w:tcPr>
                <w:p>
                  <w:pPr>
                    <w:pStyle w:val="51"/>
                  </w:pPr>
                  <w:r>
                    <w:t>T、I</w:t>
                  </w:r>
                </w:p>
              </w:tc>
              <w:tc>
                <w:tcPr>
                  <w:tcW w:w="452" w:type="dxa"/>
                  <w:vMerge w:val="continue"/>
                  <w:vAlign w:val="center"/>
                </w:tcPr>
                <w:p>
                  <w:pPr>
                    <w:widowControl/>
                    <w:jc w:val="left"/>
                    <w:rPr>
                      <w:kern w:val="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9" w:type="dxa"/>
                  <w:vAlign w:val="center"/>
                </w:tcPr>
                <w:p>
                  <w:pPr>
                    <w:pStyle w:val="51"/>
                  </w:pPr>
                  <w:r>
                    <w:t>12</w:t>
                  </w:r>
                </w:p>
              </w:tc>
              <w:tc>
                <w:tcPr>
                  <w:tcW w:w="851" w:type="dxa"/>
                  <w:vAlign w:val="center"/>
                </w:tcPr>
                <w:p>
                  <w:pPr>
                    <w:pStyle w:val="51"/>
                  </w:pPr>
                  <w:r>
                    <w:t>废活性炭</w:t>
                  </w:r>
                </w:p>
              </w:tc>
              <w:tc>
                <w:tcPr>
                  <w:tcW w:w="709" w:type="dxa"/>
                  <w:vAlign w:val="center"/>
                </w:tcPr>
                <w:p>
                  <w:pPr>
                    <w:pStyle w:val="51"/>
                  </w:pPr>
                  <w:r>
                    <w:t>HW49</w:t>
                  </w:r>
                </w:p>
              </w:tc>
              <w:tc>
                <w:tcPr>
                  <w:tcW w:w="992" w:type="dxa"/>
                  <w:vAlign w:val="center"/>
                </w:tcPr>
                <w:p>
                  <w:pPr>
                    <w:pStyle w:val="51"/>
                  </w:pPr>
                  <w:r>
                    <w:t>900-039-49</w:t>
                  </w:r>
                </w:p>
              </w:tc>
              <w:tc>
                <w:tcPr>
                  <w:tcW w:w="813" w:type="dxa"/>
                  <w:vAlign w:val="center"/>
                </w:tcPr>
                <w:p>
                  <w:pPr>
                    <w:pStyle w:val="51"/>
                  </w:pPr>
                  <w:r>
                    <w:t>0.2145</w:t>
                  </w:r>
                </w:p>
              </w:tc>
              <w:tc>
                <w:tcPr>
                  <w:tcW w:w="888" w:type="dxa"/>
                  <w:vMerge w:val="continue"/>
                  <w:vAlign w:val="center"/>
                </w:tcPr>
                <w:p>
                  <w:pPr>
                    <w:pStyle w:val="51"/>
                  </w:pPr>
                </w:p>
              </w:tc>
              <w:tc>
                <w:tcPr>
                  <w:tcW w:w="486" w:type="dxa"/>
                  <w:vAlign w:val="center"/>
                </w:tcPr>
                <w:p>
                  <w:pPr>
                    <w:pStyle w:val="51"/>
                  </w:pPr>
                  <w:r>
                    <w:t>固体</w:t>
                  </w:r>
                </w:p>
              </w:tc>
              <w:tc>
                <w:tcPr>
                  <w:tcW w:w="506" w:type="dxa"/>
                  <w:vAlign w:val="center"/>
                </w:tcPr>
                <w:p>
                  <w:pPr>
                    <w:pStyle w:val="51"/>
                  </w:pPr>
                  <w:r>
                    <w:t>/</w:t>
                  </w:r>
                </w:p>
              </w:tc>
              <w:tc>
                <w:tcPr>
                  <w:tcW w:w="984" w:type="dxa"/>
                  <w:vAlign w:val="center"/>
                </w:tcPr>
                <w:p>
                  <w:pPr>
                    <w:pStyle w:val="51"/>
                  </w:pPr>
                  <w:r>
                    <w:rPr>
                      <w:color w:val="000000"/>
                    </w:rPr>
                    <w:t>二甲苯、环己酮等</w:t>
                  </w:r>
                </w:p>
              </w:tc>
              <w:tc>
                <w:tcPr>
                  <w:tcW w:w="567" w:type="dxa"/>
                  <w:vAlign w:val="center"/>
                </w:tcPr>
                <w:p>
                  <w:pPr>
                    <w:pStyle w:val="51"/>
                  </w:pPr>
                  <w:r>
                    <w:t>6</w:t>
                  </w:r>
                  <w:r>
                    <w:rPr>
                      <w:rFonts w:hint="eastAsia"/>
                    </w:rPr>
                    <w:t>月</w:t>
                  </w:r>
                </w:p>
              </w:tc>
              <w:tc>
                <w:tcPr>
                  <w:tcW w:w="567" w:type="dxa"/>
                  <w:vAlign w:val="center"/>
                </w:tcPr>
                <w:p>
                  <w:pPr>
                    <w:pStyle w:val="51"/>
                  </w:pPr>
                  <w:r>
                    <w:t>T</w:t>
                  </w:r>
                </w:p>
              </w:tc>
              <w:tc>
                <w:tcPr>
                  <w:tcW w:w="452" w:type="dxa"/>
                  <w:vMerge w:val="continue"/>
                  <w:vAlign w:val="center"/>
                </w:tcPr>
                <w:p>
                  <w:pPr>
                    <w:widowControl/>
                    <w:jc w:val="left"/>
                    <w:rPr>
                      <w:kern w:val="0"/>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9" w:type="dxa"/>
                  <w:vAlign w:val="center"/>
                </w:tcPr>
                <w:p>
                  <w:pPr>
                    <w:pStyle w:val="51"/>
                  </w:pPr>
                  <w:r>
                    <w:rPr>
                      <w:rFonts w:hint="eastAsia"/>
                    </w:rPr>
                    <w:t>1</w:t>
                  </w:r>
                  <w:r>
                    <w:t>3</w:t>
                  </w:r>
                </w:p>
              </w:tc>
              <w:tc>
                <w:tcPr>
                  <w:tcW w:w="851" w:type="dxa"/>
                  <w:vAlign w:val="center"/>
                </w:tcPr>
                <w:p>
                  <w:pPr>
                    <w:pStyle w:val="51"/>
                  </w:pPr>
                  <w:r>
                    <w:t>污泥</w:t>
                  </w:r>
                </w:p>
              </w:tc>
              <w:tc>
                <w:tcPr>
                  <w:tcW w:w="709" w:type="dxa"/>
                  <w:vAlign w:val="center"/>
                </w:tcPr>
                <w:p>
                  <w:pPr>
                    <w:pStyle w:val="51"/>
                  </w:pPr>
                  <w:r>
                    <w:t>HW49</w:t>
                  </w:r>
                </w:p>
              </w:tc>
              <w:tc>
                <w:tcPr>
                  <w:tcW w:w="992" w:type="dxa"/>
                  <w:vAlign w:val="center"/>
                </w:tcPr>
                <w:p>
                  <w:pPr>
                    <w:pStyle w:val="51"/>
                  </w:pPr>
                  <w:r>
                    <w:t>900-047-49</w:t>
                  </w:r>
                </w:p>
              </w:tc>
              <w:tc>
                <w:tcPr>
                  <w:tcW w:w="813" w:type="dxa"/>
                  <w:vAlign w:val="center"/>
                </w:tcPr>
                <w:p>
                  <w:pPr>
                    <w:pStyle w:val="51"/>
                  </w:pPr>
                  <w:r>
                    <w:t>0.1925</w:t>
                  </w:r>
                </w:p>
              </w:tc>
              <w:tc>
                <w:tcPr>
                  <w:tcW w:w="888" w:type="dxa"/>
                  <w:vAlign w:val="center"/>
                </w:tcPr>
                <w:p>
                  <w:pPr>
                    <w:pStyle w:val="51"/>
                  </w:pPr>
                  <w:r>
                    <w:t>污水处理设备</w:t>
                  </w:r>
                </w:p>
              </w:tc>
              <w:tc>
                <w:tcPr>
                  <w:tcW w:w="486" w:type="dxa"/>
                  <w:vAlign w:val="center"/>
                </w:tcPr>
                <w:p>
                  <w:pPr>
                    <w:pStyle w:val="51"/>
                  </w:pPr>
                  <w:r>
                    <w:t>固体</w:t>
                  </w:r>
                </w:p>
              </w:tc>
              <w:tc>
                <w:tcPr>
                  <w:tcW w:w="506" w:type="dxa"/>
                  <w:vAlign w:val="center"/>
                </w:tcPr>
                <w:p>
                  <w:pPr>
                    <w:pStyle w:val="51"/>
                  </w:pPr>
                  <w:r>
                    <w:t>/</w:t>
                  </w:r>
                </w:p>
              </w:tc>
              <w:tc>
                <w:tcPr>
                  <w:tcW w:w="984" w:type="dxa"/>
                  <w:vAlign w:val="center"/>
                </w:tcPr>
                <w:p>
                  <w:pPr>
                    <w:pStyle w:val="51"/>
                  </w:pPr>
                  <w:r>
                    <w:rPr>
                      <w:color w:val="000000"/>
                    </w:rPr>
                    <w:t>含重金属、VOCS</w:t>
                  </w:r>
                </w:p>
              </w:tc>
              <w:tc>
                <w:tcPr>
                  <w:tcW w:w="567" w:type="dxa"/>
                  <w:vAlign w:val="center"/>
                </w:tcPr>
                <w:p>
                  <w:pPr>
                    <w:pStyle w:val="51"/>
                  </w:pPr>
                  <w:r>
                    <w:t>1年</w:t>
                  </w:r>
                </w:p>
              </w:tc>
              <w:tc>
                <w:tcPr>
                  <w:tcW w:w="567" w:type="dxa"/>
                  <w:vAlign w:val="center"/>
                </w:tcPr>
                <w:p>
                  <w:pPr>
                    <w:pStyle w:val="51"/>
                  </w:pPr>
                  <w:r>
                    <w:t>T</w:t>
                  </w:r>
                </w:p>
              </w:tc>
              <w:tc>
                <w:tcPr>
                  <w:tcW w:w="452" w:type="dxa"/>
                  <w:vMerge w:val="continue"/>
                  <w:vAlign w:val="center"/>
                </w:tcPr>
                <w:p>
                  <w:pPr>
                    <w:widowControl/>
                    <w:jc w:val="left"/>
                    <w:rPr>
                      <w:kern w:val="0"/>
                      <w:szCs w:val="21"/>
                    </w:rPr>
                  </w:pPr>
                </w:p>
              </w:tc>
            </w:tr>
          </w:tbl>
          <w:p>
            <w:pPr>
              <w:adjustRightInd w:val="0"/>
              <w:snapToGrid w:val="0"/>
              <w:spacing w:line="520" w:lineRule="exact"/>
              <w:ind w:firstLine="480" w:firstLineChars="200"/>
              <w:rPr>
                <w:rFonts w:eastAsia="黑体"/>
                <w:snapToGrid w:val="0"/>
                <w:sz w:val="24"/>
                <w:szCs w:val="22"/>
              </w:rPr>
            </w:pPr>
            <w:r>
              <w:rPr>
                <w:rFonts w:eastAsia="黑体"/>
                <w:snapToGrid w:val="0"/>
                <w:sz w:val="24"/>
                <w:szCs w:val="22"/>
              </w:rPr>
              <w:t>表49         本项目危险废物贮存间场所（设施）基本情况表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64"/>
              <w:gridCol w:w="786"/>
              <w:gridCol w:w="1765"/>
              <w:gridCol w:w="781"/>
              <w:gridCol w:w="1204"/>
              <w:gridCol w:w="603"/>
              <w:gridCol w:w="692"/>
              <w:gridCol w:w="831"/>
              <w:gridCol w:w="709"/>
              <w:gridCol w:w="56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pPr>
                    <w:autoSpaceDE w:val="0"/>
                    <w:autoSpaceDN w:val="0"/>
                    <w:adjustRightInd w:val="0"/>
                    <w:snapToGrid w:val="0"/>
                    <w:spacing w:before="60" w:line="276" w:lineRule="auto"/>
                    <w:jc w:val="center"/>
                    <w:textAlignment w:val="baseline"/>
                    <w:rPr>
                      <w:b/>
                      <w:bCs/>
                      <w:kern w:val="0"/>
                      <w:szCs w:val="21"/>
                    </w:rPr>
                  </w:pPr>
                  <w:r>
                    <w:rPr>
                      <w:b/>
                      <w:bCs/>
                      <w:kern w:val="0"/>
                      <w:szCs w:val="21"/>
                    </w:rPr>
                    <w:t>序号</w:t>
                  </w:r>
                </w:p>
              </w:tc>
              <w:tc>
                <w:tcPr>
                  <w:tcW w:w="468" w:type="pct"/>
                  <w:vAlign w:val="center"/>
                </w:tcPr>
                <w:p>
                  <w:pPr>
                    <w:autoSpaceDE w:val="0"/>
                    <w:autoSpaceDN w:val="0"/>
                    <w:adjustRightInd w:val="0"/>
                    <w:snapToGrid w:val="0"/>
                    <w:spacing w:before="60" w:line="276" w:lineRule="auto"/>
                    <w:jc w:val="center"/>
                    <w:textAlignment w:val="baseline"/>
                    <w:rPr>
                      <w:b/>
                      <w:bCs/>
                      <w:kern w:val="0"/>
                      <w:szCs w:val="21"/>
                    </w:rPr>
                  </w:pPr>
                  <w:r>
                    <w:rPr>
                      <w:b/>
                      <w:bCs/>
                      <w:kern w:val="0"/>
                      <w:szCs w:val="21"/>
                    </w:rPr>
                    <w:t>贮存场所名称</w:t>
                  </w:r>
                </w:p>
              </w:tc>
              <w:tc>
                <w:tcPr>
                  <w:tcW w:w="1051" w:type="pct"/>
                  <w:vAlign w:val="center"/>
                </w:tcPr>
                <w:p>
                  <w:pPr>
                    <w:autoSpaceDE w:val="0"/>
                    <w:autoSpaceDN w:val="0"/>
                    <w:adjustRightInd w:val="0"/>
                    <w:snapToGrid w:val="0"/>
                    <w:spacing w:before="60" w:line="276" w:lineRule="auto"/>
                    <w:jc w:val="center"/>
                    <w:textAlignment w:val="baseline"/>
                    <w:rPr>
                      <w:b/>
                      <w:bCs/>
                      <w:kern w:val="0"/>
                      <w:szCs w:val="21"/>
                    </w:rPr>
                  </w:pPr>
                  <w:r>
                    <w:rPr>
                      <w:b/>
                      <w:bCs/>
                      <w:kern w:val="0"/>
                      <w:szCs w:val="21"/>
                    </w:rPr>
                    <w:t>危废名称</w:t>
                  </w:r>
                </w:p>
              </w:tc>
              <w:tc>
                <w:tcPr>
                  <w:tcW w:w="465" w:type="pct"/>
                  <w:vAlign w:val="center"/>
                </w:tcPr>
                <w:p>
                  <w:pPr>
                    <w:autoSpaceDE w:val="0"/>
                    <w:autoSpaceDN w:val="0"/>
                    <w:adjustRightInd w:val="0"/>
                    <w:snapToGrid w:val="0"/>
                    <w:spacing w:before="60" w:line="276" w:lineRule="auto"/>
                    <w:jc w:val="center"/>
                    <w:textAlignment w:val="baseline"/>
                    <w:rPr>
                      <w:b/>
                      <w:bCs/>
                      <w:kern w:val="0"/>
                      <w:szCs w:val="21"/>
                    </w:rPr>
                  </w:pPr>
                  <w:r>
                    <w:rPr>
                      <w:b/>
                      <w:bCs/>
                      <w:kern w:val="0"/>
                      <w:szCs w:val="21"/>
                    </w:rPr>
                    <w:t>危废类别</w:t>
                  </w:r>
                </w:p>
              </w:tc>
              <w:tc>
                <w:tcPr>
                  <w:tcW w:w="717" w:type="pct"/>
                  <w:vAlign w:val="center"/>
                </w:tcPr>
                <w:p>
                  <w:pPr>
                    <w:autoSpaceDE w:val="0"/>
                    <w:autoSpaceDN w:val="0"/>
                    <w:adjustRightInd w:val="0"/>
                    <w:snapToGrid w:val="0"/>
                    <w:spacing w:before="60" w:line="276" w:lineRule="auto"/>
                    <w:jc w:val="center"/>
                    <w:textAlignment w:val="baseline"/>
                    <w:rPr>
                      <w:b/>
                      <w:bCs/>
                      <w:kern w:val="0"/>
                      <w:szCs w:val="21"/>
                    </w:rPr>
                  </w:pPr>
                  <w:r>
                    <w:rPr>
                      <w:b/>
                      <w:bCs/>
                      <w:kern w:val="0"/>
                      <w:szCs w:val="21"/>
                    </w:rPr>
                    <w:t>危险废物代码</w:t>
                  </w:r>
                </w:p>
              </w:tc>
              <w:tc>
                <w:tcPr>
                  <w:tcW w:w="359" w:type="pct"/>
                  <w:vAlign w:val="center"/>
                </w:tcPr>
                <w:p>
                  <w:pPr>
                    <w:autoSpaceDE w:val="0"/>
                    <w:autoSpaceDN w:val="0"/>
                    <w:adjustRightInd w:val="0"/>
                    <w:snapToGrid w:val="0"/>
                    <w:spacing w:before="60" w:line="276" w:lineRule="auto"/>
                    <w:jc w:val="center"/>
                    <w:textAlignment w:val="baseline"/>
                    <w:rPr>
                      <w:b/>
                      <w:bCs/>
                      <w:kern w:val="0"/>
                      <w:szCs w:val="21"/>
                    </w:rPr>
                  </w:pPr>
                  <w:r>
                    <w:rPr>
                      <w:b/>
                      <w:bCs/>
                      <w:kern w:val="0"/>
                      <w:szCs w:val="21"/>
                    </w:rPr>
                    <w:t>位置</w:t>
                  </w:r>
                </w:p>
              </w:tc>
              <w:tc>
                <w:tcPr>
                  <w:tcW w:w="412" w:type="pct"/>
                  <w:vAlign w:val="center"/>
                </w:tcPr>
                <w:p>
                  <w:pPr>
                    <w:autoSpaceDE w:val="0"/>
                    <w:autoSpaceDN w:val="0"/>
                    <w:adjustRightInd w:val="0"/>
                    <w:snapToGrid w:val="0"/>
                    <w:spacing w:before="60" w:line="276" w:lineRule="auto"/>
                    <w:jc w:val="center"/>
                    <w:textAlignment w:val="baseline"/>
                    <w:rPr>
                      <w:b/>
                      <w:bCs/>
                      <w:kern w:val="0"/>
                      <w:szCs w:val="21"/>
                    </w:rPr>
                  </w:pPr>
                  <w:r>
                    <w:rPr>
                      <w:b/>
                      <w:bCs/>
                      <w:kern w:val="0"/>
                      <w:szCs w:val="21"/>
                    </w:rPr>
                    <w:t>占地面积</w:t>
                  </w:r>
                </w:p>
              </w:tc>
              <w:tc>
                <w:tcPr>
                  <w:tcW w:w="495" w:type="pct"/>
                  <w:vAlign w:val="center"/>
                </w:tcPr>
                <w:p>
                  <w:pPr>
                    <w:autoSpaceDE w:val="0"/>
                    <w:autoSpaceDN w:val="0"/>
                    <w:adjustRightInd w:val="0"/>
                    <w:snapToGrid w:val="0"/>
                    <w:spacing w:before="60" w:line="276" w:lineRule="auto"/>
                    <w:jc w:val="center"/>
                    <w:textAlignment w:val="baseline"/>
                    <w:rPr>
                      <w:b/>
                      <w:bCs/>
                      <w:kern w:val="0"/>
                      <w:szCs w:val="21"/>
                    </w:rPr>
                  </w:pPr>
                  <w:r>
                    <w:rPr>
                      <w:b/>
                      <w:bCs/>
                      <w:kern w:val="0"/>
                      <w:szCs w:val="21"/>
                    </w:rPr>
                    <w:t>贮存方式</w:t>
                  </w:r>
                </w:p>
              </w:tc>
              <w:tc>
                <w:tcPr>
                  <w:tcW w:w="422" w:type="pct"/>
                  <w:vAlign w:val="center"/>
                </w:tcPr>
                <w:p>
                  <w:pPr>
                    <w:autoSpaceDE w:val="0"/>
                    <w:autoSpaceDN w:val="0"/>
                    <w:adjustRightInd w:val="0"/>
                    <w:snapToGrid w:val="0"/>
                    <w:spacing w:before="60" w:line="276" w:lineRule="auto"/>
                    <w:jc w:val="center"/>
                    <w:textAlignment w:val="baseline"/>
                    <w:rPr>
                      <w:b/>
                      <w:bCs/>
                      <w:kern w:val="0"/>
                      <w:szCs w:val="21"/>
                    </w:rPr>
                  </w:pPr>
                  <w:r>
                    <w:rPr>
                      <w:b/>
                      <w:bCs/>
                      <w:kern w:val="0"/>
                      <w:szCs w:val="21"/>
                    </w:rPr>
                    <w:t>贮存能力</w:t>
                  </w:r>
                </w:p>
              </w:tc>
              <w:tc>
                <w:tcPr>
                  <w:tcW w:w="334" w:type="pct"/>
                  <w:vAlign w:val="center"/>
                </w:tcPr>
                <w:p>
                  <w:pPr>
                    <w:autoSpaceDE w:val="0"/>
                    <w:autoSpaceDN w:val="0"/>
                    <w:adjustRightInd w:val="0"/>
                    <w:snapToGrid w:val="0"/>
                    <w:spacing w:before="60" w:line="276" w:lineRule="auto"/>
                    <w:jc w:val="center"/>
                    <w:textAlignment w:val="baseline"/>
                    <w:rPr>
                      <w:b/>
                      <w:bCs/>
                      <w:kern w:val="0"/>
                      <w:szCs w:val="21"/>
                    </w:rPr>
                  </w:pPr>
                  <w:r>
                    <w:rPr>
                      <w:b/>
                      <w:bCs/>
                      <w:kern w:val="0"/>
                      <w:szCs w:val="21"/>
                    </w:rPr>
                    <w:t>贮存周期</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pPr>
                    <w:autoSpaceDE w:val="0"/>
                    <w:autoSpaceDN w:val="0"/>
                    <w:adjustRightInd w:val="0"/>
                    <w:snapToGrid w:val="0"/>
                    <w:spacing w:before="60" w:line="276" w:lineRule="auto"/>
                    <w:jc w:val="center"/>
                    <w:textAlignment w:val="baseline"/>
                    <w:rPr>
                      <w:kern w:val="0"/>
                      <w:szCs w:val="21"/>
                    </w:rPr>
                  </w:pPr>
                  <w:r>
                    <w:rPr>
                      <w:kern w:val="0"/>
                      <w:szCs w:val="21"/>
                    </w:rPr>
                    <w:t>1</w:t>
                  </w:r>
                </w:p>
              </w:tc>
              <w:tc>
                <w:tcPr>
                  <w:tcW w:w="468" w:type="pct"/>
                  <w:vMerge w:val="restart"/>
                  <w:vAlign w:val="center"/>
                </w:tcPr>
                <w:p>
                  <w:pPr>
                    <w:autoSpaceDE w:val="0"/>
                    <w:autoSpaceDN w:val="0"/>
                    <w:adjustRightInd w:val="0"/>
                    <w:snapToGrid w:val="0"/>
                    <w:spacing w:before="60" w:line="276" w:lineRule="auto"/>
                    <w:jc w:val="center"/>
                    <w:textAlignment w:val="baseline"/>
                    <w:rPr>
                      <w:kern w:val="0"/>
                      <w:szCs w:val="21"/>
                    </w:rPr>
                  </w:pPr>
                  <w:r>
                    <w:rPr>
                      <w:kern w:val="0"/>
                      <w:szCs w:val="21"/>
                    </w:rPr>
                    <w:t>危废暂存间</w:t>
                  </w:r>
                </w:p>
              </w:tc>
              <w:tc>
                <w:tcPr>
                  <w:tcW w:w="1051" w:type="pct"/>
                  <w:vAlign w:val="center"/>
                </w:tcPr>
                <w:p>
                  <w:pPr>
                    <w:pStyle w:val="51"/>
                  </w:pPr>
                  <w:r>
                    <w:t>含重金属废试剂</w:t>
                  </w:r>
                </w:p>
              </w:tc>
              <w:tc>
                <w:tcPr>
                  <w:tcW w:w="465" w:type="pct"/>
                  <w:vAlign w:val="center"/>
                </w:tcPr>
                <w:p>
                  <w:pPr>
                    <w:topLinePunct/>
                    <w:autoSpaceDE w:val="0"/>
                    <w:autoSpaceDN w:val="0"/>
                    <w:adjustRightInd w:val="0"/>
                    <w:snapToGrid w:val="0"/>
                    <w:jc w:val="center"/>
                    <w:textAlignment w:val="baseline"/>
                    <w:rPr>
                      <w:kern w:val="0"/>
                      <w:szCs w:val="21"/>
                    </w:rPr>
                  </w:pPr>
                  <w:r>
                    <w:t>HW49</w:t>
                  </w:r>
                </w:p>
              </w:tc>
              <w:tc>
                <w:tcPr>
                  <w:tcW w:w="717" w:type="pct"/>
                  <w:vAlign w:val="center"/>
                </w:tcPr>
                <w:p>
                  <w:pPr>
                    <w:pStyle w:val="51"/>
                  </w:pPr>
                  <w:r>
                    <w:t>900-047-49</w:t>
                  </w:r>
                </w:p>
              </w:tc>
              <w:tc>
                <w:tcPr>
                  <w:tcW w:w="359" w:type="pct"/>
                  <w:vMerge w:val="restart"/>
                  <w:vAlign w:val="center"/>
                </w:tcPr>
                <w:p>
                  <w:pPr>
                    <w:pStyle w:val="51"/>
                  </w:pPr>
                  <w:r>
                    <w:t>厂内</w:t>
                  </w:r>
                </w:p>
              </w:tc>
              <w:tc>
                <w:tcPr>
                  <w:tcW w:w="412" w:type="pct"/>
                  <w:vMerge w:val="restart"/>
                  <w:vAlign w:val="center"/>
                </w:tcPr>
                <w:p>
                  <w:pPr>
                    <w:autoSpaceDE w:val="0"/>
                    <w:autoSpaceDN w:val="0"/>
                    <w:adjustRightInd w:val="0"/>
                    <w:snapToGrid w:val="0"/>
                    <w:spacing w:before="60" w:line="276" w:lineRule="auto"/>
                    <w:jc w:val="center"/>
                    <w:textAlignment w:val="baseline"/>
                    <w:rPr>
                      <w:kern w:val="0"/>
                      <w:szCs w:val="21"/>
                    </w:rPr>
                  </w:pPr>
                  <w:r>
                    <w:rPr>
                      <w:kern w:val="0"/>
                      <w:szCs w:val="21"/>
                    </w:rPr>
                    <w:t>10m</w:t>
                  </w:r>
                  <w:r>
                    <w:rPr>
                      <w:kern w:val="0"/>
                      <w:szCs w:val="21"/>
                      <w:vertAlign w:val="superscript"/>
                    </w:rPr>
                    <w:t>2</w:t>
                  </w:r>
                </w:p>
              </w:tc>
              <w:tc>
                <w:tcPr>
                  <w:tcW w:w="495" w:type="pct"/>
                  <w:vMerge w:val="restart"/>
                  <w:vAlign w:val="center"/>
                </w:tcPr>
                <w:p>
                  <w:pPr>
                    <w:pStyle w:val="51"/>
                  </w:pPr>
                  <w:r>
                    <w:t>专用容器收集、分类、分区存放</w:t>
                  </w:r>
                </w:p>
              </w:tc>
              <w:tc>
                <w:tcPr>
                  <w:tcW w:w="422" w:type="pct"/>
                  <w:vAlign w:val="center"/>
                </w:tcPr>
                <w:p>
                  <w:pPr>
                    <w:pStyle w:val="51"/>
                  </w:pPr>
                  <w:r>
                    <w:t>0.1</w:t>
                  </w:r>
                </w:p>
              </w:tc>
              <w:tc>
                <w:tcPr>
                  <w:tcW w:w="334" w:type="pct"/>
                  <w:vAlign w:val="center"/>
                </w:tcPr>
                <w:p>
                  <w:pPr>
                    <w:pStyle w:val="51"/>
                  </w:pPr>
                  <w:r>
                    <w:t>1年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pPr>
                    <w:autoSpaceDE w:val="0"/>
                    <w:autoSpaceDN w:val="0"/>
                    <w:adjustRightInd w:val="0"/>
                    <w:snapToGrid w:val="0"/>
                    <w:spacing w:before="60" w:line="276" w:lineRule="auto"/>
                    <w:jc w:val="center"/>
                    <w:textAlignment w:val="baseline"/>
                    <w:rPr>
                      <w:b/>
                      <w:bCs/>
                      <w:kern w:val="0"/>
                      <w:szCs w:val="21"/>
                    </w:rPr>
                  </w:pPr>
                  <w:r>
                    <w:rPr>
                      <w:kern w:val="0"/>
                      <w:szCs w:val="21"/>
                    </w:rPr>
                    <w:t>2</w:t>
                  </w:r>
                </w:p>
              </w:tc>
              <w:tc>
                <w:tcPr>
                  <w:tcW w:w="468" w:type="pct"/>
                  <w:vMerge w:val="continue"/>
                  <w:vAlign w:val="center"/>
                </w:tcPr>
                <w:p>
                  <w:pPr>
                    <w:autoSpaceDE w:val="0"/>
                    <w:autoSpaceDN w:val="0"/>
                    <w:adjustRightInd w:val="0"/>
                    <w:snapToGrid w:val="0"/>
                    <w:spacing w:before="60" w:line="276" w:lineRule="auto"/>
                    <w:jc w:val="center"/>
                    <w:textAlignment w:val="baseline"/>
                    <w:rPr>
                      <w:kern w:val="0"/>
                      <w:szCs w:val="21"/>
                    </w:rPr>
                  </w:pPr>
                </w:p>
              </w:tc>
              <w:tc>
                <w:tcPr>
                  <w:tcW w:w="1051" w:type="pct"/>
                  <w:vAlign w:val="center"/>
                </w:tcPr>
                <w:p>
                  <w:pPr>
                    <w:pStyle w:val="51"/>
                  </w:pPr>
                  <w:r>
                    <w:t>废酸碱液</w:t>
                  </w:r>
                </w:p>
              </w:tc>
              <w:tc>
                <w:tcPr>
                  <w:tcW w:w="465" w:type="pct"/>
                  <w:vAlign w:val="center"/>
                </w:tcPr>
                <w:p>
                  <w:pPr>
                    <w:topLinePunct/>
                    <w:autoSpaceDE w:val="0"/>
                    <w:autoSpaceDN w:val="0"/>
                    <w:adjustRightInd w:val="0"/>
                    <w:snapToGrid w:val="0"/>
                    <w:jc w:val="center"/>
                    <w:textAlignment w:val="baseline"/>
                    <w:rPr>
                      <w:kern w:val="0"/>
                      <w:szCs w:val="21"/>
                    </w:rPr>
                  </w:pPr>
                  <w:r>
                    <w:t>HW49</w:t>
                  </w:r>
                </w:p>
              </w:tc>
              <w:tc>
                <w:tcPr>
                  <w:tcW w:w="717" w:type="pct"/>
                  <w:vAlign w:val="center"/>
                </w:tcPr>
                <w:p>
                  <w:pPr>
                    <w:pStyle w:val="51"/>
                  </w:pPr>
                  <w:r>
                    <w:t>900-047-49</w:t>
                  </w:r>
                </w:p>
              </w:tc>
              <w:tc>
                <w:tcPr>
                  <w:tcW w:w="359" w:type="pct"/>
                  <w:vMerge w:val="continue"/>
                  <w:vAlign w:val="center"/>
                </w:tcPr>
                <w:p>
                  <w:pPr>
                    <w:pStyle w:val="51"/>
                  </w:pPr>
                </w:p>
              </w:tc>
              <w:tc>
                <w:tcPr>
                  <w:tcW w:w="412" w:type="pct"/>
                  <w:vMerge w:val="continue"/>
                  <w:vAlign w:val="center"/>
                </w:tcPr>
                <w:p>
                  <w:pPr>
                    <w:autoSpaceDE w:val="0"/>
                    <w:autoSpaceDN w:val="0"/>
                    <w:adjustRightInd w:val="0"/>
                    <w:snapToGrid w:val="0"/>
                    <w:spacing w:before="60" w:line="276" w:lineRule="auto"/>
                    <w:jc w:val="center"/>
                    <w:textAlignment w:val="baseline"/>
                    <w:rPr>
                      <w:kern w:val="0"/>
                      <w:szCs w:val="21"/>
                    </w:rPr>
                  </w:pPr>
                </w:p>
              </w:tc>
              <w:tc>
                <w:tcPr>
                  <w:tcW w:w="495" w:type="pct"/>
                  <w:vMerge w:val="continue"/>
                  <w:vAlign w:val="center"/>
                </w:tcPr>
                <w:p>
                  <w:pPr>
                    <w:pStyle w:val="51"/>
                  </w:pPr>
                </w:p>
              </w:tc>
              <w:tc>
                <w:tcPr>
                  <w:tcW w:w="422" w:type="pct"/>
                  <w:vAlign w:val="center"/>
                </w:tcPr>
                <w:p>
                  <w:pPr>
                    <w:pStyle w:val="51"/>
                  </w:pPr>
                  <w:r>
                    <w:t>0.2</w:t>
                  </w:r>
                </w:p>
              </w:tc>
              <w:tc>
                <w:tcPr>
                  <w:tcW w:w="334" w:type="pct"/>
                  <w:vAlign w:val="center"/>
                </w:tcPr>
                <w:p>
                  <w:pPr>
                    <w:pStyle w:val="51"/>
                  </w:pPr>
                  <w:r>
                    <w:t>1年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pPr>
                    <w:autoSpaceDE w:val="0"/>
                    <w:autoSpaceDN w:val="0"/>
                    <w:adjustRightInd w:val="0"/>
                    <w:snapToGrid w:val="0"/>
                    <w:spacing w:before="60" w:line="276" w:lineRule="auto"/>
                    <w:jc w:val="center"/>
                    <w:textAlignment w:val="baseline"/>
                    <w:rPr>
                      <w:kern w:val="0"/>
                      <w:szCs w:val="21"/>
                    </w:rPr>
                  </w:pPr>
                  <w:r>
                    <w:rPr>
                      <w:rFonts w:hint="eastAsia"/>
                      <w:kern w:val="0"/>
                      <w:szCs w:val="21"/>
                    </w:rPr>
                    <w:t>3</w:t>
                  </w:r>
                </w:p>
              </w:tc>
              <w:tc>
                <w:tcPr>
                  <w:tcW w:w="468" w:type="pct"/>
                  <w:vMerge w:val="continue"/>
                  <w:vAlign w:val="center"/>
                </w:tcPr>
                <w:p>
                  <w:pPr>
                    <w:widowControl/>
                    <w:jc w:val="center"/>
                    <w:rPr>
                      <w:kern w:val="0"/>
                      <w:szCs w:val="21"/>
                    </w:rPr>
                  </w:pPr>
                </w:p>
              </w:tc>
              <w:tc>
                <w:tcPr>
                  <w:tcW w:w="1051" w:type="pct"/>
                  <w:vAlign w:val="center"/>
                </w:tcPr>
                <w:p>
                  <w:pPr>
                    <w:pStyle w:val="51"/>
                  </w:pPr>
                  <w:r>
                    <w:t>废有机溶剂</w:t>
                  </w:r>
                </w:p>
              </w:tc>
              <w:tc>
                <w:tcPr>
                  <w:tcW w:w="465" w:type="pct"/>
                  <w:vAlign w:val="center"/>
                </w:tcPr>
                <w:p>
                  <w:pPr>
                    <w:topLinePunct/>
                    <w:autoSpaceDE w:val="0"/>
                    <w:autoSpaceDN w:val="0"/>
                    <w:adjustRightInd w:val="0"/>
                    <w:snapToGrid w:val="0"/>
                    <w:jc w:val="center"/>
                    <w:textAlignment w:val="baseline"/>
                    <w:rPr>
                      <w:kern w:val="0"/>
                      <w:szCs w:val="21"/>
                    </w:rPr>
                  </w:pPr>
                  <w:r>
                    <w:t>HW49</w:t>
                  </w:r>
                </w:p>
              </w:tc>
              <w:tc>
                <w:tcPr>
                  <w:tcW w:w="717" w:type="pct"/>
                  <w:vAlign w:val="center"/>
                </w:tcPr>
                <w:p>
                  <w:pPr>
                    <w:pStyle w:val="51"/>
                  </w:pPr>
                  <w:r>
                    <w:t>900-047-49</w:t>
                  </w:r>
                </w:p>
              </w:tc>
              <w:tc>
                <w:tcPr>
                  <w:tcW w:w="359" w:type="pct"/>
                  <w:vMerge w:val="continue"/>
                  <w:vAlign w:val="center"/>
                </w:tcPr>
                <w:p>
                  <w:pPr>
                    <w:pStyle w:val="51"/>
                  </w:pPr>
                </w:p>
              </w:tc>
              <w:tc>
                <w:tcPr>
                  <w:tcW w:w="412" w:type="pct"/>
                  <w:vMerge w:val="continue"/>
                  <w:vAlign w:val="center"/>
                </w:tcPr>
                <w:p>
                  <w:pPr>
                    <w:widowControl/>
                    <w:jc w:val="center"/>
                    <w:rPr>
                      <w:kern w:val="0"/>
                      <w:szCs w:val="21"/>
                    </w:rPr>
                  </w:pPr>
                </w:p>
              </w:tc>
              <w:tc>
                <w:tcPr>
                  <w:tcW w:w="495" w:type="pct"/>
                  <w:vMerge w:val="continue"/>
                  <w:vAlign w:val="center"/>
                </w:tcPr>
                <w:p>
                  <w:pPr>
                    <w:pStyle w:val="51"/>
                  </w:pPr>
                </w:p>
              </w:tc>
              <w:tc>
                <w:tcPr>
                  <w:tcW w:w="422" w:type="pct"/>
                  <w:vAlign w:val="center"/>
                </w:tcPr>
                <w:p>
                  <w:pPr>
                    <w:pStyle w:val="51"/>
                  </w:pPr>
                  <w:r>
                    <w:t>0.2</w:t>
                  </w:r>
                </w:p>
              </w:tc>
              <w:tc>
                <w:tcPr>
                  <w:tcW w:w="334" w:type="pct"/>
                  <w:vAlign w:val="center"/>
                </w:tcPr>
                <w:p>
                  <w:pPr>
                    <w:pStyle w:val="51"/>
                  </w:pPr>
                  <w:r>
                    <w:t>1年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pPr>
                    <w:autoSpaceDE w:val="0"/>
                    <w:autoSpaceDN w:val="0"/>
                    <w:adjustRightInd w:val="0"/>
                    <w:snapToGrid w:val="0"/>
                    <w:spacing w:before="60" w:line="276" w:lineRule="auto"/>
                    <w:jc w:val="center"/>
                    <w:textAlignment w:val="baseline"/>
                    <w:rPr>
                      <w:kern w:val="0"/>
                      <w:szCs w:val="21"/>
                    </w:rPr>
                  </w:pPr>
                  <w:r>
                    <w:rPr>
                      <w:kern w:val="0"/>
                      <w:szCs w:val="21"/>
                    </w:rPr>
                    <w:t>4</w:t>
                  </w:r>
                </w:p>
              </w:tc>
              <w:tc>
                <w:tcPr>
                  <w:tcW w:w="468" w:type="pct"/>
                  <w:vMerge w:val="continue"/>
                  <w:vAlign w:val="center"/>
                </w:tcPr>
                <w:p>
                  <w:pPr>
                    <w:widowControl/>
                    <w:jc w:val="center"/>
                    <w:rPr>
                      <w:kern w:val="0"/>
                      <w:szCs w:val="21"/>
                    </w:rPr>
                  </w:pPr>
                </w:p>
              </w:tc>
              <w:tc>
                <w:tcPr>
                  <w:tcW w:w="1051" w:type="pct"/>
                  <w:vAlign w:val="center"/>
                </w:tcPr>
                <w:p>
                  <w:pPr>
                    <w:pStyle w:val="51"/>
                  </w:pPr>
                  <w:r>
                    <w:t>废试剂</w:t>
                  </w:r>
                </w:p>
              </w:tc>
              <w:tc>
                <w:tcPr>
                  <w:tcW w:w="465" w:type="pct"/>
                  <w:vAlign w:val="center"/>
                </w:tcPr>
                <w:p>
                  <w:pPr>
                    <w:topLinePunct/>
                    <w:autoSpaceDE w:val="0"/>
                    <w:autoSpaceDN w:val="0"/>
                    <w:adjustRightInd w:val="0"/>
                    <w:snapToGrid w:val="0"/>
                    <w:jc w:val="center"/>
                    <w:textAlignment w:val="baseline"/>
                    <w:rPr>
                      <w:kern w:val="0"/>
                      <w:szCs w:val="21"/>
                    </w:rPr>
                  </w:pPr>
                  <w:r>
                    <w:t>HW49</w:t>
                  </w:r>
                </w:p>
              </w:tc>
              <w:tc>
                <w:tcPr>
                  <w:tcW w:w="717" w:type="pct"/>
                  <w:vAlign w:val="center"/>
                </w:tcPr>
                <w:p>
                  <w:pPr>
                    <w:pStyle w:val="51"/>
                  </w:pPr>
                  <w:r>
                    <w:t>900-047-49</w:t>
                  </w:r>
                </w:p>
              </w:tc>
              <w:tc>
                <w:tcPr>
                  <w:tcW w:w="359" w:type="pct"/>
                  <w:vMerge w:val="continue"/>
                  <w:vAlign w:val="center"/>
                </w:tcPr>
                <w:p>
                  <w:pPr>
                    <w:pStyle w:val="51"/>
                  </w:pPr>
                </w:p>
              </w:tc>
              <w:tc>
                <w:tcPr>
                  <w:tcW w:w="412" w:type="pct"/>
                  <w:vMerge w:val="continue"/>
                  <w:vAlign w:val="center"/>
                </w:tcPr>
                <w:p>
                  <w:pPr>
                    <w:widowControl/>
                    <w:jc w:val="center"/>
                    <w:rPr>
                      <w:kern w:val="0"/>
                      <w:szCs w:val="21"/>
                    </w:rPr>
                  </w:pPr>
                </w:p>
              </w:tc>
              <w:tc>
                <w:tcPr>
                  <w:tcW w:w="495" w:type="pct"/>
                  <w:vMerge w:val="continue"/>
                  <w:vAlign w:val="center"/>
                </w:tcPr>
                <w:p>
                  <w:pPr>
                    <w:pStyle w:val="51"/>
                  </w:pPr>
                </w:p>
              </w:tc>
              <w:tc>
                <w:tcPr>
                  <w:tcW w:w="422" w:type="pct"/>
                  <w:vAlign w:val="center"/>
                </w:tcPr>
                <w:p>
                  <w:pPr>
                    <w:pStyle w:val="51"/>
                  </w:pPr>
                  <w:r>
                    <w:t>0.1</w:t>
                  </w:r>
                </w:p>
              </w:tc>
              <w:tc>
                <w:tcPr>
                  <w:tcW w:w="334" w:type="pct"/>
                  <w:vAlign w:val="center"/>
                </w:tcPr>
                <w:p>
                  <w:pPr>
                    <w:pStyle w:val="51"/>
                  </w:pPr>
                  <w:r>
                    <w:t>1年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pPr>
                    <w:autoSpaceDE w:val="0"/>
                    <w:autoSpaceDN w:val="0"/>
                    <w:adjustRightInd w:val="0"/>
                    <w:snapToGrid w:val="0"/>
                    <w:spacing w:before="60" w:line="276" w:lineRule="auto"/>
                    <w:jc w:val="center"/>
                    <w:textAlignment w:val="baseline"/>
                    <w:rPr>
                      <w:kern w:val="0"/>
                      <w:szCs w:val="21"/>
                    </w:rPr>
                  </w:pPr>
                  <w:r>
                    <w:rPr>
                      <w:kern w:val="0"/>
                      <w:szCs w:val="21"/>
                    </w:rPr>
                    <w:t>5</w:t>
                  </w:r>
                </w:p>
              </w:tc>
              <w:tc>
                <w:tcPr>
                  <w:tcW w:w="468" w:type="pct"/>
                  <w:vMerge w:val="continue"/>
                  <w:vAlign w:val="center"/>
                </w:tcPr>
                <w:p>
                  <w:pPr>
                    <w:widowControl/>
                    <w:jc w:val="center"/>
                    <w:rPr>
                      <w:kern w:val="0"/>
                      <w:szCs w:val="21"/>
                    </w:rPr>
                  </w:pPr>
                </w:p>
              </w:tc>
              <w:tc>
                <w:tcPr>
                  <w:tcW w:w="1051" w:type="pct"/>
                  <w:vAlign w:val="center"/>
                </w:tcPr>
                <w:p>
                  <w:pPr>
                    <w:pStyle w:val="51"/>
                  </w:pPr>
                  <w:r>
                    <w:t>废有机实验样品</w:t>
                  </w:r>
                </w:p>
              </w:tc>
              <w:tc>
                <w:tcPr>
                  <w:tcW w:w="465" w:type="pct"/>
                  <w:vAlign w:val="center"/>
                </w:tcPr>
                <w:p>
                  <w:pPr>
                    <w:jc w:val="center"/>
                    <w:rPr>
                      <w:kern w:val="0"/>
                      <w:szCs w:val="21"/>
                    </w:rPr>
                  </w:pPr>
                  <w:r>
                    <w:t>HW49</w:t>
                  </w:r>
                </w:p>
              </w:tc>
              <w:tc>
                <w:tcPr>
                  <w:tcW w:w="717" w:type="pct"/>
                  <w:vAlign w:val="center"/>
                </w:tcPr>
                <w:p>
                  <w:pPr>
                    <w:pStyle w:val="51"/>
                  </w:pPr>
                  <w:r>
                    <w:t>900-047-49</w:t>
                  </w:r>
                </w:p>
              </w:tc>
              <w:tc>
                <w:tcPr>
                  <w:tcW w:w="359" w:type="pct"/>
                  <w:vMerge w:val="continue"/>
                  <w:vAlign w:val="center"/>
                </w:tcPr>
                <w:p>
                  <w:pPr>
                    <w:pStyle w:val="51"/>
                  </w:pPr>
                </w:p>
              </w:tc>
              <w:tc>
                <w:tcPr>
                  <w:tcW w:w="412" w:type="pct"/>
                  <w:vMerge w:val="continue"/>
                  <w:vAlign w:val="center"/>
                </w:tcPr>
                <w:p>
                  <w:pPr>
                    <w:widowControl/>
                    <w:jc w:val="center"/>
                    <w:rPr>
                      <w:kern w:val="0"/>
                      <w:szCs w:val="21"/>
                    </w:rPr>
                  </w:pPr>
                </w:p>
              </w:tc>
              <w:tc>
                <w:tcPr>
                  <w:tcW w:w="495" w:type="pct"/>
                  <w:vMerge w:val="continue"/>
                  <w:vAlign w:val="center"/>
                </w:tcPr>
                <w:p>
                  <w:pPr>
                    <w:pStyle w:val="51"/>
                  </w:pPr>
                </w:p>
              </w:tc>
              <w:tc>
                <w:tcPr>
                  <w:tcW w:w="422" w:type="pct"/>
                  <w:vAlign w:val="center"/>
                </w:tcPr>
                <w:p>
                  <w:pPr>
                    <w:pStyle w:val="51"/>
                  </w:pPr>
                  <w:r>
                    <w:t>0.1</w:t>
                  </w:r>
                </w:p>
              </w:tc>
              <w:tc>
                <w:tcPr>
                  <w:tcW w:w="334" w:type="pct"/>
                  <w:vAlign w:val="center"/>
                </w:tcPr>
                <w:p>
                  <w:pPr>
                    <w:pStyle w:val="51"/>
                  </w:pPr>
                  <w:r>
                    <w:t>1年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pPr>
                    <w:autoSpaceDE w:val="0"/>
                    <w:autoSpaceDN w:val="0"/>
                    <w:adjustRightInd w:val="0"/>
                    <w:snapToGrid w:val="0"/>
                    <w:spacing w:before="60" w:line="276" w:lineRule="auto"/>
                    <w:jc w:val="center"/>
                    <w:textAlignment w:val="baseline"/>
                    <w:rPr>
                      <w:kern w:val="0"/>
                      <w:szCs w:val="21"/>
                    </w:rPr>
                  </w:pPr>
                  <w:r>
                    <w:rPr>
                      <w:kern w:val="0"/>
                      <w:szCs w:val="21"/>
                    </w:rPr>
                    <w:t>6</w:t>
                  </w:r>
                </w:p>
              </w:tc>
              <w:tc>
                <w:tcPr>
                  <w:tcW w:w="468" w:type="pct"/>
                  <w:vMerge w:val="continue"/>
                  <w:vAlign w:val="center"/>
                </w:tcPr>
                <w:p>
                  <w:pPr>
                    <w:widowControl/>
                    <w:jc w:val="center"/>
                    <w:rPr>
                      <w:kern w:val="0"/>
                      <w:szCs w:val="21"/>
                    </w:rPr>
                  </w:pPr>
                </w:p>
              </w:tc>
              <w:tc>
                <w:tcPr>
                  <w:tcW w:w="1051" w:type="pct"/>
                  <w:vAlign w:val="center"/>
                </w:tcPr>
                <w:p>
                  <w:pPr>
                    <w:pStyle w:val="51"/>
                  </w:pPr>
                  <w:r>
                    <w:t>一次性实验用品</w:t>
                  </w:r>
                </w:p>
              </w:tc>
              <w:tc>
                <w:tcPr>
                  <w:tcW w:w="465" w:type="pct"/>
                  <w:vAlign w:val="center"/>
                </w:tcPr>
                <w:p>
                  <w:pPr>
                    <w:jc w:val="center"/>
                    <w:rPr>
                      <w:kern w:val="0"/>
                      <w:szCs w:val="21"/>
                    </w:rPr>
                  </w:pPr>
                  <w:r>
                    <w:t>HW49</w:t>
                  </w:r>
                </w:p>
              </w:tc>
              <w:tc>
                <w:tcPr>
                  <w:tcW w:w="717" w:type="pct"/>
                  <w:vAlign w:val="center"/>
                </w:tcPr>
                <w:p>
                  <w:pPr>
                    <w:pStyle w:val="51"/>
                  </w:pPr>
                  <w:r>
                    <w:t>900-047-49</w:t>
                  </w:r>
                </w:p>
              </w:tc>
              <w:tc>
                <w:tcPr>
                  <w:tcW w:w="359" w:type="pct"/>
                  <w:vMerge w:val="continue"/>
                  <w:vAlign w:val="center"/>
                </w:tcPr>
                <w:p>
                  <w:pPr>
                    <w:pStyle w:val="51"/>
                  </w:pPr>
                </w:p>
              </w:tc>
              <w:tc>
                <w:tcPr>
                  <w:tcW w:w="412" w:type="pct"/>
                  <w:vMerge w:val="continue"/>
                  <w:vAlign w:val="center"/>
                </w:tcPr>
                <w:p>
                  <w:pPr>
                    <w:widowControl/>
                    <w:jc w:val="center"/>
                    <w:rPr>
                      <w:kern w:val="0"/>
                      <w:szCs w:val="21"/>
                    </w:rPr>
                  </w:pPr>
                </w:p>
              </w:tc>
              <w:tc>
                <w:tcPr>
                  <w:tcW w:w="495" w:type="pct"/>
                  <w:vMerge w:val="continue"/>
                  <w:vAlign w:val="center"/>
                </w:tcPr>
                <w:p>
                  <w:pPr>
                    <w:pStyle w:val="51"/>
                  </w:pPr>
                </w:p>
              </w:tc>
              <w:tc>
                <w:tcPr>
                  <w:tcW w:w="422" w:type="pct"/>
                  <w:vAlign w:val="center"/>
                </w:tcPr>
                <w:p>
                  <w:pPr>
                    <w:pStyle w:val="51"/>
                  </w:pPr>
                  <w:r>
                    <w:t>0.2</w:t>
                  </w:r>
                </w:p>
              </w:tc>
              <w:tc>
                <w:tcPr>
                  <w:tcW w:w="334" w:type="pct"/>
                  <w:vAlign w:val="center"/>
                </w:tcPr>
                <w:p>
                  <w:pPr>
                    <w:pStyle w:val="51"/>
                  </w:pPr>
                  <w:r>
                    <w:t>1年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pPr>
                    <w:autoSpaceDE w:val="0"/>
                    <w:autoSpaceDN w:val="0"/>
                    <w:adjustRightInd w:val="0"/>
                    <w:snapToGrid w:val="0"/>
                    <w:spacing w:before="60" w:line="276" w:lineRule="auto"/>
                    <w:jc w:val="center"/>
                    <w:textAlignment w:val="baseline"/>
                    <w:rPr>
                      <w:kern w:val="0"/>
                      <w:szCs w:val="21"/>
                    </w:rPr>
                  </w:pPr>
                  <w:r>
                    <w:rPr>
                      <w:kern w:val="0"/>
                      <w:szCs w:val="21"/>
                    </w:rPr>
                    <w:t>7</w:t>
                  </w:r>
                </w:p>
              </w:tc>
              <w:tc>
                <w:tcPr>
                  <w:tcW w:w="468" w:type="pct"/>
                  <w:vMerge w:val="continue"/>
                  <w:vAlign w:val="center"/>
                </w:tcPr>
                <w:p>
                  <w:pPr>
                    <w:widowControl/>
                    <w:jc w:val="center"/>
                    <w:rPr>
                      <w:kern w:val="0"/>
                      <w:szCs w:val="21"/>
                    </w:rPr>
                  </w:pPr>
                </w:p>
              </w:tc>
              <w:tc>
                <w:tcPr>
                  <w:tcW w:w="1051" w:type="pct"/>
                  <w:vAlign w:val="center"/>
                </w:tcPr>
                <w:p>
                  <w:pPr>
                    <w:pStyle w:val="51"/>
                  </w:pPr>
                  <w:r>
                    <w:t>废培养基</w:t>
                  </w:r>
                </w:p>
              </w:tc>
              <w:tc>
                <w:tcPr>
                  <w:tcW w:w="465" w:type="pct"/>
                  <w:vAlign w:val="center"/>
                </w:tcPr>
                <w:p>
                  <w:pPr>
                    <w:jc w:val="center"/>
                    <w:rPr>
                      <w:kern w:val="0"/>
                      <w:szCs w:val="21"/>
                    </w:rPr>
                  </w:pPr>
                  <w:r>
                    <w:t>HW49</w:t>
                  </w:r>
                </w:p>
              </w:tc>
              <w:tc>
                <w:tcPr>
                  <w:tcW w:w="717" w:type="pct"/>
                  <w:vAlign w:val="center"/>
                </w:tcPr>
                <w:p>
                  <w:pPr>
                    <w:pStyle w:val="51"/>
                  </w:pPr>
                  <w:r>
                    <w:t>900-047-49</w:t>
                  </w:r>
                </w:p>
              </w:tc>
              <w:tc>
                <w:tcPr>
                  <w:tcW w:w="359" w:type="pct"/>
                  <w:vMerge w:val="continue"/>
                  <w:vAlign w:val="center"/>
                </w:tcPr>
                <w:p>
                  <w:pPr>
                    <w:pStyle w:val="51"/>
                  </w:pPr>
                </w:p>
              </w:tc>
              <w:tc>
                <w:tcPr>
                  <w:tcW w:w="412" w:type="pct"/>
                  <w:vMerge w:val="continue"/>
                  <w:vAlign w:val="center"/>
                </w:tcPr>
                <w:p>
                  <w:pPr>
                    <w:widowControl/>
                    <w:jc w:val="center"/>
                    <w:rPr>
                      <w:kern w:val="0"/>
                      <w:szCs w:val="21"/>
                    </w:rPr>
                  </w:pPr>
                </w:p>
              </w:tc>
              <w:tc>
                <w:tcPr>
                  <w:tcW w:w="495" w:type="pct"/>
                  <w:vMerge w:val="continue"/>
                  <w:vAlign w:val="center"/>
                </w:tcPr>
                <w:p>
                  <w:pPr>
                    <w:pStyle w:val="51"/>
                  </w:pPr>
                </w:p>
              </w:tc>
              <w:tc>
                <w:tcPr>
                  <w:tcW w:w="422" w:type="pct"/>
                  <w:vAlign w:val="center"/>
                </w:tcPr>
                <w:p>
                  <w:pPr>
                    <w:pStyle w:val="51"/>
                  </w:pPr>
                  <w:r>
                    <w:t>0.1</w:t>
                  </w:r>
                </w:p>
              </w:tc>
              <w:tc>
                <w:tcPr>
                  <w:tcW w:w="334" w:type="pct"/>
                  <w:vAlign w:val="center"/>
                </w:tcPr>
                <w:p>
                  <w:pPr>
                    <w:pStyle w:val="51"/>
                  </w:pPr>
                  <w:r>
                    <w:t>1年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pPr>
                    <w:autoSpaceDE w:val="0"/>
                    <w:autoSpaceDN w:val="0"/>
                    <w:adjustRightInd w:val="0"/>
                    <w:snapToGrid w:val="0"/>
                    <w:spacing w:before="60" w:line="276" w:lineRule="auto"/>
                    <w:jc w:val="center"/>
                    <w:textAlignment w:val="baseline"/>
                    <w:rPr>
                      <w:kern w:val="0"/>
                      <w:szCs w:val="21"/>
                    </w:rPr>
                  </w:pPr>
                  <w:r>
                    <w:rPr>
                      <w:kern w:val="0"/>
                      <w:szCs w:val="21"/>
                    </w:rPr>
                    <w:t>8</w:t>
                  </w:r>
                </w:p>
              </w:tc>
              <w:tc>
                <w:tcPr>
                  <w:tcW w:w="468" w:type="pct"/>
                  <w:vMerge w:val="continue"/>
                  <w:vAlign w:val="center"/>
                </w:tcPr>
                <w:p>
                  <w:pPr>
                    <w:widowControl/>
                    <w:jc w:val="center"/>
                    <w:rPr>
                      <w:kern w:val="0"/>
                      <w:szCs w:val="21"/>
                    </w:rPr>
                  </w:pPr>
                </w:p>
              </w:tc>
              <w:tc>
                <w:tcPr>
                  <w:tcW w:w="1051" w:type="pct"/>
                  <w:vAlign w:val="center"/>
                </w:tcPr>
                <w:p>
                  <w:pPr>
                    <w:pStyle w:val="51"/>
                  </w:pPr>
                  <w:r>
                    <w:rPr>
                      <w:rFonts w:hint="eastAsia"/>
                    </w:rPr>
                    <w:t>实验室器皿一次、二次清洗废水</w:t>
                  </w:r>
                </w:p>
              </w:tc>
              <w:tc>
                <w:tcPr>
                  <w:tcW w:w="465" w:type="pct"/>
                  <w:vAlign w:val="center"/>
                </w:tcPr>
                <w:p>
                  <w:pPr>
                    <w:jc w:val="center"/>
                  </w:pPr>
                  <w:r>
                    <w:t>HW49</w:t>
                  </w:r>
                </w:p>
              </w:tc>
              <w:tc>
                <w:tcPr>
                  <w:tcW w:w="717" w:type="pct"/>
                  <w:vAlign w:val="center"/>
                </w:tcPr>
                <w:p>
                  <w:pPr>
                    <w:pStyle w:val="51"/>
                  </w:pPr>
                  <w:r>
                    <w:t>900-047-49</w:t>
                  </w:r>
                </w:p>
              </w:tc>
              <w:tc>
                <w:tcPr>
                  <w:tcW w:w="359" w:type="pct"/>
                  <w:vMerge w:val="continue"/>
                  <w:vAlign w:val="center"/>
                </w:tcPr>
                <w:p>
                  <w:pPr>
                    <w:pStyle w:val="51"/>
                  </w:pPr>
                </w:p>
              </w:tc>
              <w:tc>
                <w:tcPr>
                  <w:tcW w:w="412" w:type="pct"/>
                  <w:vMerge w:val="continue"/>
                  <w:vAlign w:val="center"/>
                </w:tcPr>
                <w:p>
                  <w:pPr>
                    <w:widowControl/>
                    <w:jc w:val="center"/>
                    <w:rPr>
                      <w:kern w:val="0"/>
                      <w:szCs w:val="21"/>
                    </w:rPr>
                  </w:pPr>
                </w:p>
              </w:tc>
              <w:tc>
                <w:tcPr>
                  <w:tcW w:w="495" w:type="pct"/>
                  <w:vMerge w:val="continue"/>
                  <w:vAlign w:val="center"/>
                </w:tcPr>
                <w:p>
                  <w:pPr>
                    <w:pStyle w:val="51"/>
                  </w:pPr>
                </w:p>
              </w:tc>
              <w:tc>
                <w:tcPr>
                  <w:tcW w:w="422" w:type="pct"/>
                  <w:vAlign w:val="center"/>
                </w:tcPr>
                <w:p>
                  <w:pPr>
                    <w:pStyle w:val="51"/>
                  </w:pPr>
                  <w:r>
                    <w:rPr>
                      <w:rFonts w:hint="eastAsia"/>
                    </w:rPr>
                    <w:t>0</w:t>
                  </w:r>
                  <w:r>
                    <w:t>.5</w:t>
                  </w:r>
                </w:p>
              </w:tc>
              <w:tc>
                <w:tcPr>
                  <w:tcW w:w="334" w:type="pct"/>
                  <w:vAlign w:val="center"/>
                </w:tcPr>
                <w:p>
                  <w:pPr>
                    <w:pStyle w:val="51"/>
                  </w:pPr>
                  <w:r>
                    <w:t>6月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pPr>
                    <w:autoSpaceDE w:val="0"/>
                    <w:autoSpaceDN w:val="0"/>
                    <w:adjustRightInd w:val="0"/>
                    <w:snapToGrid w:val="0"/>
                    <w:spacing w:before="60" w:line="276" w:lineRule="auto"/>
                    <w:jc w:val="center"/>
                    <w:textAlignment w:val="baseline"/>
                    <w:rPr>
                      <w:kern w:val="0"/>
                      <w:szCs w:val="21"/>
                    </w:rPr>
                  </w:pPr>
                  <w:r>
                    <w:rPr>
                      <w:kern w:val="0"/>
                      <w:szCs w:val="21"/>
                    </w:rPr>
                    <w:t>9</w:t>
                  </w:r>
                </w:p>
              </w:tc>
              <w:tc>
                <w:tcPr>
                  <w:tcW w:w="468" w:type="pct"/>
                  <w:vMerge w:val="continue"/>
                  <w:vAlign w:val="center"/>
                </w:tcPr>
                <w:p>
                  <w:pPr>
                    <w:widowControl/>
                    <w:jc w:val="center"/>
                    <w:rPr>
                      <w:kern w:val="0"/>
                      <w:szCs w:val="21"/>
                    </w:rPr>
                  </w:pPr>
                </w:p>
              </w:tc>
              <w:tc>
                <w:tcPr>
                  <w:tcW w:w="1051" w:type="pct"/>
                  <w:vAlign w:val="center"/>
                </w:tcPr>
                <w:p>
                  <w:pPr>
                    <w:pStyle w:val="51"/>
                  </w:pPr>
                  <w:r>
                    <w:t>废试剂瓶</w:t>
                  </w:r>
                </w:p>
              </w:tc>
              <w:tc>
                <w:tcPr>
                  <w:tcW w:w="465" w:type="pct"/>
                  <w:vAlign w:val="center"/>
                </w:tcPr>
                <w:p>
                  <w:pPr>
                    <w:jc w:val="center"/>
                    <w:rPr>
                      <w:kern w:val="0"/>
                      <w:szCs w:val="21"/>
                    </w:rPr>
                  </w:pPr>
                  <w:r>
                    <w:t>HW49</w:t>
                  </w:r>
                </w:p>
              </w:tc>
              <w:tc>
                <w:tcPr>
                  <w:tcW w:w="717" w:type="pct"/>
                  <w:vAlign w:val="center"/>
                </w:tcPr>
                <w:p>
                  <w:pPr>
                    <w:pStyle w:val="51"/>
                  </w:pPr>
                  <w:r>
                    <w:t>900-047-49</w:t>
                  </w:r>
                </w:p>
              </w:tc>
              <w:tc>
                <w:tcPr>
                  <w:tcW w:w="359" w:type="pct"/>
                  <w:vMerge w:val="continue"/>
                  <w:vAlign w:val="center"/>
                </w:tcPr>
                <w:p>
                  <w:pPr>
                    <w:pStyle w:val="51"/>
                  </w:pPr>
                </w:p>
              </w:tc>
              <w:tc>
                <w:tcPr>
                  <w:tcW w:w="412" w:type="pct"/>
                  <w:vMerge w:val="continue"/>
                  <w:vAlign w:val="center"/>
                </w:tcPr>
                <w:p>
                  <w:pPr>
                    <w:widowControl/>
                    <w:jc w:val="center"/>
                    <w:rPr>
                      <w:kern w:val="0"/>
                      <w:szCs w:val="21"/>
                    </w:rPr>
                  </w:pPr>
                </w:p>
              </w:tc>
              <w:tc>
                <w:tcPr>
                  <w:tcW w:w="495" w:type="pct"/>
                  <w:vMerge w:val="continue"/>
                  <w:vAlign w:val="center"/>
                </w:tcPr>
                <w:p>
                  <w:pPr>
                    <w:pStyle w:val="51"/>
                  </w:pPr>
                </w:p>
              </w:tc>
              <w:tc>
                <w:tcPr>
                  <w:tcW w:w="422" w:type="pct"/>
                  <w:vAlign w:val="center"/>
                </w:tcPr>
                <w:p>
                  <w:pPr>
                    <w:pStyle w:val="51"/>
                  </w:pPr>
                  <w:r>
                    <w:t>0.3</w:t>
                  </w:r>
                </w:p>
              </w:tc>
              <w:tc>
                <w:tcPr>
                  <w:tcW w:w="334" w:type="pct"/>
                  <w:vAlign w:val="center"/>
                </w:tcPr>
                <w:p>
                  <w:pPr>
                    <w:pStyle w:val="51"/>
                  </w:pPr>
                  <w:r>
                    <w:t>1年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pPr>
                    <w:autoSpaceDE w:val="0"/>
                    <w:autoSpaceDN w:val="0"/>
                    <w:adjustRightInd w:val="0"/>
                    <w:snapToGrid w:val="0"/>
                    <w:spacing w:before="60" w:line="276" w:lineRule="auto"/>
                    <w:jc w:val="center"/>
                    <w:textAlignment w:val="baseline"/>
                    <w:rPr>
                      <w:kern w:val="0"/>
                      <w:szCs w:val="21"/>
                    </w:rPr>
                  </w:pPr>
                  <w:r>
                    <w:rPr>
                      <w:kern w:val="0"/>
                      <w:szCs w:val="21"/>
                    </w:rPr>
                    <w:t>10</w:t>
                  </w:r>
                </w:p>
              </w:tc>
              <w:tc>
                <w:tcPr>
                  <w:tcW w:w="468" w:type="pct"/>
                  <w:vMerge w:val="continue"/>
                  <w:vAlign w:val="center"/>
                </w:tcPr>
                <w:p>
                  <w:pPr>
                    <w:widowControl/>
                    <w:jc w:val="center"/>
                    <w:rPr>
                      <w:kern w:val="0"/>
                      <w:szCs w:val="21"/>
                    </w:rPr>
                  </w:pPr>
                </w:p>
              </w:tc>
              <w:tc>
                <w:tcPr>
                  <w:tcW w:w="1051" w:type="pct"/>
                  <w:vAlign w:val="center"/>
                </w:tcPr>
                <w:p>
                  <w:pPr>
                    <w:pStyle w:val="51"/>
                  </w:pPr>
                  <w:r>
                    <w:t>废危险化学品</w:t>
                  </w:r>
                </w:p>
              </w:tc>
              <w:tc>
                <w:tcPr>
                  <w:tcW w:w="465" w:type="pct"/>
                  <w:vAlign w:val="center"/>
                </w:tcPr>
                <w:p>
                  <w:pPr>
                    <w:jc w:val="center"/>
                    <w:rPr>
                      <w:kern w:val="0"/>
                      <w:szCs w:val="21"/>
                    </w:rPr>
                  </w:pPr>
                  <w:r>
                    <w:t>HW49</w:t>
                  </w:r>
                </w:p>
              </w:tc>
              <w:tc>
                <w:tcPr>
                  <w:tcW w:w="717" w:type="pct"/>
                  <w:vAlign w:val="center"/>
                </w:tcPr>
                <w:p>
                  <w:pPr>
                    <w:pStyle w:val="51"/>
                  </w:pPr>
                  <w:r>
                    <w:t>900-047-49</w:t>
                  </w:r>
                </w:p>
              </w:tc>
              <w:tc>
                <w:tcPr>
                  <w:tcW w:w="359" w:type="pct"/>
                  <w:vMerge w:val="continue"/>
                  <w:vAlign w:val="center"/>
                </w:tcPr>
                <w:p>
                  <w:pPr>
                    <w:pStyle w:val="51"/>
                  </w:pPr>
                </w:p>
              </w:tc>
              <w:tc>
                <w:tcPr>
                  <w:tcW w:w="412" w:type="pct"/>
                  <w:vMerge w:val="continue"/>
                  <w:vAlign w:val="center"/>
                </w:tcPr>
                <w:p>
                  <w:pPr>
                    <w:widowControl/>
                    <w:jc w:val="center"/>
                    <w:rPr>
                      <w:kern w:val="0"/>
                      <w:szCs w:val="21"/>
                    </w:rPr>
                  </w:pPr>
                </w:p>
              </w:tc>
              <w:tc>
                <w:tcPr>
                  <w:tcW w:w="495" w:type="pct"/>
                  <w:vMerge w:val="continue"/>
                  <w:vAlign w:val="center"/>
                </w:tcPr>
                <w:p>
                  <w:pPr>
                    <w:pStyle w:val="51"/>
                  </w:pPr>
                </w:p>
              </w:tc>
              <w:tc>
                <w:tcPr>
                  <w:tcW w:w="422" w:type="pct"/>
                  <w:vAlign w:val="center"/>
                </w:tcPr>
                <w:p>
                  <w:pPr>
                    <w:pStyle w:val="51"/>
                  </w:pPr>
                  <w:r>
                    <w:t>0.1</w:t>
                  </w:r>
                </w:p>
              </w:tc>
              <w:tc>
                <w:tcPr>
                  <w:tcW w:w="334" w:type="pct"/>
                  <w:vAlign w:val="center"/>
                </w:tcPr>
                <w:p>
                  <w:pPr>
                    <w:pStyle w:val="51"/>
                  </w:pPr>
                  <w:r>
                    <w:t>6月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pPr>
                    <w:autoSpaceDE w:val="0"/>
                    <w:autoSpaceDN w:val="0"/>
                    <w:adjustRightInd w:val="0"/>
                    <w:snapToGrid w:val="0"/>
                    <w:spacing w:before="60" w:line="276" w:lineRule="auto"/>
                    <w:jc w:val="center"/>
                    <w:textAlignment w:val="baseline"/>
                    <w:rPr>
                      <w:kern w:val="0"/>
                      <w:szCs w:val="21"/>
                    </w:rPr>
                  </w:pPr>
                  <w:r>
                    <w:rPr>
                      <w:kern w:val="0"/>
                      <w:szCs w:val="21"/>
                    </w:rPr>
                    <w:t>11</w:t>
                  </w:r>
                </w:p>
              </w:tc>
              <w:tc>
                <w:tcPr>
                  <w:tcW w:w="468" w:type="pct"/>
                  <w:vMerge w:val="continue"/>
                  <w:vAlign w:val="center"/>
                </w:tcPr>
                <w:p>
                  <w:pPr>
                    <w:widowControl/>
                    <w:jc w:val="center"/>
                    <w:rPr>
                      <w:kern w:val="0"/>
                      <w:szCs w:val="21"/>
                    </w:rPr>
                  </w:pPr>
                </w:p>
              </w:tc>
              <w:tc>
                <w:tcPr>
                  <w:tcW w:w="1051" w:type="pct"/>
                  <w:vAlign w:val="center"/>
                </w:tcPr>
                <w:p>
                  <w:pPr>
                    <w:pStyle w:val="51"/>
                  </w:pPr>
                  <w:r>
                    <w:t>废UV光灯管</w:t>
                  </w:r>
                </w:p>
              </w:tc>
              <w:tc>
                <w:tcPr>
                  <w:tcW w:w="465" w:type="pct"/>
                  <w:vAlign w:val="center"/>
                </w:tcPr>
                <w:p>
                  <w:pPr>
                    <w:jc w:val="center"/>
                    <w:rPr>
                      <w:kern w:val="0"/>
                      <w:szCs w:val="21"/>
                    </w:rPr>
                  </w:pPr>
                  <w:r>
                    <w:t>HW29</w:t>
                  </w:r>
                </w:p>
              </w:tc>
              <w:tc>
                <w:tcPr>
                  <w:tcW w:w="717" w:type="pct"/>
                  <w:vAlign w:val="center"/>
                </w:tcPr>
                <w:p>
                  <w:pPr>
                    <w:pStyle w:val="51"/>
                  </w:pPr>
                  <w:r>
                    <w:t>900-023-29</w:t>
                  </w:r>
                </w:p>
              </w:tc>
              <w:tc>
                <w:tcPr>
                  <w:tcW w:w="359" w:type="pct"/>
                  <w:vMerge w:val="continue"/>
                  <w:vAlign w:val="center"/>
                </w:tcPr>
                <w:p>
                  <w:pPr>
                    <w:pStyle w:val="51"/>
                  </w:pPr>
                </w:p>
              </w:tc>
              <w:tc>
                <w:tcPr>
                  <w:tcW w:w="412" w:type="pct"/>
                  <w:vMerge w:val="continue"/>
                  <w:vAlign w:val="center"/>
                </w:tcPr>
                <w:p>
                  <w:pPr>
                    <w:widowControl/>
                    <w:jc w:val="center"/>
                    <w:rPr>
                      <w:kern w:val="0"/>
                      <w:szCs w:val="21"/>
                    </w:rPr>
                  </w:pPr>
                </w:p>
              </w:tc>
              <w:tc>
                <w:tcPr>
                  <w:tcW w:w="495" w:type="pct"/>
                  <w:vAlign w:val="center"/>
                </w:tcPr>
                <w:p>
                  <w:pPr>
                    <w:pStyle w:val="51"/>
                  </w:pPr>
                  <w:r>
                    <w:t>桶装</w:t>
                  </w:r>
                </w:p>
              </w:tc>
              <w:tc>
                <w:tcPr>
                  <w:tcW w:w="422" w:type="pct"/>
                  <w:vAlign w:val="center"/>
                </w:tcPr>
                <w:p>
                  <w:pPr>
                    <w:pStyle w:val="51"/>
                  </w:pPr>
                  <w:r>
                    <w:t>0.2</w:t>
                  </w:r>
                </w:p>
              </w:tc>
              <w:tc>
                <w:tcPr>
                  <w:tcW w:w="334" w:type="pct"/>
                  <w:vAlign w:val="center"/>
                </w:tcPr>
                <w:p>
                  <w:pPr>
                    <w:pStyle w:val="51"/>
                  </w:pPr>
                  <w:r>
                    <w:t>1年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pPr>
                    <w:autoSpaceDE w:val="0"/>
                    <w:autoSpaceDN w:val="0"/>
                    <w:adjustRightInd w:val="0"/>
                    <w:snapToGrid w:val="0"/>
                    <w:spacing w:before="60" w:line="276" w:lineRule="auto"/>
                    <w:jc w:val="center"/>
                    <w:textAlignment w:val="baseline"/>
                    <w:rPr>
                      <w:kern w:val="0"/>
                      <w:szCs w:val="21"/>
                    </w:rPr>
                  </w:pPr>
                  <w:r>
                    <w:rPr>
                      <w:kern w:val="0"/>
                      <w:szCs w:val="21"/>
                    </w:rPr>
                    <w:t>12</w:t>
                  </w:r>
                </w:p>
              </w:tc>
              <w:tc>
                <w:tcPr>
                  <w:tcW w:w="468" w:type="pct"/>
                  <w:vMerge w:val="continue"/>
                  <w:vAlign w:val="center"/>
                </w:tcPr>
                <w:p>
                  <w:pPr>
                    <w:widowControl/>
                    <w:jc w:val="center"/>
                    <w:rPr>
                      <w:kern w:val="0"/>
                      <w:szCs w:val="21"/>
                    </w:rPr>
                  </w:pPr>
                </w:p>
              </w:tc>
              <w:tc>
                <w:tcPr>
                  <w:tcW w:w="1051" w:type="pct"/>
                  <w:vAlign w:val="center"/>
                </w:tcPr>
                <w:p>
                  <w:pPr>
                    <w:pStyle w:val="51"/>
                  </w:pPr>
                  <w:r>
                    <w:t>废活性炭</w:t>
                  </w:r>
                </w:p>
              </w:tc>
              <w:tc>
                <w:tcPr>
                  <w:tcW w:w="465" w:type="pct"/>
                  <w:vAlign w:val="center"/>
                </w:tcPr>
                <w:p>
                  <w:pPr>
                    <w:jc w:val="center"/>
                    <w:rPr>
                      <w:kern w:val="0"/>
                      <w:szCs w:val="21"/>
                    </w:rPr>
                  </w:pPr>
                  <w:r>
                    <w:t>HW49</w:t>
                  </w:r>
                </w:p>
              </w:tc>
              <w:tc>
                <w:tcPr>
                  <w:tcW w:w="717" w:type="pct"/>
                  <w:vAlign w:val="center"/>
                </w:tcPr>
                <w:p>
                  <w:pPr>
                    <w:pStyle w:val="51"/>
                  </w:pPr>
                  <w:r>
                    <w:t>900-039-49</w:t>
                  </w:r>
                </w:p>
              </w:tc>
              <w:tc>
                <w:tcPr>
                  <w:tcW w:w="359" w:type="pct"/>
                  <w:vMerge w:val="continue"/>
                  <w:vAlign w:val="center"/>
                </w:tcPr>
                <w:p>
                  <w:pPr>
                    <w:pStyle w:val="51"/>
                  </w:pPr>
                </w:p>
              </w:tc>
              <w:tc>
                <w:tcPr>
                  <w:tcW w:w="412" w:type="pct"/>
                  <w:vMerge w:val="continue"/>
                  <w:vAlign w:val="center"/>
                </w:tcPr>
                <w:p>
                  <w:pPr>
                    <w:widowControl/>
                    <w:jc w:val="center"/>
                    <w:rPr>
                      <w:kern w:val="0"/>
                      <w:szCs w:val="21"/>
                    </w:rPr>
                  </w:pPr>
                </w:p>
              </w:tc>
              <w:tc>
                <w:tcPr>
                  <w:tcW w:w="495" w:type="pct"/>
                  <w:vAlign w:val="center"/>
                </w:tcPr>
                <w:p>
                  <w:pPr>
                    <w:pStyle w:val="51"/>
                  </w:pPr>
                  <w:r>
                    <w:t>桶装</w:t>
                  </w:r>
                </w:p>
              </w:tc>
              <w:tc>
                <w:tcPr>
                  <w:tcW w:w="422" w:type="pct"/>
                  <w:vAlign w:val="center"/>
                </w:tcPr>
                <w:p>
                  <w:pPr>
                    <w:pStyle w:val="51"/>
                  </w:pPr>
                  <w:r>
                    <w:t>0.2</w:t>
                  </w:r>
                </w:p>
              </w:tc>
              <w:tc>
                <w:tcPr>
                  <w:tcW w:w="334" w:type="pct"/>
                  <w:vAlign w:val="center"/>
                </w:tcPr>
                <w:p>
                  <w:pPr>
                    <w:pStyle w:val="51"/>
                  </w:pPr>
                  <w:r>
                    <w:t>1年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77" w:type="pct"/>
                  <w:vAlign w:val="center"/>
                </w:tcPr>
                <w:p>
                  <w:pPr>
                    <w:autoSpaceDE w:val="0"/>
                    <w:autoSpaceDN w:val="0"/>
                    <w:adjustRightInd w:val="0"/>
                    <w:snapToGrid w:val="0"/>
                    <w:spacing w:before="60" w:line="276" w:lineRule="auto"/>
                    <w:jc w:val="center"/>
                    <w:textAlignment w:val="baseline"/>
                    <w:rPr>
                      <w:kern w:val="0"/>
                      <w:szCs w:val="21"/>
                    </w:rPr>
                  </w:pPr>
                  <w:r>
                    <w:rPr>
                      <w:rFonts w:hint="eastAsia"/>
                      <w:kern w:val="0"/>
                      <w:szCs w:val="21"/>
                    </w:rPr>
                    <w:t>1</w:t>
                  </w:r>
                  <w:r>
                    <w:rPr>
                      <w:kern w:val="0"/>
                      <w:szCs w:val="21"/>
                    </w:rPr>
                    <w:t>3</w:t>
                  </w:r>
                </w:p>
              </w:tc>
              <w:tc>
                <w:tcPr>
                  <w:tcW w:w="468" w:type="pct"/>
                  <w:vMerge w:val="continue"/>
                  <w:vAlign w:val="center"/>
                </w:tcPr>
                <w:p>
                  <w:pPr>
                    <w:widowControl/>
                    <w:jc w:val="center"/>
                    <w:rPr>
                      <w:kern w:val="0"/>
                      <w:szCs w:val="21"/>
                    </w:rPr>
                  </w:pPr>
                </w:p>
              </w:tc>
              <w:tc>
                <w:tcPr>
                  <w:tcW w:w="1051" w:type="pct"/>
                  <w:vAlign w:val="center"/>
                </w:tcPr>
                <w:p>
                  <w:pPr>
                    <w:pStyle w:val="51"/>
                  </w:pPr>
                  <w:r>
                    <w:t>污泥</w:t>
                  </w:r>
                </w:p>
              </w:tc>
              <w:tc>
                <w:tcPr>
                  <w:tcW w:w="465" w:type="pct"/>
                  <w:vAlign w:val="center"/>
                </w:tcPr>
                <w:p>
                  <w:pPr>
                    <w:jc w:val="center"/>
                    <w:rPr>
                      <w:kern w:val="0"/>
                      <w:szCs w:val="21"/>
                    </w:rPr>
                  </w:pPr>
                  <w:r>
                    <w:t>HW49</w:t>
                  </w:r>
                </w:p>
              </w:tc>
              <w:tc>
                <w:tcPr>
                  <w:tcW w:w="717" w:type="pct"/>
                  <w:vAlign w:val="center"/>
                </w:tcPr>
                <w:p>
                  <w:pPr>
                    <w:pStyle w:val="51"/>
                  </w:pPr>
                  <w:r>
                    <w:t>900-047-49</w:t>
                  </w:r>
                </w:p>
              </w:tc>
              <w:tc>
                <w:tcPr>
                  <w:tcW w:w="359" w:type="pct"/>
                  <w:vMerge w:val="continue"/>
                  <w:vAlign w:val="center"/>
                </w:tcPr>
                <w:p>
                  <w:pPr>
                    <w:pStyle w:val="51"/>
                  </w:pPr>
                </w:p>
              </w:tc>
              <w:tc>
                <w:tcPr>
                  <w:tcW w:w="412" w:type="pct"/>
                  <w:vMerge w:val="continue"/>
                  <w:vAlign w:val="center"/>
                </w:tcPr>
                <w:p>
                  <w:pPr>
                    <w:widowControl/>
                    <w:jc w:val="center"/>
                    <w:rPr>
                      <w:kern w:val="0"/>
                      <w:szCs w:val="21"/>
                    </w:rPr>
                  </w:pPr>
                </w:p>
              </w:tc>
              <w:tc>
                <w:tcPr>
                  <w:tcW w:w="495" w:type="pct"/>
                  <w:vAlign w:val="center"/>
                </w:tcPr>
                <w:p>
                  <w:pPr>
                    <w:pStyle w:val="51"/>
                  </w:pPr>
                  <w:r>
                    <w:t>桶装</w:t>
                  </w:r>
                </w:p>
              </w:tc>
              <w:tc>
                <w:tcPr>
                  <w:tcW w:w="422" w:type="pct"/>
                  <w:vAlign w:val="center"/>
                </w:tcPr>
                <w:p>
                  <w:pPr>
                    <w:pStyle w:val="51"/>
                  </w:pPr>
                  <w:r>
                    <w:t>1.0</w:t>
                  </w:r>
                </w:p>
              </w:tc>
              <w:tc>
                <w:tcPr>
                  <w:tcW w:w="334" w:type="pct"/>
                  <w:vAlign w:val="center"/>
                </w:tcPr>
                <w:p>
                  <w:pPr>
                    <w:pStyle w:val="51"/>
                  </w:pPr>
                  <w:r>
                    <w:t>1年</w:t>
                  </w:r>
                </w:p>
              </w:tc>
            </w:tr>
          </w:tbl>
          <w:p>
            <w:pPr>
              <w:spacing w:line="420" w:lineRule="exact"/>
              <w:ind w:firstLine="482" w:firstLineChars="200"/>
              <w:rPr>
                <w:b/>
                <w:color w:val="000000"/>
                <w:sz w:val="24"/>
              </w:rPr>
            </w:pPr>
            <w:r>
              <w:rPr>
                <w:b/>
                <w:color w:val="000000"/>
                <w:sz w:val="24"/>
              </w:rPr>
              <w:t>3、固废处理措施</w:t>
            </w:r>
          </w:p>
          <w:p>
            <w:pPr>
              <w:spacing w:line="460" w:lineRule="exact"/>
              <w:ind w:firstLine="480" w:firstLineChars="200"/>
              <w:rPr>
                <w:sz w:val="24"/>
              </w:rPr>
            </w:pPr>
            <w:r>
              <w:rPr>
                <w:sz w:val="24"/>
              </w:rPr>
              <w:t>为避免本项目的固废在储存过程中产生二次污染问题，评价建议项目建设单位设置1座10m</w:t>
            </w:r>
            <w:r>
              <w:rPr>
                <w:sz w:val="24"/>
                <w:vertAlign w:val="superscript"/>
              </w:rPr>
              <w:t>2</w:t>
            </w:r>
            <w:r>
              <w:rPr>
                <w:sz w:val="24"/>
              </w:rPr>
              <w:t>的一般固废暂存区（间）和1座10m</w:t>
            </w:r>
            <w:r>
              <w:rPr>
                <w:sz w:val="24"/>
                <w:vertAlign w:val="superscript"/>
              </w:rPr>
              <w:t>2</w:t>
            </w:r>
            <w:r>
              <w:rPr>
                <w:sz w:val="24"/>
              </w:rPr>
              <w:t>的危废暂存间，对项目固废实现分类存放。</w:t>
            </w:r>
          </w:p>
          <w:p>
            <w:pPr>
              <w:spacing w:line="460" w:lineRule="exact"/>
              <w:ind w:firstLine="480" w:firstLineChars="200"/>
              <w:rPr>
                <w:sz w:val="24"/>
              </w:rPr>
            </w:pPr>
            <w:r>
              <w:rPr>
                <w:sz w:val="24"/>
              </w:rPr>
              <w:t>根据《一般工业固体废物贮存和填埋污染控制标准》（GB18599-2020）：一般工业固体废物贮存过程应满足相应防渗漏、防雨淋、防扬尘等环境保护要求。因此本项目一般固废的存放过程应满足防渗漏、防雨淋、防扬尘的“三防要求”。</w:t>
            </w:r>
          </w:p>
          <w:p>
            <w:pPr>
              <w:spacing w:line="460" w:lineRule="exact"/>
              <w:ind w:firstLine="480" w:firstLineChars="200"/>
              <w:rPr>
                <w:sz w:val="24"/>
              </w:rPr>
            </w:pPr>
            <w:r>
              <w:rPr>
                <w:sz w:val="24"/>
              </w:rPr>
              <w:t>危废暂存间应满足《危险废物贮存污染控制标准》（GB18597-2001）及其2013修改单的要求。危险废物在危废暂存间采用专用密闭容器储存，危废暂存间采取防风、防晒、防雨淋、防扬散、防流失、防渗漏措施。</w:t>
            </w:r>
          </w:p>
          <w:p>
            <w:pPr>
              <w:spacing w:line="420" w:lineRule="exact"/>
              <w:ind w:firstLine="482" w:firstLineChars="200"/>
              <w:rPr>
                <w:b/>
                <w:color w:val="000000"/>
                <w:sz w:val="24"/>
              </w:rPr>
            </w:pPr>
            <w:r>
              <w:rPr>
                <w:b/>
                <w:color w:val="000000"/>
                <w:sz w:val="24"/>
              </w:rPr>
              <w:t>4、环境管理要求</w:t>
            </w:r>
          </w:p>
          <w:p>
            <w:pPr>
              <w:spacing w:line="460" w:lineRule="exact"/>
              <w:ind w:firstLine="480" w:firstLineChars="200"/>
              <w:rPr>
                <w:sz w:val="24"/>
              </w:rPr>
            </w:pPr>
            <w:r>
              <w:rPr>
                <w:sz w:val="24"/>
              </w:rPr>
              <w:t>本次新建项目要求企业按照评价指南和《危险废物收集贮存运输技术规范》（HJ2025）要求，对危险废物内部转运应采取以下措施：</w:t>
            </w:r>
          </w:p>
          <w:p>
            <w:pPr>
              <w:spacing w:line="460" w:lineRule="exact"/>
              <w:ind w:firstLine="480" w:firstLineChars="200"/>
              <w:rPr>
                <w:sz w:val="24"/>
              </w:rPr>
            </w:pPr>
            <w:r>
              <w:rPr>
                <w:rFonts w:hint="eastAsia" w:ascii="宋体" w:hAnsi="宋体" w:cs="宋体"/>
                <w:sz w:val="24"/>
              </w:rPr>
              <w:t>①</w:t>
            </w:r>
            <w:r>
              <w:rPr>
                <w:sz w:val="24"/>
              </w:rPr>
              <w:t>危险废物从厂区内产生工艺环节运输到危废暂存间，应有专人负责，专用桶收集、转运，避免可能引起的散落。</w:t>
            </w:r>
          </w:p>
          <w:p>
            <w:pPr>
              <w:spacing w:line="460" w:lineRule="exact"/>
              <w:ind w:firstLine="480" w:firstLineChars="200"/>
              <w:rPr>
                <w:sz w:val="24"/>
              </w:rPr>
            </w:pPr>
            <w:r>
              <w:rPr>
                <w:rFonts w:hint="eastAsia" w:ascii="宋体" w:hAnsi="宋体" w:cs="宋体"/>
                <w:sz w:val="24"/>
              </w:rPr>
              <w:t>②</w:t>
            </w:r>
            <w:r>
              <w:rPr>
                <w:sz w:val="24"/>
              </w:rPr>
              <w:t>危险废物内部转运作业应采用专用的工具，危险废物内部转运应填写《危险废物厂内转运记录表》，危险废物内部转运结束后，应对转运路线进行检查和清理，确保无危险废物遗失在转运路线上。</w:t>
            </w:r>
          </w:p>
          <w:p>
            <w:pPr>
              <w:spacing w:line="460" w:lineRule="exact"/>
              <w:ind w:firstLine="480" w:firstLineChars="200"/>
              <w:rPr>
                <w:sz w:val="24"/>
              </w:rPr>
            </w:pPr>
            <w:r>
              <w:rPr>
                <w:sz w:val="24"/>
              </w:rPr>
              <w:t>企业的一般固废</w:t>
            </w:r>
            <w:r>
              <w:rPr>
                <w:rFonts w:hint="eastAsia"/>
                <w:sz w:val="24"/>
              </w:rPr>
              <w:t>间</w:t>
            </w:r>
            <w:r>
              <w:rPr>
                <w:sz w:val="24"/>
              </w:rPr>
              <w:t>和危废暂存间需要满足以下要求：</w:t>
            </w:r>
          </w:p>
          <w:p>
            <w:pPr>
              <w:spacing w:line="460" w:lineRule="exact"/>
              <w:ind w:firstLine="480" w:firstLineChars="200"/>
              <w:rPr>
                <w:sz w:val="24"/>
              </w:rPr>
            </w:pPr>
            <w:r>
              <w:rPr>
                <w:rFonts w:hint="eastAsia" w:ascii="宋体" w:hAnsi="宋体" w:cs="宋体"/>
                <w:sz w:val="24"/>
              </w:rPr>
              <w:t>①</w:t>
            </w:r>
            <w:r>
              <w:rPr>
                <w:sz w:val="24"/>
              </w:rPr>
              <w:t>一般固废间的地面应进行硬化，应有防渗漏、防风、防晒、防雨淋设施。</w:t>
            </w:r>
          </w:p>
          <w:p>
            <w:pPr>
              <w:spacing w:line="460" w:lineRule="exact"/>
              <w:ind w:firstLine="480" w:firstLineChars="200"/>
              <w:rPr>
                <w:sz w:val="24"/>
              </w:rPr>
            </w:pPr>
            <w:r>
              <w:rPr>
                <w:rFonts w:hint="eastAsia" w:ascii="宋体" w:hAnsi="宋体" w:cs="宋体"/>
                <w:sz w:val="24"/>
              </w:rPr>
              <w:t>②</w:t>
            </w:r>
            <w:r>
              <w:rPr>
                <w:sz w:val="24"/>
              </w:rPr>
              <w:t>危险废物容器内应留一定空间。</w:t>
            </w:r>
          </w:p>
          <w:p>
            <w:pPr>
              <w:spacing w:line="460" w:lineRule="exact"/>
              <w:ind w:firstLine="480" w:firstLineChars="200"/>
              <w:rPr>
                <w:sz w:val="24"/>
              </w:rPr>
            </w:pPr>
            <w:r>
              <w:rPr>
                <w:rFonts w:hint="eastAsia" w:ascii="宋体" w:hAnsi="宋体" w:cs="宋体"/>
                <w:sz w:val="24"/>
              </w:rPr>
              <w:t>③</w:t>
            </w:r>
            <w:r>
              <w:rPr>
                <w:sz w:val="24"/>
              </w:rPr>
              <w:t>各种盛装废物的容器必须完好无损，各个危险废物容器外侧须标明危险废物的名称，存入时间、重量、成分、特性以及发生泄漏、扩散污染事故时的应急措施和补救方法。</w:t>
            </w:r>
          </w:p>
          <w:p>
            <w:pPr>
              <w:spacing w:line="460" w:lineRule="exact"/>
              <w:ind w:firstLine="480" w:firstLineChars="200"/>
              <w:rPr>
                <w:sz w:val="24"/>
              </w:rPr>
            </w:pPr>
            <w:r>
              <w:rPr>
                <w:rFonts w:hint="eastAsia" w:ascii="宋体" w:hAnsi="宋体" w:cs="宋体"/>
                <w:sz w:val="24"/>
              </w:rPr>
              <w:t>④</w:t>
            </w:r>
            <w:r>
              <w:rPr>
                <w:sz w:val="24"/>
              </w:rPr>
              <w:t>危险废物产生者须作好危险废物情况的记录，记录上须注明危险废物的名称、来源、数量、特性和包装容器的类别、入库日期、存放库位、废物出库日期及接收单位名称。危险废物的记录和货单在危险废物回取后应继续保留三年。</w:t>
            </w:r>
          </w:p>
          <w:p>
            <w:pPr>
              <w:spacing w:line="460" w:lineRule="exact"/>
              <w:ind w:firstLine="480" w:firstLineChars="200"/>
              <w:rPr>
                <w:sz w:val="24"/>
              </w:rPr>
            </w:pPr>
            <w:r>
              <w:rPr>
                <w:rFonts w:hint="eastAsia" w:ascii="宋体" w:hAnsi="宋体" w:cs="宋体"/>
                <w:sz w:val="24"/>
              </w:rPr>
              <w:t>⑤</w:t>
            </w:r>
            <w:r>
              <w:rPr>
                <w:sz w:val="24"/>
              </w:rPr>
              <w:t>危险废物暂存间应设立危险废物标志。形状：等边三角形，边长40cm；颜色：背景为黄色，图形为黑色；警告标志外檐2.5cm，材料应坚固、耐用、抗风化、抗淋蚀，如出现掉色、破损等情况应及时更换。</w:t>
            </w:r>
          </w:p>
          <w:p>
            <w:pPr>
              <w:spacing w:line="460" w:lineRule="exact"/>
              <w:ind w:firstLine="480" w:firstLineChars="200"/>
              <w:rPr>
                <w:sz w:val="24"/>
              </w:rPr>
            </w:pPr>
            <w:r>
              <w:rPr>
                <w:rFonts w:hint="eastAsia" w:ascii="宋体" w:hAnsi="宋体" w:cs="宋体"/>
                <w:sz w:val="24"/>
              </w:rPr>
              <w:t>⑥</w:t>
            </w:r>
            <w:r>
              <w:rPr>
                <w:sz w:val="24"/>
              </w:rPr>
              <w:t>各危险废物定期送至有资质的危废处理单位安全处置；在危废的转移处置过程中，应严格按照《中华人民共和国固体废物污染环境防治法》和《危险废物转移联单管理办法》有关规定执行。</w:t>
            </w:r>
          </w:p>
          <w:p>
            <w:pPr>
              <w:spacing w:line="460" w:lineRule="exact"/>
              <w:ind w:firstLine="482" w:firstLineChars="200"/>
              <w:rPr>
                <w:b/>
                <w:color w:val="000000"/>
                <w:sz w:val="24"/>
              </w:rPr>
            </w:pPr>
            <w:r>
              <w:rPr>
                <w:b/>
                <w:color w:val="000000"/>
                <w:sz w:val="24"/>
              </w:rPr>
              <w:t>五、地下水、土壤</w:t>
            </w:r>
          </w:p>
          <w:p>
            <w:pPr>
              <w:autoSpaceDE w:val="0"/>
              <w:autoSpaceDN w:val="0"/>
              <w:adjustRightInd w:val="0"/>
              <w:snapToGrid w:val="0"/>
              <w:spacing w:line="420" w:lineRule="exact"/>
              <w:ind w:firstLine="480" w:firstLineChars="200"/>
              <w:textAlignment w:val="baseline"/>
              <w:rPr>
                <w:color w:val="000000"/>
                <w:sz w:val="24"/>
              </w:rPr>
            </w:pPr>
            <w:r>
              <w:rPr>
                <w:color w:val="000000"/>
                <w:sz w:val="24"/>
              </w:rPr>
              <w:t>本项目可能对地下水、土壤有影响的污染物主要为危险废物</w:t>
            </w:r>
            <w:r>
              <w:rPr>
                <w:rFonts w:hint="eastAsia"/>
                <w:color w:val="000000"/>
                <w:sz w:val="24"/>
              </w:rPr>
              <w:t>以及实验室运营过程产生的废水</w:t>
            </w:r>
            <w:r>
              <w:rPr>
                <w:color w:val="000000"/>
                <w:sz w:val="24"/>
              </w:rPr>
              <w:t>，危险废物于危废暂存间内暂存，采用专用容器收集，并置于托盘上，确保不渗漏，危废间根据《危险废物贮存污染控制标准》（GB18597-2001及2013修改单）的要求设置防渗措施，</w:t>
            </w:r>
            <w:r>
              <w:rPr>
                <w:rFonts w:hint="eastAsia"/>
                <w:color w:val="000000"/>
                <w:sz w:val="24"/>
              </w:rPr>
              <w:t>实验室废水经一体化污水处理设施处理后经市政管网排入新乡县综合污水处理厂，</w:t>
            </w:r>
            <w:r>
              <w:rPr>
                <w:color w:val="000000"/>
                <w:sz w:val="24"/>
              </w:rPr>
              <w:t>不存在污染下渗的途径。</w:t>
            </w:r>
          </w:p>
          <w:p>
            <w:pPr>
              <w:autoSpaceDE w:val="0"/>
              <w:autoSpaceDN w:val="0"/>
              <w:adjustRightInd w:val="0"/>
              <w:snapToGrid w:val="0"/>
              <w:spacing w:line="420" w:lineRule="exact"/>
              <w:ind w:firstLine="480" w:firstLineChars="200"/>
              <w:textAlignment w:val="baseline"/>
              <w:rPr>
                <w:color w:val="000000"/>
                <w:sz w:val="24"/>
              </w:rPr>
            </w:pPr>
            <w:r>
              <w:rPr>
                <w:color w:val="000000"/>
                <w:sz w:val="24"/>
              </w:rPr>
              <w:t>综上分析，本项目危险废物不与土壤接触、</w:t>
            </w:r>
            <w:r>
              <w:rPr>
                <w:rFonts w:hint="eastAsia"/>
                <w:color w:val="000000"/>
                <w:sz w:val="24"/>
              </w:rPr>
              <w:t>不存在</w:t>
            </w:r>
            <w:r>
              <w:rPr>
                <w:color w:val="000000"/>
                <w:sz w:val="24"/>
              </w:rPr>
              <w:t>下渗影响地下水</w:t>
            </w:r>
            <w:r>
              <w:rPr>
                <w:rFonts w:hint="eastAsia"/>
                <w:color w:val="000000"/>
                <w:sz w:val="24"/>
              </w:rPr>
              <w:t>，一体化污水处理设施采取相应防渗措施</w:t>
            </w:r>
            <w:r>
              <w:rPr>
                <w:color w:val="000000"/>
                <w:sz w:val="24"/>
              </w:rPr>
              <w:t>。因此本项目不存在地下水、土壤污染途径，不再进行地下水及土壤环境影响分析。</w:t>
            </w:r>
          </w:p>
          <w:p>
            <w:pPr>
              <w:spacing w:line="460" w:lineRule="exact"/>
              <w:ind w:firstLine="482" w:firstLineChars="200"/>
              <w:rPr>
                <w:b/>
                <w:color w:val="000000"/>
                <w:sz w:val="24"/>
              </w:rPr>
            </w:pPr>
            <w:r>
              <w:rPr>
                <w:b/>
                <w:color w:val="000000"/>
                <w:sz w:val="24"/>
              </w:rPr>
              <w:t>六、环境风险</w:t>
            </w:r>
          </w:p>
          <w:p>
            <w:pPr>
              <w:autoSpaceDE w:val="0"/>
              <w:autoSpaceDN w:val="0"/>
              <w:adjustRightInd w:val="0"/>
              <w:snapToGrid w:val="0"/>
              <w:spacing w:line="420" w:lineRule="exact"/>
              <w:ind w:firstLine="480" w:firstLineChars="200"/>
              <w:textAlignment w:val="baseline"/>
              <w:rPr>
                <w:color w:val="000000"/>
                <w:sz w:val="24"/>
              </w:rPr>
            </w:pPr>
            <w:r>
              <w:rPr>
                <w:color w:val="000000"/>
                <w:sz w:val="24"/>
              </w:rPr>
              <w:t>根据《建设项目环境风险评价技术导则》（HJ169-2018），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spacing w:line="460" w:lineRule="exact"/>
              <w:ind w:firstLine="482" w:firstLineChars="200"/>
              <w:rPr>
                <w:b/>
                <w:color w:val="000000"/>
                <w:sz w:val="24"/>
              </w:rPr>
            </w:pPr>
            <w:r>
              <w:rPr>
                <w:b/>
                <w:color w:val="000000"/>
                <w:sz w:val="24"/>
              </w:rPr>
              <w:t>1、评价依据</w:t>
            </w:r>
          </w:p>
          <w:p>
            <w:pPr>
              <w:autoSpaceDE w:val="0"/>
              <w:autoSpaceDN w:val="0"/>
              <w:adjustRightInd w:val="0"/>
              <w:snapToGrid w:val="0"/>
              <w:spacing w:line="420" w:lineRule="exact"/>
              <w:ind w:firstLine="480" w:firstLineChars="200"/>
              <w:textAlignment w:val="baseline"/>
              <w:rPr>
                <w:color w:val="000000"/>
                <w:sz w:val="24"/>
              </w:rPr>
            </w:pPr>
            <w:r>
              <w:rPr>
                <w:rFonts w:hint="eastAsia" w:ascii="宋体" w:hAnsi="宋体" w:cs="宋体"/>
                <w:color w:val="000000"/>
                <w:sz w:val="24"/>
              </w:rPr>
              <w:t>①</w:t>
            </w:r>
            <w:r>
              <w:rPr>
                <w:color w:val="000000"/>
                <w:sz w:val="24"/>
              </w:rPr>
              <w:t>风险调查</w:t>
            </w:r>
          </w:p>
          <w:p>
            <w:pPr>
              <w:autoSpaceDE w:val="0"/>
              <w:autoSpaceDN w:val="0"/>
              <w:adjustRightInd w:val="0"/>
              <w:snapToGrid w:val="0"/>
              <w:spacing w:line="420" w:lineRule="exact"/>
              <w:ind w:firstLine="480" w:firstLineChars="200"/>
              <w:textAlignment w:val="baseline"/>
              <w:rPr>
                <w:color w:val="000000"/>
                <w:sz w:val="24"/>
              </w:rPr>
            </w:pPr>
            <w:r>
              <w:rPr>
                <w:color w:val="000000"/>
                <w:sz w:val="24"/>
              </w:rPr>
              <w:t>根据项目工程分析，本项目运营期间的风险物质主要为甲醇、乙腈、二氯甲烷、苯、甲醛、硫酸、盐酸、硝酸、磷酸、氨水、95%乙醇、无水乙醇、三氯甲烷、四氯化碳、正己烷、丙酮、石油醚、甲酸、乙酸、甲苯，根据《建设项目环境风险评价技术导则》（HJ169-2018）附录B可知，硫酸溶液、硝酸溶液、盐酸、磷酸属于强腐蚀溶液，具强腐蚀性、强刺激性，对皮肤、粘膜等组织有强烈的刺激和腐蚀作用，可致人体灼伤及皮肉碳化；甲醇、无水乙醚、95%乙醇溶液属于易燃液体，易挥发产生易燃易爆有害气体；苯、甲醛、三氯甲烷、四氯化碳、正己烷、丙酮、石油醚、甲酸、乙酸、甲苯属于有毒有害气体；氨水、氨气易挥发会产生有毒有害气体氨气，且有燃烧爆炸危险。</w:t>
            </w:r>
          </w:p>
          <w:p>
            <w:pPr>
              <w:autoSpaceDE w:val="0"/>
              <w:autoSpaceDN w:val="0"/>
              <w:adjustRightInd w:val="0"/>
              <w:snapToGrid w:val="0"/>
              <w:spacing w:line="420" w:lineRule="exact"/>
              <w:ind w:firstLine="480" w:firstLineChars="200"/>
              <w:textAlignment w:val="baseline"/>
              <w:rPr>
                <w:color w:val="000000"/>
                <w:sz w:val="24"/>
              </w:rPr>
            </w:pPr>
            <w:r>
              <w:rPr>
                <w:color w:val="000000"/>
                <w:sz w:val="24"/>
              </w:rPr>
              <w:t>风险潜势初判</w:t>
            </w:r>
          </w:p>
          <w:p>
            <w:pPr>
              <w:autoSpaceDE w:val="0"/>
              <w:autoSpaceDN w:val="0"/>
              <w:adjustRightInd w:val="0"/>
              <w:snapToGrid w:val="0"/>
              <w:spacing w:line="420" w:lineRule="exact"/>
              <w:ind w:firstLine="480" w:firstLineChars="200"/>
              <w:textAlignment w:val="baseline"/>
              <w:rPr>
                <w:color w:val="000000"/>
                <w:sz w:val="24"/>
              </w:rPr>
            </w:pPr>
            <w:r>
              <w:rPr>
                <w:color w:val="000000"/>
                <w:sz w:val="24"/>
              </w:rPr>
              <w:t>本项目风险物质主要为甲醇、乙腈、二氯甲烷、苯、甲醛、硫酸、盐酸、硝酸、磷酸、氨水、95%乙醇、无水乙醇、三氯甲烷、四氯化碳、正己烷、丙酮、石油醚、甲酸、乙酸、甲苯，暂存于专用容器内，存放至</w:t>
            </w:r>
            <w:r>
              <w:rPr>
                <w:rFonts w:hint="eastAsia"/>
                <w:color w:val="000000"/>
                <w:sz w:val="24"/>
              </w:rPr>
              <w:t>药剂室</w:t>
            </w:r>
            <w:r>
              <w:rPr>
                <w:color w:val="000000"/>
                <w:sz w:val="24"/>
              </w:rPr>
              <w:t>。经查阅《企业突发环境事件风险分级方法》（HJ941-2018）附录A，本项目风险物质实际</w:t>
            </w:r>
            <w:r>
              <w:rPr>
                <w:rFonts w:hint="eastAsia"/>
                <w:color w:val="000000"/>
                <w:sz w:val="24"/>
              </w:rPr>
              <w:t>暂存</w:t>
            </w:r>
            <w:r>
              <w:rPr>
                <w:color w:val="000000"/>
                <w:sz w:val="24"/>
              </w:rPr>
              <w:t>量与临界量对比详见下表：</w:t>
            </w:r>
          </w:p>
          <w:p>
            <w:pPr>
              <w:spacing w:line="520" w:lineRule="exact"/>
              <w:ind w:firstLine="482"/>
              <w:rPr>
                <w:rFonts w:eastAsia="黑体"/>
                <w:sz w:val="24"/>
              </w:rPr>
            </w:pPr>
            <w:r>
              <w:rPr>
                <w:rFonts w:eastAsia="黑体"/>
                <w:sz w:val="24"/>
              </w:rPr>
              <w:t>表50             本项目危险物质临界量与实际量对比一览表</w:t>
            </w:r>
          </w:p>
          <w:tbl>
            <w:tblPr>
              <w:tblStyle w:val="21"/>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57"/>
              <w:gridCol w:w="3827"/>
              <w:gridCol w:w="2259"/>
              <w:gridCol w:w="8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8" w:type="pct"/>
                  <w:vAlign w:val="center"/>
                </w:tcPr>
                <w:p>
                  <w:pPr>
                    <w:pStyle w:val="96"/>
                    <w:spacing w:line="360" w:lineRule="exact"/>
                    <w:rPr>
                      <w:rFonts w:cs="Times New Roman"/>
                      <w:b/>
                      <w:bCs/>
                      <w:color w:val="auto"/>
                      <w:kern w:val="2"/>
                    </w:rPr>
                  </w:pPr>
                  <w:r>
                    <w:rPr>
                      <w:rFonts w:cs="Times New Roman"/>
                      <w:b/>
                      <w:bCs/>
                      <w:color w:val="auto"/>
                      <w:kern w:val="2"/>
                    </w:rPr>
                    <w:t>物质名称</w:t>
                  </w:r>
                </w:p>
              </w:tc>
              <w:tc>
                <w:tcPr>
                  <w:tcW w:w="2279" w:type="pct"/>
                  <w:vAlign w:val="center"/>
                </w:tcPr>
                <w:p>
                  <w:pPr>
                    <w:pStyle w:val="96"/>
                    <w:spacing w:line="360" w:lineRule="exact"/>
                    <w:rPr>
                      <w:rFonts w:cs="Times New Roman"/>
                      <w:b/>
                      <w:bCs/>
                      <w:color w:val="auto"/>
                      <w:kern w:val="2"/>
                    </w:rPr>
                  </w:pPr>
                  <w:r>
                    <w:rPr>
                      <w:rFonts w:cs="Times New Roman"/>
                      <w:b/>
                      <w:bCs/>
                      <w:color w:val="auto"/>
                      <w:kern w:val="2"/>
                    </w:rPr>
                    <w:t>最大暂存量（t）</w:t>
                  </w:r>
                </w:p>
              </w:tc>
              <w:tc>
                <w:tcPr>
                  <w:tcW w:w="1345" w:type="pct"/>
                  <w:vAlign w:val="center"/>
                </w:tcPr>
                <w:p>
                  <w:pPr>
                    <w:pStyle w:val="96"/>
                    <w:spacing w:line="360" w:lineRule="exact"/>
                    <w:rPr>
                      <w:rFonts w:cs="Times New Roman"/>
                      <w:b/>
                      <w:bCs/>
                      <w:color w:val="auto"/>
                      <w:kern w:val="2"/>
                    </w:rPr>
                  </w:pPr>
                  <w:r>
                    <w:rPr>
                      <w:rFonts w:cs="Times New Roman"/>
                      <w:b/>
                      <w:bCs/>
                      <w:color w:val="auto"/>
                      <w:kern w:val="2"/>
                    </w:rPr>
                    <w:t>标准临界量（t）</w:t>
                  </w:r>
                </w:p>
              </w:tc>
              <w:tc>
                <w:tcPr>
                  <w:tcW w:w="508" w:type="pct"/>
                  <w:vAlign w:val="center"/>
                </w:tcPr>
                <w:p>
                  <w:pPr>
                    <w:pStyle w:val="96"/>
                    <w:spacing w:line="360" w:lineRule="exact"/>
                    <w:rPr>
                      <w:rFonts w:cs="Times New Roman"/>
                      <w:b/>
                      <w:bCs/>
                      <w:color w:val="auto"/>
                      <w:kern w:val="2"/>
                    </w:rPr>
                  </w:pPr>
                  <w:r>
                    <w:rPr>
                      <w:rFonts w:cs="Times New Roman"/>
                      <w:b/>
                      <w:bCs/>
                      <w:color w:val="auto"/>
                      <w:kern w:val="2"/>
                    </w:rPr>
                    <w:t>Q值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8" w:type="pct"/>
                  <w:vAlign w:val="center"/>
                </w:tcPr>
                <w:p>
                  <w:pPr>
                    <w:pStyle w:val="96"/>
                    <w:spacing w:line="360" w:lineRule="exact"/>
                    <w:rPr>
                      <w:rFonts w:cs="Times New Roman"/>
                      <w:color w:val="auto"/>
                      <w:kern w:val="2"/>
                    </w:rPr>
                  </w:pPr>
                  <w:r>
                    <w:rPr>
                      <w:rFonts w:cs="Times New Roman"/>
                      <w:lang w:val="pt-BR"/>
                    </w:rPr>
                    <w:t>硫酸溶液</w:t>
                  </w:r>
                </w:p>
              </w:tc>
              <w:tc>
                <w:tcPr>
                  <w:tcW w:w="2279" w:type="pct"/>
                  <w:vAlign w:val="center"/>
                </w:tcPr>
                <w:p>
                  <w:pPr>
                    <w:pStyle w:val="96"/>
                    <w:spacing w:line="360" w:lineRule="exact"/>
                    <w:rPr>
                      <w:rFonts w:cs="Times New Roman"/>
                    </w:rPr>
                  </w:pPr>
                  <w:r>
                    <w:rPr>
                      <w:rFonts w:cs="Times New Roman"/>
                    </w:rPr>
                    <w:t>0.0037</w:t>
                  </w:r>
                </w:p>
              </w:tc>
              <w:tc>
                <w:tcPr>
                  <w:tcW w:w="1345" w:type="pct"/>
                  <w:vAlign w:val="center"/>
                </w:tcPr>
                <w:p>
                  <w:pPr>
                    <w:pStyle w:val="96"/>
                    <w:spacing w:line="360" w:lineRule="exact"/>
                    <w:rPr>
                      <w:rFonts w:cs="Times New Roman"/>
                      <w:strike/>
                      <w:color w:val="auto"/>
                      <w:kern w:val="2"/>
                    </w:rPr>
                  </w:pPr>
                  <w:r>
                    <w:rPr>
                      <w:rFonts w:cs="Times New Roman"/>
                    </w:rPr>
                    <w:t>10</w:t>
                  </w:r>
                </w:p>
              </w:tc>
              <w:tc>
                <w:tcPr>
                  <w:tcW w:w="508" w:type="pct"/>
                  <w:vMerge w:val="restart"/>
                  <w:vAlign w:val="center"/>
                </w:tcPr>
                <w:p>
                  <w:pPr>
                    <w:pStyle w:val="96"/>
                    <w:spacing w:line="360" w:lineRule="exact"/>
                    <w:rPr>
                      <w:rFonts w:cs="Times New Roman"/>
                      <w:color w:val="auto"/>
                      <w:kern w:val="2"/>
                    </w:rPr>
                  </w:pPr>
                  <w:r>
                    <w:rPr>
                      <w:rFonts w:cs="Times New Roman"/>
                      <w:color w:val="auto"/>
                      <w:kern w:val="2"/>
                    </w:rPr>
                    <w:t>Q=0.0138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8" w:type="pct"/>
                  <w:vAlign w:val="center"/>
                </w:tcPr>
                <w:p>
                  <w:pPr>
                    <w:pStyle w:val="96"/>
                    <w:spacing w:line="360" w:lineRule="exact"/>
                    <w:rPr>
                      <w:rFonts w:cs="Times New Roman"/>
                      <w:color w:val="auto"/>
                      <w:kern w:val="2"/>
                    </w:rPr>
                  </w:pPr>
                  <w:r>
                    <w:rPr>
                      <w:rFonts w:cs="Times New Roman"/>
                      <w:color w:val="auto"/>
                      <w:kern w:val="2"/>
                    </w:rPr>
                    <w:t>磷酸</w:t>
                  </w:r>
                </w:p>
              </w:tc>
              <w:tc>
                <w:tcPr>
                  <w:tcW w:w="2279" w:type="pct"/>
                  <w:vAlign w:val="center"/>
                </w:tcPr>
                <w:p>
                  <w:pPr>
                    <w:pStyle w:val="96"/>
                    <w:spacing w:line="360" w:lineRule="exact"/>
                    <w:rPr>
                      <w:rFonts w:cs="Times New Roman"/>
                    </w:rPr>
                  </w:pPr>
                  <w:r>
                    <w:rPr>
                      <w:rFonts w:cs="Times New Roman"/>
                    </w:rPr>
                    <w:t>0.0040</w:t>
                  </w:r>
                </w:p>
              </w:tc>
              <w:tc>
                <w:tcPr>
                  <w:tcW w:w="1345" w:type="pct"/>
                  <w:vAlign w:val="center"/>
                </w:tcPr>
                <w:p>
                  <w:pPr>
                    <w:pStyle w:val="96"/>
                    <w:spacing w:line="360" w:lineRule="exact"/>
                    <w:rPr>
                      <w:rFonts w:cs="Times New Roman"/>
                      <w:color w:val="auto"/>
                      <w:kern w:val="2"/>
                    </w:rPr>
                  </w:pPr>
                  <w:r>
                    <w:rPr>
                      <w:rFonts w:cs="Times New Roman"/>
                      <w:color w:val="auto"/>
                      <w:kern w:val="2"/>
                    </w:rPr>
                    <w:t>10</w:t>
                  </w:r>
                </w:p>
              </w:tc>
              <w:tc>
                <w:tcPr>
                  <w:tcW w:w="508" w:type="pct"/>
                  <w:vMerge w:val="continue"/>
                  <w:vAlign w:val="center"/>
                </w:tcPr>
                <w:p>
                  <w:pPr>
                    <w:pStyle w:val="96"/>
                    <w:spacing w:line="360" w:lineRule="exact"/>
                    <w:rPr>
                      <w:rFonts w:cs="Times New Roman"/>
                      <w:color w:val="auto"/>
                      <w:kern w:val="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8" w:type="pct"/>
                  <w:vAlign w:val="center"/>
                </w:tcPr>
                <w:p>
                  <w:pPr>
                    <w:pStyle w:val="96"/>
                    <w:spacing w:line="360" w:lineRule="exact"/>
                    <w:rPr>
                      <w:rFonts w:cs="Times New Roman"/>
                      <w:lang w:val="pt-BR"/>
                    </w:rPr>
                  </w:pPr>
                  <w:r>
                    <w:rPr>
                      <w:rFonts w:cs="Times New Roman"/>
                      <w:lang w:val="pt-BR"/>
                    </w:rPr>
                    <w:t>盐酸</w:t>
                  </w:r>
                </w:p>
              </w:tc>
              <w:tc>
                <w:tcPr>
                  <w:tcW w:w="2279" w:type="pct"/>
                  <w:vAlign w:val="center"/>
                </w:tcPr>
                <w:p>
                  <w:pPr>
                    <w:pStyle w:val="96"/>
                    <w:spacing w:line="360" w:lineRule="exact"/>
                    <w:rPr>
                      <w:rFonts w:cs="Times New Roman"/>
                      <w:color w:val="auto"/>
                      <w:kern w:val="2"/>
                    </w:rPr>
                  </w:pPr>
                  <w:r>
                    <w:rPr>
                      <w:rFonts w:cs="Times New Roman"/>
                      <w:color w:val="auto"/>
                      <w:kern w:val="2"/>
                    </w:rPr>
                    <w:t>0.0024</w:t>
                  </w:r>
                </w:p>
              </w:tc>
              <w:tc>
                <w:tcPr>
                  <w:tcW w:w="1345" w:type="pct"/>
                  <w:vAlign w:val="center"/>
                </w:tcPr>
                <w:p>
                  <w:pPr>
                    <w:pStyle w:val="96"/>
                    <w:spacing w:line="360" w:lineRule="exact"/>
                    <w:rPr>
                      <w:rFonts w:cs="Times New Roman"/>
                    </w:rPr>
                  </w:pPr>
                  <w:r>
                    <w:rPr>
                      <w:rFonts w:cs="Times New Roman"/>
                    </w:rPr>
                    <w:t>7.5</w:t>
                  </w:r>
                </w:p>
              </w:tc>
              <w:tc>
                <w:tcPr>
                  <w:tcW w:w="508" w:type="pct"/>
                  <w:vMerge w:val="continue"/>
                  <w:vAlign w:val="center"/>
                </w:tcPr>
                <w:p>
                  <w:pPr>
                    <w:pStyle w:val="96"/>
                    <w:spacing w:line="360" w:lineRule="exact"/>
                    <w:rPr>
                      <w:rFonts w:cs="Times New Roman"/>
                      <w:color w:val="auto"/>
                      <w:kern w:val="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8" w:type="pct"/>
                  <w:vAlign w:val="center"/>
                </w:tcPr>
                <w:p>
                  <w:pPr>
                    <w:pStyle w:val="96"/>
                    <w:spacing w:line="360" w:lineRule="exact"/>
                    <w:rPr>
                      <w:rFonts w:cs="Times New Roman"/>
                      <w:lang w:val="pt-BR"/>
                    </w:rPr>
                  </w:pPr>
                  <w:r>
                    <w:rPr>
                      <w:rFonts w:cs="Times New Roman"/>
                      <w:lang w:val="pt-BR"/>
                    </w:rPr>
                    <w:t>硝酸溶液</w:t>
                  </w:r>
                </w:p>
              </w:tc>
              <w:tc>
                <w:tcPr>
                  <w:tcW w:w="2279" w:type="pct"/>
                  <w:vAlign w:val="center"/>
                </w:tcPr>
                <w:p>
                  <w:pPr>
                    <w:pStyle w:val="96"/>
                    <w:spacing w:line="360" w:lineRule="exact"/>
                    <w:rPr>
                      <w:rFonts w:cs="Times New Roman"/>
                      <w:color w:val="auto"/>
                      <w:kern w:val="2"/>
                    </w:rPr>
                  </w:pPr>
                  <w:r>
                    <w:rPr>
                      <w:rFonts w:cs="Times New Roman"/>
                      <w:color w:val="auto"/>
                      <w:kern w:val="2"/>
                    </w:rPr>
                    <w:t>0.003</w:t>
                  </w:r>
                </w:p>
              </w:tc>
              <w:tc>
                <w:tcPr>
                  <w:tcW w:w="1345" w:type="pct"/>
                  <w:vAlign w:val="center"/>
                </w:tcPr>
                <w:p>
                  <w:pPr>
                    <w:pStyle w:val="96"/>
                    <w:spacing w:line="360" w:lineRule="exact"/>
                    <w:rPr>
                      <w:rFonts w:cs="Times New Roman"/>
                    </w:rPr>
                  </w:pPr>
                  <w:r>
                    <w:rPr>
                      <w:rFonts w:cs="Times New Roman"/>
                    </w:rPr>
                    <w:t>7.5</w:t>
                  </w:r>
                </w:p>
              </w:tc>
              <w:tc>
                <w:tcPr>
                  <w:tcW w:w="508" w:type="pct"/>
                  <w:vMerge w:val="continue"/>
                  <w:vAlign w:val="center"/>
                </w:tcPr>
                <w:p>
                  <w:pPr>
                    <w:pStyle w:val="96"/>
                    <w:spacing w:line="360" w:lineRule="exact"/>
                    <w:rPr>
                      <w:rFonts w:cs="Times New Roman"/>
                      <w:color w:val="auto"/>
                      <w:kern w:val="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8" w:type="pct"/>
                  <w:vAlign w:val="center"/>
                </w:tcPr>
                <w:p>
                  <w:pPr>
                    <w:pStyle w:val="96"/>
                    <w:spacing w:line="360" w:lineRule="exact"/>
                    <w:rPr>
                      <w:rFonts w:cs="Times New Roman"/>
                      <w:color w:val="FF0000"/>
                      <w:lang w:val="pt-BR"/>
                    </w:rPr>
                  </w:pPr>
                  <w:r>
                    <w:rPr>
                      <w:rFonts w:cs="Times New Roman"/>
                      <w:lang w:val="pt-BR"/>
                    </w:rPr>
                    <w:t>氨水</w:t>
                  </w:r>
                </w:p>
              </w:tc>
              <w:tc>
                <w:tcPr>
                  <w:tcW w:w="2279" w:type="pct"/>
                  <w:vAlign w:val="center"/>
                </w:tcPr>
                <w:p>
                  <w:pPr>
                    <w:pStyle w:val="96"/>
                    <w:spacing w:line="360" w:lineRule="exact"/>
                    <w:rPr>
                      <w:rFonts w:cs="Times New Roman"/>
                    </w:rPr>
                  </w:pPr>
                  <w:r>
                    <w:rPr>
                      <w:rFonts w:cs="Times New Roman"/>
                    </w:rPr>
                    <w:t>0.0018</w:t>
                  </w:r>
                </w:p>
              </w:tc>
              <w:tc>
                <w:tcPr>
                  <w:tcW w:w="1345" w:type="pct"/>
                  <w:vAlign w:val="center"/>
                </w:tcPr>
                <w:p>
                  <w:pPr>
                    <w:pStyle w:val="96"/>
                    <w:spacing w:line="360" w:lineRule="exact"/>
                    <w:rPr>
                      <w:rFonts w:cs="Times New Roman"/>
                      <w:color w:val="FF0000"/>
                    </w:rPr>
                  </w:pPr>
                  <w:r>
                    <w:rPr>
                      <w:rFonts w:cs="Times New Roman"/>
                    </w:rPr>
                    <w:t>10</w:t>
                  </w:r>
                </w:p>
              </w:tc>
              <w:tc>
                <w:tcPr>
                  <w:tcW w:w="508" w:type="pct"/>
                  <w:vMerge w:val="continue"/>
                  <w:vAlign w:val="center"/>
                </w:tcPr>
                <w:p>
                  <w:pPr>
                    <w:pStyle w:val="96"/>
                    <w:spacing w:line="360" w:lineRule="exact"/>
                    <w:rPr>
                      <w:rFonts w:cs="Times New Roman"/>
                      <w:color w:val="auto"/>
                      <w:kern w:val="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8" w:type="pct"/>
                  <w:vAlign w:val="center"/>
                </w:tcPr>
                <w:p>
                  <w:pPr>
                    <w:pStyle w:val="96"/>
                    <w:spacing w:line="360" w:lineRule="exact"/>
                    <w:rPr>
                      <w:rFonts w:cs="Times New Roman"/>
                      <w:lang w:val="pt-BR"/>
                    </w:rPr>
                  </w:pPr>
                  <w:r>
                    <w:rPr>
                      <w:rFonts w:cs="Times New Roman"/>
                      <w:lang w:val="pt-BR"/>
                    </w:rPr>
                    <w:t>甲醇</w:t>
                  </w:r>
                </w:p>
              </w:tc>
              <w:tc>
                <w:tcPr>
                  <w:tcW w:w="2279" w:type="pct"/>
                  <w:vAlign w:val="center"/>
                </w:tcPr>
                <w:p>
                  <w:pPr>
                    <w:pStyle w:val="96"/>
                    <w:spacing w:line="360" w:lineRule="exact"/>
                    <w:rPr>
                      <w:rFonts w:cs="Times New Roman"/>
                      <w:color w:val="auto"/>
                      <w:kern w:val="2"/>
                    </w:rPr>
                  </w:pPr>
                  <w:r>
                    <w:rPr>
                      <w:rFonts w:cs="Times New Roman"/>
                      <w:color w:val="auto"/>
                      <w:kern w:val="2"/>
                    </w:rPr>
                    <w:t>0.0400</w:t>
                  </w:r>
                </w:p>
              </w:tc>
              <w:tc>
                <w:tcPr>
                  <w:tcW w:w="1345" w:type="pct"/>
                  <w:vAlign w:val="center"/>
                </w:tcPr>
                <w:p>
                  <w:pPr>
                    <w:pStyle w:val="96"/>
                    <w:spacing w:line="360" w:lineRule="exact"/>
                    <w:rPr>
                      <w:rFonts w:cs="Times New Roman"/>
                    </w:rPr>
                  </w:pPr>
                  <w:r>
                    <w:rPr>
                      <w:rFonts w:cs="Times New Roman"/>
                    </w:rPr>
                    <w:t>10</w:t>
                  </w:r>
                </w:p>
              </w:tc>
              <w:tc>
                <w:tcPr>
                  <w:tcW w:w="508" w:type="pct"/>
                  <w:vMerge w:val="continue"/>
                  <w:vAlign w:val="center"/>
                </w:tcPr>
                <w:p>
                  <w:pPr>
                    <w:pStyle w:val="96"/>
                    <w:spacing w:line="360" w:lineRule="exact"/>
                    <w:rPr>
                      <w:rFonts w:cs="Times New Roman"/>
                      <w:color w:val="auto"/>
                      <w:kern w:val="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8" w:type="pct"/>
                  <w:vAlign w:val="center"/>
                </w:tcPr>
                <w:p>
                  <w:pPr>
                    <w:pStyle w:val="96"/>
                    <w:spacing w:line="360" w:lineRule="exact"/>
                    <w:rPr>
                      <w:rFonts w:cs="Times New Roman"/>
                      <w:lang w:val="pt-BR"/>
                    </w:rPr>
                  </w:pPr>
                  <w:r>
                    <w:rPr>
                      <w:rFonts w:cs="Times New Roman"/>
                      <w:lang w:val="pt-BR"/>
                    </w:rPr>
                    <w:t>乙腈</w:t>
                  </w:r>
                </w:p>
              </w:tc>
              <w:tc>
                <w:tcPr>
                  <w:tcW w:w="2279" w:type="pct"/>
                  <w:vAlign w:val="center"/>
                </w:tcPr>
                <w:p>
                  <w:pPr>
                    <w:pStyle w:val="96"/>
                    <w:spacing w:line="360" w:lineRule="exact"/>
                    <w:rPr>
                      <w:rFonts w:cs="Times New Roman"/>
                    </w:rPr>
                  </w:pPr>
                  <w:r>
                    <w:rPr>
                      <w:rFonts w:cs="Times New Roman"/>
                    </w:rPr>
                    <w:t>0.0080</w:t>
                  </w:r>
                </w:p>
              </w:tc>
              <w:tc>
                <w:tcPr>
                  <w:tcW w:w="1345" w:type="pct"/>
                  <w:vAlign w:val="center"/>
                </w:tcPr>
                <w:p>
                  <w:pPr>
                    <w:pStyle w:val="96"/>
                    <w:spacing w:line="360" w:lineRule="exact"/>
                    <w:rPr>
                      <w:rFonts w:cs="Times New Roman"/>
                    </w:rPr>
                  </w:pPr>
                  <w:r>
                    <w:rPr>
                      <w:rFonts w:cs="Times New Roman"/>
                    </w:rPr>
                    <w:t>10</w:t>
                  </w:r>
                </w:p>
              </w:tc>
              <w:tc>
                <w:tcPr>
                  <w:tcW w:w="508" w:type="pct"/>
                  <w:vMerge w:val="continue"/>
                  <w:vAlign w:val="center"/>
                </w:tcPr>
                <w:p>
                  <w:pPr>
                    <w:pStyle w:val="96"/>
                    <w:spacing w:line="360" w:lineRule="exact"/>
                    <w:rPr>
                      <w:rFonts w:cs="Times New Roman"/>
                      <w:color w:val="auto"/>
                      <w:kern w:val="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8" w:type="pct"/>
                  <w:vAlign w:val="center"/>
                </w:tcPr>
                <w:p>
                  <w:pPr>
                    <w:pStyle w:val="96"/>
                    <w:spacing w:line="360" w:lineRule="exact"/>
                    <w:rPr>
                      <w:rFonts w:cs="Times New Roman"/>
                      <w:lang w:val="pt-BR"/>
                    </w:rPr>
                  </w:pPr>
                  <w:r>
                    <w:rPr>
                      <w:rFonts w:cs="Times New Roman"/>
                      <w:lang w:val="pt-BR"/>
                    </w:rPr>
                    <w:t>二氯甲烷</w:t>
                  </w:r>
                </w:p>
              </w:tc>
              <w:tc>
                <w:tcPr>
                  <w:tcW w:w="2279" w:type="pct"/>
                  <w:vAlign w:val="center"/>
                </w:tcPr>
                <w:p>
                  <w:pPr>
                    <w:pStyle w:val="96"/>
                    <w:spacing w:line="360" w:lineRule="exact"/>
                    <w:rPr>
                      <w:rFonts w:cs="Times New Roman"/>
                    </w:rPr>
                  </w:pPr>
                  <w:r>
                    <w:rPr>
                      <w:rFonts w:cs="Times New Roman"/>
                    </w:rPr>
                    <w:t>0.0026</w:t>
                  </w:r>
                </w:p>
              </w:tc>
              <w:tc>
                <w:tcPr>
                  <w:tcW w:w="1345" w:type="pct"/>
                  <w:vAlign w:val="center"/>
                </w:tcPr>
                <w:p>
                  <w:pPr>
                    <w:pStyle w:val="96"/>
                    <w:spacing w:line="360" w:lineRule="exact"/>
                    <w:rPr>
                      <w:rFonts w:cs="Times New Roman"/>
                    </w:rPr>
                  </w:pPr>
                  <w:r>
                    <w:rPr>
                      <w:rFonts w:cs="Times New Roman"/>
                    </w:rPr>
                    <w:t>10</w:t>
                  </w:r>
                </w:p>
              </w:tc>
              <w:tc>
                <w:tcPr>
                  <w:tcW w:w="508" w:type="pct"/>
                  <w:vMerge w:val="continue"/>
                  <w:vAlign w:val="center"/>
                </w:tcPr>
                <w:p>
                  <w:pPr>
                    <w:pStyle w:val="96"/>
                    <w:spacing w:line="360" w:lineRule="exact"/>
                    <w:rPr>
                      <w:rFonts w:cs="Times New Roman"/>
                      <w:color w:val="auto"/>
                      <w:kern w:val="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8" w:type="pct"/>
                  <w:vAlign w:val="center"/>
                </w:tcPr>
                <w:p>
                  <w:pPr>
                    <w:pStyle w:val="96"/>
                    <w:spacing w:line="360" w:lineRule="exact"/>
                    <w:rPr>
                      <w:rFonts w:cs="Times New Roman"/>
                      <w:lang w:val="pt-BR"/>
                    </w:rPr>
                  </w:pPr>
                  <w:r>
                    <w:rPr>
                      <w:rFonts w:cs="Times New Roman"/>
                      <w:lang w:val="pt-BR"/>
                    </w:rPr>
                    <w:t>苯</w:t>
                  </w:r>
                </w:p>
              </w:tc>
              <w:tc>
                <w:tcPr>
                  <w:tcW w:w="2279" w:type="pct"/>
                  <w:vAlign w:val="center"/>
                </w:tcPr>
                <w:p>
                  <w:pPr>
                    <w:pStyle w:val="96"/>
                    <w:spacing w:line="360" w:lineRule="exact"/>
                    <w:rPr>
                      <w:rFonts w:cs="Times New Roman"/>
                    </w:rPr>
                  </w:pPr>
                  <w:r>
                    <w:rPr>
                      <w:rFonts w:cs="Times New Roman"/>
                    </w:rPr>
                    <w:t>0.0018</w:t>
                  </w:r>
                </w:p>
              </w:tc>
              <w:tc>
                <w:tcPr>
                  <w:tcW w:w="1345" w:type="pct"/>
                  <w:vAlign w:val="center"/>
                </w:tcPr>
                <w:p>
                  <w:pPr>
                    <w:pStyle w:val="96"/>
                    <w:spacing w:line="360" w:lineRule="exact"/>
                    <w:rPr>
                      <w:rFonts w:cs="Times New Roman"/>
                    </w:rPr>
                  </w:pPr>
                  <w:r>
                    <w:rPr>
                      <w:rFonts w:cs="Times New Roman"/>
                    </w:rPr>
                    <w:t>10</w:t>
                  </w:r>
                </w:p>
              </w:tc>
              <w:tc>
                <w:tcPr>
                  <w:tcW w:w="508" w:type="pct"/>
                  <w:vMerge w:val="continue"/>
                  <w:vAlign w:val="center"/>
                </w:tcPr>
                <w:p>
                  <w:pPr>
                    <w:pStyle w:val="96"/>
                    <w:spacing w:line="360" w:lineRule="exact"/>
                    <w:rPr>
                      <w:rFonts w:cs="Times New Roman"/>
                      <w:color w:val="auto"/>
                      <w:kern w:val="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8" w:type="pct"/>
                  <w:vAlign w:val="center"/>
                </w:tcPr>
                <w:p>
                  <w:pPr>
                    <w:pStyle w:val="96"/>
                    <w:spacing w:line="360" w:lineRule="exact"/>
                    <w:rPr>
                      <w:rFonts w:cs="Times New Roman"/>
                      <w:color w:val="auto"/>
                      <w:kern w:val="2"/>
                    </w:rPr>
                  </w:pPr>
                  <w:r>
                    <w:rPr>
                      <w:rFonts w:cs="Times New Roman"/>
                      <w:color w:val="auto"/>
                      <w:kern w:val="2"/>
                    </w:rPr>
                    <w:t>甲醛</w:t>
                  </w:r>
                </w:p>
              </w:tc>
              <w:tc>
                <w:tcPr>
                  <w:tcW w:w="2279" w:type="pct"/>
                  <w:vAlign w:val="center"/>
                </w:tcPr>
                <w:p>
                  <w:pPr>
                    <w:pStyle w:val="96"/>
                    <w:spacing w:line="360" w:lineRule="exact"/>
                    <w:rPr>
                      <w:rFonts w:cs="Times New Roman"/>
                      <w:color w:val="auto"/>
                      <w:kern w:val="2"/>
                    </w:rPr>
                  </w:pPr>
                  <w:r>
                    <w:rPr>
                      <w:rFonts w:cs="Times New Roman"/>
                      <w:color w:val="auto"/>
                      <w:kern w:val="2"/>
                    </w:rPr>
                    <w:t>0.0016</w:t>
                  </w:r>
                </w:p>
              </w:tc>
              <w:tc>
                <w:tcPr>
                  <w:tcW w:w="1345" w:type="pct"/>
                  <w:vAlign w:val="center"/>
                </w:tcPr>
                <w:p>
                  <w:pPr>
                    <w:pStyle w:val="96"/>
                    <w:spacing w:line="360" w:lineRule="exact"/>
                    <w:rPr>
                      <w:rFonts w:cs="Times New Roman"/>
                      <w:color w:val="auto"/>
                      <w:kern w:val="2"/>
                    </w:rPr>
                  </w:pPr>
                  <w:r>
                    <w:rPr>
                      <w:rFonts w:cs="Times New Roman"/>
                      <w:color w:val="auto"/>
                      <w:kern w:val="2"/>
                    </w:rPr>
                    <w:t>0.5</w:t>
                  </w:r>
                </w:p>
              </w:tc>
              <w:tc>
                <w:tcPr>
                  <w:tcW w:w="508" w:type="pct"/>
                  <w:vMerge w:val="continue"/>
                  <w:vAlign w:val="center"/>
                </w:tcPr>
                <w:p>
                  <w:pPr>
                    <w:pStyle w:val="96"/>
                    <w:spacing w:line="360" w:lineRule="exact"/>
                    <w:rPr>
                      <w:rFonts w:cs="Times New Roman"/>
                      <w:color w:val="auto"/>
                      <w:kern w:val="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8" w:type="pct"/>
                  <w:vAlign w:val="center"/>
                </w:tcPr>
                <w:p>
                  <w:pPr>
                    <w:pStyle w:val="96"/>
                    <w:spacing w:line="360" w:lineRule="exact"/>
                    <w:rPr>
                      <w:rFonts w:cs="Times New Roman"/>
                      <w:color w:val="auto"/>
                      <w:kern w:val="2"/>
                    </w:rPr>
                  </w:pPr>
                  <w:r>
                    <w:rPr>
                      <w:rFonts w:cs="Times New Roman"/>
                      <w:lang w:val="pt-BR"/>
                    </w:rPr>
                    <w:t>乙醇</w:t>
                  </w:r>
                </w:p>
              </w:tc>
              <w:tc>
                <w:tcPr>
                  <w:tcW w:w="2279" w:type="pct"/>
                  <w:vAlign w:val="center"/>
                </w:tcPr>
                <w:p>
                  <w:pPr>
                    <w:pStyle w:val="96"/>
                    <w:spacing w:line="360" w:lineRule="exact"/>
                    <w:rPr>
                      <w:rFonts w:cs="Times New Roman"/>
                      <w:color w:val="auto"/>
                      <w:kern w:val="2"/>
                    </w:rPr>
                  </w:pPr>
                  <w:r>
                    <w:rPr>
                      <w:rFonts w:cs="Times New Roman"/>
                      <w:color w:val="auto"/>
                      <w:kern w:val="2"/>
                    </w:rPr>
                    <w:t>0.016</w:t>
                  </w:r>
                </w:p>
              </w:tc>
              <w:tc>
                <w:tcPr>
                  <w:tcW w:w="1345" w:type="pct"/>
                  <w:vAlign w:val="center"/>
                </w:tcPr>
                <w:p>
                  <w:pPr>
                    <w:pStyle w:val="96"/>
                    <w:spacing w:line="360" w:lineRule="exact"/>
                    <w:rPr>
                      <w:rFonts w:cs="Times New Roman"/>
                      <w:color w:val="auto"/>
                      <w:kern w:val="2"/>
                    </w:rPr>
                  </w:pPr>
                  <w:r>
                    <w:rPr>
                      <w:rFonts w:cs="Times New Roman"/>
                    </w:rPr>
                    <w:t>500</w:t>
                  </w:r>
                </w:p>
              </w:tc>
              <w:tc>
                <w:tcPr>
                  <w:tcW w:w="508" w:type="pct"/>
                  <w:vMerge w:val="continue"/>
                  <w:vAlign w:val="center"/>
                </w:tcPr>
                <w:p>
                  <w:pPr>
                    <w:pStyle w:val="96"/>
                    <w:spacing w:line="360" w:lineRule="exact"/>
                    <w:rPr>
                      <w:rFonts w:cs="Times New Roman"/>
                      <w:color w:val="auto"/>
                      <w:kern w:val="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8" w:type="pct"/>
                  <w:vAlign w:val="center"/>
                </w:tcPr>
                <w:p>
                  <w:pPr>
                    <w:pStyle w:val="96"/>
                    <w:spacing w:line="360" w:lineRule="exact"/>
                    <w:rPr>
                      <w:rFonts w:cs="Times New Roman"/>
                      <w:color w:val="auto"/>
                      <w:kern w:val="2"/>
                    </w:rPr>
                  </w:pPr>
                  <w:r>
                    <w:rPr>
                      <w:rFonts w:cs="Times New Roman"/>
                      <w:lang w:val="pt-BR"/>
                    </w:rPr>
                    <w:t>异丙酮溶液</w:t>
                  </w:r>
                </w:p>
              </w:tc>
              <w:tc>
                <w:tcPr>
                  <w:tcW w:w="2279" w:type="pct"/>
                  <w:vAlign w:val="center"/>
                </w:tcPr>
                <w:p>
                  <w:pPr>
                    <w:pStyle w:val="96"/>
                    <w:spacing w:line="360" w:lineRule="exact"/>
                    <w:rPr>
                      <w:rFonts w:cs="Times New Roman"/>
                    </w:rPr>
                  </w:pPr>
                  <w:r>
                    <w:rPr>
                      <w:rFonts w:cs="Times New Roman"/>
                    </w:rPr>
                    <w:t>0.0016</w:t>
                  </w:r>
                </w:p>
              </w:tc>
              <w:tc>
                <w:tcPr>
                  <w:tcW w:w="1345" w:type="pct"/>
                  <w:vAlign w:val="center"/>
                </w:tcPr>
                <w:p>
                  <w:pPr>
                    <w:pStyle w:val="96"/>
                    <w:spacing w:line="360" w:lineRule="exact"/>
                    <w:rPr>
                      <w:rFonts w:cs="Times New Roman"/>
                      <w:color w:val="auto"/>
                      <w:kern w:val="2"/>
                    </w:rPr>
                  </w:pPr>
                  <w:r>
                    <w:rPr>
                      <w:rFonts w:cs="Times New Roman"/>
                    </w:rPr>
                    <w:t>10</w:t>
                  </w:r>
                </w:p>
              </w:tc>
              <w:tc>
                <w:tcPr>
                  <w:tcW w:w="508" w:type="pct"/>
                  <w:vMerge w:val="continue"/>
                  <w:vAlign w:val="center"/>
                </w:tcPr>
                <w:p>
                  <w:pPr>
                    <w:pStyle w:val="96"/>
                    <w:spacing w:line="360" w:lineRule="exact"/>
                    <w:rPr>
                      <w:rFonts w:cs="Times New Roman"/>
                      <w:color w:val="auto"/>
                      <w:kern w:val="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8" w:type="pct"/>
                  <w:vAlign w:val="center"/>
                </w:tcPr>
                <w:p>
                  <w:pPr>
                    <w:pStyle w:val="96"/>
                    <w:spacing w:line="360" w:lineRule="exact"/>
                    <w:rPr>
                      <w:rFonts w:cs="Times New Roman"/>
                      <w:color w:val="auto"/>
                      <w:kern w:val="2"/>
                    </w:rPr>
                  </w:pPr>
                  <w:r>
                    <w:rPr>
                      <w:rFonts w:cs="Times New Roman"/>
                      <w:color w:val="auto"/>
                      <w:kern w:val="2"/>
                    </w:rPr>
                    <w:t>三氯甲烷</w:t>
                  </w:r>
                </w:p>
              </w:tc>
              <w:tc>
                <w:tcPr>
                  <w:tcW w:w="2279" w:type="pct"/>
                  <w:vAlign w:val="center"/>
                </w:tcPr>
                <w:p>
                  <w:pPr>
                    <w:pStyle w:val="96"/>
                    <w:spacing w:line="360" w:lineRule="exact"/>
                    <w:rPr>
                      <w:rFonts w:cs="Times New Roman"/>
                    </w:rPr>
                  </w:pPr>
                  <w:r>
                    <w:rPr>
                      <w:rFonts w:cs="Times New Roman"/>
                    </w:rPr>
                    <w:t>0.0030</w:t>
                  </w:r>
                </w:p>
              </w:tc>
              <w:tc>
                <w:tcPr>
                  <w:tcW w:w="1345" w:type="pct"/>
                  <w:vAlign w:val="center"/>
                </w:tcPr>
                <w:p>
                  <w:pPr>
                    <w:pStyle w:val="96"/>
                    <w:spacing w:line="360" w:lineRule="exact"/>
                    <w:rPr>
                      <w:rFonts w:cs="Times New Roman"/>
                      <w:color w:val="auto"/>
                      <w:kern w:val="2"/>
                    </w:rPr>
                  </w:pPr>
                  <w:r>
                    <w:rPr>
                      <w:rFonts w:cs="Times New Roman"/>
                      <w:color w:val="auto"/>
                      <w:kern w:val="2"/>
                    </w:rPr>
                    <w:t>10</w:t>
                  </w:r>
                </w:p>
              </w:tc>
              <w:tc>
                <w:tcPr>
                  <w:tcW w:w="508" w:type="pct"/>
                  <w:vMerge w:val="continue"/>
                  <w:vAlign w:val="center"/>
                </w:tcPr>
                <w:p>
                  <w:pPr>
                    <w:pStyle w:val="96"/>
                    <w:spacing w:line="360" w:lineRule="exact"/>
                    <w:rPr>
                      <w:rFonts w:cs="Times New Roman"/>
                      <w:color w:val="auto"/>
                      <w:kern w:val="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8" w:type="pct"/>
                  <w:vAlign w:val="center"/>
                </w:tcPr>
                <w:p>
                  <w:pPr>
                    <w:pStyle w:val="96"/>
                    <w:spacing w:line="360" w:lineRule="exact"/>
                    <w:rPr>
                      <w:rFonts w:cs="Times New Roman"/>
                      <w:color w:val="auto"/>
                      <w:kern w:val="2"/>
                    </w:rPr>
                  </w:pPr>
                  <w:r>
                    <w:rPr>
                      <w:rFonts w:cs="Times New Roman"/>
                      <w:color w:val="auto"/>
                      <w:kern w:val="2"/>
                    </w:rPr>
                    <w:t>四氯化碳</w:t>
                  </w:r>
                </w:p>
              </w:tc>
              <w:tc>
                <w:tcPr>
                  <w:tcW w:w="2279" w:type="pct"/>
                  <w:vAlign w:val="center"/>
                </w:tcPr>
                <w:p>
                  <w:pPr>
                    <w:pStyle w:val="96"/>
                    <w:spacing w:line="360" w:lineRule="exact"/>
                    <w:rPr>
                      <w:rFonts w:cs="Times New Roman"/>
                    </w:rPr>
                  </w:pPr>
                  <w:r>
                    <w:rPr>
                      <w:rFonts w:cs="Times New Roman"/>
                    </w:rPr>
                    <w:t>0.0160</w:t>
                  </w:r>
                </w:p>
              </w:tc>
              <w:tc>
                <w:tcPr>
                  <w:tcW w:w="1345" w:type="pct"/>
                  <w:vAlign w:val="center"/>
                </w:tcPr>
                <w:p>
                  <w:pPr>
                    <w:pStyle w:val="96"/>
                    <w:spacing w:line="360" w:lineRule="exact"/>
                    <w:rPr>
                      <w:rFonts w:cs="Times New Roman"/>
                      <w:color w:val="auto"/>
                      <w:kern w:val="2"/>
                    </w:rPr>
                  </w:pPr>
                  <w:r>
                    <w:rPr>
                      <w:rFonts w:cs="Times New Roman"/>
                      <w:color w:val="auto"/>
                      <w:kern w:val="2"/>
                    </w:rPr>
                    <w:t>7.5</w:t>
                  </w:r>
                </w:p>
              </w:tc>
              <w:tc>
                <w:tcPr>
                  <w:tcW w:w="508" w:type="pct"/>
                  <w:vMerge w:val="continue"/>
                  <w:vAlign w:val="center"/>
                </w:tcPr>
                <w:p>
                  <w:pPr>
                    <w:pStyle w:val="96"/>
                    <w:spacing w:line="360" w:lineRule="exact"/>
                    <w:rPr>
                      <w:rFonts w:cs="Times New Roman"/>
                      <w:color w:val="auto"/>
                      <w:kern w:val="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8" w:type="pct"/>
                  <w:vAlign w:val="center"/>
                </w:tcPr>
                <w:p>
                  <w:pPr>
                    <w:pStyle w:val="96"/>
                    <w:spacing w:line="360" w:lineRule="exact"/>
                    <w:rPr>
                      <w:rFonts w:cs="Times New Roman"/>
                      <w:color w:val="auto"/>
                      <w:kern w:val="2"/>
                    </w:rPr>
                  </w:pPr>
                  <w:r>
                    <w:rPr>
                      <w:rFonts w:cs="Times New Roman"/>
                      <w:color w:val="auto"/>
                      <w:kern w:val="2"/>
                    </w:rPr>
                    <w:t>正己烷</w:t>
                  </w:r>
                </w:p>
              </w:tc>
              <w:tc>
                <w:tcPr>
                  <w:tcW w:w="2279" w:type="pct"/>
                  <w:vAlign w:val="center"/>
                </w:tcPr>
                <w:p>
                  <w:pPr>
                    <w:pStyle w:val="96"/>
                    <w:spacing w:line="360" w:lineRule="exact"/>
                    <w:rPr>
                      <w:rFonts w:cs="Times New Roman"/>
                    </w:rPr>
                  </w:pPr>
                  <w:r>
                    <w:rPr>
                      <w:rFonts w:cs="Times New Roman"/>
                    </w:rPr>
                    <w:t>0.0013</w:t>
                  </w:r>
                </w:p>
              </w:tc>
              <w:tc>
                <w:tcPr>
                  <w:tcW w:w="1345" w:type="pct"/>
                  <w:vAlign w:val="center"/>
                </w:tcPr>
                <w:p>
                  <w:pPr>
                    <w:pStyle w:val="96"/>
                    <w:spacing w:line="360" w:lineRule="exact"/>
                    <w:rPr>
                      <w:rFonts w:cs="Times New Roman"/>
                      <w:color w:val="auto"/>
                      <w:kern w:val="2"/>
                    </w:rPr>
                  </w:pPr>
                  <w:r>
                    <w:rPr>
                      <w:rFonts w:cs="Times New Roman"/>
                      <w:color w:val="auto"/>
                      <w:kern w:val="2"/>
                    </w:rPr>
                    <w:t>10</w:t>
                  </w:r>
                </w:p>
              </w:tc>
              <w:tc>
                <w:tcPr>
                  <w:tcW w:w="508" w:type="pct"/>
                  <w:vMerge w:val="continue"/>
                  <w:vAlign w:val="center"/>
                </w:tcPr>
                <w:p>
                  <w:pPr>
                    <w:pStyle w:val="96"/>
                    <w:spacing w:line="360" w:lineRule="exact"/>
                    <w:rPr>
                      <w:rFonts w:cs="Times New Roman"/>
                      <w:color w:val="auto"/>
                      <w:kern w:val="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8" w:type="pct"/>
                  <w:vAlign w:val="center"/>
                </w:tcPr>
                <w:p>
                  <w:pPr>
                    <w:pStyle w:val="96"/>
                    <w:spacing w:line="360" w:lineRule="exact"/>
                    <w:rPr>
                      <w:rFonts w:cs="Times New Roman"/>
                      <w:color w:val="auto"/>
                      <w:kern w:val="2"/>
                    </w:rPr>
                  </w:pPr>
                  <w:r>
                    <w:rPr>
                      <w:rFonts w:cs="Times New Roman"/>
                      <w:color w:val="auto"/>
                      <w:kern w:val="2"/>
                    </w:rPr>
                    <w:t>丙酮</w:t>
                  </w:r>
                </w:p>
              </w:tc>
              <w:tc>
                <w:tcPr>
                  <w:tcW w:w="2279" w:type="pct"/>
                  <w:vAlign w:val="center"/>
                </w:tcPr>
                <w:p>
                  <w:pPr>
                    <w:pStyle w:val="96"/>
                    <w:spacing w:line="360" w:lineRule="exact"/>
                    <w:rPr>
                      <w:rFonts w:cs="Times New Roman"/>
                    </w:rPr>
                  </w:pPr>
                  <w:r>
                    <w:rPr>
                      <w:rFonts w:cs="Times New Roman"/>
                    </w:rPr>
                    <w:t>0.0016</w:t>
                  </w:r>
                </w:p>
              </w:tc>
              <w:tc>
                <w:tcPr>
                  <w:tcW w:w="1345" w:type="pct"/>
                  <w:vAlign w:val="center"/>
                </w:tcPr>
                <w:p>
                  <w:pPr>
                    <w:pStyle w:val="96"/>
                    <w:spacing w:line="360" w:lineRule="exact"/>
                    <w:rPr>
                      <w:rFonts w:cs="Times New Roman"/>
                      <w:color w:val="auto"/>
                      <w:kern w:val="2"/>
                    </w:rPr>
                  </w:pPr>
                  <w:r>
                    <w:rPr>
                      <w:rFonts w:cs="Times New Roman"/>
                      <w:color w:val="auto"/>
                      <w:kern w:val="2"/>
                    </w:rPr>
                    <w:t>10</w:t>
                  </w:r>
                </w:p>
              </w:tc>
              <w:tc>
                <w:tcPr>
                  <w:tcW w:w="508" w:type="pct"/>
                  <w:vMerge w:val="continue"/>
                  <w:vAlign w:val="center"/>
                </w:tcPr>
                <w:p>
                  <w:pPr>
                    <w:pStyle w:val="96"/>
                    <w:spacing w:line="360" w:lineRule="exact"/>
                    <w:rPr>
                      <w:rFonts w:cs="Times New Roman"/>
                      <w:color w:val="auto"/>
                      <w:kern w:val="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8" w:type="pct"/>
                  <w:vAlign w:val="center"/>
                </w:tcPr>
                <w:p>
                  <w:pPr>
                    <w:pStyle w:val="96"/>
                    <w:spacing w:line="360" w:lineRule="exact"/>
                    <w:rPr>
                      <w:rFonts w:cs="Times New Roman"/>
                      <w:color w:val="auto"/>
                      <w:kern w:val="2"/>
                    </w:rPr>
                  </w:pPr>
                  <w:r>
                    <w:rPr>
                      <w:rFonts w:cs="Times New Roman"/>
                      <w:color w:val="auto"/>
                      <w:kern w:val="2"/>
                    </w:rPr>
                    <w:t>石油醚</w:t>
                  </w:r>
                </w:p>
              </w:tc>
              <w:tc>
                <w:tcPr>
                  <w:tcW w:w="2279" w:type="pct"/>
                  <w:vAlign w:val="center"/>
                </w:tcPr>
                <w:p>
                  <w:pPr>
                    <w:pStyle w:val="96"/>
                    <w:spacing w:line="360" w:lineRule="exact"/>
                    <w:rPr>
                      <w:rFonts w:cs="Times New Roman"/>
                    </w:rPr>
                  </w:pPr>
                  <w:r>
                    <w:rPr>
                      <w:rFonts w:cs="Times New Roman"/>
                    </w:rPr>
                    <w:t>0.0013</w:t>
                  </w:r>
                </w:p>
              </w:tc>
              <w:tc>
                <w:tcPr>
                  <w:tcW w:w="1345" w:type="pct"/>
                  <w:vAlign w:val="center"/>
                </w:tcPr>
                <w:p>
                  <w:pPr>
                    <w:pStyle w:val="96"/>
                    <w:spacing w:line="360" w:lineRule="exact"/>
                    <w:rPr>
                      <w:rFonts w:cs="Times New Roman"/>
                      <w:color w:val="auto"/>
                      <w:kern w:val="2"/>
                    </w:rPr>
                  </w:pPr>
                  <w:r>
                    <w:rPr>
                      <w:rFonts w:cs="Times New Roman"/>
                      <w:color w:val="auto"/>
                      <w:kern w:val="2"/>
                    </w:rPr>
                    <w:t>10</w:t>
                  </w:r>
                </w:p>
              </w:tc>
              <w:tc>
                <w:tcPr>
                  <w:tcW w:w="508" w:type="pct"/>
                  <w:vMerge w:val="continue"/>
                  <w:vAlign w:val="center"/>
                </w:tcPr>
                <w:p>
                  <w:pPr>
                    <w:pStyle w:val="96"/>
                    <w:spacing w:line="360" w:lineRule="exact"/>
                    <w:rPr>
                      <w:rFonts w:cs="Times New Roman"/>
                      <w:color w:val="auto"/>
                      <w:kern w:val="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8" w:type="pct"/>
                  <w:vAlign w:val="center"/>
                </w:tcPr>
                <w:p>
                  <w:pPr>
                    <w:pStyle w:val="96"/>
                    <w:spacing w:line="360" w:lineRule="exact"/>
                    <w:rPr>
                      <w:rFonts w:cs="Times New Roman"/>
                      <w:color w:val="auto"/>
                      <w:kern w:val="2"/>
                    </w:rPr>
                  </w:pPr>
                  <w:r>
                    <w:rPr>
                      <w:rFonts w:cs="Times New Roman"/>
                      <w:color w:val="auto"/>
                      <w:kern w:val="2"/>
                    </w:rPr>
                    <w:t>甲酸</w:t>
                  </w:r>
                </w:p>
              </w:tc>
              <w:tc>
                <w:tcPr>
                  <w:tcW w:w="2279" w:type="pct"/>
                  <w:vAlign w:val="center"/>
                </w:tcPr>
                <w:p>
                  <w:pPr>
                    <w:pStyle w:val="96"/>
                    <w:spacing w:line="360" w:lineRule="exact"/>
                    <w:rPr>
                      <w:rFonts w:cs="Times New Roman"/>
                    </w:rPr>
                  </w:pPr>
                  <w:r>
                    <w:rPr>
                      <w:rFonts w:cs="Times New Roman"/>
                    </w:rPr>
                    <w:t>0.0024</w:t>
                  </w:r>
                </w:p>
              </w:tc>
              <w:tc>
                <w:tcPr>
                  <w:tcW w:w="1345" w:type="pct"/>
                  <w:vAlign w:val="center"/>
                </w:tcPr>
                <w:p>
                  <w:pPr>
                    <w:pStyle w:val="96"/>
                    <w:spacing w:line="360" w:lineRule="exact"/>
                    <w:rPr>
                      <w:rFonts w:cs="Times New Roman"/>
                      <w:color w:val="auto"/>
                      <w:kern w:val="2"/>
                    </w:rPr>
                  </w:pPr>
                  <w:r>
                    <w:rPr>
                      <w:rFonts w:cs="Times New Roman"/>
                      <w:color w:val="auto"/>
                      <w:kern w:val="2"/>
                    </w:rPr>
                    <w:t>10</w:t>
                  </w:r>
                </w:p>
              </w:tc>
              <w:tc>
                <w:tcPr>
                  <w:tcW w:w="508" w:type="pct"/>
                  <w:vMerge w:val="continue"/>
                  <w:vAlign w:val="center"/>
                </w:tcPr>
                <w:p>
                  <w:pPr>
                    <w:pStyle w:val="96"/>
                    <w:spacing w:line="360" w:lineRule="exact"/>
                    <w:rPr>
                      <w:rFonts w:cs="Times New Roman"/>
                      <w:color w:val="auto"/>
                      <w:kern w:val="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8" w:type="pct"/>
                  <w:vAlign w:val="center"/>
                </w:tcPr>
                <w:p>
                  <w:pPr>
                    <w:pStyle w:val="96"/>
                    <w:spacing w:line="360" w:lineRule="exact"/>
                    <w:rPr>
                      <w:rFonts w:cs="Times New Roman"/>
                      <w:color w:val="auto"/>
                      <w:kern w:val="2"/>
                    </w:rPr>
                  </w:pPr>
                  <w:r>
                    <w:rPr>
                      <w:rFonts w:cs="Times New Roman"/>
                      <w:color w:val="auto"/>
                      <w:kern w:val="2"/>
                    </w:rPr>
                    <w:t>乙酸</w:t>
                  </w:r>
                </w:p>
              </w:tc>
              <w:tc>
                <w:tcPr>
                  <w:tcW w:w="2279" w:type="pct"/>
                  <w:vAlign w:val="center"/>
                </w:tcPr>
                <w:p>
                  <w:pPr>
                    <w:pStyle w:val="96"/>
                    <w:spacing w:line="360" w:lineRule="exact"/>
                    <w:rPr>
                      <w:rFonts w:cs="Times New Roman"/>
                    </w:rPr>
                  </w:pPr>
                  <w:r>
                    <w:rPr>
                      <w:rFonts w:cs="Times New Roman"/>
                    </w:rPr>
                    <w:t>0.0021</w:t>
                  </w:r>
                </w:p>
              </w:tc>
              <w:tc>
                <w:tcPr>
                  <w:tcW w:w="1345" w:type="pct"/>
                  <w:vAlign w:val="center"/>
                </w:tcPr>
                <w:p>
                  <w:pPr>
                    <w:pStyle w:val="96"/>
                    <w:spacing w:line="360" w:lineRule="exact"/>
                    <w:rPr>
                      <w:rFonts w:cs="Times New Roman"/>
                      <w:color w:val="auto"/>
                      <w:kern w:val="2"/>
                    </w:rPr>
                  </w:pPr>
                  <w:r>
                    <w:rPr>
                      <w:rFonts w:cs="Times New Roman"/>
                      <w:color w:val="auto"/>
                      <w:kern w:val="2"/>
                    </w:rPr>
                    <w:t>10</w:t>
                  </w:r>
                </w:p>
              </w:tc>
              <w:tc>
                <w:tcPr>
                  <w:tcW w:w="508" w:type="pct"/>
                  <w:vMerge w:val="continue"/>
                  <w:vAlign w:val="center"/>
                </w:tcPr>
                <w:p>
                  <w:pPr>
                    <w:pStyle w:val="96"/>
                    <w:spacing w:line="360" w:lineRule="exact"/>
                    <w:rPr>
                      <w:rFonts w:cs="Times New Roman"/>
                      <w:color w:val="auto"/>
                      <w:kern w:val="2"/>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68" w:type="pct"/>
                  <w:vAlign w:val="center"/>
                </w:tcPr>
                <w:p>
                  <w:pPr>
                    <w:pStyle w:val="96"/>
                    <w:spacing w:line="360" w:lineRule="exact"/>
                    <w:rPr>
                      <w:rFonts w:cs="Times New Roman"/>
                      <w:color w:val="auto"/>
                      <w:kern w:val="2"/>
                    </w:rPr>
                  </w:pPr>
                  <w:r>
                    <w:rPr>
                      <w:rFonts w:cs="Times New Roman"/>
                      <w:color w:val="auto"/>
                      <w:kern w:val="2"/>
                    </w:rPr>
                    <w:t>甲苯</w:t>
                  </w:r>
                </w:p>
              </w:tc>
              <w:tc>
                <w:tcPr>
                  <w:tcW w:w="2279" w:type="pct"/>
                  <w:vAlign w:val="center"/>
                </w:tcPr>
                <w:p>
                  <w:pPr>
                    <w:pStyle w:val="96"/>
                    <w:spacing w:line="360" w:lineRule="exact"/>
                    <w:rPr>
                      <w:rFonts w:cs="Times New Roman"/>
                    </w:rPr>
                  </w:pPr>
                  <w:r>
                    <w:rPr>
                      <w:rFonts w:cs="Times New Roman"/>
                    </w:rPr>
                    <w:t>0.0017</w:t>
                  </w:r>
                </w:p>
              </w:tc>
              <w:tc>
                <w:tcPr>
                  <w:tcW w:w="1345" w:type="pct"/>
                  <w:vAlign w:val="center"/>
                </w:tcPr>
                <w:p>
                  <w:pPr>
                    <w:pStyle w:val="96"/>
                    <w:spacing w:line="360" w:lineRule="exact"/>
                    <w:rPr>
                      <w:rFonts w:cs="Times New Roman"/>
                      <w:color w:val="auto"/>
                      <w:kern w:val="2"/>
                    </w:rPr>
                  </w:pPr>
                  <w:r>
                    <w:rPr>
                      <w:rFonts w:cs="Times New Roman"/>
                      <w:color w:val="auto"/>
                      <w:kern w:val="2"/>
                    </w:rPr>
                    <w:t>10</w:t>
                  </w:r>
                </w:p>
              </w:tc>
              <w:tc>
                <w:tcPr>
                  <w:tcW w:w="508" w:type="pct"/>
                  <w:vMerge w:val="continue"/>
                  <w:vAlign w:val="center"/>
                </w:tcPr>
                <w:p>
                  <w:pPr>
                    <w:pStyle w:val="96"/>
                    <w:spacing w:line="360" w:lineRule="exact"/>
                    <w:rPr>
                      <w:rFonts w:cs="Times New Roman"/>
                      <w:color w:val="auto"/>
                      <w:kern w:val="2"/>
                    </w:rPr>
                  </w:pPr>
                </w:p>
              </w:tc>
            </w:tr>
          </w:tbl>
          <w:p>
            <w:pPr>
              <w:autoSpaceDE w:val="0"/>
              <w:autoSpaceDN w:val="0"/>
              <w:spacing w:line="520" w:lineRule="exact"/>
              <w:ind w:firstLine="480" w:firstLineChars="200"/>
              <w:rPr>
                <w:kern w:val="0"/>
                <w:sz w:val="24"/>
              </w:rPr>
            </w:pPr>
            <w:r>
              <w:rPr>
                <w:kern w:val="0"/>
                <w:sz w:val="24"/>
              </w:rPr>
              <w:t>根据上表数据及《建设项目环境风险评价技术导则》（HJ169-2018）附录C计算得出，本项目</w:t>
            </w:r>
            <w:r>
              <w:rPr>
                <w:color w:val="000000"/>
                <w:sz w:val="24"/>
              </w:rPr>
              <w:t>涉及危险化学品存放量</w:t>
            </w:r>
            <w:r>
              <w:rPr>
                <w:kern w:val="0"/>
                <w:sz w:val="24"/>
              </w:rPr>
              <w:t>与临界量比值：Q=0.0138＜1，因此本次新建项目不需要设置风险专项分析。综上所述，本项目Q＜1，环境风险潜势为I。</w:t>
            </w:r>
          </w:p>
          <w:p>
            <w:pPr>
              <w:autoSpaceDE w:val="0"/>
              <w:autoSpaceDN w:val="0"/>
              <w:adjustRightInd w:val="0"/>
              <w:snapToGrid w:val="0"/>
              <w:spacing w:line="460" w:lineRule="exact"/>
              <w:ind w:firstLine="482" w:firstLineChars="200"/>
              <w:textAlignment w:val="baseline"/>
              <w:rPr>
                <w:b/>
                <w:bCs/>
                <w:sz w:val="24"/>
              </w:rPr>
            </w:pPr>
            <w:r>
              <w:rPr>
                <w:b/>
                <w:bCs/>
                <w:sz w:val="24"/>
              </w:rPr>
              <w:t>2、风险源分布情况</w:t>
            </w:r>
          </w:p>
          <w:p>
            <w:pPr>
              <w:autoSpaceDE w:val="0"/>
              <w:autoSpaceDN w:val="0"/>
              <w:adjustRightInd w:val="0"/>
              <w:snapToGrid w:val="0"/>
              <w:spacing w:line="420" w:lineRule="exact"/>
              <w:ind w:firstLine="480" w:firstLineChars="200"/>
              <w:textAlignment w:val="baseline"/>
              <w:rPr>
                <w:color w:val="000000"/>
                <w:sz w:val="24"/>
              </w:rPr>
            </w:pPr>
            <w:r>
              <w:rPr>
                <w:color w:val="000000"/>
                <w:sz w:val="24"/>
              </w:rPr>
              <w:t>本新建项目</w:t>
            </w:r>
            <w:r>
              <w:rPr>
                <w:rFonts w:hint="eastAsia"/>
                <w:color w:val="000000"/>
                <w:sz w:val="24"/>
              </w:rPr>
              <w:t>涉及的危险化学品</w:t>
            </w:r>
            <w:r>
              <w:rPr>
                <w:color w:val="000000"/>
                <w:sz w:val="24"/>
              </w:rPr>
              <w:t>暂存于专用容器内，存放至</w:t>
            </w:r>
            <w:r>
              <w:rPr>
                <w:rFonts w:hint="eastAsia"/>
                <w:color w:val="000000"/>
                <w:sz w:val="24"/>
              </w:rPr>
              <w:t>药剂室</w:t>
            </w:r>
            <w:r>
              <w:rPr>
                <w:color w:val="000000"/>
                <w:sz w:val="24"/>
              </w:rPr>
              <w:t>，</w:t>
            </w:r>
            <w:r>
              <w:rPr>
                <w:rFonts w:hint="eastAsia"/>
                <w:color w:val="000000"/>
                <w:sz w:val="24"/>
              </w:rPr>
              <w:t>危险废物暂存专用容器收集暂存危险废物暂存间内。本项目风险单位为药剂室、危废间，风险单位</w:t>
            </w:r>
            <w:r>
              <w:rPr>
                <w:color w:val="000000"/>
                <w:sz w:val="24"/>
              </w:rPr>
              <w:t>在厂区的位置图如下。</w:t>
            </w:r>
          </w:p>
          <w:p>
            <w:pPr>
              <w:autoSpaceDE w:val="0"/>
              <w:autoSpaceDN w:val="0"/>
              <w:adjustRightInd w:val="0"/>
              <w:snapToGrid w:val="0"/>
              <w:jc w:val="center"/>
              <w:textAlignment w:val="baseline"/>
              <w:rPr>
                <w:color w:val="000000"/>
                <w:sz w:val="24"/>
              </w:rPr>
            </w:pPr>
            <w:r>
              <mc:AlternateContent>
                <mc:Choice Requires="wps">
                  <w:drawing>
                    <wp:anchor distT="0" distB="0" distL="114300" distR="114300" simplePos="0" relativeHeight="251665408" behindDoc="0" locked="0" layoutInCell="1" allowOverlap="1">
                      <wp:simplePos x="0" y="0"/>
                      <wp:positionH relativeFrom="column">
                        <wp:posOffset>434975</wp:posOffset>
                      </wp:positionH>
                      <wp:positionV relativeFrom="paragraph">
                        <wp:posOffset>1826895</wp:posOffset>
                      </wp:positionV>
                      <wp:extent cx="975360" cy="323850"/>
                      <wp:effectExtent l="10160" t="12065" r="509905" b="16510"/>
                      <wp:wrapNone/>
                      <wp:docPr id="2" name="对话气泡: 圆角矩形 14"/>
                      <wp:cNvGraphicFramePr/>
                      <a:graphic xmlns:a="http://schemas.openxmlformats.org/drawingml/2006/main">
                        <a:graphicData uri="http://schemas.microsoft.com/office/word/2010/wordprocessingShape">
                          <wps:wsp>
                            <wps:cNvSpPr>
                              <a:spLocks noChangeArrowheads="1"/>
                            </wps:cNvSpPr>
                            <wps:spPr bwMode="auto">
                              <a:xfrm>
                                <a:off x="0" y="0"/>
                                <a:ext cx="975360" cy="323850"/>
                              </a:xfrm>
                              <a:prstGeom prst="wedgeRoundRectCallout">
                                <a:avLst>
                                  <a:gd name="adj1" fmla="val 93815"/>
                                  <a:gd name="adj2" fmla="val 47255"/>
                                  <a:gd name="adj3" fmla="val 16667"/>
                                </a:avLst>
                              </a:prstGeom>
                              <a:noFill/>
                              <a:ln w="12700" algn="ctr">
                                <a:solidFill>
                                  <a:srgbClr val="FFFF00"/>
                                </a:solidFill>
                                <a:miter lim="800000"/>
                              </a:ln>
                            </wps:spPr>
                            <wps:txbx>
                              <w:txbxContent>
                                <w:p>
                                  <w:pPr>
                                    <w:jc w:val="center"/>
                                    <w:rPr>
                                      <w:color w:val="FFFF00"/>
                                    </w:rPr>
                                  </w:pPr>
                                  <w:r>
                                    <w:rPr>
                                      <w:rFonts w:hint="eastAsia"/>
                                      <w:color w:val="FFFF00"/>
                                    </w:rPr>
                                    <w:t>危废间</w:t>
                                  </w:r>
                                </w:p>
                              </w:txbxContent>
                            </wps:txbx>
                            <wps:bodyPr rot="0" vert="horz" wrap="square" lIns="91440" tIns="45720" rIns="91440" bIns="45720" anchor="ctr" anchorCtr="0" upright="1">
                              <a:noAutofit/>
                            </wps:bodyPr>
                          </wps:wsp>
                        </a:graphicData>
                      </a:graphic>
                    </wp:anchor>
                  </w:drawing>
                </mc:Choice>
                <mc:Fallback>
                  <w:pict>
                    <v:shape id="对话气泡: 圆角矩形 14" o:spid="_x0000_s1026" o:spt="62" type="#_x0000_t62" style="position:absolute;left:0pt;margin-left:34.25pt;margin-top:143.85pt;height:25.5pt;width:76.8pt;z-index:251665408;v-text-anchor:middle;mso-width-relative:page;mso-height-relative:page;" filled="f" stroked="t" coordsize="21600,21600" o:gfxdata="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uhpYfbAAAACgEAAA8AAAAAAAAAAQAgAAAAIgAAAGRycy9kb3ducmV2LnhtbFBLAQIU&#10;ABQAAAAIAIdO4kDc8P5PmwIAAPkEAAAOAAAAAAAAAAEAIAAAACoBAABkcnMvZTJvRG9jLnhtbFBL&#10;BQYAAAAABgAGAFkBAAA3BgAAAAA=&#10;" adj="31064,21007,14400">
                      <v:fill on="f" focussize="0,0"/>
                      <v:stroke weight="1pt" color="#FFFF00" miterlimit="8" joinstyle="miter"/>
                      <v:imagedata o:title=""/>
                      <o:lock v:ext="edit" aspectratio="f"/>
                      <v:textbox>
                        <w:txbxContent>
                          <w:p>
                            <w:pPr>
                              <w:jc w:val="center"/>
                              <w:rPr>
                                <w:color w:val="FFFF00"/>
                              </w:rPr>
                            </w:pPr>
                            <w:r>
                              <w:rPr>
                                <w:rFonts w:hint="eastAsia"/>
                                <w:color w:val="FFFF00"/>
                              </w:rPr>
                              <w:t>危废间</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2614295</wp:posOffset>
                      </wp:positionH>
                      <wp:positionV relativeFrom="paragraph">
                        <wp:posOffset>2210435</wp:posOffset>
                      </wp:positionV>
                      <wp:extent cx="975360" cy="317500"/>
                      <wp:effectExtent l="715010" t="13335" r="14605" b="12065"/>
                      <wp:wrapNone/>
                      <wp:docPr id="3" name="对话气泡: 圆角矩形 9"/>
                      <wp:cNvGraphicFramePr/>
                      <a:graphic xmlns:a="http://schemas.openxmlformats.org/drawingml/2006/main">
                        <a:graphicData uri="http://schemas.microsoft.com/office/word/2010/wordprocessingShape">
                          <wps:wsp>
                            <wps:cNvSpPr>
                              <a:spLocks noChangeArrowheads="1"/>
                            </wps:cNvSpPr>
                            <wps:spPr bwMode="auto">
                              <a:xfrm>
                                <a:off x="0" y="0"/>
                                <a:ext cx="975360" cy="317500"/>
                              </a:xfrm>
                              <a:prstGeom prst="wedgeRoundRectCallout">
                                <a:avLst>
                                  <a:gd name="adj1" fmla="val -122398"/>
                                  <a:gd name="adj2" fmla="val -45000"/>
                                  <a:gd name="adj3" fmla="val 16667"/>
                                </a:avLst>
                              </a:prstGeom>
                              <a:noFill/>
                              <a:ln w="12700" algn="ctr">
                                <a:solidFill>
                                  <a:srgbClr val="FF0000"/>
                                </a:solidFill>
                                <a:miter lim="800000"/>
                              </a:ln>
                            </wps:spPr>
                            <wps:txbx>
                              <w:txbxContent>
                                <w:p>
                                  <w:pPr>
                                    <w:jc w:val="center"/>
                                    <w:rPr>
                                      <w:color w:val="FF0000"/>
                                    </w:rPr>
                                  </w:pPr>
                                  <w:r>
                                    <w:rPr>
                                      <w:rFonts w:hint="eastAsia"/>
                                      <w:color w:val="FF0000"/>
                                    </w:rPr>
                                    <w:t>风险单元</w:t>
                                  </w:r>
                                </w:p>
                              </w:txbxContent>
                            </wps:txbx>
                            <wps:bodyPr rot="0" vert="horz" wrap="square" lIns="91440" tIns="45720" rIns="91440" bIns="45720" anchor="ctr" anchorCtr="0" upright="1">
                              <a:noAutofit/>
                            </wps:bodyPr>
                          </wps:wsp>
                        </a:graphicData>
                      </a:graphic>
                    </wp:anchor>
                  </w:drawing>
                </mc:Choice>
                <mc:Fallback>
                  <w:pict>
                    <v:shape id="对话气泡: 圆角矩形 9" o:spid="_x0000_s1026" o:spt="62" type="#_x0000_t62" style="position:absolute;left:0pt;margin-left:205.85pt;margin-top:174.05pt;height:25pt;width:76.8pt;z-index:251663360;v-text-anchor:middle;mso-width-relative:page;mso-height-relative:page;" filled="f" stroked="t" coordsize="21600,21600" o:gfxdata="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ICvZHaAAAACwEAAA8AAAAAAAAAAQAgAAAAIgAAAGRycy9kb3ducmV2LnhtbFBLAQIUABQA&#10;AAAIAIdO4kDaIRcAmQIAAPsEAAAOAAAAAAAAAAEAIAAAACkBAABkcnMvZTJvRG9jLnhtbFBLBQYA&#10;AAAABgAGAFkBAAA0BgAAAAA=&#10;" adj="-15638,1080,14400">
                      <v:fill on="f" focussize="0,0"/>
                      <v:stroke weight="1pt" color="#FF0000" miterlimit="8" joinstyle="miter"/>
                      <v:imagedata o:title=""/>
                      <o:lock v:ext="edit" aspectratio="f"/>
                      <v:textbox>
                        <w:txbxContent>
                          <w:p>
                            <w:pPr>
                              <w:jc w:val="center"/>
                              <w:rPr>
                                <w:color w:val="FF0000"/>
                              </w:rPr>
                            </w:pPr>
                            <w:r>
                              <w:rPr>
                                <w:rFonts w:hint="eastAsia"/>
                                <w:color w:val="FF0000"/>
                              </w:rPr>
                              <w:t>风险单元</w:t>
                            </w:r>
                          </w:p>
                        </w:txbxContent>
                      </v:textbox>
                    </v:shape>
                  </w:pict>
                </mc:Fallback>
              </mc:AlternateContent>
            </w:r>
            <w:r>
              <w:rPr>
                <w:b/>
                <w:color w:val="000000"/>
                <w:sz w:val="24"/>
              </w:rPr>
              <mc:AlternateContent>
                <mc:Choice Requires="wps">
                  <w:drawing>
                    <wp:anchor distT="0" distB="0" distL="114300" distR="114300" simplePos="0" relativeHeight="251666432" behindDoc="0" locked="0" layoutInCell="1" allowOverlap="1">
                      <wp:simplePos x="0" y="0"/>
                      <wp:positionH relativeFrom="column">
                        <wp:posOffset>1640205</wp:posOffset>
                      </wp:positionH>
                      <wp:positionV relativeFrom="paragraph">
                        <wp:posOffset>175895</wp:posOffset>
                      </wp:positionV>
                      <wp:extent cx="975360" cy="261620"/>
                      <wp:effectExtent l="6350" t="14605" r="542290" b="419100"/>
                      <wp:wrapNone/>
                      <wp:docPr id="8" name="AutoShape 24"/>
                      <wp:cNvGraphicFramePr/>
                      <a:graphic xmlns:a="http://schemas.openxmlformats.org/drawingml/2006/main">
                        <a:graphicData uri="http://schemas.microsoft.com/office/word/2010/wordprocessingShape">
                          <wps:wsp>
                            <wps:cNvSpPr>
                              <a:spLocks noChangeArrowheads="1"/>
                            </wps:cNvSpPr>
                            <wps:spPr bwMode="auto">
                              <a:xfrm>
                                <a:off x="0" y="0"/>
                                <a:ext cx="975360" cy="261620"/>
                              </a:xfrm>
                              <a:prstGeom prst="wedgeRoundRectCallout">
                                <a:avLst>
                                  <a:gd name="adj1" fmla="val 95639"/>
                                  <a:gd name="adj2" fmla="val 188593"/>
                                  <a:gd name="adj3" fmla="val 16667"/>
                                </a:avLst>
                              </a:prstGeom>
                              <a:noFill/>
                              <a:ln w="12700" algn="ctr">
                                <a:solidFill>
                                  <a:srgbClr val="FF0000"/>
                                </a:solidFill>
                                <a:miter lim="800000"/>
                              </a:ln>
                            </wps:spPr>
                            <wps:txbx>
                              <w:txbxContent>
                                <w:p>
                                  <w:pPr>
                                    <w:jc w:val="center"/>
                                    <w:rPr>
                                      <w:color w:val="FF0000"/>
                                    </w:rPr>
                                  </w:pPr>
                                  <w:r>
                                    <w:rPr>
                                      <w:rFonts w:hint="eastAsia"/>
                                      <w:color w:val="FF0000"/>
                                    </w:rPr>
                                    <w:t>风险单元</w:t>
                                  </w:r>
                                </w:p>
                              </w:txbxContent>
                            </wps:txbx>
                            <wps:bodyPr rot="0" vert="horz" wrap="square" lIns="91440" tIns="45720" rIns="91440" bIns="45720" anchor="ctr" anchorCtr="0" upright="1">
                              <a:noAutofit/>
                            </wps:bodyPr>
                          </wps:wsp>
                        </a:graphicData>
                      </a:graphic>
                    </wp:anchor>
                  </w:drawing>
                </mc:Choice>
                <mc:Fallback>
                  <w:pict>
                    <v:shape id="AutoShape 24" o:spid="_x0000_s1026" o:spt="62" type="#_x0000_t62" style="position:absolute;left:0pt;margin-left:129.15pt;margin-top:13.85pt;height:20.6pt;width:76.8pt;z-index:251666432;v-text-anchor:middle;mso-width-relative:page;mso-height-relative:page;" filled="f" stroked="t" coordsize="21600,21600" o:gfxdata="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96my82AAAAAkBAAAPAAAAAAAAAAEAIAAAACIAAABkcnMvZG93bnJldi54bWxQ&#10;SwECFAAUAAAACACHTuJAEc4Z32kCAADpBAAADgAAAAAAAAABACAAAAAnAQAAZHJzL2Uyb0RvYy54&#10;bWxQSwUGAAAAAAYABgBZAQAAAgYAAAAA&#10;" adj="31458,51536,14400">
                      <v:fill on="f" focussize="0,0"/>
                      <v:stroke weight="1pt" color="#FF0000" miterlimit="8" joinstyle="miter"/>
                      <v:imagedata o:title=""/>
                      <o:lock v:ext="edit" aspectratio="f"/>
                      <v:textbox>
                        <w:txbxContent>
                          <w:p>
                            <w:pPr>
                              <w:jc w:val="center"/>
                              <w:rPr>
                                <w:color w:val="FF0000"/>
                              </w:rPr>
                            </w:pPr>
                            <w:r>
                              <w:rPr>
                                <w:rFonts w:hint="eastAsia"/>
                                <w:color w:val="FF0000"/>
                              </w:rPr>
                              <w:t>风险单元</w:t>
                            </w:r>
                          </w:p>
                        </w:txbxContent>
                      </v:textbox>
                    </v:shape>
                  </w:pict>
                </mc:Fallback>
              </mc:AlternateContent>
            </w:r>
            <w:r>
              <w:drawing>
                <wp:anchor distT="0" distB="0" distL="114300" distR="114300" simplePos="0" relativeHeight="251661312" behindDoc="0" locked="0" layoutInCell="1" allowOverlap="1">
                  <wp:simplePos x="0" y="0"/>
                  <wp:positionH relativeFrom="column">
                    <wp:posOffset>4540885</wp:posOffset>
                  </wp:positionH>
                  <wp:positionV relativeFrom="paragraph">
                    <wp:posOffset>46990</wp:posOffset>
                  </wp:positionV>
                  <wp:extent cx="414655" cy="393700"/>
                  <wp:effectExtent l="0" t="0" r="0" b="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14655" cy="393700"/>
                          </a:xfrm>
                          <a:prstGeom prst="rect">
                            <a:avLst/>
                          </a:prstGeom>
                          <a:noFill/>
                          <a:ln>
                            <a:noFill/>
                          </a:ln>
                        </pic:spPr>
                      </pic:pic>
                    </a:graphicData>
                  </a:graphic>
                </wp:anchor>
              </w:drawing>
            </w:r>
            <w:r>
              <mc:AlternateContent>
                <mc:Choice Requires="wps">
                  <w:drawing>
                    <wp:anchor distT="0" distB="0" distL="114300" distR="114300" simplePos="0" relativeHeight="251664384" behindDoc="0" locked="0" layoutInCell="1" allowOverlap="1">
                      <wp:simplePos x="0" y="0"/>
                      <wp:positionH relativeFrom="column">
                        <wp:posOffset>542290</wp:posOffset>
                      </wp:positionH>
                      <wp:positionV relativeFrom="paragraph">
                        <wp:posOffset>806450</wp:posOffset>
                      </wp:positionV>
                      <wp:extent cx="975360" cy="273050"/>
                      <wp:effectExtent l="13335" t="6985" r="706755" b="110490"/>
                      <wp:wrapNone/>
                      <wp:docPr id="4" name="对话气泡: 圆角矩形 11"/>
                      <wp:cNvGraphicFramePr/>
                      <a:graphic xmlns:a="http://schemas.openxmlformats.org/drawingml/2006/main">
                        <a:graphicData uri="http://schemas.microsoft.com/office/word/2010/wordprocessingShape">
                          <wps:wsp>
                            <wps:cNvSpPr>
                              <a:spLocks noChangeArrowheads="1"/>
                            </wps:cNvSpPr>
                            <wps:spPr bwMode="auto">
                              <a:xfrm>
                                <a:off x="0" y="0"/>
                                <a:ext cx="975360" cy="273050"/>
                              </a:xfrm>
                              <a:prstGeom prst="wedgeRoundRectCallout">
                                <a:avLst>
                                  <a:gd name="adj1" fmla="val 121616"/>
                                  <a:gd name="adj2" fmla="val 77208"/>
                                  <a:gd name="adj3" fmla="val 16667"/>
                                </a:avLst>
                              </a:prstGeom>
                              <a:noFill/>
                              <a:ln w="12700" algn="ctr">
                                <a:solidFill>
                                  <a:srgbClr val="FF0000"/>
                                </a:solidFill>
                                <a:miter lim="800000"/>
                              </a:ln>
                            </wps:spPr>
                            <wps:txbx>
                              <w:txbxContent>
                                <w:p>
                                  <w:pPr>
                                    <w:jc w:val="center"/>
                                    <w:rPr>
                                      <w:color w:val="FF0000"/>
                                    </w:rPr>
                                  </w:pPr>
                                  <w:r>
                                    <w:rPr>
                                      <w:rFonts w:hint="eastAsia"/>
                                      <w:color w:val="FF0000"/>
                                    </w:rPr>
                                    <w:t>本项目位置</w:t>
                                  </w:r>
                                </w:p>
                              </w:txbxContent>
                            </wps:txbx>
                            <wps:bodyPr rot="0" vert="horz" wrap="square" lIns="91440" tIns="45720" rIns="91440" bIns="45720" anchor="ctr" anchorCtr="0" upright="1">
                              <a:noAutofit/>
                            </wps:bodyPr>
                          </wps:wsp>
                        </a:graphicData>
                      </a:graphic>
                    </wp:anchor>
                  </w:drawing>
                </mc:Choice>
                <mc:Fallback>
                  <w:pict>
                    <v:shape id="对话气泡: 圆角矩形 11" o:spid="_x0000_s1026" o:spt="62" type="#_x0000_t62" style="position:absolute;left:0pt;margin-left:42.7pt;margin-top:63.5pt;height:21.5pt;width:76.8pt;z-index:251664384;v-text-anchor:middle;mso-width-relative:page;mso-height-relative:page;" filled="f" stroked="t" coordsize="21600,21600" o:gfxdata="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JKF5AbaAAAACgEAAA8AAAAAAAAAAQAgAAAAIgAAAGRycy9kb3ducmV2LnhtbFBLAQIUABQA&#10;AAAIAIdO4kDMbo/AmQIAAPoEAAAOAAAAAAAAAAEAIAAAACkBAABkcnMvZTJvRG9jLnhtbFBLBQYA&#10;AAAABgAGAFkBAAA0BgAAAAA=&#10;" adj="37069,27477,14400">
                      <v:fill on="f" focussize="0,0"/>
                      <v:stroke weight="1pt" color="#FF0000" miterlimit="8" joinstyle="miter"/>
                      <v:imagedata o:title=""/>
                      <o:lock v:ext="edit" aspectratio="f"/>
                      <v:textbox>
                        <w:txbxContent>
                          <w:p>
                            <w:pPr>
                              <w:jc w:val="center"/>
                              <w:rPr>
                                <w:color w:val="FF0000"/>
                              </w:rPr>
                            </w:pPr>
                            <w:r>
                              <w:rPr>
                                <w:rFonts w:hint="eastAsia"/>
                                <w:color w:val="FF0000"/>
                              </w:rPr>
                              <w:t>本项目位置</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3746500</wp:posOffset>
                      </wp:positionH>
                      <wp:positionV relativeFrom="paragraph">
                        <wp:posOffset>622300</wp:posOffset>
                      </wp:positionV>
                      <wp:extent cx="975360" cy="323850"/>
                      <wp:effectExtent l="495300" t="0" r="0" b="0"/>
                      <wp:wrapNone/>
                      <wp:docPr id="1" name="对话气泡: 圆角矩形 1"/>
                      <wp:cNvGraphicFramePr/>
                      <a:graphic xmlns:a="http://schemas.openxmlformats.org/drawingml/2006/main">
                        <a:graphicData uri="http://schemas.microsoft.com/office/word/2010/wordprocessingShape">
                          <wps:wsp>
                            <wps:cNvSpPr/>
                            <wps:spPr>
                              <a:xfrm>
                                <a:off x="0" y="0"/>
                                <a:ext cx="975360" cy="323850"/>
                              </a:xfrm>
                              <a:prstGeom prst="wedgeRoundRectCallout">
                                <a:avLst>
                                  <a:gd name="adj1" fmla="val -96364"/>
                                  <a:gd name="adj2" fmla="val 7862"/>
                                  <a:gd name="adj3" fmla="val 16667"/>
                                </a:avLst>
                              </a:prstGeom>
                              <a:noFill/>
                              <a:ln w="12700" cap="flat" cmpd="sng" algn="ctr">
                                <a:solidFill>
                                  <a:srgbClr val="FFFF00"/>
                                </a:solidFill>
                                <a:prstDash val="solid"/>
                                <a:miter lim="800000"/>
                              </a:ln>
                              <a:effectLst/>
                            </wps:spPr>
                            <wps:txbx>
                              <w:txbxContent>
                                <w:p>
                                  <w:pPr>
                                    <w:jc w:val="center"/>
                                    <w:rPr>
                                      <w:color w:val="FFFF00"/>
                                    </w:rPr>
                                  </w:pPr>
                                  <w:r>
                                    <w:rPr>
                                      <w:rFonts w:hint="eastAsia"/>
                                      <w:color w:val="FFFF00"/>
                                    </w:rPr>
                                    <w:t>药剂室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 o:spid="_x0000_s1026" o:spt="62" type="#_x0000_t62" style="position:absolute;left:0pt;margin-left:295pt;margin-top:49pt;height:25.5pt;width:76.8pt;z-index:251662336;v-text-anchor:middle;mso-width-relative:page;mso-height-relative:page;" filled="f" stroked="t" coordsize="21600,21600" o:gfxdata="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DPJEyzYAAAACgEAAA8AAAAAAAAAAQAgAAAAIgAAAGRycy9kb3ducmV2LnhtbFBLAQIUABQAAAAI&#10;AIdO4kAeQssL0QIAAH0FAAAOAAAAAAAAAAEAIAAAACcBAABkcnMvZTJvRG9jLnhtbFBLBQYAAAAA&#10;BgAGAFkBAABqBgAAAAA=&#10;" adj="-10015,12498,14400">
                      <v:fill on="f" focussize="0,0"/>
                      <v:stroke weight="1pt" color="#FFFF00" miterlimit="8" joinstyle="miter"/>
                      <v:imagedata o:title=""/>
                      <o:lock v:ext="edit" aspectratio="f"/>
                      <v:textbox>
                        <w:txbxContent>
                          <w:p>
                            <w:pPr>
                              <w:jc w:val="center"/>
                              <w:rPr>
                                <w:color w:val="FFFF00"/>
                              </w:rPr>
                            </w:pPr>
                            <w:r>
                              <w:rPr>
                                <w:rFonts w:hint="eastAsia"/>
                                <w:color w:val="FFFF00"/>
                              </w:rPr>
                              <w:t>药剂室</w:t>
                            </w:r>
                          </w:p>
                        </w:txbxContent>
                      </v:textbox>
                    </v:shape>
                  </w:pict>
                </mc:Fallback>
              </mc:AlternateContent>
            </w:r>
            <w:r>
              <w:drawing>
                <wp:inline distT="0" distB="0" distL="0" distR="0">
                  <wp:extent cx="4826635" cy="29159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835592" cy="2921129"/>
                          </a:xfrm>
                          <a:prstGeom prst="rect">
                            <a:avLst/>
                          </a:prstGeom>
                          <a:noFill/>
                          <a:ln>
                            <a:noFill/>
                          </a:ln>
                        </pic:spPr>
                      </pic:pic>
                    </a:graphicData>
                  </a:graphic>
                </wp:inline>
              </w:drawing>
            </w:r>
          </w:p>
          <w:p>
            <w:pPr>
              <w:adjustRightInd w:val="0"/>
              <w:snapToGrid w:val="0"/>
              <w:spacing w:line="460" w:lineRule="exact"/>
              <w:jc w:val="center"/>
              <w:rPr>
                <w:rFonts w:eastAsia="黑体"/>
                <w:color w:val="000000"/>
                <w:sz w:val="24"/>
              </w:rPr>
            </w:pPr>
            <w:r>
              <w:rPr>
                <w:rFonts w:eastAsia="黑体"/>
                <w:color w:val="000000"/>
                <w:sz w:val="24"/>
              </w:rPr>
              <w:t>图10        项目危险单元分布图</w:t>
            </w:r>
          </w:p>
          <w:p>
            <w:pPr>
              <w:autoSpaceDE w:val="0"/>
              <w:autoSpaceDN w:val="0"/>
              <w:adjustRightInd w:val="0"/>
              <w:snapToGrid w:val="0"/>
              <w:spacing w:line="460" w:lineRule="exact"/>
              <w:ind w:firstLine="482" w:firstLineChars="200"/>
              <w:textAlignment w:val="baseline"/>
              <w:rPr>
                <w:b/>
                <w:bCs/>
                <w:sz w:val="24"/>
              </w:rPr>
            </w:pPr>
            <w:r>
              <w:rPr>
                <w:b/>
                <w:bCs/>
                <w:sz w:val="24"/>
              </w:rPr>
              <w:t>3、可能影响环境的途径</w:t>
            </w:r>
          </w:p>
          <w:p>
            <w:pPr>
              <w:autoSpaceDE w:val="0"/>
              <w:autoSpaceDN w:val="0"/>
              <w:adjustRightInd w:val="0"/>
              <w:snapToGrid w:val="0"/>
              <w:spacing w:line="420" w:lineRule="exact"/>
              <w:ind w:firstLine="480" w:firstLineChars="200"/>
              <w:textAlignment w:val="baseline"/>
              <w:rPr>
                <w:color w:val="000000"/>
                <w:sz w:val="24"/>
              </w:rPr>
            </w:pPr>
            <w:r>
              <w:rPr>
                <w:color w:val="000000"/>
                <w:sz w:val="24"/>
              </w:rPr>
              <w:t>经查阅相关资料，本项目可能影响环境的途径为在使用、储存、运输过程中的漆泄漏遇明火意外燃烧从而引发火灾事故，向环境转移的途径为发生泄漏或火灾时蒸发和大气扩散。</w:t>
            </w:r>
          </w:p>
          <w:p>
            <w:pPr>
              <w:autoSpaceDE w:val="0"/>
              <w:autoSpaceDN w:val="0"/>
              <w:adjustRightInd w:val="0"/>
              <w:snapToGrid w:val="0"/>
              <w:spacing w:line="460" w:lineRule="exact"/>
              <w:ind w:firstLine="482" w:firstLineChars="200"/>
              <w:textAlignment w:val="baseline"/>
              <w:rPr>
                <w:b/>
                <w:bCs/>
                <w:sz w:val="24"/>
              </w:rPr>
            </w:pPr>
            <w:r>
              <w:rPr>
                <w:b/>
                <w:bCs/>
                <w:sz w:val="24"/>
              </w:rPr>
              <w:t>4、环境风险防范措施</w:t>
            </w:r>
          </w:p>
          <w:p>
            <w:pPr>
              <w:autoSpaceDE w:val="0"/>
              <w:autoSpaceDN w:val="0"/>
              <w:adjustRightInd w:val="0"/>
              <w:snapToGrid w:val="0"/>
              <w:spacing w:line="420" w:lineRule="exact"/>
              <w:ind w:firstLine="480" w:firstLineChars="200"/>
              <w:textAlignment w:val="baseline"/>
              <w:rPr>
                <w:color w:val="000000"/>
                <w:sz w:val="24"/>
              </w:rPr>
            </w:pPr>
            <w:r>
              <w:rPr>
                <w:color w:val="000000"/>
                <w:sz w:val="24"/>
              </w:rPr>
              <w:t>（1）贮存过程风险防范措施</w:t>
            </w:r>
          </w:p>
          <w:p>
            <w:pPr>
              <w:autoSpaceDE w:val="0"/>
              <w:autoSpaceDN w:val="0"/>
              <w:adjustRightInd w:val="0"/>
              <w:snapToGrid w:val="0"/>
              <w:spacing w:line="420" w:lineRule="exact"/>
              <w:ind w:firstLine="480" w:firstLineChars="200"/>
              <w:textAlignment w:val="baseline"/>
              <w:rPr>
                <w:color w:val="000000"/>
                <w:sz w:val="24"/>
              </w:rPr>
            </w:pPr>
            <w:r>
              <w:rPr>
                <w:rFonts w:hint="eastAsia" w:ascii="宋体" w:hAnsi="宋体" w:cs="宋体"/>
                <w:color w:val="000000"/>
                <w:sz w:val="24"/>
              </w:rPr>
              <w:t>①</w:t>
            </w:r>
            <w:r>
              <w:rPr>
                <w:color w:val="000000"/>
                <w:sz w:val="24"/>
              </w:rPr>
              <w:t>危险化学品通常为瓶装包装，贮存区应设专人管理，在醒目的地方设置“严禁烟火”等警告标志；</w:t>
            </w:r>
          </w:p>
          <w:p>
            <w:pPr>
              <w:autoSpaceDE w:val="0"/>
              <w:autoSpaceDN w:val="0"/>
              <w:adjustRightInd w:val="0"/>
              <w:snapToGrid w:val="0"/>
              <w:spacing w:line="420" w:lineRule="exact"/>
              <w:ind w:firstLine="480" w:firstLineChars="200"/>
              <w:textAlignment w:val="baseline"/>
              <w:rPr>
                <w:color w:val="000000"/>
                <w:sz w:val="24"/>
              </w:rPr>
            </w:pPr>
            <w:r>
              <w:rPr>
                <w:color w:val="000000"/>
                <w:sz w:val="24"/>
              </w:rPr>
              <w:fldChar w:fldCharType="begin"/>
            </w:r>
            <w:r>
              <w:rPr>
                <w:color w:val="000000"/>
                <w:sz w:val="24"/>
              </w:rPr>
              <w:instrText xml:space="preserve"> = 2 \* GB3 </w:instrText>
            </w:r>
            <w:r>
              <w:rPr>
                <w:color w:val="000000"/>
                <w:sz w:val="24"/>
              </w:rPr>
              <w:fldChar w:fldCharType="separate"/>
            </w:r>
            <w:r>
              <w:rPr>
                <w:rFonts w:hint="eastAsia" w:ascii="宋体" w:hAnsi="宋体" w:cs="宋体"/>
                <w:color w:val="000000"/>
                <w:sz w:val="24"/>
              </w:rPr>
              <w:t>②</w:t>
            </w:r>
            <w:r>
              <w:rPr>
                <w:color w:val="000000"/>
                <w:sz w:val="24"/>
              </w:rPr>
              <w:fldChar w:fldCharType="end"/>
            </w:r>
            <w:r>
              <w:rPr>
                <w:color w:val="000000"/>
                <w:sz w:val="24"/>
              </w:rPr>
              <w:t>危险化学品入库时应检查是否有泄漏现象，在贮存期，定期检查，发现泄漏，及时处理；</w:t>
            </w:r>
          </w:p>
          <w:p>
            <w:pPr>
              <w:autoSpaceDE w:val="0"/>
              <w:autoSpaceDN w:val="0"/>
              <w:adjustRightInd w:val="0"/>
              <w:snapToGrid w:val="0"/>
              <w:spacing w:line="420" w:lineRule="exact"/>
              <w:ind w:firstLine="480" w:firstLineChars="200"/>
              <w:textAlignment w:val="baseline"/>
              <w:rPr>
                <w:color w:val="000000"/>
                <w:sz w:val="24"/>
              </w:rPr>
            </w:pPr>
            <w:r>
              <w:rPr>
                <w:color w:val="000000"/>
                <w:sz w:val="24"/>
              </w:rPr>
              <w:fldChar w:fldCharType="begin"/>
            </w:r>
            <w:r>
              <w:rPr>
                <w:color w:val="000000"/>
                <w:sz w:val="24"/>
              </w:rPr>
              <w:instrText xml:space="preserve"> = 3 \* GB3 </w:instrText>
            </w:r>
            <w:r>
              <w:rPr>
                <w:color w:val="000000"/>
                <w:sz w:val="24"/>
              </w:rPr>
              <w:fldChar w:fldCharType="separate"/>
            </w:r>
            <w:r>
              <w:rPr>
                <w:rFonts w:hint="eastAsia" w:ascii="宋体" w:hAnsi="宋体" w:cs="宋体"/>
                <w:color w:val="000000"/>
                <w:sz w:val="24"/>
              </w:rPr>
              <w:t>③</w:t>
            </w:r>
            <w:r>
              <w:rPr>
                <w:color w:val="000000"/>
                <w:sz w:val="24"/>
              </w:rPr>
              <w:fldChar w:fldCharType="end"/>
            </w:r>
            <w:r>
              <w:rPr>
                <w:color w:val="000000"/>
                <w:sz w:val="24"/>
              </w:rPr>
              <w:t>储存间四周做好防渗措施，设置空桶作为备用收容设施，防止因原料渗漏对地下水的影响。</w:t>
            </w:r>
          </w:p>
          <w:p>
            <w:pPr>
              <w:autoSpaceDE w:val="0"/>
              <w:autoSpaceDN w:val="0"/>
              <w:adjustRightInd w:val="0"/>
              <w:snapToGrid w:val="0"/>
              <w:spacing w:line="420" w:lineRule="exact"/>
              <w:ind w:firstLine="480" w:firstLineChars="200"/>
              <w:textAlignment w:val="baseline"/>
              <w:rPr>
                <w:color w:val="000000"/>
                <w:sz w:val="24"/>
              </w:rPr>
            </w:pPr>
            <w:r>
              <w:rPr>
                <w:color w:val="000000"/>
                <w:sz w:val="24"/>
              </w:rPr>
              <w:fldChar w:fldCharType="begin"/>
            </w:r>
            <w:r>
              <w:rPr>
                <w:color w:val="000000"/>
                <w:sz w:val="24"/>
              </w:rPr>
              <w:instrText xml:space="preserve"> = 4 \* GB3 </w:instrText>
            </w:r>
            <w:r>
              <w:rPr>
                <w:color w:val="000000"/>
                <w:sz w:val="24"/>
              </w:rPr>
              <w:fldChar w:fldCharType="separate"/>
            </w:r>
            <w:r>
              <w:rPr>
                <w:rFonts w:hint="eastAsia" w:ascii="宋体" w:hAnsi="宋体" w:cs="宋体"/>
                <w:color w:val="000000"/>
                <w:sz w:val="24"/>
              </w:rPr>
              <w:t>④</w:t>
            </w:r>
            <w:r>
              <w:rPr>
                <w:color w:val="000000"/>
                <w:sz w:val="24"/>
              </w:rPr>
              <w:fldChar w:fldCharType="end"/>
            </w:r>
            <w:r>
              <w:rPr>
                <w:color w:val="000000"/>
                <w:sz w:val="24"/>
              </w:rPr>
              <w:t>贮存仓库应有良好的通风、降温等设施，要避免阳光直射，仓温不宜超过30℃，附近应配备足量的灭火器材，如自给式呼吸器、消防防护服、手提式干粉灭火器等防护器材；</w:t>
            </w:r>
          </w:p>
          <w:p>
            <w:pPr>
              <w:autoSpaceDE w:val="0"/>
              <w:autoSpaceDN w:val="0"/>
              <w:adjustRightInd w:val="0"/>
              <w:snapToGrid w:val="0"/>
              <w:spacing w:line="420" w:lineRule="exact"/>
              <w:ind w:firstLine="480" w:firstLineChars="200"/>
              <w:textAlignment w:val="baseline"/>
              <w:rPr>
                <w:color w:val="000000"/>
                <w:sz w:val="24"/>
              </w:rPr>
            </w:pPr>
            <w:r>
              <w:rPr>
                <w:rFonts w:hint="eastAsia" w:ascii="宋体" w:hAnsi="宋体" w:cs="宋体"/>
                <w:color w:val="000000"/>
                <w:sz w:val="24"/>
              </w:rPr>
              <w:t>⑤</w:t>
            </w:r>
            <w:r>
              <w:rPr>
                <w:color w:val="000000"/>
                <w:sz w:val="24"/>
              </w:rPr>
              <w:t>应分开存放，严禁与食用化学品等物质混合存放。</w:t>
            </w:r>
          </w:p>
          <w:p>
            <w:pPr>
              <w:autoSpaceDE w:val="0"/>
              <w:autoSpaceDN w:val="0"/>
              <w:adjustRightInd w:val="0"/>
              <w:snapToGrid w:val="0"/>
              <w:spacing w:line="420" w:lineRule="exact"/>
              <w:ind w:firstLine="480" w:firstLineChars="200"/>
              <w:textAlignment w:val="baseline"/>
              <w:rPr>
                <w:color w:val="000000"/>
                <w:sz w:val="24"/>
              </w:rPr>
            </w:pPr>
            <w:r>
              <w:rPr>
                <w:color w:val="000000"/>
                <w:sz w:val="24"/>
              </w:rPr>
              <w:t>（2）生产过程风险防范措施</w:t>
            </w:r>
          </w:p>
          <w:p>
            <w:pPr>
              <w:autoSpaceDE w:val="0"/>
              <w:autoSpaceDN w:val="0"/>
              <w:adjustRightInd w:val="0"/>
              <w:snapToGrid w:val="0"/>
              <w:spacing w:line="420" w:lineRule="exact"/>
              <w:ind w:firstLine="480" w:firstLineChars="200"/>
              <w:textAlignment w:val="baseline"/>
              <w:rPr>
                <w:color w:val="000000"/>
                <w:sz w:val="24"/>
              </w:rPr>
            </w:pPr>
            <w:r>
              <w:rPr>
                <w:rFonts w:hint="eastAsia" w:ascii="宋体" w:hAnsi="宋体" w:cs="宋体"/>
                <w:color w:val="000000"/>
                <w:sz w:val="24"/>
              </w:rPr>
              <w:t>①</w:t>
            </w:r>
            <w:r>
              <w:rPr>
                <w:color w:val="000000"/>
                <w:sz w:val="24"/>
              </w:rPr>
              <w:t>操作人员必须经过专门培训，配备防毒面具、耐腐蚀手套、化学安全防护眼等防护用品，严格遵守操作规程。</w:t>
            </w:r>
          </w:p>
          <w:p>
            <w:pPr>
              <w:autoSpaceDE w:val="0"/>
              <w:autoSpaceDN w:val="0"/>
              <w:adjustRightInd w:val="0"/>
              <w:snapToGrid w:val="0"/>
              <w:spacing w:line="420" w:lineRule="exact"/>
              <w:ind w:firstLine="480" w:firstLineChars="200"/>
              <w:textAlignment w:val="baseline"/>
              <w:rPr>
                <w:color w:val="000000"/>
                <w:sz w:val="24"/>
              </w:rPr>
            </w:pPr>
            <w:r>
              <w:rPr>
                <w:rFonts w:hint="eastAsia" w:ascii="宋体" w:hAnsi="宋体" w:cs="宋体"/>
                <w:color w:val="000000"/>
                <w:sz w:val="24"/>
              </w:rPr>
              <w:t>②</w:t>
            </w:r>
            <w:r>
              <w:rPr>
                <w:color w:val="000000"/>
                <w:sz w:val="24"/>
              </w:rPr>
              <w:t>搬运时要轻装轻卸，防止包装及容器损坏。</w:t>
            </w:r>
          </w:p>
          <w:p>
            <w:pPr>
              <w:autoSpaceDE w:val="0"/>
              <w:autoSpaceDN w:val="0"/>
              <w:adjustRightInd w:val="0"/>
              <w:snapToGrid w:val="0"/>
              <w:spacing w:line="420" w:lineRule="exact"/>
              <w:ind w:firstLine="480" w:firstLineChars="200"/>
              <w:textAlignment w:val="baseline"/>
              <w:rPr>
                <w:color w:val="000000"/>
                <w:sz w:val="24"/>
              </w:rPr>
            </w:pPr>
            <w:r>
              <w:rPr>
                <w:color w:val="000000"/>
                <w:sz w:val="24"/>
              </w:rPr>
              <w:t>（3）运输过程中的风险防范措施</w:t>
            </w:r>
          </w:p>
          <w:p>
            <w:pPr>
              <w:autoSpaceDE w:val="0"/>
              <w:autoSpaceDN w:val="0"/>
              <w:adjustRightInd w:val="0"/>
              <w:snapToGrid w:val="0"/>
              <w:spacing w:line="420" w:lineRule="exact"/>
              <w:ind w:firstLine="480" w:firstLineChars="200"/>
              <w:textAlignment w:val="baseline"/>
              <w:rPr>
                <w:color w:val="000000"/>
                <w:sz w:val="24"/>
              </w:rPr>
            </w:pPr>
            <w:r>
              <w:rPr>
                <w:rFonts w:hint="eastAsia" w:ascii="宋体" w:hAnsi="宋体" w:cs="宋体"/>
                <w:color w:val="000000"/>
                <w:sz w:val="24"/>
              </w:rPr>
              <w:t>①</w:t>
            </w:r>
            <w:r>
              <w:rPr>
                <w:color w:val="000000"/>
                <w:sz w:val="24"/>
              </w:rPr>
              <w:t>应根据《危险化学品管理条例》的要求，委托有危险化学品运输资质的单位运输。</w:t>
            </w:r>
          </w:p>
          <w:p>
            <w:pPr>
              <w:autoSpaceDE w:val="0"/>
              <w:autoSpaceDN w:val="0"/>
              <w:adjustRightInd w:val="0"/>
              <w:snapToGrid w:val="0"/>
              <w:spacing w:line="420" w:lineRule="exact"/>
              <w:ind w:firstLine="480" w:firstLineChars="200"/>
              <w:textAlignment w:val="baseline"/>
              <w:rPr>
                <w:color w:val="000000"/>
                <w:sz w:val="24"/>
              </w:rPr>
            </w:pPr>
            <w:r>
              <w:rPr>
                <w:rFonts w:hint="eastAsia" w:ascii="宋体" w:hAnsi="宋体" w:cs="宋体"/>
                <w:color w:val="000000"/>
                <w:sz w:val="24"/>
              </w:rPr>
              <w:t>②</w:t>
            </w:r>
            <w:r>
              <w:rPr>
                <w:color w:val="000000"/>
                <w:sz w:val="24"/>
              </w:rPr>
              <w:t>运输车要有明显的危险物品运输标志。</w:t>
            </w:r>
          </w:p>
          <w:p>
            <w:pPr>
              <w:autoSpaceDE w:val="0"/>
              <w:autoSpaceDN w:val="0"/>
              <w:adjustRightInd w:val="0"/>
              <w:snapToGrid w:val="0"/>
              <w:spacing w:line="420" w:lineRule="exact"/>
              <w:ind w:firstLine="480" w:firstLineChars="200"/>
              <w:textAlignment w:val="baseline"/>
              <w:rPr>
                <w:color w:val="000000"/>
                <w:sz w:val="24"/>
              </w:rPr>
            </w:pPr>
            <w:r>
              <w:rPr>
                <w:rFonts w:hint="eastAsia" w:ascii="宋体" w:hAnsi="宋体" w:cs="宋体"/>
                <w:color w:val="000000"/>
                <w:sz w:val="24"/>
              </w:rPr>
              <w:t>③</w:t>
            </w:r>
            <w:r>
              <w:rPr>
                <w:color w:val="000000"/>
                <w:sz w:val="24"/>
              </w:rPr>
              <w:t>应轻装轻卸，装卸时，严禁抛、滑、滚、碰。</w:t>
            </w:r>
          </w:p>
          <w:p>
            <w:pPr>
              <w:autoSpaceDE w:val="0"/>
              <w:autoSpaceDN w:val="0"/>
              <w:adjustRightInd w:val="0"/>
              <w:snapToGrid w:val="0"/>
              <w:spacing w:line="420" w:lineRule="exact"/>
              <w:ind w:firstLine="480" w:firstLineChars="200"/>
              <w:textAlignment w:val="baseline"/>
              <w:rPr>
                <w:color w:val="000000"/>
                <w:sz w:val="24"/>
              </w:rPr>
            </w:pPr>
            <w:r>
              <w:rPr>
                <w:rFonts w:hint="eastAsia" w:ascii="宋体" w:hAnsi="宋体" w:cs="宋体"/>
                <w:color w:val="000000"/>
                <w:sz w:val="24"/>
              </w:rPr>
              <w:t>④</w:t>
            </w:r>
            <w:r>
              <w:rPr>
                <w:color w:val="000000"/>
                <w:sz w:val="24"/>
              </w:rPr>
              <w:t>运输车辆应保持安全的车速，保持车距，避免因交通事故引起物料泄漏，从而造成公路沿线的污染事故。</w:t>
            </w:r>
          </w:p>
          <w:p>
            <w:pPr>
              <w:autoSpaceDE w:val="0"/>
              <w:autoSpaceDN w:val="0"/>
              <w:adjustRightInd w:val="0"/>
              <w:snapToGrid w:val="0"/>
              <w:spacing w:line="420" w:lineRule="exact"/>
              <w:ind w:firstLine="480" w:firstLineChars="200"/>
              <w:textAlignment w:val="baseline"/>
              <w:rPr>
                <w:color w:val="000000"/>
                <w:sz w:val="24"/>
              </w:rPr>
            </w:pPr>
            <w:r>
              <w:rPr>
                <w:rFonts w:hint="eastAsia" w:ascii="宋体" w:hAnsi="宋体" w:cs="宋体"/>
                <w:color w:val="000000"/>
                <w:sz w:val="24"/>
              </w:rPr>
              <w:t>⑤</w:t>
            </w:r>
            <w:r>
              <w:rPr>
                <w:color w:val="000000"/>
                <w:sz w:val="24"/>
              </w:rPr>
              <w:t>在运输时应严格遵守有关危险品运输管理规定，配备相应的应急处理器材和防护用品。装卸现场严禁烟火，必须配备灭火器。</w:t>
            </w:r>
          </w:p>
          <w:p>
            <w:pPr>
              <w:autoSpaceDE w:val="0"/>
              <w:autoSpaceDN w:val="0"/>
              <w:adjustRightInd w:val="0"/>
              <w:snapToGrid w:val="0"/>
              <w:spacing w:line="420" w:lineRule="exact"/>
              <w:ind w:firstLine="480" w:firstLineChars="200"/>
              <w:textAlignment w:val="baseline"/>
              <w:rPr>
                <w:color w:val="000000"/>
                <w:sz w:val="24"/>
              </w:rPr>
            </w:pPr>
            <w:r>
              <w:rPr>
                <w:rFonts w:hint="eastAsia" w:ascii="宋体" w:hAnsi="宋体" w:cs="宋体"/>
                <w:color w:val="000000"/>
                <w:sz w:val="24"/>
              </w:rPr>
              <w:t>⑥</w:t>
            </w:r>
            <w:r>
              <w:rPr>
                <w:color w:val="000000"/>
                <w:sz w:val="24"/>
              </w:rPr>
              <w:t>运输途中发现泄漏应积极主动采取措施处理，及时向当地环保部门、公安部、消防部门及其它有应急事故处理能力的当地部门报告。</w:t>
            </w:r>
          </w:p>
          <w:p>
            <w:pPr>
              <w:autoSpaceDE w:val="0"/>
              <w:autoSpaceDN w:val="0"/>
              <w:adjustRightInd w:val="0"/>
              <w:snapToGrid w:val="0"/>
              <w:spacing w:line="420" w:lineRule="exact"/>
              <w:ind w:firstLine="480" w:firstLineChars="200"/>
              <w:textAlignment w:val="baseline"/>
              <w:rPr>
                <w:color w:val="000000"/>
                <w:sz w:val="24"/>
              </w:rPr>
            </w:pPr>
          </w:p>
          <w:p>
            <w:pPr>
              <w:autoSpaceDE w:val="0"/>
              <w:autoSpaceDN w:val="0"/>
              <w:adjustRightInd w:val="0"/>
              <w:snapToGrid w:val="0"/>
              <w:spacing w:line="420" w:lineRule="exact"/>
              <w:ind w:firstLine="480" w:firstLineChars="200"/>
              <w:textAlignment w:val="baseline"/>
              <w:rPr>
                <w:color w:val="000000"/>
                <w:sz w:val="24"/>
              </w:rPr>
            </w:pPr>
          </w:p>
          <w:p>
            <w:pPr>
              <w:autoSpaceDE w:val="0"/>
              <w:autoSpaceDN w:val="0"/>
              <w:adjustRightInd w:val="0"/>
              <w:snapToGrid w:val="0"/>
              <w:spacing w:line="420" w:lineRule="exact"/>
              <w:ind w:firstLine="480" w:firstLineChars="200"/>
              <w:textAlignment w:val="baseline"/>
              <w:rPr>
                <w:color w:val="000000"/>
                <w:sz w:val="24"/>
              </w:rPr>
            </w:pPr>
          </w:p>
          <w:p>
            <w:pPr>
              <w:autoSpaceDE w:val="0"/>
              <w:autoSpaceDN w:val="0"/>
              <w:adjustRightInd w:val="0"/>
              <w:snapToGrid w:val="0"/>
              <w:spacing w:line="420" w:lineRule="exact"/>
              <w:ind w:firstLine="480" w:firstLineChars="200"/>
              <w:textAlignment w:val="baseline"/>
              <w:rPr>
                <w:color w:val="000000"/>
                <w:sz w:val="24"/>
              </w:rPr>
            </w:pPr>
          </w:p>
          <w:p>
            <w:pPr>
              <w:autoSpaceDE w:val="0"/>
              <w:autoSpaceDN w:val="0"/>
              <w:adjustRightInd w:val="0"/>
              <w:snapToGrid w:val="0"/>
              <w:spacing w:line="420" w:lineRule="exact"/>
              <w:ind w:firstLine="480" w:firstLineChars="200"/>
              <w:textAlignment w:val="baseline"/>
              <w:rPr>
                <w:color w:val="000000"/>
                <w:sz w:val="24"/>
              </w:rPr>
            </w:pPr>
          </w:p>
          <w:p>
            <w:pPr>
              <w:autoSpaceDE w:val="0"/>
              <w:autoSpaceDN w:val="0"/>
              <w:adjustRightInd w:val="0"/>
              <w:snapToGrid w:val="0"/>
              <w:spacing w:line="420" w:lineRule="exact"/>
              <w:ind w:firstLine="480" w:firstLineChars="200"/>
              <w:textAlignment w:val="baseline"/>
              <w:rPr>
                <w:color w:val="000000"/>
                <w:sz w:val="24"/>
              </w:rPr>
            </w:pPr>
          </w:p>
          <w:p>
            <w:pPr>
              <w:autoSpaceDE w:val="0"/>
              <w:autoSpaceDN w:val="0"/>
              <w:adjustRightInd w:val="0"/>
              <w:snapToGrid w:val="0"/>
              <w:spacing w:line="420" w:lineRule="exact"/>
              <w:ind w:firstLine="480" w:firstLineChars="200"/>
              <w:textAlignment w:val="baseline"/>
              <w:rPr>
                <w:color w:val="000000"/>
                <w:sz w:val="24"/>
              </w:rPr>
            </w:pPr>
          </w:p>
          <w:p>
            <w:pPr>
              <w:autoSpaceDE w:val="0"/>
              <w:autoSpaceDN w:val="0"/>
              <w:adjustRightInd w:val="0"/>
              <w:snapToGrid w:val="0"/>
              <w:spacing w:line="420" w:lineRule="exact"/>
              <w:ind w:firstLine="480" w:firstLineChars="200"/>
              <w:textAlignment w:val="baseline"/>
              <w:rPr>
                <w:color w:val="000000"/>
                <w:sz w:val="24"/>
              </w:rPr>
            </w:pPr>
          </w:p>
          <w:p>
            <w:pPr>
              <w:autoSpaceDE w:val="0"/>
              <w:autoSpaceDN w:val="0"/>
              <w:adjustRightInd w:val="0"/>
              <w:snapToGrid w:val="0"/>
              <w:spacing w:line="420" w:lineRule="exact"/>
              <w:ind w:firstLine="480" w:firstLineChars="200"/>
              <w:textAlignment w:val="baseline"/>
              <w:rPr>
                <w:color w:val="000000"/>
                <w:sz w:val="24"/>
              </w:rPr>
            </w:pPr>
          </w:p>
          <w:p>
            <w:pPr>
              <w:autoSpaceDE w:val="0"/>
              <w:autoSpaceDN w:val="0"/>
              <w:adjustRightInd w:val="0"/>
              <w:snapToGrid w:val="0"/>
              <w:spacing w:line="420" w:lineRule="exact"/>
              <w:ind w:firstLine="480" w:firstLineChars="200"/>
              <w:textAlignment w:val="baseline"/>
              <w:rPr>
                <w:color w:val="000000"/>
                <w:sz w:val="24"/>
              </w:rPr>
            </w:pPr>
          </w:p>
          <w:p>
            <w:pPr>
              <w:autoSpaceDE w:val="0"/>
              <w:autoSpaceDN w:val="0"/>
              <w:adjustRightInd w:val="0"/>
              <w:snapToGrid w:val="0"/>
              <w:spacing w:line="420" w:lineRule="exact"/>
              <w:ind w:firstLine="480" w:firstLineChars="200"/>
              <w:textAlignment w:val="baseline"/>
              <w:rPr>
                <w:color w:val="000000"/>
                <w:sz w:val="24"/>
              </w:rPr>
            </w:pPr>
          </w:p>
          <w:p>
            <w:pPr>
              <w:autoSpaceDE w:val="0"/>
              <w:autoSpaceDN w:val="0"/>
              <w:adjustRightInd w:val="0"/>
              <w:snapToGrid w:val="0"/>
              <w:spacing w:line="420" w:lineRule="exact"/>
              <w:ind w:firstLine="480" w:firstLineChars="200"/>
              <w:textAlignment w:val="baseline"/>
              <w:rPr>
                <w:color w:val="000000"/>
                <w:sz w:val="24"/>
              </w:rPr>
            </w:pPr>
          </w:p>
          <w:p>
            <w:pPr>
              <w:autoSpaceDE w:val="0"/>
              <w:autoSpaceDN w:val="0"/>
              <w:adjustRightInd w:val="0"/>
              <w:snapToGrid w:val="0"/>
              <w:spacing w:line="420" w:lineRule="exact"/>
              <w:ind w:firstLine="480" w:firstLineChars="200"/>
              <w:textAlignment w:val="baseline"/>
              <w:rPr>
                <w:color w:val="000000"/>
                <w:sz w:val="24"/>
              </w:rPr>
            </w:pPr>
          </w:p>
          <w:p>
            <w:pPr>
              <w:autoSpaceDE w:val="0"/>
              <w:autoSpaceDN w:val="0"/>
              <w:adjustRightInd w:val="0"/>
              <w:snapToGrid w:val="0"/>
              <w:spacing w:line="420" w:lineRule="exact"/>
              <w:ind w:firstLine="480" w:firstLineChars="200"/>
              <w:textAlignment w:val="baseline"/>
              <w:rPr>
                <w:color w:val="000000"/>
                <w:sz w:val="24"/>
              </w:rPr>
            </w:pPr>
          </w:p>
          <w:p>
            <w:pPr>
              <w:autoSpaceDE w:val="0"/>
              <w:autoSpaceDN w:val="0"/>
              <w:adjustRightInd w:val="0"/>
              <w:snapToGrid w:val="0"/>
              <w:spacing w:line="420" w:lineRule="exact"/>
              <w:ind w:firstLine="480" w:firstLineChars="200"/>
              <w:textAlignment w:val="baseline"/>
              <w:rPr>
                <w:color w:val="000000"/>
                <w:sz w:val="24"/>
              </w:rPr>
            </w:pPr>
          </w:p>
          <w:p>
            <w:pPr>
              <w:autoSpaceDE w:val="0"/>
              <w:autoSpaceDN w:val="0"/>
              <w:adjustRightInd w:val="0"/>
              <w:snapToGrid w:val="0"/>
              <w:spacing w:line="420" w:lineRule="exact"/>
              <w:ind w:firstLine="480" w:firstLineChars="200"/>
              <w:textAlignment w:val="baseline"/>
              <w:rPr>
                <w:color w:val="000000"/>
                <w:sz w:val="24"/>
              </w:rPr>
            </w:pPr>
          </w:p>
          <w:p>
            <w:pPr>
              <w:autoSpaceDE w:val="0"/>
              <w:autoSpaceDN w:val="0"/>
              <w:adjustRightInd w:val="0"/>
              <w:snapToGrid w:val="0"/>
              <w:spacing w:line="420" w:lineRule="exact"/>
              <w:ind w:firstLine="480" w:firstLineChars="200"/>
              <w:textAlignment w:val="baseline"/>
              <w:rPr>
                <w:color w:val="000000"/>
                <w:sz w:val="24"/>
              </w:rPr>
            </w:pPr>
          </w:p>
          <w:p>
            <w:pPr>
              <w:autoSpaceDE w:val="0"/>
              <w:autoSpaceDN w:val="0"/>
              <w:adjustRightInd w:val="0"/>
              <w:snapToGrid w:val="0"/>
              <w:spacing w:line="420" w:lineRule="exact"/>
              <w:ind w:firstLine="480" w:firstLineChars="200"/>
              <w:textAlignment w:val="baseline"/>
              <w:rPr>
                <w:color w:val="000000"/>
                <w:sz w:val="24"/>
              </w:rPr>
            </w:pPr>
          </w:p>
          <w:p>
            <w:pPr>
              <w:autoSpaceDE w:val="0"/>
              <w:autoSpaceDN w:val="0"/>
              <w:adjustRightInd w:val="0"/>
              <w:snapToGrid w:val="0"/>
              <w:spacing w:line="420" w:lineRule="exact"/>
              <w:ind w:firstLine="480" w:firstLineChars="200"/>
              <w:textAlignment w:val="baseline"/>
              <w:rPr>
                <w:color w:val="000000"/>
                <w:sz w:val="24"/>
              </w:rPr>
            </w:pPr>
          </w:p>
        </w:tc>
      </w:tr>
    </w:tbl>
    <w:p>
      <w:pPr>
        <w:pStyle w:val="17"/>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br w:type="page"/>
      </w:r>
      <w:r>
        <w:rPr>
          <w:rFonts w:ascii="Times New Roman" w:hAnsi="Times New Roman" w:eastAsia="黑体"/>
          <w:snapToGrid w:val="0"/>
          <w:sz w:val="30"/>
          <w:szCs w:val="30"/>
        </w:rPr>
        <w:t>五、</w:t>
      </w:r>
      <w:bookmarkStart w:id="3" w:name="_Hlk54167917"/>
      <w:r>
        <w:rPr>
          <w:rFonts w:ascii="Times New Roman" w:hAnsi="Times New Roman" w:eastAsia="黑体"/>
          <w:snapToGrid w:val="0"/>
          <w:sz w:val="30"/>
          <w:szCs w:val="30"/>
        </w:rPr>
        <w:t>环境保护措施监督检查清单</w:t>
      </w:r>
      <w:bookmarkEnd w:id="3"/>
    </w:p>
    <w:tbl>
      <w:tblPr>
        <w:tblStyle w:val="21"/>
        <w:tblW w:w="501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87"/>
        <w:gridCol w:w="1850"/>
        <w:gridCol w:w="2432"/>
        <w:gridCol w:w="998"/>
        <w:gridCol w:w="429"/>
        <w:gridCol w:w="697"/>
        <w:gridCol w:w="17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tcBorders>
              <w:tl2br w:val="single" w:color="auto" w:sz="4" w:space="0"/>
            </w:tcBorders>
            <w:vAlign w:val="center"/>
          </w:tcPr>
          <w:p>
            <w:pPr>
              <w:adjustRightInd w:val="0"/>
              <w:snapToGrid w:val="0"/>
              <w:ind w:firstLine="420" w:firstLineChars="200"/>
              <w:rPr>
                <w:szCs w:val="21"/>
              </w:rPr>
            </w:pPr>
            <w:r>
              <w:rPr>
                <w:szCs w:val="21"/>
              </w:rPr>
              <w:t>内容</w:t>
            </w:r>
          </w:p>
          <w:p>
            <w:pPr>
              <w:adjustRightInd w:val="0"/>
              <w:snapToGrid w:val="0"/>
              <w:rPr>
                <w:szCs w:val="21"/>
              </w:rPr>
            </w:pPr>
            <w:r>
              <w:rPr>
                <w:szCs w:val="21"/>
              </w:rPr>
              <w:t>要素</w:t>
            </w:r>
          </w:p>
        </w:tc>
        <w:tc>
          <w:tcPr>
            <w:tcW w:w="1842" w:type="dxa"/>
            <w:vAlign w:val="center"/>
          </w:tcPr>
          <w:p>
            <w:pPr>
              <w:adjustRightInd w:val="0"/>
              <w:snapToGrid w:val="0"/>
              <w:jc w:val="center"/>
              <w:rPr>
                <w:szCs w:val="21"/>
              </w:rPr>
            </w:pPr>
            <w:r>
              <w:rPr>
                <w:szCs w:val="21"/>
              </w:rPr>
              <w:t>排放口(编号、名称)/污染源</w:t>
            </w:r>
          </w:p>
        </w:tc>
        <w:tc>
          <w:tcPr>
            <w:tcW w:w="2421" w:type="dxa"/>
            <w:vAlign w:val="center"/>
          </w:tcPr>
          <w:p>
            <w:pPr>
              <w:adjustRightInd w:val="0"/>
              <w:snapToGrid w:val="0"/>
              <w:jc w:val="center"/>
              <w:rPr>
                <w:szCs w:val="21"/>
              </w:rPr>
            </w:pPr>
            <w:r>
              <w:rPr>
                <w:szCs w:val="21"/>
              </w:rPr>
              <w:t>污染物项目</w:t>
            </w:r>
          </w:p>
        </w:tc>
        <w:tc>
          <w:tcPr>
            <w:tcW w:w="2115" w:type="dxa"/>
            <w:gridSpan w:val="3"/>
            <w:vAlign w:val="center"/>
          </w:tcPr>
          <w:p>
            <w:pPr>
              <w:adjustRightInd w:val="0"/>
              <w:snapToGrid w:val="0"/>
              <w:jc w:val="center"/>
              <w:rPr>
                <w:szCs w:val="21"/>
              </w:rPr>
            </w:pPr>
            <w:r>
              <w:rPr>
                <w:szCs w:val="21"/>
              </w:rPr>
              <w:t>环境保护措施</w:t>
            </w:r>
          </w:p>
        </w:tc>
        <w:tc>
          <w:tcPr>
            <w:tcW w:w="1709" w:type="dxa"/>
            <w:vAlign w:val="center"/>
          </w:tcPr>
          <w:p>
            <w:pPr>
              <w:adjustRightInd w:val="0"/>
              <w:snapToGrid w:val="0"/>
              <w:jc w:val="center"/>
              <w:rPr>
                <w:szCs w:val="21"/>
              </w:rPr>
            </w:pPr>
            <w:r>
              <w:rPr>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restart"/>
            <w:vAlign w:val="center"/>
          </w:tcPr>
          <w:p>
            <w:pPr>
              <w:adjustRightInd w:val="0"/>
              <w:snapToGrid w:val="0"/>
              <w:jc w:val="center"/>
              <w:rPr>
                <w:szCs w:val="21"/>
              </w:rPr>
            </w:pPr>
            <w:r>
              <w:rPr>
                <w:szCs w:val="21"/>
              </w:rPr>
              <w:t>大气环境</w:t>
            </w:r>
          </w:p>
        </w:tc>
        <w:tc>
          <w:tcPr>
            <w:tcW w:w="1842" w:type="dxa"/>
            <w:vMerge w:val="restart"/>
            <w:vAlign w:val="center"/>
          </w:tcPr>
          <w:p>
            <w:pPr>
              <w:pStyle w:val="51"/>
              <w:rPr>
                <w:color w:val="000000"/>
              </w:rPr>
            </w:pPr>
            <w:r>
              <w:rPr>
                <w:color w:val="000000"/>
              </w:rPr>
              <w:t>试剂配制、实验检测废气</w:t>
            </w:r>
          </w:p>
        </w:tc>
        <w:tc>
          <w:tcPr>
            <w:tcW w:w="2421" w:type="dxa"/>
            <w:vAlign w:val="center"/>
          </w:tcPr>
          <w:p>
            <w:pPr>
              <w:pStyle w:val="51"/>
              <w:rPr>
                <w:color w:val="000000"/>
              </w:rPr>
            </w:pPr>
            <w:r>
              <w:rPr>
                <w:color w:val="000000"/>
              </w:rPr>
              <w:t>微生物气溶胶</w:t>
            </w:r>
          </w:p>
        </w:tc>
        <w:tc>
          <w:tcPr>
            <w:tcW w:w="1421" w:type="dxa"/>
            <w:gridSpan w:val="2"/>
            <w:vAlign w:val="center"/>
          </w:tcPr>
          <w:p>
            <w:pPr>
              <w:pStyle w:val="51"/>
              <w:rPr>
                <w:color w:val="000000"/>
              </w:rPr>
            </w:pPr>
            <w:r>
              <w:rPr>
                <w:color w:val="000000"/>
              </w:rPr>
              <w:t>采用生物安全柜自带高效空气过滤器处理</w:t>
            </w:r>
          </w:p>
        </w:tc>
        <w:tc>
          <w:tcPr>
            <w:tcW w:w="694" w:type="dxa"/>
            <w:vMerge w:val="restart"/>
            <w:vAlign w:val="center"/>
          </w:tcPr>
          <w:p>
            <w:pPr>
              <w:adjustRightInd w:val="0"/>
              <w:snapToGrid w:val="0"/>
              <w:jc w:val="center"/>
              <w:rPr>
                <w:color w:val="000000"/>
              </w:rPr>
            </w:pPr>
            <w:r>
              <w:rPr>
                <w:bCs/>
              </w:rPr>
              <w:t>+（1根）15高排气筒P1</w:t>
            </w:r>
          </w:p>
        </w:tc>
        <w:tc>
          <w:tcPr>
            <w:tcW w:w="1709" w:type="dxa"/>
            <w:vMerge w:val="restart"/>
            <w:vAlign w:val="center"/>
          </w:tcPr>
          <w:p>
            <w:pPr>
              <w:adjustRightInd w:val="0"/>
              <w:snapToGrid w:val="0"/>
              <w:jc w:val="center"/>
              <w:rPr>
                <w:szCs w:val="21"/>
              </w:rPr>
            </w:pPr>
            <w:r>
              <w:rPr>
                <w:szCs w:val="21"/>
              </w:rPr>
              <w:t>《大气污染物综合排放标准》（GB16297-1996）表2二级、《关于全省开展工业企业挥发性有机物专项治理工作中排放建议值得通知》（豫环攻坚办（2017）162号）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zCs w:val="21"/>
              </w:rPr>
            </w:pPr>
          </w:p>
        </w:tc>
        <w:tc>
          <w:tcPr>
            <w:tcW w:w="1842" w:type="dxa"/>
            <w:vMerge w:val="continue"/>
            <w:vAlign w:val="center"/>
          </w:tcPr>
          <w:p>
            <w:pPr>
              <w:pStyle w:val="51"/>
              <w:rPr>
                <w:color w:val="000000"/>
              </w:rPr>
            </w:pPr>
          </w:p>
        </w:tc>
        <w:tc>
          <w:tcPr>
            <w:tcW w:w="2421" w:type="dxa"/>
            <w:vAlign w:val="center"/>
          </w:tcPr>
          <w:p>
            <w:pPr>
              <w:pStyle w:val="51"/>
              <w:rPr>
                <w:color w:val="000000"/>
              </w:rPr>
            </w:pPr>
            <w:r>
              <w:rPr>
                <w:color w:val="000000"/>
              </w:rPr>
              <w:t>非甲烷总烃</w:t>
            </w:r>
          </w:p>
        </w:tc>
        <w:tc>
          <w:tcPr>
            <w:tcW w:w="1421" w:type="dxa"/>
            <w:gridSpan w:val="2"/>
            <w:vMerge w:val="restart"/>
            <w:vAlign w:val="center"/>
          </w:tcPr>
          <w:p>
            <w:pPr>
              <w:adjustRightInd w:val="0"/>
              <w:snapToGrid w:val="0"/>
              <w:jc w:val="center"/>
              <w:rPr>
                <w:szCs w:val="21"/>
              </w:rPr>
            </w:pPr>
            <w:r>
              <w:rPr>
                <w:bCs/>
              </w:rPr>
              <w:t>（24套）通风橱/</w:t>
            </w:r>
            <w:r>
              <w:rPr>
                <w:rFonts w:hint="eastAsia"/>
                <w:bCs/>
              </w:rPr>
              <w:t>万向</w:t>
            </w:r>
            <w:r>
              <w:rPr>
                <w:bCs/>
              </w:rPr>
              <w:t>集气罩+（1套）</w:t>
            </w:r>
            <w:r>
              <w:rPr>
                <w:rFonts w:hint="eastAsia"/>
                <w:bCs/>
              </w:rPr>
              <w:t>水喷淋塔</w:t>
            </w:r>
            <w:r>
              <w:rPr>
                <w:bCs/>
              </w:rPr>
              <w:t>+除雾器+UV光催化氧化+活性炭吸附装置</w:t>
            </w:r>
          </w:p>
        </w:tc>
        <w:tc>
          <w:tcPr>
            <w:tcW w:w="694" w:type="dxa"/>
            <w:vMerge w:val="continue"/>
            <w:vAlign w:val="center"/>
          </w:tcPr>
          <w:p>
            <w:pPr>
              <w:adjustRightInd w:val="0"/>
              <w:snapToGrid w:val="0"/>
              <w:jc w:val="center"/>
              <w:rPr>
                <w:szCs w:val="21"/>
              </w:rPr>
            </w:pPr>
          </w:p>
        </w:tc>
        <w:tc>
          <w:tcPr>
            <w:tcW w:w="1709" w:type="dxa"/>
            <w:vMerge w:val="continue"/>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zCs w:val="21"/>
              </w:rPr>
            </w:pPr>
          </w:p>
        </w:tc>
        <w:tc>
          <w:tcPr>
            <w:tcW w:w="1842" w:type="dxa"/>
            <w:vMerge w:val="continue"/>
            <w:vAlign w:val="center"/>
          </w:tcPr>
          <w:p>
            <w:pPr>
              <w:pStyle w:val="51"/>
              <w:rPr>
                <w:color w:val="000000"/>
              </w:rPr>
            </w:pPr>
          </w:p>
        </w:tc>
        <w:tc>
          <w:tcPr>
            <w:tcW w:w="2421" w:type="dxa"/>
            <w:vAlign w:val="center"/>
          </w:tcPr>
          <w:p>
            <w:pPr>
              <w:pStyle w:val="51"/>
              <w:rPr>
                <w:color w:val="000000"/>
              </w:rPr>
            </w:pPr>
            <w:r>
              <w:rPr>
                <w:rFonts w:hint="eastAsia"/>
                <w:color w:val="000000"/>
              </w:rPr>
              <w:t>甲醇</w:t>
            </w:r>
          </w:p>
        </w:tc>
        <w:tc>
          <w:tcPr>
            <w:tcW w:w="1421" w:type="dxa"/>
            <w:gridSpan w:val="2"/>
            <w:vMerge w:val="continue"/>
            <w:vAlign w:val="center"/>
          </w:tcPr>
          <w:p>
            <w:pPr>
              <w:adjustRightInd w:val="0"/>
              <w:snapToGrid w:val="0"/>
              <w:jc w:val="center"/>
              <w:rPr>
                <w:szCs w:val="21"/>
              </w:rPr>
            </w:pPr>
          </w:p>
        </w:tc>
        <w:tc>
          <w:tcPr>
            <w:tcW w:w="694" w:type="dxa"/>
            <w:vMerge w:val="continue"/>
            <w:vAlign w:val="center"/>
          </w:tcPr>
          <w:p>
            <w:pPr>
              <w:adjustRightInd w:val="0"/>
              <w:snapToGrid w:val="0"/>
              <w:jc w:val="center"/>
              <w:rPr>
                <w:szCs w:val="21"/>
              </w:rPr>
            </w:pPr>
          </w:p>
        </w:tc>
        <w:tc>
          <w:tcPr>
            <w:tcW w:w="1709" w:type="dxa"/>
            <w:vMerge w:val="continue"/>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restart"/>
            <w:vAlign w:val="center"/>
          </w:tcPr>
          <w:p>
            <w:pPr>
              <w:adjustRightInd w:val="0"/>
              <w:snapToGrid w:val="0"/>
              <w:jc w:val="center"/>
              <w:rPr>
                <w:szCs w:val="21"/>
              </w:rPr>
            </w:pPr>
            <w:r>
              <w:rPr>
                <w:szCs w:val="21"/>
              </w:rPr>
              <w:t>地表水环境</w:t>
            </w:r>
          </w:p>
        </w:tc>
        <w:tc>
          <w:tcPr>
            <w:tcW w:w="1842" w:type="dxa"/>
            <w:vAlign w:val="center"/>
          </w:tcPr>
          <w:p>
            <w:pPr>
              <w:pStyle w:val="51"/>
              <w:rPr>
                <w:color w:val="000000"/>
              </w:rPr>
            </w:pPr>
            <w:r>
              <w:rPr>
                <w:color w:val="000000"/>
              </w:rPr>
              <w:t>生活污水</w:t>
            </w:r>
          </w:p>
        </w:tc>
        <w:tc>
          <w:tcPr>
            <w:tcW w:w="2421" w:type="dxa"/>
            <w:vAlign w:val="center"/>
          </w:tcPr>
          <w:p>
            <w:pPr>
              <w:pStyle w:val="51"/>
              <w:rPr>
                <w:color w:val="000000"/>
              </w:rPr>
            </w:pPr>
            <w:r>
              <w:rPr>
                <w:color w:val="000000"/>
              </w:rPr>
              <w:t>COD、</w:t>
            </w:r>
            <w:r>
              <w:t>BOD</w:t>
            </w:r>
            <w:r>
              <w:rPr>
                <w:vertAlign w:val="subscript"/>
              </w:rPr>
              <w:t>5</w:t>
            </w:r>
            <w:r>
              <w:rPr>
                <w:rFonts w:hint="eastAsia"/>
              </w:rPr>
              <w:t>、</w:t>
            </w:r>
            <w:r>
              <w:rPr>
                <w:color w:val="000000"/>
              </w:rPr>
              <w:t>SS、NH</w:t>
            </w:r>
            <w:r>
              <w:rPr>
                <w:color w:val="000000"/>
                <w:vertAlign w:val="subscript"/>
              </w:rPr>
              <w:t>3</w:t>
            </w:r>
            <w:r>
              <w:rPr>
                <w:color w:val="000000"/>
              </w:rPr>
              <w:t>-N、TN、TP</w:t>
            </w:r>
          </w:p>
        </w:tc>
        <w:tc>
          <w:tcPr>
            <w:tcW w:w="994" w:type="dxa"/>
            <w:vAlign w:val="center"/>
          </w:tcPr>
          <w:p>
            <w:pPr>
              <w:pStyle w:val="51"/>
              <w:rPr>
                <w:color w:val="000000"/>
              </w:rPr>
            </w:pPr>
            <w:r>
              <w:rPr>
                <w:color w:val="000000"/>
              </w:rPr>
              <w:t>化粪池1座</w:t>
            </w:r>
          </w:p>
        </w:tc>
        <w:tc>
          <w:tcPr>
            <w:tcW w:w="1121" w:type="dxa"/>
            <w:gridSpan w:val="2"/>
            <w:vMerge w:val="restart"/>
            <w:vAlign w:val="center"/>
          </w:tcPr>
          <w:p>
            <w:pPr>
              <w:adjustRightInd w:val="0"/>
              <w:snapToGrid w:val="0"/>
              <w:jc w:val="center"/>
              <w:rPr>
                <w:color w:val="000000"/>
              </w:rPr>
            </w:pPr>
            <w:r>
              <w:rPr>
                <w:bCs/>
              </w:rPr>
              <w:t>排入新乡县综合污水处理厂进一步处理</w:t>
            </w:r>
          </w:p>
        </w:tc>
        <w:tc>
          <w:tcPr>
            <w:tcW w:w="1709" w:type="dxa"/>
            <w:vMerge w:val="restart"/>
            <w:vAlign w:val="center"/>
          </w:tcPr>
          <w:p>
            <w:pPr>
              <w:adjustRightInd w:val="0"/>
              <w:snapToGrid w:val="0"/>
              <w:jc w:val="center"/>
              <w:rPr>
                <w:szCs w:val="21"/>
              </w:rPr>
            </w:pPr>
            <w:r>
              <w:rPr>
                <w:szCs w:val="21"/>
              </w:rPr>
              <w:t>新乡县综合污水处理厂收水标准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zCs w:val="21"/>
              </w:rPr>
            </w:pPr>
          </w:p>
        </w:tc>
        <w:tc>
          <w:tcPr>
            <w:tcW w:w="1842" w:type="dxa"/>
            <w:vAlign w:val="center"/>
          </w:tcPr>
          <w:p>
            <w:pPr>
              <w:adjustRightInd w:val="0"/>
              <w:snapToGrid w:val="0"/>
              <w:jc w:val="center"/>
              <w:rPr>
                <w:szCs w:val="21"/>
              </w:rPr>
            </w:pPr>
            <w:r>
              <w:rPr>
                <w:szCs w:val="21"/>
              </w:rPr>
              <w:t>实验室器皿</w:t>
            </w:r>
            <w:r>
              <w:rPr>
                <w:rFonts w:hint="eastAsia"/>
                <w:szCs w:val="21"/>
              </w:rPr>
              <w:t>三次</w:t>
            </w:r>
            <w:r>
              <w:rPr>
                <w:szCs w:val="21"/>
              </w:rPr>
              <w:t>清洗废水</w:t>
            </w:r>
          </w:p>
        </w:tc>
        <w:tc>
          <w:tcPr>
            <w:tcW w:w="2421" w:type="dxa"/>
            <w:vAlign w:val="center"/>
          </w:tcPr>
          <w:p>
            <w:pPr>
              <w:adjustRightInd w:val="0"/>
              <w:snapToGrid w:val="0"/>
              <w:jc w:val="center"/>
              <w:rPr>
                <w:szCs w:val="21"/>
              </w:rPr>
            </w:pPr>
            <w:r>
              <w:t>PH</w:t>
            </w:r>
            <w:r>
              <w:rPr>
                <w:rFonts w:hint="eastAsia"/>
              </w:rPr>
              <w:t>、</w:t>
            </w:r>
            <w:r>
              <w:t>COD、SS、BOD</w:t>
            </w:r>
            <w:r>
              <w:rPr>
                <w:vertAlign w:val="subscript"/>
              </w:rPr>
              <w:t>5</w:t>
            </w:r>
            <w:r>
              <w:rPr>
                <w:rFonts w:hint="eastAsia"/>
              </w:rPr>
              <w:t>、</w:t>
            </w:r>
            <w:r>
              <w:t>NH</w:t>
            </w:r>
            <w:r>
              <w:rPr>
                <w:vertAlign w:val="subscript"/>
              </w:rPr>
              <w:t>3</w:t>
            </w:r>
            <w:r>
              <w:t>-N、TN、TP</w:t>
            </w:r>
          </w:p>
        </w:tc>
        <w:tc>
          <w:tcPr>
            <w:tcW w:w="994" w:type="dxa"/>
            <w:vMerge w:val="restart"/>
            <w:vAlign w:val="center"/>
          </w:tcPr>
          <w:p>
            <w:pPr>
              <w:adjustRightInd w:val="0"/>
              <w:snapToGrid w:val="0"/>
              <w:jc w:val="center"/>
              <w:rPr>
                <w:szCs w:val="21"/>
              </w:rPr>
            </w:pPr>
            <w:r>
              <w:rPr>
                <w:szCs w:val="21"/>
              </w:rPr>
              <w:t>经一体化污水处理设备处理后</w:t>
            </w:r>
          </w:p>
        </w:tc>
        <w:tc>
          <w:tcPr>
            <w:tcW w:w="1121" w:type="dxa"/>
            <w:gridSpan w:val="2"/>
            <w:vMerge w:val="continue"/>
            <w:vAlign w:val="center"/>
          </w:tcPr>
          <w:p>
            <w:pPr>
              <w:adjustRightInd w:val="0"/>
              <w:snapToGrid w:val="0"/>
              <w:jc w:val="center"/>
              <w:rPr>
                <w:szCs w:val="21"/>
              </w:rPr>
            </w:pPr>
          </w:p>
        </w:tc>
        <w:tc>
          <w:tcPr>
            <w:tcW w:w="1709" w:type="dxa"/>
            <w:vMerge w:val="continue"/>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zCs w:val="21"/>
              </w:rPr>
            </w:pPr>
          </w:p>
        </w:tc>
        <w:tc>
          <w:tcPr>
            <w:tcW w:w="1842" w:type="dxa"/>
            <w:vAlign w:val="center"/>
          </w:tcPr>
          <w:p>
            <w:pPr>
              <w:adjustRightInd w:val="0"/>
              <w:snapToGrid w:val="0"/>
              <w:jc w:val="center"/>
              <w:rPr>
                <w:szCs w:val="21"/>
              </w:rPr>
            </w:pPr>
            <w:r>
              <w:t>实验室地面清洁废水</w:t>
            </w:r>
          </w:p>
        </w:tc>
        <w:tc>
          <w:tcPr>
            <w:tcW w:w="2421" w:type="dxa"/>
            <w:vAlign w:val="center"/>
          </w:tcPr>
          <w:p>
            <w:pPr>
              <w:adjustRightInd w:val="0"/>
              <w:snapToGrid w:val="0"/>
              <w:jc w:val="center"/>
            </w:pPr>
            <w:r>
              <w:t>PH</w:t>
            </w:r>
            <w:r>
              <w:rPr>
                <w:rFonts w:hint="eastAsia"/>
              </w:rPr>
              <w:t>、</w:t>
            </w:r>
            <w:r>
              <w:t>COD、BOD</w:t>
            </w:r>
            <w:r>
              <w:rPr>
                <w:vertAlign w:val="subscript"/>
              </w:rPr>
              <w:t>5</w:t>
            </w:r>
            <w:r>
              <w:rPr>
                <w:rFonts w:hint="eastAsia"/>
              </w:rPr>
              <w:t>、</w:t>
            </w:r>
            <w:r>
              <w:t>SS、NH</w:t>
            </w:r>
            <w:r>
              <w:rPr>
                <w:vertAlign w:val="subscript"/>
              </w:rPr>
              <w:t>3</w:t>
            </w:r>
            <w:r>
              <w:t>-N、TN</w:t>
            </w:r>
          </w:p>
        </w:tc>
        <w:tc>
          <w:tcPr>
            <w:tcW w:w="994" w:type="dxa"/>
            <w:vMerge w:val="continue"/>
            <w:vAlign w:val="center"/>
          </w:tcPr>
          <w:p>
            <w:pPr>
              <w:adjustRightInd w:val="0"/>
              <w:snapToGrid w:val="0"/>
              <w:jc w:val="center"/>
              <w:rPr>
                <w:szCs w:val="21"/>
              </w:rPr>
            </w:pPr>
          </w:p>
        </w:tc>
        <w:tc>
          <w:tcPr>
            <w:tcW w:w="1121" w:type="dxa"/>
            <w:gridSpan w:val="2"/>
            <w:vMerge w:val="continue"/>
            <w:vAlign w:val="center"/>
          </w:tcPr>
          <w:p>
            <w:pPr>
              <w:adjustRightInd w:val="0"/>
              <w:snapToGrid w:val="0"/>
              <w:jc w:val="center"/>
              <w:rPr>
                <w:szCs w:val="21"/>
              </w:rPr>
            </w:pPr>
          </w:p>
        </w:tc>
        <w:tc>
          <w:tcPr>
            <w:tcW w:w="1709" w:type="dxa"/>
            <w:vMerge w:val="continue"/>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zCs w:val="21"/>
              </w:rPr>
            </w:pPr>
          </w:p>
        </w:tc>
        <w:tc>
          <w:tcPr>
            <w:tcW w:w="1842" w:type="dxa"/>
            <w:vAlign w:val="center"/>
          </w:tcPr>
          <w:p>
            <w:pPr>
              <w:adjustRightInd w:val="0"/>
              <w:snapToGrid w:val="0"/>
              <w:jc w:val="center"/>
              <w:rPr>
                <w:szCs w:val="21"/>
              </w:rPr>
            </w:pPr>
            <w:r>
              <w:rPr>
                <w:szCs w:val="21"/>
              </w:rPr>
              <w:t>纯水制备废水</w:t>
            </w:r>
          </w:p>
        </w:tc>
        <w:tc>
          <w:tcPr>
            <w:tcW w:w="2421" w:type="dxa"/>
            <w:vAlign w:val="center"/>
          </w:tcPr>
          <w:p>
            <w:pPr>
              <w:adjustRightInd w:val="0"/>
              <w:snapToGrid w:val="0"/>
              <w:jc w:val="center"/>
            </w:pPr>
            <w:r>
              <w:t>COD、SS</w:t>
            </w:r>
          </w:p>
        </w:tc>
        <w:tc>
          <w:tcPr>
            <w:tcW w:w="994" w:type="dxa"/>
            <w:vMerge w:val="continue"/>
            <w:vAlign w:val="center"/>
          </w:tcPr>
          <w:p>
            <w:pPr>
              <w:adjustRightInd w:val="0"/>
              <w:snapToGrid w:val="0"/>
              <w:jc w:val="center"/>
              <w:rPr>
                <w:szCs w:val="21"/>
              </w:rPr>
            </w:pPr>
          </w:p>
        </w:tc>
        <w:tc>
          <w:tcPr>
            <w:tcW w:w="1121" w:type="dxa"/>
            <w:gridSpan w:val="2"/>
            <w:vMerge w:val="continue"/>
            <w:vAlign w:val="center"/>
          </w:tcPr>
          <w:p>
            <w:pPr>
              <w:adjustRightInd w:val="0"/>
              <w:snapToGrid w:val="0"/>
              <w:jc w:val="center"/>
              <w:rPr>
                <w:szCs w:val="21"/>
              </w:rPr>
            </w:pPr>
          </w:p>
        </w:tc>
        <w:tc>
          <w:tcPr>
            <w:tcW w:w="1709" w:type="dxa"/>
            <w:vMerge w:val="continue"/>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zCs w:val="21"/>
              </w:rPr>
            </w:pPr>
          </w:p>
        </w:tc>
        <w:tc>
          <w:tcPr>
            <w:tcW w:w="1842" w:type="dxa"/>
            <w:vAlign w:val="center"/>
          </w:tcPr>
          <w:p>
            <w:pPr>
              <w:adjustRightInd w:val="0"/>
              <w:snapToGrid w:val="0"/>
              <w:jc w:val="center"/>
              <w:rPr>
                <w:szCs w:val="21"/>
              </w:rPr>
            </w:pPr>
            <w:r>
              <w:rPr>
                <w:szCs w:val="21"/>
              </w:rPr>
              <w:t>喷淋塔废水</w:t>
            </w:r>
          </w:p>
        </w:tc>
        <w:tc>
          <w:tcPr>
            <w:tcW w:w="2421" w:type="dxa"/>
            <w:vAlign w:val="center"/>
          </w:tcPr>
          <w:p>
            <w:pPr>
              <w:adjustRightInd w:val="0"/>
              <w:snapToGrid w:val="0"/>
              <w:jc w:val="center"/>
              <w:rPr>
                <w:highlight w:val="yellow"/>
              </w:rPr>
            </w:pPr>
            <w:r>
              <w:t>PH</w:t>
            </w:r>
            <w:r>
              <w:rPr>
                <w:rFonts w:hint="eastAsia"/>
              </w:rPr>
              <w:t>、</w:t>
            </w:r>
            <w:r>
              <w:t>COD、BOD</w:t>
            </w:r>
            <w:r>
              <w:rPr>
                <w:vertAlign w:val="subscript"/>
              </w:rPr>
              <w:t>5</w:t>
            </w:r>
            <w:r>
              <w:rPr>
                <w:rFonts w:hint="eastAsia"/>
              </w:rPr>
              <w:t>、</w:t>
            </w:r>
            <w:r>
              <w:t>NH</w:t>
            </w:r>
            <w:r>
              <w:rPr>
                <w:vertAlign w:val="subscript"/>
              </w:rPr>
              <w:t>3</w:t>
            </w:r>
            <w:r>
              <w:t>-N、TN</w:t>
            </w:r>
            <w:r>
              <w:rPr>
                <w:rFonts w:hint="eastAsia"/>
              </w:rPr>
              <w:t>、</w:t>
            </w:r>
            <w:r>
              <w:t>SS</w:t>
            </w:r>
          </w:p>
        </w:tc>
        <w:tc>
          <w:tcPr>
            <w:tcW w:w="994" w:type="dxa"/>
            <w:vMerge w:val="continue"/>
            <w:vAlign w:val="center"/>
          </w:tcPr>
          <w:p>
            <w:pPr>
              <w:adjustRightInd w:val="0"/>
              <w:snapToGrid w:val="0"/>
              <w:jc w:val="center"/>
              <w:rPr>
                <w:szCs w:val="21"/>
              </w:rPr>
            </w:pPr>
          </w:p>
        </w:tc>
        <w:tc>
          <w:tcPr>
            <w:tcW w:w="1121" w:type="dxa"/>
            <w:gridSpan w:val="2"/>
            <w:vMerge w:val="continue"/>
            <w:vAlign w:val="center"/>
          </w:tcPr>
          <w:p>
            <w:pPr>
              <w:adjustRightInd w:val="0"/>
              <w:snapToGrid w:val="0"/>
              <w:jc w:val="center"/>
              <w:rPr>
                <w:szCs w:val="21"/>
              </w:rPr>
            </w:pPr>
          </w:p>
        </w:tc>
        <w:tc>
          <w:tcPr>
            <w:tcW w:w="1709" w:type="dxa"/>
            <w:vMerge w:val="continue"/>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Align w:val="center"/>
          </w:tcPr>
          <w:p>
            <w:pPr>
              <w:adjustRightInd w:val="0"/>
              <w:snapToGrid w:val="0"/>
              <w:jc w:val="center"/>
              <w:rPr>
                <w:szCs w:val="21"/>
              </w:rPr>
            </w:pPr>
            <w:r>
              <w:rPr>
                <w:szCs w:val="21"/>
              </w:rPr>
              <w:t>声环境</w:t>
            </w:r>
          </w:p>
        </w:tc>
        <w:tc>
          <w:tcPr>
            <w:tcW w:w="1842" w:type="dxa"/>
            <w:vAlign w:val="center"/>
          </w:tcPr>
          <w:p>
            <w:pPr>
              <w:adjustRightInd w:val="0"/>
              <w:snapToGrid w:val="0"/>
              <w:jc w:val="center"/>
              <w:rPr>
                <w:szCs w:val="21"/>
              </w:rPr>
            </w:pPr>
            <w:r>
              <w:rPr>
                <w:szCs w:val="21"/>
              </w:rPr>
              <w:t>超水制备仪、普通离心机、高速冷冻离心机、</w:t>
            </w:r>
            <w:r>
              <w:rPr>
                <w:rFonts w:hint="eastAsia"/>
                <w:szCs w:val="21"/>
              </w:rPr>
              <w:t>中草药粉碎机、</w:t>
            </w:r>
            <w:r>
              <w:rPr>
                <w:szCs w:val="21"/>
              </w:rPr>
              <w:t>风机设备等</w:t>
            </w:r>
          </w:p>
        </w:tc>
        <w:tc>
          <w:tcPr>
            <w:tcW w:w="2421" w:type="dxa"/>
            <w:vAlign w:val="center"/>
          </w:tcPr>
          <w:p>
            <w:pPr>
              <w:jc w:val="center"/>
              <w:rPr>
                <w:color w:val="000000"/>
                <w:szCs w:val="21"/>
              </w:rPr>
            </w:pPr>
            <w:r>
              <w:rPr>
                <w:color w:val="000000"/>
                <w:szCs w:val="21"/>
              </w:rPr>
              <w:t>噪声</w:t>
            </w:r>
          </w:p>
        </w:tc>
        <w:tc>
          <w:tcPr>
            <w:tcW w:w="2115" w:type="dxa"/>
            <w:gridSpan w:val="3"/>
            <w:vAlign w:val="center"/>
          </w:tcPr>
          <w:p>
            <w:pPr>
              <w:adjustRightInd w:val="0"/>
              <w:snapToGrid w:val="0"/>
              <w:jc w:val="center"/>
              <w:rPr>
                <w:szCs w:val="21"/>
              </w:rPr>
            </w:pPr>
            <w:r>
              <w:rPr>
                <w:szCs w:val="21"/>
              </w:rPr>
              <w:t>基础减振、厂房隔声等</w:t>
            </w:r>
          </w:p>
        </w:tc>
        <w:tc>
          <w:tcPr>
            <w:tcW w:w="1709" w:type="dxa"/>
            <w:vAlign w:val="center"/>
          </w:tcPr>
          <w:p>
            <w:pPr>
              <w:adjustRightInd w:val="0"/>
              <w:snapToGrid w:val="0"/>
              <w:jc w:val="center"/>
              <w:rPr>
                <w:szCs w:val="21"/>
              </w:rPr>
            </w:pPr>
            <w:r>
              <w:rPr>
                <w:szCs w:val="21"/>
              </w:rPr>
              <w:t>《工业企业厂界环境噪声排放标准》（GB12348-2008）3类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Align w:val="center"/>
          </w:tcPr>
          <w:p>
            <w:pPr>
              <w:adjustRightInd w:val="0"/>
              <w:snapToGrid w:val="0"/>
              <w:jc w:val="center"/>
              <w:rPr>
                <w:szCs w:val="21"/>
              </w:rPr>
            </w:pPr>
            <w:r>
              <w:rPr>
                <w:szCs w:val="21"/>
              </w:rPr>
              <w:t>电磁辐射</w:t>
            </w:r>
          </w:p>
        </w:tc>
        <w:tc>
          <w:tcPr>
            <w:tcW w:w="1842" w:type="dxa"/>
            <w:vAlign w:val="center"/>
          </w:tcPr>
          <w:p>
            <w:pPr>
              <w:adjustRightInd w:val="0"/>
              <w:snapToGrid w:val="0"/>
              <w:jc w:val="center"/>
              <w:rPr>
                <w:szCs w:val="21"/>
              </w:rPr>
            </w:pPr>
            <w:r>
              <w:rPr>
                <w:szCs w:val="21"/>
              </w:rPr>
              <w:t>/</w:t>
            </w:r>
          </w:p>
        </w:tc>
        <w:tc>
          <w:tcPr>
            <w:tcW w:w="2421" w:type="dxa"/>
            <w:vAlign w:val="center"/>
          </w:tcPr>
          <w:p>
            <w:pPr>
              <w:adjustRightInd w:val="0"/>
              <w:snapToGrid w:val="0"/>
              <w:jc w:val="center"/>
              <w:rPr>
                <w:szCs w:val="21"/>
              </w:rPr>
            </w:pPr>
            <w:r>
              <w:rPr>
                <w:szCs w:val="21"/>
              </w:rPr>
              <w:t>/</w:t>
            </w:r>
          </w:p>
        </w:tc>
        <w:tc>
          <w:tcPr>
            <w:tcW w:w="2115" w:type="dxa"/>
            <w:gridSpan w:val="3"/>
            <w:vAlign w:val="center"/>
          </w:tcPr>
          <w:p>
            <w:pPr>
              <w:adjustRightInd w:val="0"/>
              <w:snapToGrid w:val="0"/>
              <w:jc w:val="center"/>
              <w:rPr>
                <w:szCs w:val="21"/>
              </w:rPr>
            </w:pPr>
            <w:r>
              <w:rPr>
                <w:szCs w:val="21"/>
              </w:rPr>
              <w:t>/</w:t>
            </w:r>
          </w:p>
        </w:tc>
        <w:tc>
          <w:tcPr>
            <w:tcW w:w="1709" w:type="dxa"/>
            <w:vAlign w:val="center"/>
          </w:tcPr>
          <w:p>
            <w:pPr>
              <w:adjustRightInd w:val="0"/>
              <w:snapToGrid w:val="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restart"/>
            <w:vAlign w:val="center"/>
          </w:tcPr>
          <w:p>
            <w:pPr>
              <w:adjustRightInd w:val="0"/>
              <w:snapToGrid w:val="0"/>
              <w:jc w:val="center"/>
              <w:rPr>
                <w:szCs w:val="21"/>
              </w:rPr>
            </w:pPr>
            <w:r>
              <w:rPr>
                <w:szCs w:val="21"/>
              </w:rPr>
              <w:t>固体废物</w:t>
            </w:r>
          </w:p>
        </w:tc>
        <w:tc>
          <w:tcPr>
            <w:tcW w:w="1842" w:type="dxa"/>
            <w:vMerge w:val="restart"/>
            <w:vAlign w:val="center"/>
          </w:tcPr>
          <w:p>
            <w:pPr>
              <w:adjustRightInd w:val="0"/>
              <w:snapToGrid w:val="0"/>
              <w:jc w:val="center"/>
              <w:rPr>
                <w:szCs w:val="21"/>
              </w:rPr>
            </w:pPr>
            <w:r>
              <w:rPr>
                <w:szCs w:val="21"/>
              </w:rPr>
              <w:t>一般固废</w:t>
            </w:r>
          </w:p>
        </w:tc>
        <w:tc>
          <w:tcPr>
            <w:tcW w:w="2421" w:type="dxa"/>
            <w:vAlign w:val="center"/>
          </w:tcPr>
          <w:p>
            <w:pPr>
              <w:adjustRightInd w:val="0"/>
              <w:snapToGrid w:val="0"/>
              <w:jc w:val="center"/>
              <w:rPr>
                <w:szCs w:val="21"/>
              </w:rPr>
            </w:pPr>
            <w:r>
              <w:rPr>
                <w:szCs w:val="21"/>
              </w:rPr>
              <w:t>生活垃圾</w:t>
            </w:r>
          </w:p>
        </w:tc>
        <w:tc>
          <w:tcPr>
            <w:tcW w:w="2115" w:type="dxa"/>
            <w:gridSpan w:val="3"/>
            <w:vMerge w:val="restart"/>
            <w:vAlign w:val="center"/>
          </w:tcPr>
          <w:p>
            <w:pPr>
              <w:adjustRightInd w:val="0"/>
              <w:snapToGrid w:val="0"/>
              <w:jc w:val="center"/>
              <w:rPr>
                <w:szCs w:val="21"/>
              </w:rPr>
            </w:pPr>
            <w:r>
              <w:rPr>
                <w:szCs w:val="21"/>
              </w:rPr>
              <w:t>一般固废间1座（10m</w:t>
            </w:r>
            <w:r>
              <w:rPr>
                <w:szCs w:val="21"/>
                <w:vertAlign w:val="superscript"/>
              </w:rPr>
              <w:t>2</w:t>
            </w:r>
            <w:r>
              <w:rPr>
                <w:szCs w:val="21"/>
              </w:rPr>
              <w:t>）</w:t>
            </w:r>
          </w:p>
        </w:tc>
        <w:tc>
          <w:tcPr>
            <w:tcW w:w="1709" w:type="dxa"/>
            <w:vMerge w:val="restart"/>
            <w:vAlign w:val="center"/>
          </w:tcPr>
          <w:p>
            <w:pPr>
              <w:adjustRightInd w:val="0"/>
              <w:snapToGrid w:val="0"/>
              <w:rPr>
                <w:szCs w:val="21"/>
              </w:rPr>
            </w:pPr>
            <w:r>
              <w:rPr>
                <w:szCs w:val="21"/>
              </w:rPr>
              <w:t>《一般工业固体废物贮存和填埋污染控制标准》（GB18599-2020）中</w:t>
            </w:r>
            <w:r>
              <w:rPr>
                <w:rFonts w:hint="eastAsia"/>
                <w:szCs w:val="21"/>
              </w:rPr>
              <w:t>“</w:t>
            </w:r>
            <w:r>
              <w:rPr>
                <w:szCs w:val="21"/>
              </w:rPr>
              <w:t>防渗漏、防雨淋、防扬尘</w:t>
            </w:r>
            <w:r>
              <w:rPr>
                <w:rFonts w:hint="eastAsia"/>
                <w:szCs w:val="21"/>
              </w:rPr>
              <w:t>”</w:t>
            </w:r>
            <w:r>
              <w:rPr>
                <w:szCs w:val="21"/>
              </w:rPr>
              <w:t>三防要求。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zCs w:val="21"/>
              </w:rPr>
            </w:pPr>
          </w:p>
        </w:tc>
        <w:tc>
          <w:tcPr>
            <w:tcW w:w="1842" w:type="dxa"/>
            <w:vMerge w:val="continue"/>
            <w:vAlign w:val="center"/>
          </w:tcPr>
          <w:p>
            <w:pPr>
              <w:adjustRightInd w:val="0"/>
              <w:snapToGrid w:val="0"/>
              <w:jc w:val="center"/>
              <w:rPr>
                <w:szCs w:val="21"/>
              </w:rPr>
            </w:pPr>
          </w:p>
        </w:tc>
        <w:tc>
          <w:tcPr>
            <w:tcW w:w="2421" w:type="dxa"/>
            <w:vAlign w:val="center"/>
          </w:tcPr>
          <w:p>
            <w:pPr>
              <w:adjustRightInd w:val="0"/>
              <w:snapToGrid w:val="0"/>
              <w:jc w:val="center"/>
              <w:rPr>
                <w:szCs w:val="21"/>
              </w:rPr>
            </w:pPr>
            <w:r>
              <w:rPr>
                <w:szCs w:val="21"/>
              </w:rPr>
              <w:t>废食品类样品</w:t>
            </w:r>
          </w:p>
        </w:tc>
        <w:tc>
          <w:tcPr>
            <w:tcW w:w="2115" w:type="dxa"/>
            <w:gridSpan w:val="3"/>
            <w:vMerge w:val="continue"/>
            <w:vAlign w:val="center"/>
          </w:tcPr>
          <w:p>
            <w:pPr>
              <w:adjustRightInd w:val="0"/>
              <w:snapToGrid w:val="0"/>
              <w:jc w:val="center"/>
              <w:rPr>
                <w:szCs w:val="21"/>
              </w:rPr>
            </w:pPr>
          </w:p>
        </w:tc>
        <w:tc>
          <w:tcPr>
            <w:tcW w:w="1709" w:type="dxa"/>
            <w:vMerge w:val="continue"/>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zCs w:val="21"/>
              </w:rPr>
            </w:pPr>
          </w:p>
        </w:tc>
        <w:tc>
          <w:tcPr>
            <w:tcW w:w="1842" w:type="dxa"/>
            <w:vMerge w:val="continue"/>
            <w:vAlign w:val="center"/>
          </w:tcPr>
          <w:p>
            <w:pPr>
              <w:adjustRightInd w:val="0"/>
              <w:snapToGrid w:val="0"/>
              <w:jc w:val="center"/>
              <w:rPr>
                <w:szCs w:val="21"/>
              </w:rPr>
            </w:pPr>
          </w:p>
        </w:tc>
        <w:tc>
          <w:tcPr>
            <w:tcW w:w="2421" w:type="dxa"/>
            <w:vAlign w:val="center"/>
          </w:tcPr>
          <w:p>
            <w:pPr>
              <w:adjustRightInd w:val="0"/>
              <w:snapToGrid w:val="0"/>
              <w:jc w:val="center"/>
              <w:rPr>
                <w:szCs w:val="21"/>
              </w:rPr>
            </w:pPr>
            <w:r>
              <w:rPr>
                <w:rFonts w:hint="eastAsia"/>
                <w:szCs w:val="21"/>
              </w:rPr>
              <w:t>不含危险化学品废包装物</w:t>
            </w:r>
          </w:p>
        </w:tc>
        <w:tc>
          <w:tcPr>
            <w:tcW w:w="2115" w:type="dxa"/>
            <w:gridSpan w:val="3"/>
            <w:vMerge w:val="continue"/>
            <w:vAlign w:val="center"/>
          </w:tcPr>
          <w:p>
            <w:pPr>
              <w:adjustRightInd w:val="0"/>
              <w:snapToGrid w:val="0"/>
              <w:jc w:val="center"/>
              <w:rPr>
                <w:szCs w:val="21"/>
              </w:rPr>
            </w:pPr>
          </w:p>
        </w:tc>
        <w:tc>
          <w:tcPr>
            <w:tcW w:w="1709" w:type="dxa"/>
            <w:vMerge w:val="continue"/>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zCs w:val="21"/>
              </w:rPr>
            </w:pPr>
          </w:p>
        </w:tc>
        <w:tc>
          <w:tcPr>
            <w:tcW w:w="1842" w:type="dxa"/>
            <w:vMerge w:val="continue"/>
            <w:vAlign w:val="center"/>
          </w:tcPr>
          <w:p>
            <w:pPr>
              <w:adjustRightInd w:val="0"/>
              <w:snapToGrid w:val="0"/>
              <w:jc w:val="center"/>
              <w:rPr>
                <w:szCs w:val="21"/>
              </w:rPr>
            </w:pPr>
          </w:p>
        </w:tc>
        <w:tc>
          <w:tcPr>
            <w:tcW w:w="2421" w:type="dxa"/>
            <w:vAlign w:val="center"/>
          </w:tcPr>
          <w:p>
            <w:pPr>
              <w:adjustRightInd w:val="0"/>
              <w:snapToGrid w:val="0"/>
              <w:jc w:val="center"/>
              <w:rPr>
                <w:szCs w:val="21"/>
              </w:rPr>
            </w:pPr>
            <w:r>
              <w:rPr>
                <w:szCs w:val="21"/>
              </w:rPr>
              <w:t>废PP棉滤芯</w:t>
            </w:r>
          </w:p>
        </w:tc>
        <w:tc>
          <w:tcPr>
            <w:tcW w:w="2115" w:type="dxa"/>
            <w:gridSpan w:val="3"/>
            <w:vMerge w:val="continue"/>
            <w:vAlign w:val="center"/>
          </w:tcPr>
          <w:p>
            <w:pPr>
              <w:adjustRightInd w:val="0"/>
              <w:snapToGrid w:val="0"/>
              <w:jc w:val="center"/>
              <w:rPr>
                <w:szCs w:val="21"/>
              </w:rPr>
            </w:pPr>
          </w:p>
        </w:tc>
        <w:tc>
          <w:tcPr>
            <w:tcW w:w="1709" w:type="dxa"/>
            <w:vMerge w:val="continue"/>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zCs w:val="21"/>
              </w:rPr>
            </w:pPr>
          </w:p>
        </w:tc>
        <w:tc>
          <w:tcPr>
            <w:tcW w:w="1842" w:type="dxa"/>
            <w:vMerge w:val="continue"/>
            <w:vAlign w:val="center"/>
          </w:tcPr>
          <w:p>
            <w:pPr>
              <w:adjustRightInd w:val="0"/>
              <w:snapToGrid w:val="0"/>
              <w:jc w:val="center"/>
              <w:rPr>
                <w:szCs w:val="21"/>
              </w:rPr>
            </w:pPr>
          </w:p>
        </w:tc>
        <w:tc>
          <w:tcPr>
            <w:tcW w:w="2421" w:type="dxa"/>
            <w:vAlign w:val="center"/>
          </w:tcPr>
          <w:p>
            <w:pPr>
              <w:adjustRightInd w:val="0"/>
              <w:snapToGrid w:val="0"/>
              <w:jc w:val="center"/>
              <w:rPr>
                <w:szCs w:val="21"/>
              </w:rPr>
            </w:pPr>
            <w:r>
              <w:rPr>
                <w:szCs w:val="21"/>
              </w:rPr>
              <w:t>废RO反渗透膜</w:t>
            </w:r>
          </w:p>
        </w:tc>
        <w:tc>
          <w:tcPr>
            <w:tcW w:w="2115" w:type="dxa"/>
            <w:gridSpan w:val="3"/>
            <w:vMerge w:val="continue"/>
            <w:vAlign w:val="center"/>
          </w:tcPr>
          <w:p>
            <w:pPr>
              <w:adjustRightInd w:val="0"/>
              <w:snapToGrid w:val="0"/>
              <w:jc w:val="center"/>
              <w:rPr>
                <w:szCs w:val="21"/>
              </w:rPr>
            </w:pPr>
          </w:p>
        </w:tc>
        <w:tc>
          <w:tcPr>
            <w:tcW w:w="1709" w:type="dxa"/>
            <w:vMerge w:val="continue"/>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zCs w:val="21"/>
              </w:rPr>
            </w:pPr>
          </w:p>
        </w:tc>
        <w:tc>
          <w:tcPr>
            <w:tcW w:w="1842" w:type="dxa"/>
            <w:vMerge w:val="continue"/>
            <w:vAlign w:val="center"/>
          </w:tcPr>
          <w:p>
            <w:pPr>
              <w:adjustRightInd w:val="0"/>
              <w:snapToGrid w:val="0"/>
              <w:jc w:val="center"/>
              <w:rPr>
                <w:szCs w:val="21"/>
              </w:rPr>
            </w:pPr>
          </w:p>
        </w:tc>
        <w:tc>
          <w:tcPr>
            <w:tcW w:w="2421" w:type="dxa"/>
            <w:vAlign w:val="center"/>
          </w:tcPr>
          <w:p>
            <w:pPr>
              <w:adjustRightInd w:val="0"/>
              <w:snapToGrid w:val="0"/>
              <w:jc w:val="center"/>
              <w:rPr>
                <w:szCs w:val="21"/>
              </w:rPr>
            </w:pPr>
            <w:r>
              <w:rPr>
                <w:szCs w:val="21"/>
              </w:rPr>
              <w:t>废树脂</w:t>
            </w:r>
          </w:p>
        </w:tc>
        <w:tc>
          <w:tcPr>
            <w:tcW w:w="2115" w:type="dxa"/>
            <w:gridSpan w:val="3"/>
            <w:vMerge w:val="continue"/>
            <w:vAlign w:val="center"/>
          </w:tcPr>
          <w:p>
            <w:pPr>
              <w:adjustRightInd w:val="0"/>
              <w:snapToGrid w:val="0"/>
              <w:jc w:val="center"/>
              <w:rPr>
                <w:szCs w:val="21"/>
              </w:rPr>
            </w:pPr>
          </w:p>
        </w:tc>
        <w:tc>
          <w:tcPr>
            <w:tcW w:w="1709" w:type="dxa"/>
            <w:vMerge w:val="continue"/>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zCs w:val="21"/>
              </w:rPr>
            </w:pPr>
          </w:p>
        </w:tc>
        <w:tc>
          <w:tcPr>
            <w:tcW w:w="1842" w:type="dxa"/>
            <w:vMerge w:val="restart"/>
            <w:vAlign w:val="center"/>
          </w:tcPr>
          <w:p>
            <w:pPr>
              <w:adjustRightInd w:val="0"/>
              <w:snapToGrid w:val="0"/>
              <w:jc w:val="center"/>
              <w:rPr>
                <w:szCs w:val="21"/>
              </w:rPr>
            </w:pPr>
            <w:r>
              <w:rPr>
                <w:szCs w:val="21"/>
              </w:rPr>
              <w:t>危险废物</w:t>
            </w:r>
          </w:p>
        </w:tc>
        <w:tc>
          <w:tcPr>
            <w:tcW w:w="2421" w:type="dxa"/>
            <w:vAlign w:val="center"/>
          </w:tcPr>
          <w:p>
            <w:pPr>
              <w:adjustRightInd w:val="0"/>
              <w:snapToGrid w:val="0"/>
              <w:jc w:val="center"/>
              <w:rPr>
                <w:szCs w:val="21"/>
              </w:rPr>
            </w:pPr>
            <w:r>
              <w:rPr>
                <w:szCs w:val="21"/>
              </w:rPr>
              <w:t>含重金属废试剂</w:t>
            </w:r>
          </w:p>
        </w:tc>
        <w:tc>
          <w:tcPr>
            <w:tcW w:w="2115" w:type="dxa"/>
            <w:gridSpan w:val="3"/>
            <w:vMerge w:val="restart"/>
            <w:vAlign w:val="center"/>
          </w:tcPr>
          <w:p>
            <w:pPr>
              <w:adjustRightInd w:val="0"/>
              <w:snapToGrid w:val="0"/>
              <w:jc w:val="center"/>
              <w:rPr>
                <w:szCs w:val="21"/>
              </w:rPr>
            </w:pPr>
            <w:r>
              <w:rPr>
                <w:szCs w:val="21"/>
              </w:rPr>
              <w:t>危废暂存间1座（10m</w:t>
            </w:r>
            <w:r>
              <w:rPr>
                <w:szCs w:val="21"/>
                <w:vertAlign w:val="superscript"/>
              </w:rPr>
              <w:t>2</w:t>
            </w:r>
            <w:r>
              <w:rPr>
                <w:szCs w:val="21"/>
              </w:rPr>
              <w:t>）</w:t>
            </w:r>
          </w:p>
        </w:tc>
        <w:tc>
          <w:tcPr>
            <w:tcW w:w="1709" w:type="dxa"/>
            <w:vMerge w:val="restart"/>
            <w:vAlign w:val="center"/>
          </w:tcPr>
          <w:p>
            <w:pPr>
              <w:adjustRightInd w:val="0"/>
              <w:snapToGrid w:val="0"/>
              <w:rPr>
                <w:szCs w:val="21"/>
              </w:rPr>
            </w:pPr>
            <w:r>
              <w:rPr>
                <w:szCs w:val="21"/>
              </w:rPr>
              <w:t>《危险废物贮存污染控制标准》（GB18597-2001）及其2013修改单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zCs w:val="21"/>
              </w:rPr>
            </w:pPr>
          </w:p>
        </w:tc>
        <w:tc>
          <w:tcPr>
            <w:tcW w:w="1842" w:type="dxa"/>
            <w:vMerge w:val="continue"/>
            <w:vAlign w:val="center"/>
          </w:tcPr>
          <w:p>
            <w:pPr>
              <w:adjustRightInd w:val="0"/>
              <w:snapToGrid w:val="0"/>
              <w:jc w:val="center"/>
              <w:rPr>
                <w:szCs w:val="21"/>
              </w:rPr>
            </w:pPr>
          </w:p>
        </w:tc>
        <w:tc>
          <w:tcPr>
            <w:tcW w:w="2421" w:type="dxa"/>
            <w:vAlign w:val="center"/>
          </w:tcPr>
          <w:p>
            <w:pPr>
              <w:adjustRightInd w:val="0"/>
              <w:snapToGrid w:val="0"/>
              <w:jc w:val="center"/>
              <w:rPr>
                <w:szCs w:val="21"/>
              </w:rPr>
            </w:pPr>
            <w:r>
              <w:rPr>
                <w:szCs w:val="21"/>
              </w:rPr>
              <w:t>废酸、碱液</w:t>
            </w:r>
          </w:p>
        </w:tc>
        <w:tc>
          <w:tcPr>
            <w:tcW w:w="2115" w:type="dxa"/>
            <w:gridSpan w:val="3"/>
            <w:vMerge w:val="continue"/>
            <w:vAlign w:val="center"/>
          </w:tcPr>
          <w:p>
            <w:pPr>
              <w:adjustRightInd w:val="0"/>
              <w:snapToGrid w:val="0"/>
              <w:jc w:val="center"/>
              <w:rPr>
                <w:szCs w:val="21"/>
              </w:rPr>
            </w:pPr>
          </w:p>
        </w:tc>
        <w:tc>
          <w:tcPr>
            <w:tcW w:w="1709" w:type="dxa"/>
            <w:vMerge w:val="continue"/>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zCs w:val="21"/>
              </w:rPr>
            </w:pPr>
          </w:p>
        </w:tc>
        <w:tc>
          <w:tcPr>
            <w:tcW w:w="1842" w:type="dxa"/>
            <w:vMerge w:val="continue"/>
            <w:vAlign w:val="center"/>
          </w:tcPr>
          <w:p>
            <w:pPr>
              <w:adjustRightInd w:val="0"/>
              <w:snapToGrid w:val="0"/>
              <w:jc w:val="center"/>
              <w:rPr>
                <w:szCs w:val="21"/>
              </w:rPr>
            </w:pPr>
          </w:p>
        </w:tc>
        <w:tc>
          <w:tcPr>
            <w:tcW w:w="2421" w:type="dxa"/>
            <w:vAlign w:val="center"/>
          </w:tcPr>
          <w:p>
            <w:pPr>
              <w:adjustRightInd w:val="0"/>
              <w:snapToGrid w:val="0"/>
              <w:jc w:val="center"/>
              <w:rPr>
                <w:szCs w:val="21"/>
              </w:rPr>
            </w:pPr>
            <w:r>
              <w:rPr>
                <w:szCs w:val="21"/>
              </w:rPr>
              <w:t>废有机溶剂</w:t>
            </w:r>
          </w:p>
        </w:tc>
        <w:tc>
          <w:tcPr>
            <w:tcW w:w="2115" w:type="dxa"/>
            <w:gridSpan w:val="3"/>
            <w:vMerge w:val="continue"/>
            <w:vAlign w:val="center"/>
          </w:tcPr>
          <w:p>
            <w:pPr>
              <w:adjustRightInd w:val="0"/>
              <w:snapToGrid w:val="0"/>
              <w:jc w:val="center"/>
              <w:rPr>
                <w:szCs w:val="21"/>
              </w:rPr>
            </w:pPr>
          </w:p>
        </w:tc>
        <w:tc>
          <w:tcPr>
            <w:tcW w:w="1709" w:type="dxa"/>
            <w:vMerge w:val="continue"/>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zCs w:val="21"/>
              </w:rPr>
            </w:pPr>
          </w:p>
        </w:tc>
        <w:tc>
          <w:tcPr>
            <w:tcW w:w="1842" w:type="dxa"/>
            <w:vMerge w:val="continue"/>
            <w:vAlign w:val="center"/>
          </w:tcPr>
          <w:p>
            <w:pPr>
              <w:adjustRightInd w:val="0"/>
              <w:snapToGrid w:val="0"/>
              <w:jc w:val="center"/>
              <w:rPr>
                <w:szCs w:val="21"/>
              </w:rPr>
            </w:pPr>
          </w:p>
        </w:tc>
        <w:tc>
          <w:tcPr>
            <w:tcW w:w="2421" w:type="dxa"/>
            <w:vAlign w:val="center"/>
          </w:tcPr>
          <w:p>
            <w:pPr>
              <w:adjustRightInd w:val="0"/>
              <w:snapToGrid w:val="0"/>
              <w:jc w:val="center"/>
              <w:rPr>
                <w:szCs w:val="21"/>
              </w:rPr>
            </w:pPr>
            <w:r>
              <w:t>废试剂</w:t>
            </w:r>
          </w:p>
        </w:tc>
        <w:tc>
          <w:tcPr>
            <w:tcW w:w="2115" w:type="dxa"/>
            <w:gridSpan w:val="3"/>
            <w:vMerge w:val="continue"/>
            <w:vAlign w:val="center"/>
          </w:tcPr>
          <w:p>
            <w:pPr>
              <w:adjustRightInd w:val="0"/>
              <w:snapToGrid w:val="0"/>
              <w:jc w:val="center"/>
              <w:rPr>
                <w:szCs w:val="21"/>
              </w:rPr>
            </w:pPr>
          </w:p>
        </w:tc>
        <w:tc>
          <w:tcPr>
            <w:tcW w:w="1709" w:type="dxa"/>
            <w:vMerge w:val="continue"/>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zCs w:val="21"/>
              </w:rPr>
            </w:pPr>
          </w:p>
        </w:tc>
        <w:tc>
          <w:tcPr>
            <w:tcW w:w="1842" w:type="dxa"/>
            <w:vMerge w:val="continue"/>
            <w:vAlign w:val="center"/>
          </w:tcPr>
          <w:p>
            <w:pPr>
              <w:adjustRightInd w:val="0"/>
              <w:snapToGrid w:val="0"/>
              <w:jc w:val="center"/>
              <w:rPr>
                <w:szCs w:val="21"/>
              </w:rPr>
            </w:pPr>
          </w:p>
        </w:tc>
        <w:tc>
          <w:tcPr>
            <w:tcW w:w="2421" w:type="dxa"/>
            <w:vAlign w:val="center"/>
          </w:tcPr>
          <w:p>
            <w:pPr>
              <w:adjustRightInd w:val="0"/>
              <w:snapToGrid w:val="0"/>
              <w:jc w:val="center"/>
              <w:rPr>
                <w:szCs w:val="21"/>
              </w:rPr>
            </w:pPr>
            <w:r>
              <w:t>废有机实验样品</w:t>
            </w:r>
          </w:p>
        </w:tc>
        <w:tc>
          <w:tcPr>
            <w:tcW w:w="2115" w:type="dxa"/>
            <w:gridSpan w:val="3"/>
            <w:vMerge w:val="continue"/>
            <w:vAlign w:val="center"/>
          </w:tcPr>
          <w:p>
            <w:pPr>
              <w:adjustRightInd w:val="0"/>
              <w:snapToGrid w:val="0"/>
              <w:jc w:val="center"/>
              <w:rPr>
                <w:szCs w:val="21"/>
              </w:rPr>
            </w:pPr>
          </w:p>
        </w:tc>
        <w:tc>
          <w:tcPr>
            <w:tcW w:w="1709" w:type="dxa"/>
            <w:vMerge w:val="continue"/>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zCs w:val="21"/>
              </w:rPr>
            </w:pPr>
          </w:p>
        </w:tc>
        <w:tc>
          <w:tcPr>
            <w:tcW w:w="1842" w:type="dxa"/>
            <w:vMerge w:val="continue"/>
            <w:vAlign w:val="center"/>
          </w:tcPr>
          <w:p>
            <w:pPr>
              <w:adjustRightInd w:val="0"/>
              <w:snapToGrid w:val="0"/>
              <w:jc w:val="center"/>
              <w:rPr>
                <w:szCs w:val="21"/>
              </w:rPr>
            </w:pPr>
          </w:p>
        </w:tc>
        <w:tc>
          <w:tcPr>
            <w:tcW w:w="2421" w:type="dxa"/>
            <w:vAlign w:val="center"/>
          </w:tcPr>
          <w:p>
            <w:pPr>
              <w:adjustRightInd w:val="0"/>
              <w:snapToGrid w:val="0"/>
              <w:jc w:val="center"/>
            </w:pPr>
            <w:r>
              <w:t>一次性实验用品</w:t>
            </w:r>
          </w:p>
        </w:tc>
        <w:tc>
          <w:tcPr>
            <w:tcW w:w="2115" w:type="dxa"/>
            <w:gridSpan w:val="3"/>
            <w:vMerge w:val="continue"/>
            <w:vAlign w:val="center"/>
          </w:tcPr>
          <w:p>
            <w:pPr>
              <w:adjustRightInd w:val="0"/>
              <w:snapToGrid w:val="0"/>
              <w:jc w:val="center"/>
              <w:rPr>
                <w:szCs w:val="21"/>
              </w:rPr>
            </w:pPr>
          </w:p>
        </w:tc>
        <w:tc>
          <w:tcPr>
            <w:tcW w:w="1709" w:type="dxa"/>
            <w:vMerge w:val="continue"/>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zCs w:val="21"/>
              </w:rPr>
            </w:pPr>
          </w:p>
        </w:tc>
        <w:tc>
          <w:tcPr>
            <w:tcW w:w="1842" w:type="dxa"/>
            <w:vMerge w:val="continue"/>
            <w:vAlign w:val="center"/>
          </w:tcPr>
          <w:p>
            <w:pPr>
              <w:adjustRightInd w:val="0"/>
              <w:snapToGrid w:val="0"/>
              <w:jc w:val="center"/>
              <w:rPr>
                <w:szCs w:val="21"/>
              </w:rPr>
            </w:pPr>
          </w:p>
        </w:tc>
        <w:tc>
          <w:tcPr>
            <w:tcW w:w="2421" w:type="dxa"/>
            <w:vAlign w:val="center"/>
          </w:tcPr>
          <w:p>
            <w:pPr>
              <w:adjustRightInd w:val="0"/>
              <w:snapToGrid w:val="0"/>
              <w:jc w:val="center"/>
            </w:pPr>
            <w:r>
              <w:rPr>
                <w:rFonts w:hint="eastAsia"/>
              </w:rPr>
              <w:t>实验室器皿一次、二次清洗废水</w:t>
            </w:r>
          </w:p>
        </w:tc>
        <w:tc>
          <w:tcPr>
            <w:tcW w:w="2115" w:type="dxa"/>
            <w:gridSpan w:val="3"/>
            <w:vMerge w:val="continue"/>
            <w:vAlign w:val="center"/>
          </w:tcPr>
          <w:p>
            <w:pPr>
              <w:adjustRightInd w:val="0"/>
              <w:snapToGrid w:val="0"/>
              <w:jc w:val="center"/>
              <w:rPr>
                <w:szCs w:val="21"/>
              </w:rPr>
            </w:pPr>
          </w:p>
        </w:tc>
        <w:tc>
          <w:tcPr>
            <w:tcW w:w="1709" w:type="dxa"/>
            <w:vMerge w:val="continue"/>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zCs w:val="21"/>
              </w:rPr>
            </w:pPr>
          </w:p>
        </w:tc>
        <w:tc>
          <w:tcPr>
            <w:tcW w:w="1842" w:type="dxa"/>
            <w:vMerge w:val="continue"/>
            <w:vAlign w:val="center"/>
          </w:tcPr>
          <w:p>
            <w:pPr>
              <w:adjustRightInd w:val="0"/>
              <w:snapToGrid w:val="0"/>
              <w:jc w:val="center"/>
              <w:rPr>
                <w:szCs w:val="21"/>
              </w:rPr>
            </w:pPr>
          </w:p>
        </w:tc>
        <w:tc>
          <w:tcPr>
            <w:tcW w:w="2421" w:type="dxa"/>
            <w:vAlign w:val="center"/>
          </w:tcPr>
          <w:p>
            <w:pPr>
              <w:adjustRightInd w:val="0"/>
              <w:snapToGrid w:val="0"/>
              <w:jc w:val="center"/>
            </w:pPr>
            <w:r>
              <w:t>废培养基</w:t>
            </w:r>
          </w:p>
        </w:tc>
        <w:tc>
          <w:tcPr>
            <w:tcW w:w="2115" w:type="dxa"/>
            <w:gridSpan w:val="3"/>
            <w:vMerge w:val="continue"/>
            <w:vAlign w:val="center"/>
          </w:tcPr>
          <w:p>
            <w:pPr>
              <w:adjustRightInd w:val="0"/>
              <w:snapToGrid w:val="0"/>
              <w:jc w:val="center"/>
              <w:rPr>
                <w:szCs w:val="21"/>
              </w:rPr>
            </w:pPr>
          </w:p>
        </w:tc>
        <w:tc>
          <w:tcPr>
            <w:tcW w:w="1709" w:type="dxa"/>
            <w:vMerge w:val="continue"/>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zCs w:val="21"/>
              </w:rPr>
            </w:pPr>
          </w:p>
        </w:tc>
        <w:tc>
          <w:tcPr>
            <w:tcW w:w="1842" w:type="dxa"/>
            <w:vMerge w:val="continue"/>
            <w:vAlign w:val="center"/>
          </w:tcPr>
          <w:p>
            <w:pPr>
              <w:adjustRightInd w:val="0"/>
              <w:snapToGrid w:val="0"/>
              <w:jc w:val="center"/>
              <w:rPr>
                <w:szCs w:val="21"/>
              </w:rPr>
            </w:pPr>
          </w:p>
        </w:tc>
        <w:tc>
          <w:tcPr>
            <w:tcW w:w="2421" w:type="dxa"/>
            <w:vAlign w:val="center"/>
          </w:tcPr>
          <w:p>
            <w:pPr>
              <w:adjustRightInd w:val="0"/>
              <w:snapToGrid w:val="0"/>
              <w:jc w:val="center"/>
              <w:rPr>
                <w:szCs w:val="21"/>
              </w:rPr>
            </w:pPr>
            <w:r>
              <w:t>废试剂瓶</w:t>
            </w:r>
          </w:p>
        </w:tc>
        <w:tc>
          <w:tcPr>
            <w:tcW w:w="2115" w:type="dxa"/>
            <w:gridSpan w:val="3"/>
            <w:vMerge w:val="continue"/>
            <w:vAlign w:val="center"/>
          </w:tcPr>
          <w:p>
            <w:pPr>
              <w:adjustRightInd w:val="0"/>
              <w:snapToGrid w:val="0"/>
              <w:jc w:val="center"/>
              <w:rPr>
                <w:szCs w:val="21"/>
              </w:rPr>
            </w:pPr>
          </w:p>
        </w:tc>
        <w:tc>
          <w:tcPr>
            <w:tcW w:w="1709" w:type="dxa"/>
            <w:vMerge w:val="continue"/>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zCs w:val="21"/>
              </w:rPr>
            </w:pPr>
          </w:p>
        </w:tc>
        <w:tc>
          <w:tcPr>
            <w:tcW w:w="1842" w:type="dxa"/>
            <w:vMerge w:val="continue"/>
            <w:vAlign w:val="center"/>
          </w:tcPr>
          <w:p>
            <w:pPr>
              <w:adjustRightInd w:val="0"/>
              <w:snapToGrid w:val="0"/>
              <w:jc w:val="center"/>
              <w:rPr>
                <w:szCs w:val="21"/>
              </w:rPr>
            </w:pPr>
          </w:p>
        </w:tc>
        <w:tc>
          <w:tcPr>
            <w:tcW w:w="2421" w:type="dxa"/>
            <w:vAlign w:val="center"/>
          </w:tcPr>
          <w:p>
            <w:pPr>
              <w:adjustRightInd w:val="0"/>
              <w:snapToGrid w:val="0"/>
              <w:jc w:val="center"/>
              <w:rPr>
                <w:szCs w:val="21"/>
              </w:rPr>
            </w:pPr>
            <w:r>
              <w:t>废危险化学品</w:t>
            </w:r>
          </w:p>
        </w:tc>
        <w:tc>
          <w:tcPr>
            <w:tcW w:w="2115" w:type="dxa"/>
            <w:gridSpan w:val="3"/>
            <w:vMerge w:val="continue"/>
            <w:vAlign w:val="center"/>
          </w:tcPr>
          <w:p>
            <w:pPr>
              <w:adjustRightInd w:val="0"/>
              <w:snapToGrid w:val="0"/>
              <w:jc w:val="center"/>
              <w:rPr>
                <w:szCs w:val="21"/>
              </w:rPr>
            </w:pPr>
          </w:p>
        </w:tc>
        <w:tc>
          <w:tcPr>
            <w:tcW w:w="1709" w:type="dxa"/>
            <w:vMerge w:val="continue"/>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zCs w:val="21"/>
              </w:rPr>
            </w:pPr>
          </w:p>
        </w:tc>
        <w:tc>
          <w:tcPr>
            <w:tcW w:w="1842" w:type="dxa"/>
            <w:vMerge w:val="continue"/>
            <w:vAlign w:val="center"/>
          </w:tcPr>
          <w:p>
            <w:pPr>
              <w:adjustRightInd w:val="0"/>
              <w:snapToGrid w:val="0"/>
              <w:jc w:val="center"/>
              <w:rPr>
                <w:szCs w:val="21"/>
              </w:rPr>
            </w:pPr>
          </w:p>
        </w:tc>
        <w:tc>
          <w:tcPr>
            <w:tcW w:w="2421" w:type="dxa"/>
            <w:vAlign w:val="center"/>
          </w:tcPr>
          <w:p>
            <w:pPr>
              <w:adjustRightInd w:val="0"/>
              <w:snapToGrid w:val="0"/>
              <w:jc w:val="center"/>
              <w:rPr>
                <w:szCs w:val="21"/>
              </w:rPr>
            </w:pPr>
            <w:r>
              <w:t>废UV灯管</w:t>
            </w:r>
          </w:p>
        </w:tc>
        <w:tc>
          <w:tcPr>
            <w:tcW w:w="2115" w:type="dxa"/>
            <w:gridSpan w:val="3"/>
            <w:vMerge w:val="continue"/>
            <w:vAlign w:val="center"/>
          </w:tcPr>
          <w:p>
            <w:pPr>
              <w:adjustRightInd w:val="0"/>
              <w:snapToGrid w:val="0"/>
              <w:jc w:val="center"/>
              <w:rPr>
                <w:szCs w:val="21"/>
              </w:rPr>
            </w:pPr>
          </w:p>
        </w:tc>
        <w:tc>
          <w:tcPr>
            <w:tcW w:w="1709" w:type="dxa"/>
            <w:vMerge w:val="continue"/>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zCs w:val="21"/>
              </w:rPr>
            </w:pPr>
          </w:p>
        </w:tc>
        <w:tc>
          <w:tcPr>
            <w:tcW w:w="1842" w:type="dxa"/>
            <w:vMerge w:val="continue"/>
            <w:vAlign w:val="center"/>
          </w:tcPr>
          <w:p>
            <w:pPr>
              <w:adjustRightInd w:val="0"/>
              <w:snapToGrid w:val="0"/>
              <w:jc w:val="center"/>
              <w:rPr>
                <w:szCs w:val="21"/>
              </w:rPr>
            </w:pPr>
          </w:p>
        </w:tc>
        <w:tc>
          <w:tcPr>
            <w:tcW w:w="2421" w:type="dxa"/>
            <w:vAlign w:val="center"/>
          </w:tcPr>
          <w:p>
            <w:pPr>
              <w:adjustRightInd w:val="0"/>
              <w:snapToGrid w:val="0"/>
              <w:jc w:val="center"/>
              <w:rPr>
                <w:szCs w:val="21"/>
              </w:rPr>
            </w:pPr>
            <w:r>
              <w:t>废活性炭</w:t>
            </w:r>
          </w:p>
        </w:tc>
        <w:tc>
          <w:tcPr>
            <w:tcW w:w="2115" w:type="dxa"/>
            <w:gridSpan w:val="3"/>
            <w:vMerge w:val="continue"/>
            <w:vAlign w:val="center"/>
          </w:tcPr>
          <w:p>
            <w:pPr>
              <w:adjustRightInd w:val="0"/>
              <w:snapToGrid w:val="0"/>
              <w:jc w:val="center"/>
              <w:rPr>
                <w:szCs w:val="21"/>
              </w:rPr>
            </w:pPr>
          </w:p>
        </w:tc>
        <w:tc>
          <w:tcPr>
            <w:tcW w:w="1709" w:type="dxa"/>
            <w:vMerge w:val="continue"/>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zCs w:val="21"/>
              </w:rPr>
            </w:pPr>
          </w:p>
        </w:tc>
        <w:tc>
          <w:tcPr>
            <w:tcW w:w="1842" w:type="dxa"/>
            <w:vMerge w:val="continue"/>
            <w:vAlign w:val="center"/>
          </w:tcPr>
          <w:p>
            <w:pPr>
              <w:adjustRightInd w:val="0"/>
              <w:snapToGrid w:val="0"/>
              <w:jc w:val="center"/>
              <w:rPr>
                <w:szCs w:val="21"/>
              </w:rPr>
            </w:pPr>
          </w:p>
        </w:tc>
        <w:tc>
          <w:tcPr>
            <w:tcW w:w="2421" w:type="dxa"/>
            <w:vAlign w:val="center"/>
          </w:tcPr>
          <w:p>
            <w:pPr>
              <w:adjustRightInd w:val="0"/>
              <w:snapToGrid w:val="0"/>
              <w:jc w:val="center"/>
              <w:rPr>
                <w:szCs w:val="21"/>
              </w:rPr>
            </w:pPr>
            <w:r>
              <w:t>污水处理装置污泥</w:t>
            </w:r>
          </w:p>
        </w:tc>
        <w:tc>
          <w:tcPr>
            <w:tcW w:w="2115" w:type="dxa"/>
            <w:gridSpan w:val="3"/>
            <w:vMerge w:val="continue"/>
            <w:vAlign w:val="center"/>
          </w:tcPr>
          <w:p>
            <w:pPr>
              <w:adjustRightInd w:val="0"/>
              <w:snapToGrid w:val="0"/>
              <w:jc w:val="center"/>
              <w:rPr>
                <w:szCs w:val="21"/>
              </w:rPr>
            </w:pPr>
          </w:p>
        </w:tc>
        <w:tc>
          <w:tcPr>
            <w:tcW w:w="1709" w:type="dxa"/>
            <w:vMerge w:val="continue"/>
            <w:vAlign w:val="center"/>
          </w:tcPr>
          <w:p>
            <w:pPr>
              <w:adjustRightInd w:val="0"/>
              <w:snapToGrid w:val="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Align w:val="center"/>
          </w:tcPr>
          <w:p>
            <w:pPr>
              <w:adjustRightInd w:val="0"/>
              <w:snapToGrid w:val="0"/>
              <w:jc w:val="center"/>
              <w:rPr>
                <w:szCs w:val="21"/>
              </w:rPr>
            </w:pPr>
            <w:r>
              <w:rPr>
                <w:szCs w:val="21"/>
              </w:rPr>
              <w:t>土壤及地下水</w:t>
            </w:r>
          </w:p>
          <w:p>
            <w:pPr>
              <w:adjustRightInd w:val="0"/>
              <w:snapToGrid w:val="0"/>
              <w:jc w:val="center"/>
              <w:rPr>
                <w:szCs w:val="21"/>
              </w:rPr>
            </w:pPr>
            <w:r>
              <w:rPr>
                <w:szCs w:val="21"/>
              </w:rPr>
              <w:t>污染防治措施</w:t>
            </w:r>
          </w:p>
        </w:tc>
        <w:tc>
          <w:tcPr>
            <w:tcW w:w="8087" w:type="dxa"/>
            <w:gridSpan w:val="6"/>
            <w:vAlign w:val="center"/>
          </w:tcPr>
          <w:p>
            <w:pPr>
              <w:adjustRightInd w:val="0"/>
              <w:snapToGrid w:val="0"/>
              <w:rPr>
                <w:szCs w:val="21"/>
              </w:rPr>
            </w:pPr>
            <w:r>
              <w:rPr>
                <w:rFonts w:hint="eastAsia"/>
                <w:szCs w:val="21"/>
              </w:rPr>
              <w:t>本项目可能对地下水、土壤有影响的污染物主要为危险废物以及实验室运营过程产生的废水，危险废物于危废暂存间内暂存，采用专用容器收集，并置于托盘上，确保不渗漏，危废间根据《危险废物贮存污染控制标准》（GB18597-2001及2013修改单）的要求设置防渗措施，实验室废水经一体化污水处理设施处理后经市政管网排入新乡县综合污水处理厂，一体化污水处理设施采取相应防渗措施处理后，不存在污染下渗的途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Align w:val="center"/>
          </w:tcPr>
          <w:p>
            <w:pPr>
              <w:adjustRightInd w:val="0"/>
              <w:snapToGrid w:val="0"/>
              <w:jc w:val="center"/>
              <w:rPr>
                <w:szCs w:val="21"/>
              </w:rPr>
            </w:pPr>
            <w:r>
              <w:rPr>
                <w:szCs w:val="21"/>
              </w:rPr>
              <w:t>生态保护措施</w:t>
            </w:r>
          </w:p>
        </w:tc>
        <w:tc>
          <w:tcPr>
            <w:tcW w:w="8087" w:type="dxa"/>
            <w:gridSpan w:val="6"/>
            <w:vAlign w:val="center"/>
          </w:tcPr>
          <w:p>
            <w:pPr>
              <w:adjustRightInd w:val="0"/>
              <w:snapToGrid w:val="0"/>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Align w:val="center"/>
          </w:tcPr>
          <w:p>
            <w:pPr>
              <w:adjustRightInd w:val="0"/>
              <w:snapToGrid w:val="0"/>
              <w:jc w:val="center"/>
              <w:rPr>
                <w:spacing w:val="-8"/>
                <w:szCs w:val="21"/>
              </w:rPr>
            </w:pPr>
            <w:r>
              <w:rPr>
                <w:spacing w:val="-8"/>
                <w:szCs w:val="21"/>
              </w:rPr>
              <w:t>环境风险</w:t>
            </w:r>
          </w:p>
          <w:p>
            <w:pPr>
              <w:adjustRightInd w:val="0"/>
              <w:snapToGrid w:val="0"/>
              <w:jc w:val="center"/>
              <w:rPr>
                <w:spacing w:val="-8"/>
                <w:szCs w:val="21"/>
              </w:rPr>
            </w:pPr>
            <w:r>
              <w:rPr>
                <w:spacing w:val="-8"/>
                <w:szCs w:val="21"/>
              </w:rPr>
              <w:t>防范措施</w:t>
            </w:r>
          </w:p>
        </w:tc>
        <w:tc>
          <w:tcPr>
            <w:tcW w:w="8087" w:type="dxa"/>
            <w:gridSpan w:val="6"/>
            <w:vAlign w:val="center"/>
          </w:tcPr>
          <w:p>
            <w:pPr>
              <w:adjustRightInd w:val="0"/>
              <w:snapToGrid w:val="0"/>
              <w:jc w:val="center"/>
              <w:rPr>
                <w:szCs w:val="21"/>
              </w:rPr>
            </w:pPr>
            <w:r>
              <w:rPr>
                <w:rFonts w:hint="eastAsia"/>
                <w:szCs w:val="21"/>
              </w:rPr>
              <w:t>1、危险化学品入库时应检查是否有泄漏现象，在贮存期，定期检查，发现泄漏，及时处理；</w:t>
            </w:r>
            <w:r>
              <w:rPr>
                <w:szCs w:val="21"/>
              </w:rPr>
              <w:t>2</w:t>
            </w:r>
            <w:r>
              <w:rPr>
                <w:rFonts w:hint="eastAsia"/>
                <w:szCs w:val="21"/>
              </w:rPr>
              <w:t>、储存间四周做好防渗措施，设置空桶作为备用收容设施，防止因原料渗漏对地下水的影响。3、操作人员必须经过专门培训，配备防毒面具、耐腐蚀手套、化学安全防护眼等防护用品，严格遵守操作规程。</w:t>
            </w:r>
            <w:r>
              <w:rPr>
                <w:szCs w:val="21"/>
              </w:rPr>
              <w:t>4</w:t>
            </w:r>
            <w:r>
              <w:rPr>
                <w:rFonts w:hint="eastAsia"/>
                <w:szCs w:val="21"/>
              </w:rPr>
              <w:t>、应根据《危险化学品管理条例》的要求，委托有危险化学品运输资质的单位运输。5、运输车要有明显的危险物品运输标志。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restart"/>
            <w:vAlign w:val="center"/>
          </w:tcPr>
          <w:p>
            <w:pPr>
              <w:adjustRightInd w:val="0"/>
              <w:snapToGrid w:val="0"/>
              <w:jc w:val="center"/>
              <w:rPr>
                <w:spacing w:val="-8"/>
                <w:szCs w:val="21"/>
              </w:rPr>
            </w:pPr>
            <w:r>
              <w:rPr>
                <w:spacing w:val="-8"/>
                <w:szCs w:val="21"/>
              </w:rPr>
              <w:t>其他环境</w:t>
            </w:r>
          </w:p>
          <w:p>
            <w:pPr>
              <w:adjustRightInd w:val="0"/>
              <w:snapToGrid w:val="0"/>
              <w:jc w:val="center"/>
              <w:rPr>
                <w:spacing w:val="-8"/>
                <w:szCs w:val="21"/>
              </w:rPr>
            </w:pPr>
            <w:r>
              <w:rPr>
                <w:spacing w:val="-8"/>
                <w:szCs w:val="21"/>
              </w:rPr>
              <w:t>管理要求</w:t>
            </w:r>
          </w:p>
        </w:tc>
        <w:tc>
          <w:tcPr>
            <w:tcW w:w="6378" w:type="dxa"/>
            <w:gridSpan w:val="5"/>
            <w:vAlign w:val="center"/>
          </w:tcPr>
          <w:p>
            <w:pPr>
              <w:adjustRightInd w:val="0"/>
              <w:snapToGrid w:val="0"/>
              <w:rPr>
                <w:szCs w:val="21"/>
              </w:rPr>
            </w:pPr>
            <w:r>
              <w:rPr>
                <w:bCs/>
                <w:color w:val="000000"/>
                <w:szCs w:val="21"/>
              </w:rPr>
              <w:t>按照要求在污染设施排放口、监测取样处安装视频监控（各1套），并与市局联网共享，视频监控数据保存三个月</w:t>
            </w:r>
          </w:p>
        </w:tc>
        <w:tc>
          <w:tcPr>
            <w:tcW w:w="1709" w:type="dxa"/>
            <w:vAlign w:val="center"/>
          </w:tcPr>
          <w:p>
            <w:pPr>
              <w:adjustRightInd w:val="0"/>
              <w:snapToGrid w:val="0"/>
              <w:rPr>
                <w:szCs w:val="21"/>
              </w:rPr>
            </w:pPr>
            <w:r>
              <w:rPr>
                <w:bCs/>
                <w:color w:val="000000"/>
                <w:szCs w:val="21"/>
              </w:rPr>
              <w:t>《新乡市生态环境局关于安装工业企业视频监控系统的通知》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pacing w:val="-8"/>
                <w:szCs w:val="21"/>
              </w:rPr>
            </w:pPr>
          </w:p>
        </w:tc>
        <w:tc>
          <w:tcPr>
            <w:tcW w:w="6378" w:type="dxa"/>
            <w:gridSpan w:val="5"/>
            <w:vAlign w:val="center"/>
          </w:tcPr>
          <w:p>
            <w:pPr>
              <w:adjustRightInd w:val="0"/>
              <w:snapToGrid w:val="0"/>
              <w:jc w:val="center"/>
              <w:rPr>
                <w:szCs w:val="21"/>
              </w:rPr>
            </w:pPr>
            <w:r>
              <w:rPr>
                <w:bCs/>
                <w:color w:val="000000"/>
                <w:szCs w:val="21"/>
              </w:rPr>
              <w:t>按照要求在</w:t>
            </w:r>
            <w:r>
              <w:rPr>
                <w:color w:val="000000"/>
                <w:szCs w:val="21"/>
              </w:rPr>
              <w:t>总用电处、生产设施、废气处理设施处安装用电监控设施</w:t>
            </w:r>
            <w:r>
              <w:rPr>
                <w:bCs/>
                <w:color w:val="000000"/>
                <w:szCs w:val="21"/>
              </w:rPr>
              <w:t>（各1套）</w:t>
            </w:r>
          </w:p>
        </w:tc>
        <w:tc>
          <w:tcPr>
            <w:tcW w:w="1709" w:type="dxa"/>
            <w:vAlign w:val="center"/>
          </w:tcPr>
          <w:p>
            <w:pPr>
              <w:adjustRightInd w:val="0"/>
              <w:snapToGrid w:val="0"/>
              <w:rPr>
                <w:szCs w:val="21"/>
              </w:rPr>
            </w:pPr>
            <w:r>
              <w:rPr>
                <w:color w:val="000000"/>
                <w:szCs w:val="21"/>
              </w:rPr>
              <w:t>《新乡市生态环境局关于部署安装工业企业用电量监控系统的通知》（新环[2019]154号）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3" w:type="dxa"/>
            <w:vMerge w:val="continue"/>
            <w:vAlign w:val="center"/>
          </w:tcPr>
          <w:p>
            <w:pPr>
              <w:adjustRightInd w:val="0"/>
              <w:snapToGrid w:val="0"/>
              <w:jc w:val="center"/>
              <w:rPr>
                <w:spacing w:val="-8"/>
                <w:szCs w:val="21"/>
              </w:rPr>
            </w:pPr>
          </w:p>
        </w:tc>
        <w:tc>
          <w:tcPr>
            <w:tcW w:w="8087" w:type="dxa"/>
            <w:gridSpan w:val="6"/>
            <w:vAlign w:val="center"/>
          </w:tcPr>
          <w:p>
            <w:pPr>
              <w:adjustRightInd w:val="0"/>
              <w:snapToGrid w:val="0"/>
              <w:ind w:firstLine="420" w:firstLineChars="200"/>
              <w:rPr>
                <w:bCs/>
                <w:szCs w:val="21"/>
              </w:rPr>
            </w:pPr>
            <w:r>
              <w:rPr>
                <w:bCs/>
                <w:szCs w:val="21"/>
              </w:rPr>
              <w:t>根据《排污单位自行监测技术指南总则》（HJ819-2017），本项目在生产运行阶段的污染源监测计划见下表。</w:t>
            </w:r>
          </w:p>
          <w:p>
            <w:pPr>
              <w:tabs>
                <w:tab w:val="left" w:pos="8370"/>
                <w:tab w:val="left" w:pos="8600"/>
              </w:tabs>
              <w:jc w:val="center"/>
              <w:rPr>
                <w:rFonts w:eastAsia="黑体"/>
                <w:szCs w:val="21"/>
              </w:rPr>
            </w:pPr>
            <w:r>
              <w:rPr>
                <w:rFonts w:eastAsia="黑体"/>
                <w:szCs w:val="21"/>
              </w:rPr>
              <w:t>污染源自行监测计划表</w:t>
            </w:r>
          </w:p>
          <w:tbl>
            <w:tblPr>
              <w:tblStyle w:val="21"/>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97"/>
              <w:gridCol w:w="1224"/>
              <w:gridCol w:w="1158"/>
              <w:gridCol w:w="1546"/>
              <w:gridCol w:w="318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71" w:type="dxa"/>
                  <w:vAlign w:val="center"/>
                </w:tcPr>
                <w:p>
                  <w:pPr>
                    <w:autoSpaceDE w:val="0"/>
                    <w:autoSpaceDN w:val="0"/>
                    <w:adjustRightInd w:val="0"/>
                    <w:snapToGrid w:val="0"/>
                    <w:jc w:val="center"/>
                    <w:rPr>
                      <w:b/>
                      <w:bCs/>
                      <w:szCs w:val="21"/>
                    </w:rPr>
                  </w:pPr>
                  <w:r>
                    <w:rPr>
                      <w:b/>
                      <w:bCs/>
                      <w:szCs w:val="21"/>
                    </w:rPr>
                    <w:t>监控类别</w:t>
                  </w:r>
                </w:p>
              </w:tc>
              <w:tc>
                <w:tcPr>
                  <w:tcW w:w="1193" w:type="dxa"/>
                  <w:tcMar>
                    <w:top w:w="0" w:type="dxa"/>
                    <w:left w:w="28" w:type="dxa"/>
                    <w:bottom w:w="0" w:type="dxa"/>
                    <w:right w:w="28" w:type="dxa"/>
                  </w:tcMar>
                  <w:vAlign w:val="center"/>
                </w:tcPr>
                <w:p>
                  <w:pPr>
                    <w:autoSpaceDE w:val="0"/>
                    <w:autoSpaceDN w:val="0"/>
                    <w:adjustRightInd w:val="0"/>
                    <w:snapToGrid w:val="0"/>
                    <w:jc w:val="center"/>
                    <w:rPr>
                      <w:b/>
                      <w:bCs/>
                      <w:szCs w:val="21"/>
                    </w:rPr>
                  </w:pPr>
                  <w:r>
                    <w:rPr>
                      <w:b/>
                      <w:bCs/>
                      <w:szCs w:val="21"/>
                    </w:rPr>
                    <w:t>测指标</w:t>
                  </w:r>
                </w:p>
              </w:tc>
              <w:tc>
                <w:tcPr>
                  <w:tcW w:w="1128" w:type="dxa"/>
                  <w:tcMar>
                    <w:top w:w="0" w:type="dxa"/>
                    <w:left w:w="28" w:type="dxa"/>
                    <w:bottom w:w="0" w:type="dxa"/>
                    <w:right w:w="28" w:type="dxa"/>
                  </w:tcMar>
                  <w:vAlign w:val="center"/>
                </w:tcPr>
                <w:p>
                  <w:pPr>
                    <w:autoSpaceDE w:val="0"/>
                    <w:autoSpaceDN w:val="0"/>
                    <w:adjustRightInd w:val="0"/>
                    <w:snapToGrid w:val="0"/>
                    <w:jc w:val="center"/>
                    <w:rPr>
                      <w:b/>
                      <w:bCs/>
                      <w:szCs w:val="21"/>
                    </w:rPr>
                  </w:pPr>
                  <w:r>
                    <w:rPr>
                      <w:b/>
                      <w:bCs/>
                      <w:szCs w:val="21"/>
                    </w:rPr>
                    <w:t>监测点位</w:t>
                  </w:r>
                </w:p>
              </w:tc>
              <w:tc>
                <w:tcPr>
                  <w:tcW w:w="1506" w:type="dxa"/>
                  <w:tcMar>
                    <w:top w:w="0" w:type="dxa"/>
                    <w:left w:w="28" w:type="dxa"/>
                    <w:bottom w:w="0" w:type="dxa"/>
                    <w:right w:w="28" w:type="dxa"/>
                  </w:tcMar>
                  <w:vAlign w:val="center"/>
                </w:tcPr>
                <w:p>
                  <w:pPr>
                    <w:autoSpaceDE w:val="0"/>
                    <w:autoSpaceDN w:val="0"/>
                    <w:adjustRightInd w:val="0"/>
                    <w:snapToGrid w:val="0"/>
                    <w:jc w:val="center"/>
                    <w:rPr>
                      <w:b/>
                      <w:bCs/>
                      <w:szCs w:val="21"/>
                    </w:rPr>
                  </w:pPr>
                  <w:r>
                    <w:rPr>
                      <w:b/>
                      <w:bCs/>
                      <w:szCs w:val="21"/>
                    </w:rPr>
                    <w:t>监测频</w:t>
                  </w:r>
                </w:p>
              </w:tc>
              <w:tc>
                <w:tcPr>
                  <w:tcW w:w="3099" w:type="dxa"/>
                  <w:tcMar>
                    <w:top w:w="0" w:type="dxa"/>
                    <w:left w:w="28" w:type="dxa"/>
                    <w:bottom w:w="0" w:type="dxa"/>
                    <w:right w:w="28" w:type="dxa"/>
                  </w:tcMar>
                  <w:vAlign w:val="center"/>
                </w:tcPr>
                <w:p>
                  <w:pPr>
                    <w:autoSpaceDE w:val="0"/>
                    <w:autoSpaceDN w:val="0"/>
                    <w:adjustRightInd w:val="0"/>
                    <w:snapToGrid w:val="0"/>
                    <w:jc w:val="center"/>
                    <w:rPr>
                      <w:b/>
                      <w:bCs/>
                      <w:szCs w:val="21"/>
                    </w:rPr>
                  </w:pPr>
                  <w:r>
                    <w:rPr>
                      <w:b/>
                      <w:bCs/>
                      <w:szCs w:val="21"/>
                    </w:rPr>
                    <w:t>执行排放标准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71"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噪声</w:t>
                  </w:r>
                </w:p>
              </w:tc>
              <w:tc>
                <w:tcPr>
                  <w:tcW w:w="1193"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等效连续A声级</w:t>
                  </w:r>
                </w:p>
              </w:tc>
              <w:tc>
                <w:tcPr>
                  <w:tcW w:w="1128"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四周厂界外1m处</w:t>
                  </w:r>
                </w:p>
              </w:tc>
              <w:tc>
                <w:tcPr>
                  <w:tcW w:w="1506"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每季1次，昼夜检测1次</w:t>
                  </w:r>
                </w:p>
              </w:tc>
              <w:tc>
                <w:tcPr>
                  <w:tcW w:w="3099"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《工业企业厂界环境噪声排放标准》（GB12348-2008）3类标准值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97" w:type="dxa"/>
                  <w:gridSpan w:val="5"/>
                  <w:tcMar>
                    <w:top w:w="0" w:type="dxa"/>
                    <w:left w:w="28" w:type="dxa"/>
                    <w:bottom w:w="0" w:type="dxa"/>
                    <w:right w:w="28" w:type="dxa"/>
                  </w:tcMar>
                  <w:vAlign w:val="center"/>
                </w:tcPr>
                <w:p>
                  <w:pPr>
                    <w:autoSpaceDE w:val="0"/>
                    <w:autoSpaceDN w:val="0"/>
                    <w:adjustRightInd w:val="0"/>
                    <w:snapToGrid w:val="0"/>
                    <w:jc w:val="center"/>
                    <w:rPr>
                      <w:szCs w:val="21"/>
                    </w:rPr>
                  </w:pPr>
                  <w:r>
                    <w:rPr>
                      <w:szCs w:val="21"/>
                    </w:rPr>
                    <w:t>废水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71"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废水</w:t>
                  </w:r>
                </w:p>
              </w:tc>
              <w:tc>
                <w:tcPr>
                  <w:tcW w:w="1193" w:type="dxa"/>
                  <w:tcMar>
                    <w:top w:w="0" w:type="dxa"/>
                    <w:left w:w="28" w:type="dxa"/>
                    <w:bottom w:w="0" w:type="dxa"/>
                    <w:right w:w="28" w:type="dxa"/>
                  </w:tcMar>
                  <w:vAlign w:val="center"/>
                </w:tcPr>
                <w:p>
                  <w:pPr>
                    <w:autoSpaceDE w:val="0"/>
                    <w:autoSpaceDN w:val="0"/>
                    <w:adjustRightInd w:val="0"/>
                    <w:snapToGrid w:val="0"/>
                    <w:jc w:val="center"/>
                    <w:rPr>
                      <w:szCs w:val="21"/>
                    </w:rPr>
                  </w:pPr>
                  <w:r>
                    <w:rPr>
                      <w:bCs/>
                      <w:szCs w:val="21"/>
                    </w:rPr>
                    <w:t>PH</w:t>
                  </w:r>
                  <w:r>
                    <w:rPr>
                      <w:rFonts w:hint="eastAsia"/>
                      <w:bCs/>
                      <w:szCs w:val="21"/>
                    </w:rPr>
                    <w:t>、</w:t>
                  </w:r>
                  <w:r>
                    <w:rPr>
                      <w:bCs/>
                      <w:szCs w:val="21"/>
                    </w:rPr>
                    <w:t>化学需氧量、五日生化需氧量、氨氮、悬浮物、总磷、总氮</w:t>
                  </w:r>
                </w:p>
              </w:tc>
              <w:tc>
                <w:tcPr>
                  <w:tcW w:w="1128"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废水总排口</w:t>
                  </w:r>
                </w:p>
              </w:tc>
              <w:tc>
                <w:tcPr>
                  <w:tcW w:w="1506"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1次/季度</w:t>
                  </w:r>
                </w:p>
              </w:tc>
              <w:tc>
                <w:tcPr>
                  <w:tcW w:w="3099" w:type="dxa"/>
                  <w:tcMar>
                    <w:top w:w="0" w:type="dxa"/>
                    <w:left w:w="28" w:type="dxa"/>
                    <w:bottom w:w="0" w:type="dxa"/>
                    <w:right w:w="28" w:type="dxa"/>
                  </w:tcMar>
                  <w:vAlign w:val="center"/>
                </w:tcPr>
                <w:p>
                  <w:pPr>
                    <w:autoSpaceDE w:val="0"/>
                    <w:autoSpaceDN w:val="0"/>
                    <w:adjustRightInd w:val="0"/>
                    <w:snapToGrid w:val="0"/>
                    <w:jc w:val="center"/>
                    <w:rPr>
                      <w:color w:val="FF0000"/>
                      <w:szCs w:val="21"/>
                      <w:highlight w:val="yellow"/>
                    </w:rPr>
                  </w:pPr>
                  <w:r>
                    <w:rPr>
                      <w:szCs w:val="21"/>
                    </w:rPr>
                    <w:t>新乡县综合污水处理厂收水</w:t>
                  </w:r>
                  <w:r>
                    <w:rPr>
                      <w:bCs/>
                      <w:szCs w:val="21"/>
                    </w:rPr>
                    <w:t>标准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97" w:type="dxa"/>
                  <w:gridSpan w:val="5"/>
                  <w:tcMar>
                    <w:top w:w="0" w:type="dxa"/>
                    <w:left w:w="28" w:type="dxa"/>
                    <w:bottom w:w="0" w:type="dxa"/>
                    <w:right w:w="28" w:type="dxa"/>
                  </w:tcMar>
                  <w:vAlign w:val="center"/>
                </w:tcPr>
                <w:p>
                  <w:pPr>
                    <w:autoSpaceDE w:val="0"/>
                    <w:autoSpaceDN w:val="0"/>
                    <w:adjustRightInd w:val="0"/>
                    <w:snapToGrid w:val="0"/>
                    <w:jc w:val="center"/>
                    <w:rPr>
                      <w:szCs w:val="21"/>
                    </w:rPr>
                  </w:pPr>
                  <w:r>
                    <w:rPr>
                      <w:szCs w:val="21"/>
                    </w:rPr>
                    <w:t>有组织废气</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71"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废气</w:t>
                  </w:r>
                </w:p>
              </w:tc>
              <w:tc>
                <w:tcPr>
                  <w:tcW w:w="1193"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非甲烷总烃、</w:t>
                  </w:r>
                  <w:r>
                    <w:rPr>
                      <w:rFonts w:hint="eastAsia"/>
                      <w:szCs w:val="21"/>
                    </w:rPr>
                    <w:t>甲醇</w:t>
                  </w:r>
                </w:p>
              </w:tc>
              <w:tc>
                <w:tcPr>
                  <w:tcW w:w="1128"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排气筒P1</w:t>
                  </w:r>
                </w:p>
              </w:tc>
              <w:tc>
                <w:tcPr>
                  <w:tcW w:w="1506"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1次/半年</w:t>
                  </w:r>
                </w:p>
              </w:tc>
              <w:tc>
                <w:tcPr>
                  <w:tcW w:w="3099"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《关于全省开展工业企业挥发性有机物专项治理工作中排放建议值得通知》（豫环攻坚办（2017）162号）、《大气污染物综合排放标准》（GB16297-1996）表2二级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897" w:type="dxa"/>
                  <w:gridSpan w:val="5"/>
                  <w:tcMar>
                    <w:top w:w="0" w:type="dxa"/>
                    <w:left w:w="28" w:type="dxa"/>
                    <w:bottom w:w="0" w:type="dxa"/>
                    <w:right w:w="28" w:type="dxa"/>
                  </w:tcMar>
                  <w:vAlign w:val="center"/>
                </w:tcPr>
                <w:p>
                  <w:pPr>
                    <w:autoSpaceDE w:val="0"/>
                    <w:autoSpaceDN w:val="0"/>
                    <w:adjustRightInd w:val="0"/>
                    <w:snapToGrid w:val="0"/>
                    <w:jc w:val="center"/>
                    <w:rPr>
                      <w:color w:val="FF0000"/>
                      <w:szCs w:val="21"/>
                    </w:rPr>
                  </w:pPr>
                  <w:r>
                    <w:rPr>
                      <w:szCs w:val="21"/>
                    </w:rPr>
                    <w:t>无组织废气</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71"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废气</w:t>
                  </w:r>
                </w:p>
              </w:tc>
              <w:tc>
                <w:tcPr>
                  <w:tcW w:w="1193"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非甲烷总烃、</w:t>
                  </w:r>
                  <w:r>
                    <w:rPr>
                      <w:rFonts w:hint="eastAsia"/>
                      <w:szCs w:val="21"/>
                    </w:rPr>
                    <w:t>甲醇</w:t>
                  </w:r>
                </w:p>
              </w:tc>
              <w:tc>
                <w:tcPr>
                  <w:tcW w:w="1128"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四周厂界</w:t>
                  </w:r>
                </w:p>
              </w:tc>
              <w:tc>
                <w:tcPr>
                  <w:tcW w:w="1506"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1次/年</w:t>
                  </w:r>
                </w:p>
              </w:tc>
              <w:tc>
                <w:tcPr>
                  <w:tcW w:w="3099" w:type="dxa"/>
                  <w:tcMar>
                    <w:top w:w="0" w:type="dxa"/>
                    <w:left w:w="28" w:type="dxa"/>
                    <w:bottom w:w="0" w:type="dxa"/>
                    <w:right w:w="28" w:type="dxa"/>
                  </w:tcMar>
                  <w:vAlign w:val="center"/>
                </w:tcPr>
                <w:p>
                  <w:pPr>
                    <w:autoSpaceDE w:val="0"/>
                    <w:autoSpaceDN w:val="0"/>
                    <w:adjustRightInd w:val="0"/>
                    <w:snapToGrid w:val="0"/>
                    <w:jc w:val="center"/>
                    <w:rPr>
                      <w:szCs w:val="21"/>
                    </w:rPr>
                  </w:pPr>
                  <w:r>
                    <w:rPr>
                      <w:szCs w:val="21"/>
                    </w:rPr>
                    <w:t>《大气污染物综合排放标准》（GB16297-1996）表2二级</w:t>
                  </w:r>
                </w:p>
              </w:tc>
            </w:tr>
          </w:tbl>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p>
            <w:pPr>
              <w:adjustRightInd w:val="0"/>
              <w:snapToGrid w:val="0"/>
              <w:rPr>
                <w:color w:val="000000"/>
                <w:szCs w:val="21"/>
              </w:rPr>
            </w:pPr>
          </w:p>
        </w:tc>
      </w:tr>
    </w:tbl>
    <w:p>
      <w:pPr>
        <w:widowControl/>
        <w:jc w:val="left"/>
        <w:rPr>
          <w:snapToGrid w:val="0"/>
          <w:kern w:val="0"/>
          <w:sz w:val="24"/>
          <w:szCs w:val="20"/>
        </w:rPr>
      </w:pPr>
      <w:r>
        <w:rPr>
          <w:snapToGrid w:val="0"/>
        </w:rPr>
        <w:br w:type="page"/>
      </w:r>
      <w:r>
        <w:rPr>
          <w:snapToGrid w:val="0"/>
        </w:rPr>
        <w:drawing>
          <wp:inline distT="0" distB="0" distL="0" distR="0">
            <wp:extent cx="5993765" cy="8308340"/>
            <wp:effectExtent l="0" t="0" r="6985" b="0"/>
            <wp:docPr id="41" name="图片 4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文本, 信件&#10;&#10;描述已自动生成"/>
                    <pic:cNvPicPr>
                      <a:picLocks noChangeAspect="1" noChangeArrowheads="1"/>
                    </pic:cNvPicPr>
                  </pic:nvPicPr>
                  <pic:blipFill>
                    <a:blip r:embed="rId54">
                      <a:extLst>
                        <a:ext uri="{28A0092B-C50C-407E-A947-70E740481C1C}">
                          <a14:useLocalDpi xmlns:a14="http://schemas.microsoft.com/office/drawing/2010/main" val="0"/>
                        </a:ext>
                      </a:extLst>
                    </a:blip>
                    <a:srcRect l="5475" t="4995" r="5837" b="8727"/>
                    <a:stretch>
                      <a:fillRect/>
                    </a:stretch>
                  </pic:blipFill>
                  <pic:spPr>
                    <a:xfrm>
                      <a:off x="0" y="0"/>
                      <a:ext cx="5999001" cy="8315639"/>
                    </a:xfrm>
                    <a:prstGeom prst="rect">
                      <a:avLst/>
                    </a:prstGeom>
                    <a:noFill/>
                    <a:ln>
                      <a:noFill/>
                    </a:ln>
                  </pic:spPr>
                </pic:pic>
              </a:graphicData>
            </a:graphic>
          </wp:inline>
        </w:drawing>
      </w:r>
      <w:r>
        <w:rPr>
          <w:snapToGrid w:val="0"/>
        </w:rPr>
        <w:br w:type="page"/>
      </w:r>
    </w:p>
    <w:p>
      <w:pPr>
        <w:pStyle w:val="17"/>
        <w:adjustRightInd w:val="0"/>
        <w:snapToGrid w:val="0"/>
        <w:spacing w:before="0" w:beforeAutospacing="0" w:after="0" w:afterAutospacing="0" w:line="552" w:lineRule="auto"/>
        <w:outlineLvl w:val="0"/>
        <w:rPr>
          <w:rFonts w:ascii="Times New Roman" w:hAnsi="Times New Roman" w:eastAsia="方正小标宋_GBK"/>
          <w:snapToGrid w:val="0"/>
          <w:sz w:val="38"/>
          <w:szCs w:val="38"/>
        </w:rPr>
        <w:sectPr>
          <w:pgSz w:w="11906" w:h="16838"/>
          <w:pgMar w:top="1701" w:right="1418" w:bottom="1701" w:left="1418" w:header="851" w:footer="851" w:gutter="0"/>
          <w:cols w:space="720" w:num="1"/>
          <w:docGrid w:linePitch="312" w:charSpace="0"/>
        </w:sectPr>
      </w:pPr>
    </w:p>
    <w:p>
      <w:pPr>
        <w:pStyle w:val="17"/>
        <w:adjustRightInd w:val="0"/>
        <w:snapToGrid w:val="0"/>
        <w:spacing w:before="0" w:beforeAutospacing="0" w:after="0" w:afterAutospacing="0" w:line="840" w:lineRule="exact"/>
        <w:outlineLvl w:val="0"/>
        <w:rPr>
          <w:rFonts w:ascii="Times New Roman" w:hAnsi="Times New Roman" w:eastAsia="黑体"/>
          <w:snapToGrid w:val="0"/>
          <w:sz w:val="32"/>
          <w:szCs w:val="32"/>
        </w:rPr>
      </w:pPr>
      <w:r>
        <w:rPr>
          <w:rFonts w:ascii="Times New Roman" w:hAnsi="Times New Roman" w:eastAsia="黑体"/>
          <w:snapToGrid w:val="0"/>
          <w:sz w:val="32"/>
          <w:szCs w:val="32"/>
        </w:rPr>
        <w:t>附表</w:t>
      </w:r>
    </w:p>
    <w:p>
      <w:pPr>
        <w:pStyle w:val="17"/>
        <w:adjustRightInd w:val="0"/>
        <w:snapToGrid w:val="0"/>
        <w:spacing w:before="0" w:beforeAutospacing="0" w:after="0" w:afterAutospacing="0" w:line="840" w:lineRule="exact"/>
        <w:jc w:val="center"/>
        <w:outlineLvl w:val="0"/>
        <w:rPr>
          <w:rFonts w:ascii="Times New Roman" w:hAnsi="Times New Roman" w:eastAsia="方正小标宋_GBK"/>
          <w:snapToGrid w:val="0"/>
          <w:sz w:val="38"/>
          <w:szCs w:val="38"/>
        </w:rPr>
      </w:pPr>
      <w:r>
        <w:rPr>
          <w:rFonts w:ascii="Times New Roman" w:hAnsi="Times New Roman" w:eastAsia="方正小标宋_GBK"/>
          <w:snapToGrid w:val="0"/>
          <w:sz w:val="38"/>
          <w:szCs w:val="38"/>
        </w:rPr>
        <w:t>建设项目污染物排放量汇总表</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211"/>
        <w:gridCol w:w="1920"/>
        <w:gridCol w:w="1093"/>
        <w:gridCol w:w="1158"/>
        <w:gridCol w:w="1158"/>
        <w:gridCol w:w="2022"/>
        <w:gridCol w:w="1589"/>
        <w:gridCol w:w="2165"/>
        <w:gridCol w:w="17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tcBorders>
              <w:tl2br w:val="single" w:color="auto" w:sz="4" w:space="0"/>
            </w:tcBorders>
            <w:tcMar>
              <w:left w:w="28" w:type="dxa"/>
              <w:right w:w="28" w:type="dxa"/>
            </w:tcMar>
            <w:vAlign w:val="center"/>
          </w:tcPr>
          <w:p>
            <w:pPr>
              <w:pStyle w:val="46"/>
              <w:spacing w:beforeLines="0" w:afterLines="0" w:line="240" w:lineRule="auto"/>
              <w:jc w:val="right"/>
              <w:rPr>
                <w:rFonts w:ascii="Times New Roman" w:eastAsia="黑体"/>
                <w:snapToGrid w:val="0"/>
                <w:spacing w:val="-6"/>
                <w:kern w:val="21"/>
                <w:szCs w:val="21"/>
              </w:rPr>
            </w:pPr>
            <w:r>
              <w:rPr>
                <w:rFonts w:ascii="Times New Roman" w:eastAsia="黑体"/>
                <w:snapToGrid w:val="0"/>
                <w:spacing w:val="-6"/>
                <w:kern w:val="21"/>
                <w:szCs w:val="21"/>
              </w:rPr>
              <w:t>项目</w:t>
            </w:r>
          </w:p>
          <w:p>
            <w:pPr>
              <w:pStyle w:val="46"/>
              <w:spacing w:beforeLines="0" w:afterLines="0" w:line="240" w:lineRule="auto"/>
              <w:jc w:val="left"/>
              <w:rPr>
                <w:rFonts w:ascii="Times New Roman" w:eastAsia="黑体"/>
                <w:snapToGrid w:val="0"/>
                <w:spacing w:val="-6"/>
                <w:kern w:val="21"/>
                <w:szCs w:val="21"/>
              </w:rPr>
            </w:pPr>
            <w:r>
              <w:rPr>
                <w:rFonts w:ascii="Times New Roman" w:eastAsia="黑体"/>
                <w:snapToGrid w:val="0"/>
                <w:spacing w:val="-6"/>
                <w:kern w:val="21"/>
                <w:szCs w:val="21"/>
              </w:rPr>
              <w:t>分类</w:t>
            </w:r>
          </w:p>
        </w:tc>
        <w:tc>
          <w:tcPr>
            <w:tcW w:w="1910" w:type="dxa"/>
            <w:tcMar>
              <w:left w:w="28" w:type="dxa"/>
              <w:right w:w="28" w:type="dxa"/>
            </w:tcMar>
            <w:vAlign w:val="center"/>
          </w:tcPr>
          <w:p>
            <w:pPr>
              <w:pStyle w:val="46"/>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污染物名称</w:t>
            </w:r>
          </w:p>
        </w:tc>
        <w:tc>
          <w:tcPr>
            <w:tcW w:w="1087" w:type="dxa"/>
            <w:tcMar>
              <w:left w:w="28" w:type="dxa"/>
              <w:right w:w="28" w:type="dxa"/>
            </w:tcMar>
            <w:vAlign w:val="center"/>
          </w:tcPr>
          <w:p>
            <w:pPr>
              <w:pStyle w:val="46"/>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现有工程</w:t>
            </w:r>
          </w:p>
          <w:p>
            <w:pPr>
              <w:pStyle w:val="46"/>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1 \* GB3 \* MERGEFORMAT </w:instrText>
            </w:r>
            <w:r>
              <w:rPr>
                <w:rFonts w:ascii="Times New Roman" w:eastAsia="黑体"/>
                <w:snapToGrid w:val="0"/>
                <w:spacing w:val="-6"/>
                <w:kern w:val="21"/>
                <w:szCs w:val="21"/>
              </w:rPr>
              <w:fldChar w:fldCharType="separate"/>
            </w:r>
            <w:r>
              <w:rPr>
                <w:rFonts w:hint="eastAsia" w:hAnsi="宋体" w:cs="宋体"/>
                <w:kern w:val="2"/>
                <w:szCs w:val="21"/>
              </w:rPr>
              <w:t>①</w:t>
            </w:r>
            <w:r>
              <w:rPr>
                <w:rFonts w:ascii="Times New Roman" w:eastAsia="黑体"/>
                <w:snapToGrid w:val="0"/>
                <w:spacing w:val="-6"/>
                <w:kern w:val="21"/>
                <w:szCs w:val="21"/>
              </w:rPr>
              <w:fldChar w:fldCharType="end"/>
            </w:r>
          </w:p>
        </w:tc>
        <w:tc>
          <w:tcPr>
            <w:tcW w:w="1152" w:type="dxa"/>
            <w:tcMar>
              <w:left w:w="28" w:type="dxa"/>
              <w:right w:w="28" w:type="dxa"/>
            </w:tcMar>
            <w:vAlign w:val="center"/>
          </w:tcPr>
          <w:p>
            <w:pPr>
              <w:pStyle w:val="46"/>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现有工程</w:t>
            </w:r>
          </w:p>
          <w:p>
            <w:pPr>
              <w:pStyle w:val="46"/>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许可排放量</w:t>
            </w:r>
          </w:p>
          <w:p>
            <w:pPr>
              <w:pStyle w:val="46"/>
              <w:spacing w:beforeLines="0" w:afterLines="0"/>
              <w:rPr>
                <w:rFonts w:ascii="Times New Roman" w:eastAsia="黑体"/>
                <w:snapToGrid w:val="0"/>
                <w:spacing w:val="-6"/>
                <w:kern w:val="21"/>
                <w:szCs w:val="21"/>
              </w:rPr>
            </w:pP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2 \* GB3 \* MERGEFORMAT </w:instrText>
            </w:r>
            <w:r>
              <w:rPr>
                <w:rFonts w:ascii="Times New Roman" w:eastAsia="黑体"/>
                <w:snapToGrid w:val="0"/>
                <w:spacing w:val="-6"/>
                <w:kern w:val="21"/>
                <w:szCs w:val="21"/>
              </w:rPr>
              <w:fldChar w:fldCharType="separate"/>
            </w:r>
            <w:r>
              <w:rPr>
                <w:rFonts w:hint="eastAsia" w:hAnsi="宋体" w:cs="宋体"/>
                <w:snapToGrid w:val="0"/>
                <w:spacing w:val="-6"/>
                <w:kern w:val="21"/>
                <w:szCs w:val="21"/>
              </w:rPr>
              <w:t>②</w:t>
            </w:r>
            <w:r>
              <w:rPr>
                <w:rFonts w:ascii="Times New Roman" w:eastAsia="黑体"/>
                <w:snapToGrid w:val="0"/>
                <w:spacing w:val="-6"/>
                <w:kern w:val="21"/>
                <w:szCs w:val="21"/>
              </w:rPr>
              <w:fldChar w:fldCharType="end"/>
            </w:r>
          </w:p>
        </w:tc>
        <w:tc>
          <w:tcPr>
            <w:tcW w:w="1152" w:type="dxa"/>
            <w:tcMar>
              <w:left w:w="28" w:type="dxa"/>
              <w:right w:w="28" w:type="dxa"/>
            </w:tcMar>
            <w:vAlign w:val="center"/>
          </w:tcPr>
          <w:p>
            <w:pPr>
              <w:pStyle w:val="46"/>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在建工程</w:t>
            </w:r>
          </w:p>
          <w:p>
            <w:pPr>
              <w:pStyle w:val="46"/>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3 \* GB3 \* MERGEFORMAT </w:instrText>
            </w:r>
            <w:r>
              <w:rPr>
                <w:rFonts w:ascii="Times New Roman" w:eastAsia="黑体"/>
                <w:snapToGrid w:val="0"/>
                <w:spacing w:val="-6"/>
                <w:kern w:val="21"/>
                <w:szCs w:val="21"/>
              </w:rPr>
              <w:fldChar w:fldCharType="separate"/>
            </w:r>
            <w:r>
              <w:rPr>
                <w:rFonts w:hint="eastAsia" w:hAnsi="宋体" w:cs="宋体"/>
                <w:kern w:val="2"/>
                <w:szCs w:val="21"/>
              </w:rPr>
              <w:t>③</w:t>
            </w:r>
            <w:r>
              <w:rPr>
                <w:rFonts w:ascii="Times New Roman" w:eastAsia="黑体"/>
                <w:snapToGrid w:val="0"/>
                <w:spacing w:val="-6"/>
                <w:kern w:val="21"/>
                <w:szCs w:val="21"/>
              </w:rPr>
              <w:fldChar w:fldCharType="end"/>
            </w:r>
          </w:p>
        </w:tc>
        <w:tc>
          <w:tcPr>
            <w:tcW w:w="2011" w:type="dxa"/>
            <w:tcMar>
              <w:left w:w="28" w:type="dxa"/>
              <w:right w:w="28" w:type="dxa"/>
            </w:tcMar>
            <w:vAlign w:val="center"/>
          </w:tcPr>
          <w:p>
            <w:pPr>
              <w:pStyle w:val="46"/>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本项目</w:t>
            </w:r>
          </w:p>
          <w:p>
            <w:pPr>
              <w:pStyle w:val="46"/>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排放量（固体废物产生量）</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4 \* GB3 \* MERGEFORMAT </w:instrText>
            </w:r>
            <w:r>
              <w:rPr>
                <w:rFonts w:ascii="Times New Roman" w:eastAsia="黑体"/>
                <w:snapToGrid w:val="0"/>
                <w:spacing w:val="-6"/>
                <w:kern w:val="21"/>
                <w:szCs w:val="21"/>
              </w:rPr>
              <w:fldChar w:fldCharType="separate"/>
            </w:r>
            <w:r>
              <w:rPr>
                <w:rFonts w:hint="eastAsia" w:hAnsi="宋体" w:cs="宋体"/>
                <w:kern w:val="2"/>
                <w:szCs w:val="21"/>
              </w:rPr>
              <w:t>④</w:t>
            </w:r>
            <w:r>
              <w:rPr>
                <w:rFonts w:ascii="Times New Roman" w:eastAsia="黑体"/>
                <w:snapToGrid w:val="0"/>
                <w:spacing w:val="-6"/>
                <w:kern w:val="21"/>
                <w:szCs w:val="21"/>
              </w:rPr>
              <w:fldChar w:fldCharType="end"/>
            </w:r>
          </w:p>
        </w:tc>
        <w:tc>
          <w:tcPr>
            <w:tcW w:w="1580" w:type="dxa"/>
            <w:tcMar>
              <w:left w:w="28" w:type="dxa"/>
              <w:right w:w="28" w:type="dxa"/>
            </w:tcMar>
            <w:vAlign w:val="center"/>
          </w:tcPr>
          <w:p>
            <w:pPr>
              <w:pStyle w:val="46"/>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以新带老削减量</w:t>
            </w:r>
          </w:p>
          <w:p>
            <w:pPr>
              <w:pStyle w:val="46"/>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（扩建项目不填）</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5 \* GB3 \* MERGEFORMAT </w:instrText>
            </w:r>
            <w:r>
              <w:rPr>
                <w:rFonts w:ascii="Times New Roman" w:eastAsia="黑体"/>
                <w:snapToGrid w:val="0"/>
                <w:spacing w:val="-16"/>
                <w:kern w:val="21"/>
                <w:szCs w:val="21"/>
              </w:rPr>
              <w:fldChar w:fldCharType="separate"/>
            </w:r>
            <w:r>
              <w:rPr>
                <w:rFonts w:hint="eastAsia" w:hAnsi="宋体" w:cs="宋体"/>
                <w:kern w:val="2"/>
                <w:szCs w:val="21"/>
              </w:rPr>
              <w:t>⑤</w:t>
            </w:r>
            <w:r>
              <w:rPr>
                <w:rFonts w:ascii="Times New Roman" w:eastAsia="黑体"/>
                <w:snapToGrid w:val="0"/>
                <w:spacing w:val="-16"/>
                <w:kern w:val="21"/>
                <w:szCs w:val="21"/>
              </w:rPr>
              <w:fldChar w:fldCharType="end"/>
            </w:r>
          </w:p>
        </w:tc>
        <w:tc>
          <w:tcPr>
            <w:tcW w:w="2153" w:type="dxa"/>
            <w:tcMar>
              <w:left w:w="28" w:type="dxa"/>
              <w:right w:w="28" w:type="dxa"/>
            </w:tcMar>
            <w:vAlign w:val="center"/>
          </w:tcPr>
          <w:p>
            <w:pPr>
              <w:pStyle w:val="46"/>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本项目建成后</w:t>
            </w:r>
          </w:p>
          <w:p>
            <w:pPr>
              <w:pStyle w:val="46"/>
              <w:spacing w:beforeLines="0" w:afterLines="0" w:line="240" w:lineRule="auto"/>
              <w:rPr>
                <w:rFonts w:ascii="Times New Roman" w:eastAsia="黑体"/>
                <w:snapToGrid w:val="0"/>
                <w:spacing w:val="-16"/>
                <w:kern w:val="21"/>
                <w:szCs w:val="21"/>
              </w:rPr>
            </w:pPr>
            <w:r>
              <w:rPr>
                <w:rFonts w:ascii="Times New Roman" w:eastAsia="黑体"/>
                <w:snapToGrid w:val="0"/>
                <w:spacing w:val="-16"/>
                <w:kern w:val="21"/>
                <w:szCs w:val="21"/>
              </w:rPr>
              <w:t>全厂排放量（固体废物产生量）</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6 \* GB3 \* MERGEFORMAT </w:instrText>
            </w:r>
            <w:r>
              <w:rPr>
                <w:rFonts w:ascii="Times New Roman" w:eastAsia="黑体"/>
                <w:snapToGrid w:val="0"/>
                <w:spacing w:val="-16"/>
                <w:kern w:val="21"/>
                <w:szCs w:val="21"/>
              </w:rPr>
              <w:fldChar w:fldCharType="separate"/>
            </w:r>
            <w:r>
              <w:rPr>
                <w:rFonts w:hint="eastAsia" w:hAnsi="宋体" w:cs="宋体"/>
                <w:kern w:val="2"/>
                <w:szCs w:val="21"/>
              </w:rPr>
              <w:t>⑥</w:t>
            </w:r>
            <w:r>
              <w:rPr>
                <w:rFonts w:ascii="Times New Roman" w:eastAsia="黑体"/>
                <w:snapToGrid w:val="0"/>
                <w:spacing w:val="-16"/>
                <w:kern w:val="21"/>
                <w:szCs w:val="21"/>
              </w:rPr>
              <w:fldChar w:fldCharType="end"/>
            </w:r>
          </w:p>
        </w:tc>
        <w:tc>
          <w:tcPr>
            <w:tcW w:w="1733" w:type="dxa"/>
            <w:tcMar>
              <w:left w:w="28" w:type="dxa"/>
              <w:right w:w="28" w:type="dxa"/>
            </w:tcMar>
            <w:vAlign w:val="center"/>
          </w:tcPr>
          <w:p>
            <w:pPr>
              <w:pStyle w:val="46"/>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t>变化量</w:t>
            </w:r>
          </w:p>
          <w:p>
            <w:pPr>
              <w:pStyle w:val="46"/>
              <w:spacing w:beforeLines="0" w:afterLines="0" w:line="240" w:lineRule="auto"/>
              <w:rPr>
                <w:rFonts w:ascii="Times New Roman" w:eastAsia="黑体"/>
                <w:snapToGrid w:val="0"/>
                <w:spacing w:val="-6"/>
                <w:kern w:val="21"/>
                <w:szCs w:val="21"/>
              </w:rPr>
            </w:pP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7 \* GB3 \* MERGEFORMAT </w:instrText>
            </w:r>
            <w:r>
              <w:rPr>
                <w:rFonts w:ascii="Times New Roman" w:eastAsia="黑体"/>
                <w:snapToGrid w:val="0"/>
                <w:spacing w:val="-6"/>
                <w:kern w:val="21"/>
                <w:szCs w:val="21"/>
              </w:rPr>
              <w:fldChar w:fldCharType="separate"/>
            </w:r>
            <w:r>
              <w:rPr>
                <w:rFonts w:hint="eastAsia" w:hAnsi="宋体" w:cs="宋体"/>
                <w:kern w:val="2"/>
                <w:szCs w:val="21"/>
              </w:rPr>
              <w:t>⑦</w:t>
            </w:r>
            <w:r>
              <w:rPr>
                <w:rFonts w:ascii="Times New Roman" w:eastAsia="黑体"/>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废气</w:t>
            </w:r>
          </w:p>
        </w:tc>
        <w:tc>
          <w:tcPr>
            <w:tcW w:w="1910" w:type="dxa"/>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VOC</w:t>
            </w:r>
            <w:r>
              <w:rPr>
                <w:rFonts w:ascii="Times New Roman"/>
                <w:snapToGrid w:val="0"/>
                <w:kern w:val="21"/>
                <w:szCs w:val="21"/>
                <w:vertAlign w:val="subscript"/>
              </w:rPr>
              <w:t>S</w:t>
            </w:r>
          </w:p>
        </w:tc>
        <w:tc>
          <w:tcPr>
            <w:tcW w:w="1087"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lang w:val="fr-FR"/>
              </w:rPr>
              <w:t>/</w:t>
            </w:r>
          </w:p>
        </w:tc>
        <w:tc>
          <w:tcPr>
            <w:tcW w:w="1152" w:type="dxa"/>
            <w:vAlign w:val="center"/>
          </w:tcPr>
          <w:p>
            <w:pPr>
              <w:pStyle w:val="46"/>
              <w:spacing w:beforeLines="0" w:afterLines="0" w:line="240" w:lineRule="auto"/>
              <w:rPr>
                <w:rFonts w:ascii="Times New Roman"/>
                <w:szCs w:val="21"/>
              </w:rPr>
            </w:pPr>
            <w:r>
              <w:rPr>
                <w:rFonts w:ascii="Times New Roman"/>
                <w:szCs w:val="21"/>
                <w:lang w:val="fr-FR"/>
              </w:rPr>
              <w:t>/</w:t>
            </w:r>
          </w:p>
        </w:tc>
        <w:tc>
          <w:tcPr>
            <w:tcW w:w="2011" w:type="dxa"/>
            <w:vAlign w:val="center"/>
          </w:tcPr>
          <w:p>
            <w:pPr>
              <w:jc w:val="center"/>
              <w:rPr>
                <w:szCs w:val="21"/>
              </w:rPr>
            </w:pPr>
            <w:r>
              <w:rPr>
                <w:rFonts w:hint="eastAsia"/>
                <w:szCs w:val="21"/>
              </w:rPr>
              <w:t>0</w:t>
            </w:r>
            <w:r>
              <w:rPr>
                <w:szCs w:val="21"/>
              </w:rPr>
              <w:t>.011</w:t>
            </w:r>
            <w:r>
              <w:rPr>
                <w:rFonts w:hint="eastAsia"/>
                <w:szCs w:val="21"/>
              </w:rPr>
              <w:t>3</w:t>
            </w:r>
          </w:p>
        </w:tc>
        <w:tc>
          <w:tcPr>
            <w:tcW w:w="1580" w:type="dxa"/>
            <w:vAlign w:val="center"/>
          </w:tcPr>
          <w:p>
            <w:pPr>
              <w:jc w:val="center"/>
              <w:rPr>
                <w:szCs w:val="21"/>
              </w:rPr>
            </w:pPr>
            <w:r>
              <w:rPr>
                <w:szCs w:val="21"/>
              </w:rPr>
              <w:t>/</w:t>
            </w:r>
          </w:p>
        </w:tc>
        <w:tc>
          <w:tcPr>
            <w:tcW w:w="2153" w:type="dxa"/>
            <w:vAlign w:val="center"/>
          </w:tcPr>
          <w:p>
            <w:pPr>
              <w:jc w:val="center"/>
              <w:rPr>
                <w:szCs w:val="21"/>
              </w:rPr>
            </w:pPr>
            <w:r>
              <w:rPr>
                <w:rFonts w:hint="eastAsia"/>
                <w:szCs w:val="21"/>
              </w:rPr>
              <w:t>0</w:t>
            </w:r>
            <w:r>
              <w:rPr>
                <w:szCs w:val="21"/>
              </w:rPr>
              <w:t>.011</w:t>
            </w:r>
            <w:r>
              <w:rPr>
                <w:rFonts w:hint="eastAsia"/>
                <w:szCs w:val="21"/>
              </w:rPr>
              <w:t>3</w:t>
            </w:r>
          </w:p>
        </w:tc>
        <w:tc>
          <w:tcPr>
            <w:tcW w:w="1733" w:type="dxa"/>
            <w:vAlign w:val="center"/>
          </w:tcPr>
          <w:p>
            <w:pPr>
              <w:jc w:val="center"/>
              <w:rPr>
                <w:szCs w:val="21"/>
                <w:highlight w:val="yellow"/>
              </w:rPr>
            </w:pPr>
            <w:r>
              <w:rPr>
                <w:szCs w:val="21"/>
              </w:rPr>
              <w:t>+</w:t>
            </w:r>
            <w:r>
              <w:rPr>
                <w:rFonts w:hint="eastAsia"/>
                <w:szCs w:val="21"/>
              </w:rPr>
              <w:t>0</w:t>
            </w:r>
            <w:r>
              <w:rPr>
                <w:szCs w:val="21"/>
              </w:rPr>
              <w:t>.011</w:t>
            </w:r>
            <w:r>
              <w:rPr>
                <w:rFonts w:hint="eastAsia"/>
                <w:szCs w:val="21"/>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1204" w:type="dxa"/>
            <w:vMerge w:val="restart"/>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废水</w:t>
            </w:r>
          </w:p>
        </w:tc>
        <w:tc>
          <w:tcPr>
            <w:tcW w:w="1910" w:type="dxa"/>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COD</w:t>
            </w:r>
          </w:p>
        </w:tc>
        <w:tc>
          <w:tcPr>
            <w:tcW w:w="1087"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lang w:val="fr-FR"/>
              </w:rPr>
              <w:t>/</w:t>
            </w:r>
          </w:p>
        </w:tc>
        <w:tc>
          <w:tcPr>
            <w:tcW w:w="1152" w:type="dxa"/>
            <w:vAlign w:val="center"/>
          </w:tcPr>
          <w:p>
            <w:pPr>
              <w:pStyle w:val="46"/>
              <w:spacing w:beforeLines="0" w:afterLines="0" w:line="240" w:lineRule="auto"/>
              <w:rPr>
                <w:rFonts w:ascii="Times New Roman"/>
                <w:szCs w:val="21"/>
              </w:rPr>
            </w:pPr>
            <w:r>
              <w:rPr>
                <w:rFonts w:ascii="Times New Roman"/>
                <w:szCs w:val="21"/>
                <w:lang w:val="fr-FR"/>
              </w:rPr>
              <w:t>/</w:t>
            </w:r>
          </w:p>
        </w:tc>
        <w:tc>
          <w:tcPr>
            <w:tcW w:w="2011" w:type="dxa"/>
            <w:vAlign w:val="center"/>
          </w:tcPr>
          <w:p>
            <w:pPr>
              <w:jc w:val="center"/>
              <w:rPr>
                <w:szCs w:val="21"/>
              </w:rPr>
            </w:pPr>
            <w:r>
              <w:rPr>
                <w:szCs w:val="21"/>
              </w:rPr>
              <w:t>0.0769</w:t>
            </w:r>
          </w:p>
        </w:tc>
        <w:tc>
          <w:tcPr>
            <w:tcW w:w="1580" w:type="dxa"/>
            <w:vAlign w:val="center"/>
          </w:tcPr>
          <w:p>
            <w:pPr>
              <w:jc w:val="center"/>
              <w:rPr>
                <w:szCs w:val="21"/>
              </w:rPr>
            </w:pPr>
            <w:r>
              <w:rPr>
                <w:szCs w:val="21"/>
              </w:rPr>
              <w:t>/</w:t>
            </w:r>
          </w:p>
        </w:tc>
        <w:tc>
          <w:tcPr>
            <w:tcW w:w="2153" w:type="dxa"/>
            <w:vAlign w:val="center"/>
          </w:tcPr>
          <w:p>
            <w:pPr>
              <w:pStyle w:val="46"/>
              <w:spacing w:beforeLines="0" w:afterLines="0" w:line="240" w:lineRule="auto"/>
              <w:rPr>
                <w:rFonts w:ascii="Times New Roman"/>
                <w:kern w:val="2"/>
                <w:szCs w:val="21"/>
              </w:rPr>
            </w:pPr>
            <w:r>
              <w:rPr>
                <w:rFonts w:ascii="Times New Roman"/>
                <w:kern w:val="2"/>
                <w:szCs w:val="21"/>
              </w:rPr>
              <w:t>0.0769</w:t>
            </w:r>
          </w:p>
        </w:tc>
        <w:tc>
          <w:tcPr>
            <w:tcW w:w="1733" w:type="dxa"/>
            <w:vAlign w:val="center"/>
          </w:tcPr>
          <w:p>
            <w:pPr>
              <w:pStyle w:val="46"/>
              <w:spacing w:beforeLines="0" w:afterLines="0" w:line="240" w:lineRule="auto"/>
              <w:rPr>
                <w:rFonts w:ascii="Times New Roman"/>
                <w:kern w:val="2"/>
                <w:szCs w:val="21"/>
              </w:rPr>
            </w:pPr>
            <w:r>
              <w:rPr>
                <w:rFonts w:ascii="Times New Roman"/>
                <w:kern w:val="2"/>
                <w:szCs w:val="21"/>
              </w:rPr>
              <w:t>+0.0769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vMerge w:val="continue"/>
            <w:vAlign w:val="center"/>
          </w:tcPr>
          <w:p>
            <w:pPr>
              <w:pStyle w:val="46"/>
              <w:spacing w:beforeLines="0" w:afterLines="0" w:line="240" w:lineRule="auto"/>
              <w:rPr>
                <w:rFonts w:ascii="Times New Roman"/>
                <w:snapToGrid w:val="0"/>
                <w:kern w:val="21"/>
                <w:szCs w:val="21"/>
              </w:rPr>
            </w:pPr>
          </w:p>
        </w:tc>
        <w:tc>
          <w:tcPr>
            <w:tcW w:w="1910" w:type="dxa"/>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NH</w:t>
            </w:r>
            <w:r>
              <w:rPr>
                <w:rFonts w:ascii="Times New Roman"/>
                <w:snapToGrid w:val="0"/>
                <w:kern w:val="21"/>
                <w:szCs w:val="21"/>
                <w:vertAlign w:val="subscript"/>
              </w:rPr>
              <w:t>3</w:t>
            </w:r>
            <w:r>
              <w:rPr>
                <w:rFonts w:ascii="Times New Roman"/>
                <w:snapToGrid w:val="0"/>
                <w:kern w:val="21"/>
                <w:szCs w:val="21"/>
              </w:rPr>
              <w:t>-N</w:t>
            </w:r>
          </w:p>
        </w:tc>
        <w:tc>
          <w:tcPr>
            <w:tcW w:w="1087"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lang w:val="fr-FR"/>
              </w:rPr>
              <w:t>/</w:t>
            </w:r>
          </w:p>
        </w:tc>
        <w:tc>
          <w:tcPr>
            <w:tcW w:w="1152" w:type="dxa"/>
            <w:vAlign w:val="center"/>
          </w:tcPr>
          <w:p>
            <w:pPr>
              <w:pStyle w:val="46"/>
              <w:spacing w:beforeLines="0" w:afterLines="0" w:line="240" w:lineRule="auto"/>
              <w:rPr>
                <w:rFonts w:ascii="Times New Roman"/>
                <w:szCs w:val="21"/>
              </w:rPr>
            </w:pPr>
            <w:r>
              <w:rPr>
                <w:rFonts w:ascii="Times New Roman"/>
                <w:szCs w:val="21"/>
                <w:lang w:val="fr-FR"/>
              </w:rPr>
              <w:t>/</w:t>
            </w:r>
          </w:p>
        </w:tc>
        <w:tc>
          <w:tcPr>
            <w:tcW w:w="2011" w:type="dxa"/>
            <w:vAlign w:val="center"/>
          </w:tcPr>
          <w:p>
            <w:pPr>
              <w:jc w:val="center"/>
              <w:rPr>
                <w:szCs w:val="21"/>
              </w:rPr>
            </w:pPr>
            <w:r>
              <w:rPr>
                <w:szCs w:val="21"/>
              </w:rPr>
              <w:t>0.0038</w:t>
            </w:r>
          </w:p>
        </w:tc>
        <w:tc>
          <w:tcPr>
            <w:tcW w:w="1580" w:type="dxa"/>
            <w:vAlign w:val="center"/>
          </w:tcPr>
          <w:p>
            <w:pPr>
              <w:jc w:val="center"/>
              <w:rPr>
                <w:szCs w:val="21"/>
              </w:rPr>
            </w:pPr>
            <w:r>
              <w:rPr>
                <w:szCs w:val="21"/>
              </w:rPr>
              <w:t>/</w:t>
            </w:r>
          </w:p>
        </w:tc>
        <w:tc>
          <w:tcPr>
            <w:tcW w:w="2153" w:type="dxa"/>
            <w:vAlign w:val="center"/>
          </w:tcPr>
          <w:p>
            <w:pPr>
              <w:pStyle w:val="46"/>
              <w:spacing w:beforeLines="0" w:afterLines="0" w:line="240" w:lineRule="auto"/>
              <w:rPr>
                <w:rFonts w:ascii="Times New Roman"/>
                <w:kern w:val="2"/>
                <w:szCs w:val="21"/>
              </w:rPr>
            </w:pPr>
            <w:r>
              <w:rPr>
                <w:rFonts w:ascii="Times New Roman"/>
                <w:kern w:val="2"/>
                <w:szCs w:val="21"/>
              </w:rPr>
              <w:t>0.0038</w:t>
            </w:r>
          </w:p>
        </w:tc>
        <w:tc>
          <w:tcPr>
            <w:tcW w:w="1733" w:type="dxa"/>
            <w:vAlign w:val="center"/>
          </w:tcPr>
          <w:p>
            <w:pPr>
              <w:pStyle w:val="46"/>
              <w:spacing w:beforeLines="0" w:afterLines="0" w:line="240" w:lineRule="auto"/>
              <w:rPr>
                <w:rFonts w:ascii="Times New Roman"/>
                <w:kern w:val="2"/>
                <w:szCs w:val="21"/>
              </w:rPr>
            </w:pPr>
            <w:r>
              <w:rPr>
                <w:rFonts w:ascii="Times New Roman"/>
                <w:kern w:val="2"/>
                <w:szCs w:val="21"/>
              </w:rPr>
              <w:t>+0.0038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vMerge w:val="continue"/>
            <w:vAlign w:val="center"/>
          </w:tcPr>
          <w:p>
            <w:pPr>
              <w:pStyle w:val="46"/>
              <w:spacing w:beforeLines="0" w:afterLines="0" w:line="240" w:lineRule="auto"/>
              <w:rPr>
                <w:rFonts w:ascii="Times New Roman"/>
                <w:snapToGrid w:val="0"/>
                <w:kern w:val="21"/>
                <w:szCs w:val="21"/>
              </w:rPr>
            </w:pPr>
          </w:p>
        </w:tc>
        <w:tc>
          <w:tcPr>
            <w:tcW w:w="1910" w:type="dxa"/>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TP</w:t>
            </w:r>
          </w:p>
        </w:tc>
        <w:tc>
          <w:tcPr>
            <w:tcW w:w="1087"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2011" w:type="dxa"/>
            <w:vAlign w:val="center"/>
          </w:tcPr>
          <w:p>
            <w:pPr>
              <w:jc w:val="center"/>
              <w:rPr>
                <w:szCs w:val="21"/>
              </w:rPr>
            </w:pPr>
            <w:r>
              <w:rPr>
                <w:szCs w:val="21"/>
              </w:rPr>
              <w:t>0.0008</w:t>
            </w:r>
          </w:p>
        </w:tc>
        <w:tc>
          <w:tcPr>
            <w:tcW w:w="1580" w:type="dxa"/>
            <w:vAlign w:val="center"/>
          </w:tcPr>
          <w:p>
            <w:pPr>
              <w:pStyle w:val="46"/>
              <w:spacing w:beforeLines="0" w:afterLines="0" w:line="240" w:lineRule="auto"/>
              <w:rPr>
                <w:rFonts w:ascii="Times New Roman"/>
                <w:kern w:val="2"/>
                <w:szCs w:val="21"/>
              </w:rPr>
            </w:pPr>
            <w:r>
              <w:rPr>
                <w:rFonts w:ascii="Times New Roman"/>
                <w:kern w:val="2"/>
                <w:szCs w:val="21"/>
              </w:rPr>
              <w:t>/</w:t>
            </w:r>
          </w:p>
        </w:tc>
        <w:tc>
          <w:tcPr>
            <w:tcW w:w="2153" w:type="dxa"/>
            <w:vAlign w:val="center"/>
          </w:tcPr>
          <w:p>
            <w:pPr>
              <w:pStyle w:val="46"/>
              <w:spacing w:beforeLines="0" w:afterLines="0" w:line="240" w:lineRule="auto"/>
              <w:rPr>
                <w:rFonts w:ascii="Times New Roman"/>
                <w:kern w:val="2"/>
                <w:szCs w:val="21"/>
              </w:rPr>
            </w:pPr>
            <w:r>
              <w:rPr>
                <w:rFonts w:ascii="Times New Roman"/>
                <w:kern w:val="2"/>
                <w:szCs w:val="21"/>
              </w:rPr>
              <w:t>0.0008</w:t>
            </w:r>
          </w:p>
        </w:tc>
        <w:tc>
          <w:tcPr>
            <w:tcW w:w="1733" w:type="dxa"/>
            <w:vAlign w:val="center"/>
          </w:tcPr>
          <w:p>
            <w:pPr>
              <w:pStyle w:val="46"/>
              <w:spacing w:beforeLines="0" w:afterLines="0" w:line="240" w:lineRule="auto"/>
              <w:rPr>
                <w:rFonts w:ascii="Times New Roman"/>
                <w:kern w:val="2"/>
                <w:szCs w:val="21"/>
              </w:rPr>
            </w:pPr>
            <w:r>
              <w:rPr>
                <w:rFonts w:ascii="Times New Roman"/>
                <w:kern w:val="2"/>
                <w:szCs w:val="21"/>
              </w:rPr>
              <w:t>+0.0008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vMerge w:val="continue"/>
            <w:vAlign w:val="center"/>
          </w:tcPr>
          <w:p>
            <w:pPr>
              <w:pStyle w:val="46"/>
              <w:spacing w:beforeLines="0" w:afterLines="0" w:line="240" w:lineRule="auto"/>
              <w:rPr>
                <w:rFonts w:ascii="Times New Roman"/>
                <w:snapToGrid w:val="0"/>
                <w:kern w:val="21"/>
                <w:szCs w:val="21"/>
              </w:rPr>
            </w:pPr>
          </w:p>
        </w:tc>
        <w:tc>
          <w:tcPr>
            <w:tcW w:w="1910" w:type="dxa"/>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TN</w:t>
            </w:r>
          </w:p>
        </w:tc>
        <w:tc>
          <w:tcPr>
            <w:tcW w:w="1087"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2011" w:type="dxa"/>
            <w:vAlign w:val="center"/>
          </w:tcPr>
          <w:p>
            <w:pPr>
              <w:jc w:val="center"/>
              <w:rPr>
                <w:szCs w:val="21"/>
              </w:rPr>
            </w:pPr>
            <w:r>
              <w:rPr>
                <w:szCs w:val="21"/>
              </w:rPr>
              <w:t>0.0288</w:t>
            </w:r>
          </w:p>
        </w:tc>
        <w:tc>
          <w:tcPr>
            <w:tcW w:w="1580" w:type="dxa"/>
            <w:vAlign w:val="center"/>
          </w:tcPr>
          <w:p>
            <w:pPr>
              <w:pStyle w:val="46"/>
              <w:spacing w:beforeLines="0" w:afterLines="0" w:line="240" w:lineRule="auto"/>
              <w:rPr>
                <w:rFonts w:ascii="Times New Roman"/>
                <w:kern w:val="2"/>
                <w:szCs w:val="21"/>
              </w:rPr>
            </w:pPr>
            <w:r>
              <w:rPr>
                <w:rFonts w:ascii="Times New Roman"/>
                <w:kern w:val="2"/>
                <w:szCs w:val="21"/>
              </w:rPr>
              <w:t>/</w:t>
            </w:r>
          </w:p>
        </w:tc>
        <w:tc>
          <w:tcPr>
            <w:tcW w:w="2153" w:type="dxa"/>
            <w:vAlign w:val="center"/>
          </w:tcPr>
          <w:p>
            <w:pPr>
              <w:pStyle w:val="46"/>
              <w:spacing w:beforeLines="0" w:afterLines="0" w:line="240" w:lineRule="auto"/>
              <w:rPr>
                <w:rFonts w:ascii="Times New Roman"/>
                <w:kern w:val="2"/>
                <w:szCs w:val="21"/>
              </w:rPr>
            </w:pPr>
            <w:r>
              <w:rPr>
                <w:rFonts w:ascii="Times New Roman"/>
                <w:kern w:val="2"/>
                <w:szCs w:val="21"/>
              </w:rPr>
              <w:t>0.0288</w:t>
            </w:r>
          </w:p>
        </w:tc>
        <w:tc>
          <w:tcPr>
            <w:tcW w:w="1733" w:type="dxa"/>
            <w:vAlign w:val="center"/>
          </w:tcPr>
          <w:p>
            <w:pPr>
              <w:pStyle w:val="46"/>
              <w:spacing w:beforeLines="0" w:afterLines="0" w:line="240" w:lineRule="auto"/>
              <w:rPr>
                <w:rFonts w:ascii="Times New Roman"/>
                <w:kern w:val="2"/>
                <w:szCs w:val="21"/>
              </w:rPr>
            </w:pPr>
            <w:r>
              <w:rPr>
                <w:rFonts w:ascii="Times New Roman"/>
                <w:kern w:val="2"/>
                <w:szCs w:val="21"/>
              </w:rPr>
              <w:t>+0.0288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vMerge w:val="restart"/>
            <w:vAlign w:val="center"/>
          </w:tcPr>
          <w:p>
            <w:pPr>
              <w:pStyle w:val="46"/>
              <w:spacing w:beforeLines="0" w:afterLines="0" w:line="240" w:lineRule="auto"/>
              <w:rPr>
                <w:rFonts w:ascii="Times New Roman"/>
                <w:snapToGrid w:val="0"/>
                <w:kern w:val="21"/>
                <w:szCs w:val="21"/>
              </w:rPr>
            </w:pPr>
            <w:r>
              <w:rPr>
                <w:rFonts w:ascii="Times New Roman"/>
                <w:snapToGrid w:val="0"/>
                <w:kern w:val="21"/>
                <w:szCs w:val="21"/>
              </w:rPr>
              <w:t>一般工业</w:t>
            </w:r>
          </w:p>
          <w:p>
            <w:pPr>
              <w:pStyle w:val="46"/>
              <w:spacing w:beforeLines="0" w:afterLines="0" w:line="240" w:lineRule="auto"/>
              <w:rPr>
                <w:rFonts w:ascii="Times New Roman"/>
                <w:snapToGrid w:val="0"/>
                <w:kern w:val="21"/>
                <w:szCs w:val="21"/>
              </w:rPr>
            </w:pPr>
            <w:r>
              <w:rPr>
                <w:rFonts w:ascii="Times New Roman"/>
                <w:snapToGrid w:val="0"/>
                <w:kern w:val="21"/>
                <w:szCs w:val="21"/>
              </w:rPr>
              <w:t>固体废物</w:t>
            </w:r>
          </w:p>
        </w:tc>
        <w:tc>
          <w:tcPr>
            <w:tcW w:w="1910" w:type="dxa"/>
            <w:vAlign w:val="center"/>
          </w:tcPr>
          <w:p>
            <w:pPr>
              <w:pStyle w:val="46"/>
              <w:spacing w:beforeLines="0" w:afterLines="0" w:line="240" w:lineRule="auto"/>
              <w:rPr>
                <w:rFonts w:ascii="Times New Roman"/>
                <w:snapToGrid w:val="0"/>
                <w:kern w:val="21"/>
                <w:szCs w:val="21"/>
              </w:rPr>
            </w:pPr>
            <w:r>
              <w:rPr>
                <w:rFonts w:ascii="Times New Roman"/>
              </w:rPr>
              <w:t>生活垃圾</w:t>
            </w:r>
          </w:p>
        </w:tc>
        <w:tc>
          <w:tcPr>
            <w:tcW w:w="1087"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2011" w:type="dxa"/>
            <w:vAlign w:val="center"/>
          </w:tcPr>
          <w:p>
            <w:pPr>
              <w:jc w:val="center"/>
              <w:rPr>
                <w:szCs w:val="21"/>
              </w:rPr>
            </w:pPr>
            <w:r>
              <w:rPr>
                <w:szCs w:val="21"/>
              </w:rPr>
              <w:t>6.75</w:t>
            </w:r>
          </w:p>
        </w:tc>
        <w:tc>
          <w:tcPr>
            <w:tcW w:w="1580" w:type="dxa"/>
            <w:vAlign w:val="center"/>
          </w:tcPr>
          <w:p>
            <w:pPr>
              <w:pStyle w:val="46"/>
              <w:spacing w:beforeLines="0" w:afterLines="0" w:line="240" w:lineRule="auto"/>
              <w:rPr>
                <w:rFonts w:ascii="Times New Roman"/>
                <w:kern w:val="2"/>
                <w:szCs w:val="21"/>
              </w:rPr>
            </w:pPr>
            <w:r>
              <w:rPr>
                <w:rFonts w:ascii="Times New Roman"/>
                <w:kern w:val="2"/>
                <w:szCs w:val="21"/>
              </w:rPr>
              <w:t>/</w:t>
            </w:r>
          </w:p>
        </w:tc>
        <w:tc>
          <w:tcPr>
            <w:tcW w:w="2153" w:type="dxa"/>
            <w:vAlign w:val="center"/>
          </w:tcPr>
          <w:p>
            <w:pPr>
              <w:pStyle w:val="46"/>
              <w:spacing w:beforeLines="0" w:afterLines="0" w:line="240" w:lineRule="auto"/>
              <w:rPr>
                <w:rFonts w:ascii="Times New Roman"/>
                <w:kern w:val="2"/>
                <w:szCs w:val="21"/>
              </w:rPr>
            </w:pPr>
            <w:r>
              <w:rPr>
                <w:rFonts w:ascii="Times New Roman"/>
                <w:kern w:val="2"/>
                <w:szCs w:val="21"/>
              </w:rPr>
              <w:t>6.75</w:t>
            </w:r>
          </w:p>
        </w:tc>
        <w:tc>
          <w:tcPr>
            <w:tcW w:w="1733" w:type="dxa"/>
            <w:vAlign w:val="center"/>
          </w:tcPr>
          <w:p>
            <w:pPr>
              <w:pStyle w:val="46"/>
              <w:spacing w:beforeLines="0" w:afterLines="0" w:line="240" w:lineRule="auto"/>
              <w:rPr>
                <w:rFonts w:ascii="Times New Roman"/>
                <w:kern w:val="2"/>
                <w:szCs w:val="21"/>
              </w:rPr>
            </w:pPr>
            <w:r>
              <w:rPr>
                <w:rFonts w:ascii="Times New Roman"/>
                <w:kern w:val="2"/>
                <w:szCs w:val="21"/>
              </w:rPr>
              <w:t>+6.75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vMerge w:val="continue"/>
            <w:vAlign w:val="center"/>
          </w:tcPr>
          <w:p>
            <w:pPr>
              <w:pStyle w:val="46"/>
              <w:spacing w:beforeLines="0" w:afterLines="0" w:line="240" w:lineRule="auto"/>
              <w:rPr>
                <w:rFonts w:ascii="Times New Roman"/>
                <w:snapToGrid w:val="0"/>
                <w:kern w:val="21"/>
                <w:szCs w:val="21"/>
              </w:rPr>
            </w:pPr>
          </w:p>
        </w:tc>
        <w:tc>
          <w:tcPr>
            <w:tcW w:w="1910" w:type="dxa"/>
            <w:vAlign w:val="center"/>
          </w:tcPr>
          <w:p>
            <w:pPr>
              <w:pStyle w:val="46"/>
              <w:spacing w:beforeLines="0" w:afterLines="0" w:line="240" w:lineRule="auto"/>
              <w:rPr>
                <w:rFonts w:ascii="Times New Roman"/>
                <w:snapToGrid w:val="0"/>
                <w:kern w:val="21"/>
                <w:szCs w:val="21"/>
              </w:rPr>
            </w:pPr>
            <w:r>
              <w:rPr>
                <w:rFonts w:ascii="Times New Roman"/>
              </w:rPr>
              <w:t>废食品类样品</w:t>
            </w:r>
          </w:p>
        </w:tc>
        <w:tc>
          <w:tcPr>
            <w:tcW w:w="1087"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2011" w:type="dxa"/>
            <w:vAlign w:val="center"/>
          </w:tcPr>
          <w:p>
            <w:pPr>
              <w:jc w:val="center"/>
              <w:rPr>
                <w:szCs w:val="21"/>
              </w:rPr>
            </w:pPr>
            <w:r>
              <w:rPr>
                <w:szCs w:val="21"/>
              </w:rPr>
              <w:t>2.5</w:t>
            </w:r>
          </w:p>
        </w:tc>
        <w:tc>
          <w:tcPr>
            <w:tcW w:w="1580" w:type="dxa"/>
            <w:vAlign w:val="center"/>
          </w:tcPr>
          <w:p>
            <w:pPr>
              <w:pStyle w:val="46"/>
              <w:spacing w:beforeLines="0" w:afterLines="0" w:line="240" w:lineRule="auto"/>
              <w:rPr>
                <w:rFonts w:ascii="Times New Roman"/>
                <w:kern w:val="2"/>
                <w:szCs w:val="21"/>
              </w:rPr>
            </w:pPr>
            <w:r>
              <w:rPr>
                <w:rFonts w:ascii="Times New Roman"/>
                <w:kern w:val="2"/>
                <w:szCs w:val="21"/>
              </w:rPr>
              <w:t>/</w:t>
            </w:r>
          </w:p>
        </w:tc>
        <w:tc>
          <w:tcPr>
            <w:tcW w:w="2153" w:type="dxa"/>
            <w:vAlign w:val="center"/>
          </w:tcPr>
          <w:p>
            <w:pPr>
              <w:pStyle w:val="46"/>
              <w:spacing w:beforeLines="0" w:afterLines="0" w:line="240" w:lineRule="auto"/>
              <w:rPr>
                <w:rFonts w:ascii="Times New Roman"/>
                <w:kern w:val="2"/>
                <w:szCs w:val="21"/>
              </w:rPr>
            </w:pPr>
            <w:r>
              <w:rPr>
                <w:rFonts w:ascii="Times New Roman"/>
                <w:kern w:val="2"/>
                <w:szCs w:val="21"/>
              </w:rPr>
              <w:t>2.5</w:t>
            </w:r>
          </w:p>
        </w:tc>
        <w:tc>
          <w:tcPr>
            <w:tcW w:w="1733" w:type="dxa"/>
            <w:vAlign w:val="center"/>
          </w:tcPr>
          <w:p>
            <w:pPr>
              <w:pStyle w:val="46"/>
              <w:spacing w:beforeLines="0" w:afterLines="0" w:line="240" w:lineRule="auto"/>
              <w:rPr>
                <w:rFonts w:ascii="Times New Roman"/>
                <w:kern w:val="2"/>
                <w:szCs w:val="21"/>
              </w:rPr>
            </w:pPr>
            <w:r>
              <w:rPr>
                <w:rFonts w:ascii="Times New Roman"/>
                <w:kern w:val="2"/>
                <w:szCs w:val="21"/>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vMerge w:val="continue"/>
            <w:vAlign w:val="center"/>
          </w:tcPr>
          <w:p>
            <w:pPr>
              <w:pStyle w:val="46"/>
              <w:spacing w:beforeLines="0" w:afterLines="0" w:line="240" w:lineRule="auto"/>
              <w:rPr>
                <w:rFonts w:ascii="Times New Roman"/>
                <w:snapToGrid w:val="0"/>
                <w:kern w:val="21"/>
                <w:szCs w:val="21"/>
              </w:rPr>
            </w:pPr>
          </w:p>
        </w:tc>
        <w:tc>
          <w:tcPr>
            <w:tcW w:w="1910" w:type="dxa"/>
            <w:vAlign w:val="center"/>
          </w:tcPr>
          <w:p>
            <w:pPr>
              <w:pStyle w:val="46"/>
              <w:spacing w:beforeLines="0" w:afterLines="0" w:line="240" w:lineRule="auto"/>
              <w:rPr>
                <w:rFonts w:ascii="Times New Roman"/>
              </w:rPr>
            </w:pPr>
            <w:r>
              <w:rPr>
                <w:rFonts w:hint="eastAsia" w:ascii="Times New Roman"/>
              </w:rPr>
              <w:t>不含危险化学品废包装物</w:t>
            </w:r>
          </w:p>
        </w:tc>
        <w:tc>
          <w:tcPr>
            <w:tcW w:w="1087" w:type="dxa"/>
            <w:vAlign w:val="center"/>
          </w:tcPr>
          <w:p>
            <w:pPr>
              <w:pStyle w:val="46"/>
              <w:spacing w:beforeLines="0" w:afterLines="0" w:line="240" w:lineRule="auto"/>
              <w:rPr>
                <w:rFonts w:ascii="Times New Roman"/>
                <w:szCs w:val="21"/>
              </w:rPr>
            </w:pPr>
          </w:p>
        </w:tc>
        <w:tc>
          <w:tcPr>
            <w:tcW w:w="1152" w:type="dxa"/>
            <w:vAlign w:val="center"/>
          </w:tcPr>
          <w:p>
            <w:pPr>
              <w:pStyle w:val="46"/>
              <w:spacing w:beforeLines="0" w:afterLines="0" w:line="240" w:lineRule="auto"/>
              <w:rPr>
                <w:rFonts w:ascii="Times New Roman"/>
                <w:szCs w:val="21"/>
              </w:rPr>
            </w:pPr>
          </w:p>
        </w:tc>
        <w:tc>
          <w:tcPr>
            <w:tcW w:w="1152" w:type="dxa"/>
            <w:vAlign w:val="center"/>
          </w:tcPr>
          <w:p>
            <w:pPr>
              <w:pStyle w:val="46"/>
              <w:spacing w:beforeLines="0" w:afterLines="0" w:line="240" w:lineRule="auto"/>
              <w:rPr>
                <w:rFonts w:ascii="Times New Roman"/>
                <w:szCs w:val="21"/>
              </w:rPr>
            </w:pPr>
          </w:p>
        </w:tc>
        <w:tc>
          <w:tcPr>
            <w:tcW w:w="2011" w:type="dxa"/>
            <w:vAlign w:val="center"/>
          </w:tcPr>
          <w:p>
            <w:pPr>
              <w:jc w:val="center"/>
              <w:rPr>
                <w:szCs w:val="21"/>
              </w:rPr>
            </w:pPr>
            <w:r>
              <w:rPr>
                <w:rFonts w:hint="eastAsia"/>
                <w:szCs w:val="21"/>
              </w:rPr>
              <w:t>0</w:t>
            </w:r>
            <w:r>
              <w:rPr>
                <w:szCs w:val="21"/>
              </w:rPr>
              <w:t>.1</w:t>
            </w:r>
          </w:p>
        </w:tc>
        <w:tc>
          <w:tcPr>
            <w:tcW w:w="1580" w:type="dxa"/>
            <w:vAlign w:val="center"/>
          </w:tcPr>
          <w:p>
            <w:pPr>
              <w:pStyle w:val="46"/>
              <w:spacing w:beforeLines="0" w:afterLines="0" w:line="240" w:lineRule="auto"/>
              <w:rPr>
                <w:rFonts w:ascii="Times New Roman"/>
                <w:kern w:val="2"/>
                <w:szCs w:val="21"/>
              </w:rPr>
            </w:pPr>
            <w:r>
              <w:rPr>
                <w:rFonts w:hint="eastAsia" w:ascii="Times New Roman"/>
                <w:kern w:val="2"/>
                <w:szCs w:val="21"/>
              </w:rPr>
              <w:t>/</w:t>
            </w:r>
          </w:p>
        </w:tc>
        <w:tc>
          <w:tcPr>
            <w:tcW w:w="2153" w:type="dxa"/>
            <w:vAlign w:val="center"/>
          </w:tcPr>
          <w:p>
            <w:pPr>
              <w:pStyle w:val="46"/>
              <w:spacing w:beforeLines="0" w:afterLines="0" w:line="240" w:lineRule="auto"/>
              <w:rPr>
                <w:rFonts w:ascii="Times New Roman"/>
                <w:kern w:val="2"/>
                <w:szCs w:val="21"/>
              </w:rPr>
            </w:pPr>
            <w:r>
              <w:rPr>
                <w:rFonts w:hint="eastAsia" w:ascii="Times New Roman"/>
                <w:kern w:val="2"/>
                <w:szCs w:val="21"/>
              </w:rPr>
              <w:t>0</w:t>
            </w:r>
            <w:r>
              <w:rPr>
                <w:rFonts w:ascii="Times New Roman"/>
                <w:kern w:val="2"/>
                <w:szCs w:val="21"/>
              </w:rPr>
              <w:t>.1</w:t>
            </w:r>
          </w:p>
        </w:tc>
        <w:tc>
          <w:tcPr>
            <w:tcW w:w="1733" w:type="dxa"/>
            <w:vAlign w:val="center"/>
          </w:tcPr>
          <w:p>
            <w:pPr>
              <w:pStyle w:val="46"/>
              <w:spacing w:beforeLines="0" w:afterLines="0" w:line="240" w:lineRule="auto"/>
              <w:rPr>
                <w:rFonts w:ascii="Times New Roman"/>
                <w:kern w:val="2"/>
                <w:szCs w:val="21"/>
              </w:rPr>
            </w:pPr>
            <w:r>
              <w:rPr>
                <w:rFonts w:ascii="Times New Roman"/>
                <w:kern w:val="2"/>
                <w:szCs w:val="21"/>
              </w:rPr>
              <w:t>+</w:t>
            </w:r>
            <w:r>
              <w:rPr>
                <w:rFonts w:hint="eastAsia" w:ascii="Times New Roman"/>
                <w:kern w:val="2"/>
                <w:szCs w:val="21"/>
              </w:rPr>
              <w:t>0</w:t>
            </w:r>
            <w:r>
              <w:rPr>
                <w:rFonts w:ascii="Times New Roman"/>
                <w:kern w:val="2"/>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vMerge w:val="continue"/>
            <w:vAlign w:val="center"/>
          </w:tcPr>
          <w:p>
            <w:pPr>
              <w:pStyle w:val="46"/>
              <w:spacing w:beforeLines="0" w:afterLines="0" w:line="240" w:lineRule="auto"/>
              <w:rPr>
                <w:rFonts w:ascii="Times New Roman"/>
                <w:snapToGrid w:val="0"/>
                <w:kern w:val="21"/>
                <w:szCs w:val="21"/>
              </w:rPr>
            </w:pPr>
          </w:p>
        </w:tc>
        <w:tc>
          <w:tcPr>
            <w:tcW w:w="1910" w:type="dxa"/>
            <w:vAlign w:val="center"/>
          </w:tcPr>
          <w:p>
            <w:pPr>
              <w:pStyle w:val="46"/>
              <w:spacing w:beforeLines="0" w:afterLines="0" w:line="240" w:lineRule="auto"/>
              <w:rPr>
                <w:rFonts w:ascii="Times New Roman"/>
                <w:snapToGrid w:val="0"/>
                <w:kern w:val="21"/>
                <w:szCs w:val="21"/>
              </w:rPr>
            </w:pPr>
            <w:r>
              <w:rPr>
                <w:rFonts w:ascii="Times New Roman"/>
              </w:rPr>
              <w:t>废PP棉滤芯</w:t>
            </w:r>
          </w:p>
        </w:tc>
        <w:tc>
          <w:tcPr>
            <w:tcW w:w="1087"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2011" w:type="dxa"/>
            <w:vAlign w:val="center"/>
          </w:tcPr>
          <w:p>
            <w:pPr>
              <w:jc w:val="center"/>
              <w:rPr>
                <w:szCs w:val="21"/>
              </w:rPr>
            </w:pPr>
            <w:r>
              <w:rPr>
                <w:szCs w:val="21"/>
              </w:rPr>
              <w:t>0.004</w:t>
            </w:r>
          </w:p>
        </w:tc>
        <w:tc>
          <w:tcPr>
            <w:tcW w:w="1580" w:type="dxa"/>
            <w:vAlign w:val="center"/>
          </w:tcPr>
          <w:p>
            <w:pPr>
              <w:jc w:val="center"/>
              <w:rPr>
                <w:szCs w:val="21"/>
              </w:rPr>
            </w:pPr>
            <w:r>
              <w:rPr>
                <w:szCs w:val="21"/>
              </w:rPr>
              <w:t>/</w:t>
            </w:r>
          </w:p>
        </w:tc>
        <w:tc>
          <w:tcPr>
            <w:tcW w:w="2153" w:type="dxa"/>
            <w:vAlign w:val="center"/>
          </w:tcPr>
          <w:p>
            <w:pPr>
              <w:pStyle w:val="46"/>
              <w:spacing w:beforeLines="0" w:afterLines="0" w:line="240" w:lineRule="auto"/>
              <w:rPr>
                <w:rFonts w:ascii="Times New Roman"/>
                <w:kern w:val="2"/>
                <w:szCs w:val="21"/>
              </w:rPr>
            </w:pPr>
            <w:r>
              <w:rPr>
                <w:rFonts w:ascii="Times New Roman"/>
                <w:kern w:val="2"/>
                <w:szCs w:val="21"/>
              </w:rPr>
              <w:t>0.004</w:t>
            </w:r>
          </w:p>
        </w:tc>
        <w:tc>
          <w:tcPr>
            <w:tcW w:w="1733" w:type="dxa"/>
            <w:vAlign w:val="center"/>
          </w:tcPr>
          <w:p>
            <w:pPr>
              <w:pStyle w:val="46"/>
              <w:spacing w:beforeLines="0" w:afterLines="0" w:line="240" w:lineRule="auto"/>
              <w:rPr>
                <w:rFonts w:ascii="Times New Roman"/>
                <w:kern w:val="2"/>
                <w:szCs w:val="21"/>
              </w:rPr>
            </w:pPr>
            <w:r>
              <w:rPr>
                <w:rFonts w:ascii="Times New Roman"/>
                <w:kern w:val="2"/>
                <w:szCs w:val="21"/>
              </w:rPr>
              <w:t>+0.004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vMerge w:val="continue"/>
            <w:vAlign w:val="center"/>
          </w:tcPr>
          <w:p>
            <w:pPr>
              <w:pStyle w:val="46"/>
              <w:spacing w:beforeLines="0" w:afterLines="0" w:line="240" w:lineRule="auto"/>
              <w:rPr>
                <w:rFonts w:ascii="Times New Roman"/>
                <w:snapToGrid w:val="0"/>
                <w:kern w:val="21"/>
                <w:szCs w:val="21"/>
              </w:rPr>
            </w:pPr>
          </w:p>
        </w:tc>
        <w:tc>
          <w:tcPr>
            <w:tcW w:w="1910" w:type="dxa"/>
            <w:vAlign w:val="center"/>
          </w:tcPr>
          <w:p>
            <w:pPr>
              <w:pStyle w:val="46"/>
              <w:spacing w:beforeLines="0" w:afterLines="0" w:line="240" w:lineRule="auto"/>
              <w:rPr>
                <w:rFonts w:ascii="Times New Roman"/>
                <w:snapToGrid w:val="0"/>
                <w:kern w:val="21"/>
                <w:szCs w:val="21"/>
              </w:rPr>
            </w:pPr>
            <w:r>
              <w:rPr>
                <w:rFonts w:ascii="Times New Roman"/>
              </w:rPr>
              <w:t>废RO反渗透膜</w:t>
            </w:r>
          </w:p>
        </w:tc>
        <w:tc>
          <w:tcPr>
            <w:tcW w:w="1087"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2011" w:type="dxa"/>
            <w:vAlign w:val="center"/>
          </w:tcPr>
          <w:p>
            <w:pPr>
              <w:jc w:val="center"/>
              <w:rPr>
                <w:szCs w:val="21"/>
              </w:rPr>
            </w:pPr>
            <w:r>
              <w:rPr>
                <w:szCs w:val="21"/>
              </w:rPr>
              <w:t>0.02</w:t>
            </w:r>
          </w:p>
        </w:tc>
        <w:tc>
          <w:tcPr>
            <w:tcW w:w="1580" w:type="dxa"/>
            <w:vAlign w:val="center"/>
          </w:tcPr>
          <w:p>
            <w:pPr>
              <w:jc w:val="center"/>
              <w:rPr>
                <w:szCs w:val="21"/>
              </w:rPr>
            </w:pPr>
            <w:r>
              <w:rPr>
                <w:szCs w:val="21"/>
              </w:rPr>
              <w:t>/</w:t>
            </w:r>
          </w:p>
        </w:tc>
        <w:tc>
          <w:tcPr>
            <w:tcW w:w="2153" w:type="dxa"/>
            <w:vAlign w:val="center"/>
          </w:tcPr>
          <w:p>
            <w:pPr>
              <w:pStyle w:val="46"/>
              <w:spacing w:beforeLines="0" w:afterLines="0" w:line="240" w:lineRule="auto"/>
              <w:rPr>
                <w:rFonts w:ascii="Times New Roman"/>
                <w:kern w:val="2"/>
                <w:szCs w:val="21"/>
              </w:rPr>
            </w:pPr>
            <w:r>
              <w:rPr>
                <w:rFonts w:ascii="Times New Roman"/>
                <w:kern w:val="2"/>
                <w:szCs w:val="21"/>
              </w:rPr>
              <w:t>0.02</w:t>
            </w:r>
          </w:p>
        </w:tc>
        <w:tc>
          <w:tcPr>
            <w:tcW w:w="1733" w:type="dxa"/>
            <w:vAlign w:val="center"/>
          </w:tcPr>
          <w:p>
            <w:pPr>
              <w:pStyle w:val="46"/>
              <w:spacing w:beforeLines="0" w:afterLines="0" w:line="240" w:lineRule="auto"/>
              <w:rPr>
                <w:rFonts w:ascii="Times New Roman"/>
                <w:kern w:val="2"/>
                <w:szCs w:val="21"/>
              </w:rPr>
            </w:pPr>
            <w:r>
              <w:rPr>
                <w:rFonts w:ascii="Times New Roman"/>
                <w:kern w:val="2"/>
                <w:szCs w:val="21"/>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vMerge w:val="continue"/>
            <w:vAlign w:val="center"/>
          </w:tcPr>
          <w:p>
            <w:pPr>
              <w:pStyle w:val="46"/>
              <w:spacing w:beforeLines="0" w:afterLines="0" w:line="240" w:lineRule="auto"/>
              <w:rPr>
                <w:rFonts w:ascii="Times New Roman"/>
                <w:snapToGrid w:val="0"/>
                <w:kern w:val="21"/>
                <w:szCs w:val="21"/>
              </w:rPr>
            </w:pPr>
          </w:p>
        </w:tc>
        <w:tc>
          <w:tcPr>
            <w:tcW w:w="1910" w:type="dxa"/>
            <w:vAlign w:val="center"/>
          </w:tcPr>
          <w:p>
            <w:pPr>
              <w:pStyle w:val="46"/>
              <w:spacing w:beforeLines="0" w:afterLines="0" w:line="240" w:lineRule="auto"/>
              <w:rPr>
                <w:rFonts w:ascii="Times New Roman"/>
                <w:snapToGrid w:val="0"/>
                <w:kern w:val="21"/>
                <w:szCs w:val="21"/>
              </w:rPr>
            </w:pPr>
            <w:r>
              <w:rPr>
                <w:rFonts w:ascii="Times New Roman"/>
              </w:rPr>
              <w:t>废树脂</w:t>
            </w:r>
          </w:p>
        </w:tc>
        <w:tc>
          <w:tcPr>
            <w:tcW w:w="1087"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2011" w:type="dxa"/>
            <w:vAlign w:val="center"/>
          </w:tcPr>
          <w:p>
            <w:pPr>
              <w:jc w:val="center"/>
              <w:rPr>
                <w:szCs w:val="21"/>
              </w:rPr>
            </w:pPr>
            <w:r>
              <w:rPr>
                <w:szCs w:val="21"/>
              </w:rPr>
              <w:t>0.03</w:t>
            </w:r>
          </w:p>
        </w:tc>
        <w:tc>
          <w:tcPr>
            <w:tcW w:w="1580" w:type="dxa"/>
            <w:vAlign w:val="center"/>
          </w:tcPr>
          <w:p>
            <w:pPr>
              <w:jc w:val="center"/>
              <w:rPr>
                <w:szCs w:val="21"/>
              </w:rPr>
            </w:pPr>
            <w:r>
              <w:rPr>
                <w:szCs w:val="21"/>
              </w:rPr>
              <w:t>/</w:t>
            </w:r>
          </w:p>
        </w:tc>
        <w:tc>
          <w:tcPr>
            <w:tcW w:w="2153" w:type="dxa"/>
            <w:vAlign w:val="center"/>
          </w:tcPr>
          <w:p>
            <w:pPr>
              <w:pStyle w:val="46"/>
              <w:spacing w:beforeLines="0" w:afterLines="0" w:line="240" w:lineRule="auto"/>
              <w:rPr>
                <w:rFonts w:ascii="Times New Roman"/>
                <w:kern w:val="2"/>
                <w:szCs w:val="21"/>
              </w:rPr>
            </w:pPr>
            <w:r>
              <w:rPr>
                <w:rFonts w:ascii="Times New Roman"/>
                <w:kern w:val="2"/>
                <w:szCs w:val="21"/>
              </w:rPr>
              <w:t>0.03</w:t>
            </w:r>
          </w:p>
        </w:tc>
        <w:tc>
          <w:tcPr>
            <w:tcW w:w="1733" w:type="dxa"/>
            <w:vAlign w:val="center"/>
          </w:tcPr>
          <w:p>
            <w:pPr>
              <w:pStyle w:val="46"/>
              <w:spacing w:beforeLines="0" w:afterLines="0" w:line="240" w:lineRule="auto"/>
              <w:rPr>
                <w:rFonts w:ascii="Times New Roman"/>
                <w:kern w:val="2"/>
                <w:szCs w:val="21"/>
              </w:rPr>
            </w:pPr>
            <w:r>
              <w:rPr>
                <w:rFonts w:ascii="Times New Roman"/>
                <w:kern w:val="2"/>
                <w:szCs w:val="21"/>
              </w:rPr>
              <w:t>+0.03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vMerge w:val="restart"/>
            <w:vAlign w:val="center"/>
          </w:tcPr>
          <w:p>
            <w:pPr>
              <w:pStyle w:val="46"/>
              <w:spacing w:before="24" w:after="24" w:line="240" w:lineRule="auto"/>
              <w:rPr>
                <w:rFonts w:ascii="Times New Roman"/>
                <w:snapToGrid w:val="0"/>
                <w:kern w:val="21"/>
                <w:szCs w:val="21"/>
              </w:rPr>
            </w:pPr>
            <w:r>
              <w:rPr>
                <w:rFonts w:ascii="Times New Roman"/>
                <w:snapToGrid w:val="0"/>
                <w:kern w:val="21"/>
                <w:szCs w:val="21"/>
              </w:rPr>
              <w:t>危险废物</w:t>
            </w:r>
          </w:p>
        </w:tc>
        <w:tc>
          <w:tcPr>
            <w:tcW w:w="1910" w:type="dxa"/>
            <w:vAlign w:val="center"/>
          </w:tcPr>
          <w:p>
            <w:pPr>
              <w:pStyle w:val="46"/>
              <w:spacing w:beforeLines="0" w:afterLines="0" w:line="240" w:lineRule="auto"/>
              <w:rPr>
                <w:rFonts w:ascii="Times New Roman"/>
              </w:rPr>
            </w:pPr>
            <w:r>
              <w:rPr>
                <w:rFonts w:ascii="Times New Roman"/>
              </w:rPr>
              <w:t>含重金属废试剂</w:t>
            </w:r>
          </w:p>
        </w:tc>
        <w:tc>
          <w:tcPr>
            <w:tcW w:w="1087"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2011" w:type="dxa"/>
            <w:vAlign w:val="center"/>
          </w:tcPr>
          <w:p>
            <w:pPr>
              <w:jc w:val="center"/>
              <w:rPr>
                <w:szCs w:val="21"/>
              </w:rPr>
            </w:pPr>
            <w:r>
              <w:rPr>
                <w:szCs w:val="21"/>
              </w:rPr>
              <w:t>0.0015</w:t>
            </w:r>
          </w:p>
        </w:tc>
        <w:tc>
          <w:tcPr>
            <w:tcW w:w="1580" w:type="dxa"/>
            <w:vAlign w:val="center"/>
          </w:tcPr>
          <w:p>
            <w:pPr>
              <w:jc w:val="center"/>
              <w:rPr>
                <w:szCs w:val="21"/>
              </w:rPr>
            </w:pPr>
            <w:r>
              <w:rPr>
                <w:szCs w:val="21"/>
              </w:rPr>
              <w:t>/</w:t>
            </w:r>
          </w:p>
        </w:tc>
        <w:tc>
          <w:tcPr>
            <w:tcW w:w="2153" w:type="dxa"/>
            <w:vAlign w:val="center"/>
          </w:tcPr>
          <w:p>
            <w:pPr>
              <w:pStyle w:val="46"/>
              <w:spacing w:beforeLines="0" w:afterLines="0" w:line="240" w:lineRule="auto"/>
              <w:rPr>
                <w:rFonts w:ascii="Times New Roman"/>
                <w:kern w:val="2"/>
                <w:szCs w:val="21"/>
              </w:rPr>
            </w:pPr>
            <w:r>
              <w:rPr>
                <w:rFonts w:ascii="Times New Roman"/>
                <w:kern w:val="2"/>
                <w:szCs w:val="21"/>
              </w:rPr>
              <w:t>0.0015</w:t>
            </w:r>
          </w:p>
        </w:tc>
        <w:tc>
          <w:tcPr>
            <w:tcW w:w="1733" w:type="dxa"/>
            <w:vAlign w:val="center"/>
          </w:tcPr>
          <w:p>
            <w:pPr>
              <w:pStyle w:val="46"/>
              <w:spacing w:beforeLines="0" w:afterLines="0" w:line="240" w:lineRule="auto"/>
              <w:rPr>
                <w:rFonts w:ascii="Times New Roman"/>
                <w:kern w:val="2"/>
                <w:szCs w:val="21"/>
              </w:rPr>
            </w:pPr>
            <w:r>
              <w:rPr>
                <w:rFonts w:ascii="Times New Roman"/>
                <w:kern w:val="2"/>
                <w:szCs w:val="21"/>
              </w:rPr>
              <w:t>+0.0015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vMerge w:val="continue"/>
            <w:vAlign w:val="center"/>
          </w:tcPr>
          <w:p>
            <w:pPr>
              <w:pStyle w:val="46"/>
              <w:spacing w:before="24" w:after="24" w:line="240" w:lineRule="auto"/>
              <w:rPr>
                <w:rFonts w:ascii="Times New Roman"/>
                <w:snapToGrid w:val="0"/>
                <w:kern w:val="21"/>
                <w:szCs w:val="21"/>
              </w:rPr>
            </w:pPr>
          </w:p>
        </w:tc>
        <w:tc>
          <w:tcPr>
            <w:tcW w:w="1910" w:type="dxa"/>
            <w:vAlign w:val="center"/>
          </w:tcPr>
          <w:p>
            <w:pPr>
              <w:pStyle w:val="46"/>
              <w:spacing w:beforeLines="0" w:afterLines="0" w:line="240" w:lineRule="auto"/>
              <w:rPr>
                <w:rFonts w:ascii="Times New Roman"/>
              </w:rPr>
            </w:pPr>
            <w:r>
              <w:rPr>
                <w:rFonts w:ascii="Times New Roman"/>
              </w:rPr>
              <w:t>废酸碱液</w:t>
            </w:r>
          </w:p>
        </w:tc>
        <w:tc>
          <w:tcPr>
            <w:tcW w:w="1087"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2011" w:type="dxa"/>
            <w:vAlign w:val="center"/>
          </w:tcPr>
          <w:p>
            <w:pPr>
              <w:jc w:val="center"/>
              <w:rPr>
                <w:szCs w:val="21"/>
              </w:rPr>
            </w:pPr>
            <w:r>
              <w:rPr>
                <w:szCs w:val="21"/>
              </w:rPr>
              <w:t>0.0121</w:t>
            </w:r>
          </w:p>
        </w:tc>
        <w:tc>
          <w:tcPr>
            <w:tcW w:w="1580" w:type="dxa"/>
            <w:vAlign w:val="center"/>
          </w:tcPr>
          <w:p>
            <w:pPr>
              <w:jc w:val="center"/>
              <w:rPr>
                <w:szCs w:val="21"/>
              </w:rPr>
            </w:pPr>
            <w:r>
              <w:rPr>
                <w:szCs w:val="21"/>
              </w:rPr>
              <w:t>/</w:t>
            </w:r>
          </w:p>
        </w:tc>
        <w:tc>
          <w:tcPr>
            <w:tcW w:w="2153" w:type="dxa"/>
            <w:vAlign w:val="center"/>
          </w:tcPr>
          <w:p>
            <w:pPr>
              <w:pStyle w:val="46"/>
              <w:spacing w:beforeLines="0" w:afterLines="0" w:line="240" w:lineRule="auto"/>
              <w:rPr>
                <w:rFonts w:ascii="Times New Roman"/>
                <w:kern w:val="2"/>
                <w:szCs w:val="21"/>
              </w:rPr>
            </w:pPr>
            <w:r>
              <w:rPr>
                <w:rFonts w:ascii="Times New Roman"/>
                <w:kern w:val="2"/>
                <w:szCs w:val="21"/>
              </w:rPr>
              <w:t>0.0121</w:t>
            </w:r>
          </w:p>
        </w:tc>
        <w:tc>
          <w:tcPr>
            <w:tcW w:w="1733" w:type="dxa"/>
            <w:vAlign w:val="center"/>
          </w:tcPr>
          <w:p>
            <w:pPr>
              <w:pStyle w:val="46"/>
              <w:spacing w:beforeLines="0" w:afterLines="0" w:line="240" w:lineRule="auto"/>
              <w:rPr>
                <w:rFonts w:ascii="Times New Roman"/>
                <w:kern w:val="2"/>
                <w:szCs w:val="21"/>
              </w:rPr>
            </w:pPr>
            <w:r>
              <w:rPr>
                <w:rFonts w:ascii="Times New Roman"/>
                <w:kern w:val="2"/>
                <w:szCs w:val="21"/>
              </w:rPr>
              <w:t>+0.0121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vMerge w:val="continue"/>
            <w:vAlign w:val="center"/>
          </w:tcPr>
          <w:p>
            <w:pPr>
              <w:pStyle w:val="46"/>
              <w:spacing w:before="24" w:after="24" w:line="240" w:lineRule="auto"/>
              <w:rPr>
                <w:rFonts w:ascii="Times New Roman"/>
                <w:snapToGrid w:val="0"/>
                <w:kern w:val="21"/>
                <w:szCs w:val="21"/>
              </w:rPr>
            </w:pPr>
          </w:p>
        </w:tc>
        <w:tc>
          <w:tcPr>
            <w:tcW w:w="1910" w:type="dxa"/>
            <w:vAlign w:val="center"/>
          </w:tcPr>
          <w:p>
            <w:pPr>
              <w:pStyle w:val="46"/>
              <w:spacing w:beforeLines="0" w:afterLines="0" w:line="240" w:lineRule="auto"/>
              <w:rPr>
                <w:rFonts w:ascii="Times New Roman"/>
              </w:rPr>
            </w:pPr>
            <w:r>
              <w:rPr>
                <w:rFonts w:ascii="Times New Roman"/>
              </w:rPr>
              <w:t>废有机溶剂</w:t>
            </w:r>
          </w:p>
        </w:tc>
        <w:tc>
          <w:tcPr>
            <w:tcW w:w="1087"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2011" w:type="dxa"/>
            <w:vAlign w:val="center"/>
          </w:tcPr>
          <w:p>
            <w:pPr>
              <w:jc w:val="center"/>
              <w:rPr>
                <w:szCs w:val="21"/>
              </w:rPr>
            </w:pPr>
            <w:r>
              <w:rPr>
                <w:szCs w:val="21"/>
              </w:rPr>
              <w:t>0.0464</w:t>
            </w:r>
          </w:p>
        </w:tc>
        <w:tc>
          <w:tcPr>
            <w:tcW w:w="1580" w:type="dxa"/>
            <w:vAlign w:val="center"/>
          </w:tcPr>
          <w:p>
            <w:pPr>
              <w:jc w:val="center"/>
              <w:rPr>
                <w:szCs w:val="21"/>
              </w:rPr>
            </w:pPr>
            <w:r>
              <w:rPr>
                <w:szCs w:val="21"/>
              </w:rPr>
              <w:t>/</w:t>
            </w:r>
          </w:p>
        </w:tc>
        <w:tc>
          <w:tcPr>
            <w:tcW w:w="2153" w:type="dxa"/>
            <w:vAlign w:val="center"/>
          </w:tcPr>
          <w:p>
            <w:pPr>
              <w:pStyle w:val="46"/>
              <w:spacing w:beforeLines="0" w:afterLines="0" w:line="240" w:lineRule="auto"/>
              <w:rPr>
                <w:rFonts w:ascii="Times New Roman"/>
                <w:kern w:val="2"/>
                <w:szCs w:val="21"/>
              </w:rPr>
            </w:pPr>
            <w:r>
              <w:rPr>
                <w:rFonts w:ascii="Times New Roman"/>
                <w:kern w:val="2"/>
                <w:szCs w:val="21"/>
              </w:rPr>
              <w:t>0.0464</w:t>
            </w:r>
          </w:p>
        </w:tc>
        <w:tc>
          <w:tcPr>
            <w:tcW w:w="1733" w:type="dxa"/>
            <w:vAlign w:val="center"/>
          </w:tcPr>
          <w:p>
            <w:pPr>
              <w:pStyle w:val="46"/>
              <w:spacing w:beforeLines="0" w:afterLines="0" w:line="240" w:lineRule="auto"/>
              <w:rPr>
                <w:rFonts w:ascii="Times New Roman"/>
                <w:kern w:val="2"/>
                <w:szCs w:val="21"/>
              </w:rPr>
            </w:pPr>
            <w:r>
              <w:rPr>
                <w:rFonts w:ascii="Times New Roman"/>
                <w:kern w:val="2"/>
                <w:szCs w:val="21"/>
              </w:rPr>
              <w:t>+0.0464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vMerge w:val="continue"/>
            <w:vAlign w:val="center"/>
          </w:tcPr>
          <w:p>
            <w:pPr>
              <w:pStyle w:val="46"/>
              <w:spacing w:before="24" w:after="24" w:line="240" w:lineRule="auto"/>
              <w:rPr>
                <w:rFonts w:ascii="Times New Roman"/>
                <w:snapToGrid w:val="0"/>
                <w:kern w:val="21"/>
                <w:szCs w:val="21"/>
              </w:rPr>
            </w:pPr>
          </w:p>
        </w:tc>
        <w:tc>
          <w:tcPr>
            <w:tcW w:w="1910" w:type="dxa"/>
            <w:vAlign w:val="center"/>
          </w:tcPr>
          <w:p>
            <w:pPr>
              <w:pStyle w:val="46"/>
              <w:spacing w:beforeLines="0" w:afterLines="0" w:line="240" w:lineRule="auto"/>
              <w:rPr>
                <w:rFonts w:ascii="Times New Roman"/>
              </w:rPr>
            </w:pPr>
            <w:r>
              <w:rPr>
                <w:rFonts w:ascii="Times New Roman"/>
              </w:rPr>
              <w:t>废试剂</w:t>
            </w:r>
          </w:p>
        </w:tc>
        <w:tc>
          <w:tcPr>
            <w:tcW w:w="1087"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2011" w:type="dxa"/>
            <w:vAlign w:val="center"/>
          </w:tcPr>
          <w:p>
            <w:pPr>
              <w:jc w:val="center"/>
              <w:rPr>
                <w:szCs w:val="21"/>
              </w:rPr>
            </w:pPr>
            <w:r>
              <w:rPr>
                <w:szCs w:val="21"/>
              </w:rPr>
              <w:t>0.05</w:t>
            </w:r>
          </w:p>
        </w:tc>
        <w:tc>
          <w:tcPr>
            <w:tcW w:w="1580" w:type="dxa"/>
            <w:vAlign w:val="center"/>
          </w:tcPr>
          <w:p>
            <w:pPr>
              <w:jc w:val="center"/>
              <w:rPr>
                <w:szCs w:val="21"/>
              </w:rPr>
            </w:pPr>
            <w:r>
              <w:rPr>
                <w:szCs w:val="21"/>
              </w:rPr>
              <w:t>/</w:t>
            </w:r>
          </w:p>
        </w:tc>
        <w:tc>
          <w:tcPr>
            <w:tcW w:w="2153" w:type="dxa"/>
            <w:vAlign w:val="center"/>
          </w:tcPr>
          <w:p>
            <w:pPr>
              <w:pStyle w:val="46"/>
              <w:spacing w:beforeLines="0" w:afterLines="0" w:line="240" w:lineRule="auto"/>
              <w:rPr>
                <w:rFonts w:ascii="Times New Roman"/>
                <w:kern w:val="2"/>
                <w:szCs w:val="21"/>
              </w:rPr>
            </w:pPr>
            <w:r>
              <w:rPr>
                <w:rFonts w:ascii="Times New Roman"/>
                <w:kern w:val="2"/>
                <w:szCs w:val="21"/>
              </w:rPr>
              <w:t>0.05</w:t>
            </w:r>
          </w:p>
        </w:tc>
        <w:tc>
          <w:tcPr>
            <w:tcW w:w="1733" w:type="dxa"/>
            <w:vAlign w:val="center"/>
          </w:tcPr>
          <w:p>
            <w:pPr>
              <w:pStyle w:val="46"/>
              <w:spacing w:beforeLines="0" w:afterLines="0" w:line="240" w:lineRule="auto"/>
              <w:rPr>
                <w:rFonts w:ascii="Times New Roman"/>
                <w:kern w:val="2"/>
                <w:szCs w:val="21"/>
              </w:rPr>
            </w:pPr>
            <w:r>
              <w:rPr>
                <w:rFonts w:ascii="Times New Roman"/>
                <w:kern w:val="2"/>
                <w:szCs w:val="21"/>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vMerge w:val="continue"/>
            <w:vAlign w:val="center"/>
          </w:tcPr>
          <w:p>
            <w:pPr>
              <w:pStyle w:val="46"/>
              <w:spacing w:before="24" w:after="24" w:line="240" w:lineRule="auto"/>
              <w:rPr>
                <w:rFonts w:ascii="Times New Roman"/>
                <w:snapToGrid w:val="0"/>
                <w:kern w:val="21"/>
                <w:szCs w:val="21"/>
              </w:rPr>
            </w:pPr>
          </w:p>
        </w:tc>
        <w:tc>
          <w:tcPr>
            <w:tcW w:w="1910" w:type="dxa"/>
            <w:vAlign w:val="center"/>
          </w:tcPr>
          <w:p>
            <w:pPr>
              <w:pStyle w:val="46"/>
              <w:spacing w:beforeLines="0" w:afterLines="0" w:line="240" w:lineRule="auto"/>
              <w:rPr>
                <w:rFonts w:ascii="Times New Roman"/>
              </w:rPr>
            </w:pPr>
            <w:r>
              <w:rPr>
                <w:rFonts w:ascii="Times New Roman"/>
              </w:rPr>
              <w:t>废有机实验样品</w:t>
            </w:r>
          </w:p>
        </w:tc>
        <w:tc>
          <w:tcPr>
            <w:tcW w:w="1087"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2011" w:type="dxa"/>
            <w:vAlign w:val="center"/>
          </w:tcPr>
          <w:p>
            <w:pPr>
              <w:jc w:val="center"/>
              <w:rPr>
                <w:szCs w:val="21"/>
              </w:rPr>
            </w:pPr>
            <w:r>
              <w:rPr>
                <w:szCs w:val="21"/>
              </w:rPr>
              <w:t>0.02</w:t>
            </w:r>
          </w:p>
        </w:tc>
        <w:tc>
          <w:tcPr>
            <w:tcW w:w="1580" w:type="dxa"/>
            <w:vAlign w:val="center"/>
          </w:tcPr>
          <w:p>
            <w:pPr>
              <w:jc w:val="center"/>
              <w:rPr>
                <w:szCs w:val="21"/>
              </w:rPr>
            </w:pPr>
            <w:r>
              <w:rPr>
                <w:szCs w:val="21"/>
              </w:rPr>
              <w:t>/</w:t>
            </w:r>
          </w:p>
        </w:tc>
        <w:tc>
          <w:tcPr>
            <w:tcW w:w="2153" w:type="dxa"/>
            <w:vAlign w:val="center"/>
          </w:tcPr>
          <w:p>
            <w:pPr>
              <w:pStyle w:val="46"/>
              <w:spacing w:beforeLines="0" w:afterLines="0" w:line="240" w:lineRule="auto"/>
              <w:rPr>
                <w:rFonts w:ascii="Times New Roman"/>
                <w:kern w:val="2"/>
                <w:szCs w:val="21"/>
              </w:rPr>
            </w:pPr>
            <w:r>
              <w:rPr>
                <w:rFonts w:ascii="Times New Roman"/>
                <w:kern w:val="2"/>
                <w:szCs w:val="21"/>
              </w:rPr>
              <w:t>0.02</w:t>
            </w:r>
          </w:p>
        </w:tc>
        <w:tc>
          <w:tcPr>
            <w:tcW w:w="1733" w:type="dxa"/>
            <w:vAlign w:val="center"/>
          </w:tcPr>
          <w:p>
            <w:pPr>
              <w:pStyle w:val="46"/>
              <w:spacing w:beforeLines="0" w:afterLines="0" w:line="240" w:lineRule="auto"/>
              <w:rPr>
                <w:rFonts w:ascii="Times New Roman"/>
                <w:kern w:val="2"/>
                <w:szCs w:val="21"/>
              </w:rPr>
            </w:pPr>
            <w:r>
              <w:rPr>
                <w:rFonts w:ascii="Times New Roman"/>
                <w:kern w:val="2"/>
                <w:szCs w:val="21"/>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vMerge w:val="continue"/>
            <w:vAlign w:val="center"/>
          </w:tcPr>
          <w:p>
            <w:pPr>
              <w:pStyle w:val="46"/>
              <w:spacing w:before="24" w:after="24" w:line="240" w:lineRule="auto"/>
              <w:rPr>
                <w:rFonts w:ascii="Times New Roman"/>
                <w:snapToGrid w:val="0"/>
                <w:kern w:val="21"/>
                <w:szCs w:val="21"/>
              </w:rPr>
            </w:pPr>
          </w:p>
        </w:tc>
        <w:tc>
          <w:tcPr>
            <w:tcW w:w="1910" w:type="dxa"/>
            <w:vAlign w:val="center"/>
          </w:tcPr>
          <w:p>
            <w:pPr>
              <w:pStyle w:val="46"/>
              <w:spacing w:beforeLines="0" w:afterLines="0" w:line="240" w:lineRule="auto"/>
              <w:rPr>
                <w:rFonts w:ascii="Times New Roman"/>
              </w:rPr>
            </w:pPr>
            <w:r>
              <w:rPr>
                <w:rFonts w:ascii="Times New Roman"/>
              </w:rPr>
              <w:t>一次性实验用品</w:t>
            </w:r>
          </w:p>
        </w:tc>
        <w:tc>
          <w:tcPr>
            <w:tcW w:w="1087"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2011" w:type="dxa"/>
            <w:vAlign w:val="center"/>
          </w:tcPr>
          <w:p>
            <w:pPr>
              <w:jc w:val="center"/>
              <w:rPr>
                <w:szCs w:val="21"/>
              </w:rPr>
            </w:pPr>
            <w:r>
              <w:rPr>
                <w:szCs w:val="21"/>
              </w:rPr>
              <w:t>0.08</w:t>
            </w:r>
          </w:p>
        </w:tc>
        <w:tc>
          <w:tcPr>
            <w:tcW w:w="1580" w:type="dxa"/>
            <w:vAlign w:val="center"/>
          </w:tcPr>
          <w:p>
            <w:pPr>
              <w:jc w:val="center"/>
              <w:rPr>
                <w:szCs w:val="21"/>
              </w:rPr>
            </w:pPr>
            <w:r>
              <w:rPr>
                <w:szCs w:val="21"/>
              </w:rPr>
              <w:t>/</w:t>
            </w:r>
          </w:p>
        </w:tc>
        <w:tc>
          <w:tcPr>
            <w:tcW w:w="2153" w:type="dxa"/>
            <w:vAlign w:val="center"/>
          </w:tcPr>
          <w:p>
            <w:pPr>
              <w:pStyle w:val="46"/>
              <w:spacing w:beforeLines="0" w:afterLines="0" w:line="240" w:lineRule="auto"/>
              <w:rPr>
                <w:rFonts w:ascii="Times New Roman"/>
                <w:kern w:val="2"/>
                <w:szCs w:val="21"/>
              </w:rPr>
            </w:pPr>
            <w:r>
              <w:rPr>
                <w:rFonts w:ascii="Times New Roman"/>
                <w:kern w:val="2"/>
                <w:szCs w:val="21"/>
              </w:rPr>
              <w:t>0.08</w:t>
            </w:r>
          </w:p>
        </w:tc>
        <w:tc>
          <w:tcPr>
            <w:tcW w:w="1733" w:type="dxa"/>
            <w:vAlign w:val="center"/>
          </w:tcPr>
          <w:p>
            <w:pPr>
              <w:pStyle w:val="46"/>
              <w:spacing w:beforeLines="0" w:afterLines="0" w:line="240" w:lineRule="auto"/>
              <w:rPr>
                <w:rFonts w:ascii="Times New Roman"/>
                <w:kern w:val="2"/>
                <w:szCs w:val="21"/>
              </w:rPr>
            </w:pPr>
            <w:r>
              <w:rPr>
                <w:rFonts w:ascii="Times New Roman"/>
                <w:kern w:val="2"/>
                <w:szCs w:val="21"/>
              </w:rPr>
              <w:t>+0.08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vMerge w:val="continue"/>
            <w:vAlign w:val="center"/>
          </w:tcPr>
          <w:p>
            <w:pPr>
              <w:pStyle w:val="46"/>
              <w:spacing w:before="24" w:after="24" w:line="240" w:lineRule="auto"/>
              <w:rPr>
                <w:rFonts w:ascii="Times New Roman"/>
                <w:snapToGrid w:val="0"/>
                <w:kern w:val="21"/>
                <w:szCs w:val="21"/>
              </w:rPr>
            </w:pPr>
          </w:p>
        </w:tc>
        <w:tc>
          <w:tcPr>
            <w:tcW w:w="1910" w:type="dxa"/>
            <w:vAlign w:val="center"/>
          </w:tcPr>
          <w:p>
            <w:pPr>
              <w:pStyle w:val="46"/>
              <w:spacing w:beforeLines="0" w:afterLines="0" w:line="240" w:lineRule="auto"/>
              <w:rPr>
                <w:rFonts w:ascii="Times New Roman"/>
              </w:rPr>
            </w:pPr>
            <w:r>
              <w:rPr>
                <w:rFonts w:hint="eastAsia" w:ascii="Times New Roman"/>
              </w:rPr>
              <w:t>实验室器皿一次、二次清洗废水</w:t>
            </w:r>
          </w:p>
        </w:tc>
        <w:tc>
          <w:tcPr>
            <w:tcW w:w="1087" w:type="dxa"/>
            <w:vAlign w:val="center"/>
          </w:tcPr>
          <w:p>
            <w:pPr>
              <w:pStyle w:val="46"/>
              <w:spacing w:beforeLines="0" w:afterLines="0" w:line="240" w:lineRule="auto"/>
              <w:rPr>
                <w:rFonts w:ascii="Times New Roman"/>
                <w:szCs w:val="21"/>
              </w:rPr>
            </w:pPr>
          </w:p>
        </w:tc>
        <w:tc>
          <w:tcPr>
            <w:tcW w:w="1152" w:type="dxa"/>
            <w:vAlign w:val="center"/>
          </w:tcPr>
          <w:p>
            <w:pPr>
              <w:pStyle w:val="46"/>
              <w:spacing w:beforeLines="0" w:afterLines="0" w:line="240" w:lineRule="auto"/>
              <w:rPr>
                <w:rFonts w:ascii="Times New Roman"/>
                <w:szCs w:val="21"/>
              </w:rPr>
            </w:pPr>
          </w:p>
        </w:tc>
        <w:tc>
          <w:tcPr>
            <w:tcW w:w="1152" w:type="dxa"/>
            <w:vAlign w:val="center"/>
          </w:tcPr>
          <w:p>
            <w:pPr>
              <w:pStyle w:val="46"/>
              <w:spacing w:beforeLines="0" w:afterLines="0" w:line="240" w:lineRule="auto"/>
              <w:rPr>
                <w:rFonts w:ascii="Times New Roman"/>
                <w:szCs w:val="21"/>
              </w:rPr>
            </w:pPr>
          </w:p>
        </w:tc>
        <w:tc>
          <w:tcPr>
            <w:tcW w:w="2011" w:type="dxa"/>
            <w:vAlign w:val="center"/>
          </w:tcPr>
          <w:p>
            <w:pPr>
              <w:pStyle w:val="46"/>
              <w:spacing w:beforeLines="0" w:afterLines="0" w:line="240" w:lineRule="auto"/>
              <w:rPr>
                <w:rFonts w:ascii="Times New Roman"/>
                <w:kern w:val="2"/>
                <w:szCs w:val="21"/>
              </w:rPr>
            </w:pPr>
            <w:r>
              <w:rPr>
                <w:rFonts w:ascii="Times New Roman"/>
                <w:kern w:val="2"/>
                <w:szCs w:val="21"/>
              </w:rPr>
              <w:t>0.5</w:t>
            </w:r>
          </w:p>
        </w:tc>
        <w:tc>
          <w:tcPr>
            <w:tcW w:w="1580" w:type="dxa"/>
            <w:vAlign w:val="center"/>
          </w:tcPr>
          <w:p>
            <w:pPr>
              <w:pStyle w:val="46"/>
              <w:spacing w:beforeLines="0" w:afterLines="0" w:line="240" w:lineRule="auto"/>
              <w:rPr>
                <w:rFonts w:ascii="Times New Roman"/>
                <w:kern w:val="2"/>
                <w:szCs w:val="21"/>
              </w:rPr>
            </w:pPr>
          </w:p>
        </w:tc>
        <w:tc>
          <w:tcPr>
            <w:tcW w:w="2153" w:type="dxa"/>
            <w:vAlign w:val="center"/>
          </w:tcPr>
          <w:p>
            <w:pPr>
              <w:pStyle w:val="46"/>
              <w:spacing w:beforeLines="0" w:afterLines="0" w:line="240" w:lineRule="auto"/>
              <w:rPr>
                <w:rFonts w:ascii="Times New Roman"/>
                <w:kern w:val="2"/>
                <w:szCs w:val="21"/>
              </w:rPr>
            </w:pPr>
            <w:r>
              <w:rPr>
                <w:rFonts w:ascii="Times New Roman"/>
                <w:kern w:val="2"/>
                <w:szCs w:val="21"/>
              </w:rPr>
              <w:t>0.5</w:t>
            </w:r>
          </w:p>
        </w:tc>
        <w:tc>
          <w:tcPr>
            <w:tcW w:w="1733" w:type="dxa"/>
            <w:vAlign w:val="center"/>
          </w:tcPr>
          <w:p>
            <w:pPr>
              <w:pStyle w:val="46"/>
              <w:spacing w:beforeLines="0" w:afterLines="0" w:line="240" w:lineRule="auto"/>
              <w:rPr>
                <w:rFonts w:ascii="Times New Roman"/>
                <w:kern w:val="2"/>
                <w:szCs w:val="21"/>
              </w:rPr>
            </w:pPr>
            <w:r>
              <w:rPr>
                <w:rFonts w:ascii="Times New Roman"/>
                <w:kern w:val="2"/>
                <w:szCs w:val="21"/>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vMerge w:val="continue"/>
            <w:vAlign w:val="center"/>
          </w:tcPr>
          <w:p>
            <w:pPr>
              <w:pStyle w:val="46"/>
              <w:spacing w:before="24" w:after="24" w:line="240" w:lineRule="auto"/>
              <w:rPr>
                <w:rFonts w:ascii="Times New Roman"/>
                <w:snapToGrid w:val="0"/>
                <w:kern w:val="21"/>
                <w:szCs w:val="21"/>
              </w:rPr>
            </w:pPr>
          </w:p>
        </w:tc>
        <w:tc>
          <w:tcPr>
            <w:tcW w:w="1910" w:type="dxa"/>
            <w:vAlign w:val="center"/>
          </w:tcPr>
          <w:p>
            <w:pPr>
              <w:pStyle w:val="46"/>
              <w:spacing w:beforeLines="0" w:afterLines="0" w:line="240" w:lineRule="auto"/>
              <w:rPr>
                <w:rFonts w:ascii="Times New Roman"/>
              </w:rPr>
            </w:pPr>
            <w:r>
              <w:rPr>
                <w:rFonts w:ascii="Times New Roman"/>
              </w:rPr>
              <w:t>废培养基</w:t>
            </w:r>
          </w:p>
        </w:tc>
        <w:tc>
          <w:tcPr>
            <w:tcW w:w="1087"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2011" w:type="dxa"/>
            <w:vAlign w:val="center"/>
          </w:tcPr>
          <w:p>
            <w:pPr>
              <w:pStyle w:val="46"/>
              <w:spacing w:beforeLines="0" w:afterLines="0" w:line="240" w:lineRule="auto"/>
              <w:rPr>
                <w:rFonts w:ascii="Times New Roman"/>
                <w:kern w:val="2"/>
                <w:szCs w:val="21"/>
              </w:rPr>
            </w:pPr>
            <w:r>
              <w:rPr>
                <w:rFonts w:ascii="Times New Roman"/>
                <w:kern w:val="2"/>
                <w:szCs w:val="21"/>
              </w:rPr>
              <w:t>0.006</w:t>
            </w:r>
          </w:p>
        </w:tc>
        <w:tc>
          <w:tcPr>
            <w:tcW w:w="1580" w:type="dxa"/>
            <w:vAlign w:val="center"/>
          </w:tcPr>
          <w:p>
            <w:pPr>
              <w:pStyle w:val="46"/>
              <w:spacing w:beforeLines="0" w:afterLines="0" w:line="240" w:lineRule="auto"/>
              <w:rPr>
                <w:rFonts w:ascii="Times New Roman"/>
                <w:kern w:val="2"/>
                <w:szCs w:val="21"/>
              </w:rPr>
            </w:pPr>
            <w:r>
              <w:rPr>
                <w:rFonts w:ascii="Times New Roman"/>
                <w:kern w:val="2"/>
                <w:szCs w:val="21"/>
              </w:rPr>
              <w:t>/</w:t>
            </w:r>
          </w:p>
        </w:tc>
        <w:tc>
          <w:tcPr>
            <w:tcW w:w="2153" w:type="dxa"/>
            <w:vAlign w:val="center"/>
          </w:tcPr>
          <w:p>
            <w:pPr>
              <w:pStyle w:val="46"/>
              <w:spacing w:beforeLines="0" w:afterLines="0" w:line="240" w:lineRule="auto"/>
              <w:rPr>
                <w:rFonts w:ascii="Times New Roman"/>
                <w:kern w:val="2"/>
                <w:szCs w:val="21"/>
              </w:rPr>
            </w:pPr>
            <w:r>
              <w:rPr>
                <w:rFonts w:ascii="Times New Roman"/>
                <w:kern w:val="2"/>
                <w:szCs w:val="21"/>
              </w:rPr>
              <w:t>0.006</w:t>
            </w:r>
          </w:p>
        </w:tc>
        <w:tc>
          <w:tcPr>
            <w:tcW w:w="1733" w:type="dxa"/>
            <w:vAlign w:val="center"/>
          </w:tcPr>
          <w:p>
            <w:pPr>
              <w:pStyle w:val="46"/>
              <w:spacing w:beforeLines="0" w:afterLines="0" w:line="240" w:lineRule="auto"/>
              <w:rPr>
                <w:rFonts w:ascii="Times New Roman"/>
                <w:kern w:val="2"/>
                <w:szCs w:val="21"/>
              </w:rPr>
            </w:pPr>
            <w:r>
              <w:rPr>
                <w:rFonts w:ascii="Times New Roman"/>
                <w:kern w:val="2"/>
                <w:szCs w:val="21"/>
              </w:rPr>
              <w:t>+0.006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vMerge w:val="continue"/>
            <w:vAlign w:val="center"/>
          </w:tcPr>
          <w:p>
            <w:pPr>
              <w:pStyle w:val="46"/>
              <w:spacing w:before="24" w:after="24" w:line="240" w:lineRule="auto"/>
              <w:rPr>
                <w:rFonts w:ascii="Times New Roman"/>
                <w:snapToGrid w:val="0"/>
                <w:kern w:val="21"/>
                <w:szCs w:val="21"/>
              </w:rPr>
            </w:pPr>
          </w:p>
        </w:tc>
        <w:tc>
          <w:tcPr>
            <w:tcW w:w="1910" w:type="dxa"/>
            <w:vAlign w:val="center"/>
          </w:tcPr>
          <w:p>
            <w:pPr>
              <w:pStyle w:val="46"/>
              <w:spacing w:beforeLines="0" w:afterLines="0" w:line="240" w:lineRule="auto"/>
              <w:rPr>
                <w:rFonts w:ascii="Times New Roman"/>
              </w:rPr>
            </w:pPr>
            <w:r>
              <w:rPr>
                <w:rFonts w:ascii="Times New Roman"/>
              </w:rPr>
              <w:t>废试剂瓶</w:t>
            </w:r>
          </w:p>
        </w:tc>
        <w:tc>
          <w:tcPr>
            <w:tcW w:w="1087"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2011" w:type="dxa"/>
            <w:vAlign w:val="center"/>
          </w:tcPr>
          <w:p>
            <w:pPr>
              <w:jc w:val="center"/>
              <w:rPr>
                <w:szCs w:val="21"/>
              </w:rPr>
            </w:pPr>
            <w:r>
              <w:rPr>
                <w:szCs w:val="21"/>
              </w:rPr>
              <w:t>0.02</w:t>
            </w:r>
          </w:p>
        </w:tc>
        <w:tc>
          <w:tcPr>
            <w:tcW w:w="1580" w:type="dxa"/>
            <w:vAlign w:val="center"/>
          </w:tcPr>
          <w:p>
            <w:pPr>
              <w:jc w:val="center"/>
              <w:rPr>
                <w:szCs w:val="21"/>
              </w:rPr>
            </w:pPr>
            <w:r>
              <w:rPr>
                <w:szCs w:val="21"/>
              </w:rPr>
              <w:t>/</w:t>
            </w:r>
          </w:p>
        </w:tc>
        <w:tc>
          <w:tcPr>
            <w:tcW w:w="2153" w:type="dxa"/>
            <w:vAlign w:val="center"/>
          </w:tcPr>
          <w:p>
            <w:pPr>
              <w:pStyle w:val="46"/>
              <w:spacing w:beforeLines="0" w:afterLines="0" w:line="240" w:lineRule="auto"/>
              <w:rPr>
                <w:rFonts w:ascii="Times New Roman"/>
                <w:kern w:val="2"/>
                <w:szCs w:val="21"/>
              </w:rPr>
            </w:pPr>
            <w:r>
              <w:rPr>
                <w:rFonts w:ascii="Times New Roman"/>
                <w:kern w:val="2"/>
                <w:szCs w:val="21"/>
              </w:rPr>
              <w:t>0.02</w:t>
            </w:r>
          </w:p>
        </w:tc>
        <w:tc>
          <w:tcPr>
            <w:tcW w:w="1733" w:type="dxa"/>
            <w:vAlign w:val="center"/>
          </w:tcPr>
          <w:p>
            <w:pPr>
              <w:pStyle w:val="46"/>
              <w:spacing w:beforeLines="0" w:afterLines="0" w:line="240" w:lineRule="auto"/>
              <w:rPr>
                <w:rFonts w:ascii="Times New Roman"/>
                <w:kern w:val="2"/>
                <w:szCs w:val="21"/>
              </w:rPr>
            </w:pPr>
            <w:r>
              <w:rPr>
                <w:rFonts w:ascii="Times New Roman"/>
                <w:kern w:val="2"/>
                <w:szCs w:val="21"/>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vMerge w:val="continue"/>
            <w:vAlign w:val="center"/>
          </w:tcPr>
          <w:p>
            <w:pPr>
              <w:pStyle w:val="46"/>
              <w:spacing w:before="24" w:after="24" w:line="240" w:lineRule="auto"/>
              <w:rPr>
                <w:rFonts w:ascii="Times New Roman"/>
                <w:snapToGrid w:val="0"/>
                <w:kern w:val="21"/>
                <w:szCs w:val="21"/>
              </w:rPr>
            </w:pPr>
          </w:p>
        </w:tc>
        <w:tc>
          <w:tcPr>
            <w:tcW w:w="1910" w:type="dxa"/>
            <w:vAlign w:val="center"/>
          </w:tcPr>
          <w:p>
            <w:pPr>
              <w:pStyle w:val="46"/>
              <w:spacing w:beforeLines="0" w:afterLines="0" w:line="240" w:lineRule="auto"/>
              <w:rPr>
                <w:rFonts w:ascii="Times New Roman"/>
              </w:rPr>
            </w:pPr>
            <w:r>
              <w:rPr>
                <w:rFonts w:ascii="Times New Roman"/>
              </w:rPr>
              <w:t>废危险化学品</w:t>
            </w:r>
          </w:p>
        </w:tc>
        <w:tc>
          <w:tcPr>
            <w:tcW w:w="1087"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2011" w:type="dxa"/>
            <w:vAlign w:val="center"/>
          </w:tcPr>
          <w:p>
            <w:pPr>
              <w:jc w:val="center"/>
              <w:rPr>
                <w:szCs w:val="21"/>
              </w:rPr>
            </w:pPr>
            <w:r>
              <w:rPr>
                <w:szCs w:val="21"/>
              </w:rPr>
              <w:t>0.0027</w:t>
            </w:r>
          </w:p>
        </w:tc>
        <w:tc>
          <w:tcPr>
            <w:tcW w:w="1580" w:type="dxa"/>
            <w:vAlign w:val="center"/>
          </w:tcPr>
          <w:p>
            <w:pPr>
              <w:jc w:val="center"/>
              <w:rPr>
                <w:szCs w:val="21"/>
              </w:rPr>
            </w:pPr>
            <w:r>
              <w:rPr>
                <w:szCs w:val="21"/>
              </w:rPr>
              <w:t>/</w:t>
            </w:r>
          </w:p>
        </w:tc>
        <w:tc>
          <w:tcPr>
            <w:tcW w:w="2153" w:type="dxa"/>
            <w:vAlign w:val="center"/>
          </w:tcPr>
          <w:p>
            <w:pPr>
              <w:pStyle w:val="46"/>
              <w:spacing w:beforeLines="0" w:afterLines="0" w:line="240" w:lineRule="auto"/>
              <w:rPr>
                <w:rFonts w:ascii="Times New Roman"/>
                <w:kern w:val="2"/>
                <w:szCs w:val="21"/>
              </w:rPr>
            </w:pPr>
            <w:r>
              <w:rPr>
                <w:rFonts w:ascii="Times New Roman"/>
                <w:kern w:val="2"/>
                <w:szCs w:val="21"/>
              </w:rPr>
              <w:t>0.0027</w:t>
            </w:r>
          </w:p>
        </w:tc>
        <w:tc>
          <w:tcPr>
            <w:tcW w:w="1733" w:type="dxa"/>
            <w:vAlign w:val="center"/>
          </w:tcPr>
          <w:p>
            <w:pPr>
              <w:pStyle w:val="46"/>
              <w:spacing w:beforeLines="0" w:afterLines="0" w:line="240" w:lineRule="auto"/>
              <w:rPr>
                <w:rFonts w:ascii="Times New Roman"/>
                <w:kern w:val="2"/>
                <w:szCs w:val="21"/>
              </w:rPr>
            </w:pPr>
            <w:r>
              <w:rPr>
                <w:rFonts w:ascii="Times New Roman"/>
                <w:kern w:val="2"/>
                <w:szCs w:val="21"/>
              </w:rPr>
              <w:t>+0.0027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vMerge w:val="continue"/>
            <w:vAlign w:val="center"/>
          </w:tcPr>
          <w:p>
            <w:pPr>
              <w:pStyle w:val="46"/>
              <w:spacing w:before="24" w:after="24" w:line="240" w:lineRule="auto"/>
              <w:rPr>
                <w:rFonts w:ascii="Times New Roman"/>
                <w:snapToGrid w:val="0"/>
                <w:kern w:val="21"/>
                <w:szCs w:val="21"/>
              </w:rPr>
            </w:pPr>
          </w:p>
        </w:tc>
        <w:tc>
          <w:tcPr>
            <w:tcW w:w="1910" w:type="dxa"/>
            <w:vAlign w:val="center"/>
          </w:tcPr>
          <w:p>
            <w:pPr>
              <w:pStyle w:val="46"/>
              <w:spacing w:beforeLines="0" w:afterLines="0" w:line="240" w:lineRule="auto"/>
              <w:rPr>
                <w:rFonts w:ascii="Times New Roman"/>
              </w:rPr>
            </w:pPr>
            <w:r>
              <w:rPr>
                <w:rFonts w:ascii="Times New Roman"/>
              </w:rPr>
              <w:t>废UV光灯管</w:t>
            </w:r>
          </w:p>
        </w:tc>
        <w:tc>
          <w:tcPr>
            <w:tcW w:w="1087"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2011" w:type="dxa"/>
            <w:vAlign w:val="center"/>
          </w:tcPr>
          <w:p>
            <w:pPr>
              <w:pStyle w:val="46"/>
              <w:spacing w:beforeLines="0" w:afterLines="0" w:line="240" w:lineRule="auto"/>
              <w:rPr>
                <w:rFonts w:ascii="Times New Roman"/>
                <w:kern w:val="2"/>
                <w:szCs w:val="21"/>
              </w:rPr>
            </w:pPr>
            <w:r>
              <w:rPr>
                <w:rFonts w:ascii="Times New Roman"/>
                <w:kern w:val="2"/>
                <w:szCs w:val="21"/>
              </w:rPr>
              <w:t>0.01</w:t>
            </w:r>
          </w:p>
        </w:tc>
        <w:tc>
          <w:tcPr>
            <w:tcW w:w="1580" w:type="dxa"/>
            <w:vAlign w:val="center"/>
          </w:tcPr>
          <w:p>
            <w:pPr>
              <w:pStyle w:val="46"/>
              <w:spacing w:beforeLines="0" w:afterLines="0" w:line="240" w:lineRule="auto"/>
              <w:rPr>
                <w:rFonts w:ascii="Times New Roman"/>
                <w:kern w:val="2"/>
                <w:szCs w:val="21"/>
              </w:rPr>
            </w:pPr>
            <w:r>
              <w:rPr>
                <w:rFonts w:ascii="Times New Roman"/>
                <w:kern w:val="2"/>
                <w:szCs w:val="21"/>
              </w:rPr>
              <w:t>/</w:t>
            </w:r>
          </w:p>
        </w:tc>
        <w:tc>
          <w:tcPr>
            <w:tcW w:w="2153" w:type="dxa"/>
            <w:vAlign w:val="center"/>
          </w:tcPr>
          <w:p>
            <w:pPr>
              <w:pStyle w:val="46"/>
              <w:spacing w:beforeLines="0" w:afterLines="0" w:line="240" w:lineRule="auto"/>
              <w:rPr>
                <w:rFonts w:ascii="Times New Roman"/>
                <w:kern w:val="2"/>
                <w:szCs w:val="21"/>
              </w:rPr>
            </w:pPr>
            <w:r>
              <w:rPr>
                <w:rFonts w:ascii="Times New Roman"/>
                <w:kern w:val="2"/>
                <w:szCs w:val="21"/>
              </w:rPr>
              <w:t>0.01</w:t>
            </w:r>
          </w:p>
        </w:tc>
        <w:tc>
          <w:tcPr>
            <w:tcW w:w="1733" w:type="dxa"/>
            <w:vAlign w:val="center"/>
          </w:tcPr>
          <w:p>
            <w:pPr>
              <w:pStyle w:val="46"/>
              <w:spacing w:beforeLines="0" w:afterLines="0" w:line="240" w:lineRule="auto"/>
              <w:rPr>
                <w:rFonts w:ascii="Times New Roman"/>
                <w:kern w:val="2"/>
                <w:szCs w:val="21"/>
              </w:rPr>
            </w:pPr>
            <w:r>
              <w:rPr>
                <w:rFonts w:ascii="Times New Roman"/>
                <w:kern w:val="2"/>
                <w:szCs w:val="21"/>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vMerge w:val="continue"/>
            <w:vAlign w:val="center"/>
          </w:tcPr>
          <w:p>
            <w:pPr>
              <w:pStyle w:val="46"/>
              <w:spacing w:before="24" w:after="24" w:line="240" w:lineRule="auto"/>
              <w:rPr>
                <w:rFonts w:ascii="Times New Roman"/>
                <w:snapToGrid w:val="0"/>
                <w:kern w:val="21"/>
                <w:szCs w:val="21"/>
              </w:rPr>
            </w:pPr>
          </w:p>
        </w:tc>
        <w:tc>
          <w:tcPr>
            <w:tcW w:w="1910" w:type="dxa"/>
            <w:vAlign w:val="center"/>
          </w:tcPr>
          <w:p>
            <w:pPr>
              <w:pStyle w:val="46"/>
              <w:spacing w:beforeLines="0" w:afterLines="0" w:line="240" w:lineRule="auto"/>
              <w:rPr>
                <w:rFonts w:ascii="Times New Roman"/>
              </w:rPr>
            </w:pPr>
            <w:r>
              <w:rPr>
                <w:rFonts w:ascii="Times New Roman"/>
              </w:rPr>
              <w:t>废活性炭</w:t>
            </w:r>
          </w:p>
        </w:tc>
        <w:tc>
          <w:tcPr>
            <w:tcW w:w="1087"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2011" w:type="dxa"/>
            <w:vAlign w:val="center"/>
          </w:tcPr>
          <w:p>
            <w:pPr>
              <w:pStyle w:val="46"/>
              <w:spacing w:beforeLines="0" w:afterLines="0" w:line="240" w:lineRule="auto"/>
              <w:rPr>
                <w:rFonts w:ascii="Times New Roman"/>
                <w:kern w:val="2"/>
                <w:szCs w:val="21"/>
              </w:rPr>
            </w:pPr>
            <w:r>
              <w:rPr>
                <w:rFonts w:ascii="Times New Roman"/>
                <w:kern w:val="2"/>
                <w:szCs w:val="21"/>
              </w:rPr>
              <w:t>0.2145</w:t>
            </w:r>
          </w:p>
        </w:tc>
        <w:tc>
          <w:tcPr>
            <w:tcW w:w="1580" w:type="dxa"/>
            <w:vAlign w:val="center"/>
          </w:tcPr>
          <w:p>
            <w:pPr>
              <w:pStyle w:val="46"/>
              <w:spacing w:beforeLines="0" w:afterLines="0" w:line="240" w:lineRule="auto"/>
              <w:rPr>
                <w:rFonts w:ascii="Times New Roman"/>
                <w:kern w:val="2"/>
                <w:szCs w:val="21"/>
              </w:rPr>
            </w:pPr>
            <w:r>
              <w:rPr>
                <w:rFonts w:ascii="Times New Roman"/>
                <w:kern w:val="2"/>
                <w:szCs w:val="21"/>
              </w:rPr>
              <w:t>/</w:t>
            </w:r>
          </w:p>
        </w:tc>
        <w:tc>
          <w:tcPr>
            <w:tcW w:w="2153" w:type="dxa"/>
            <w:vAlign w:val="center"/>
          </w:tcPr>
          <w:p>
            <w:pPr>
              <w:pStyle w:val="46"/>
              <w:spacing w:beforeLines="0" w:afterLines="0" w:line="240" w:lineRule="auto"/>
              <w:rPr>
                <w:rFonts w:ascii="Times New Roman"/>
                <w:kern w:val="2"/>
                <w:szCs w:val="21"/>
              </w:rPr>
            </w:pPr>
            <w:r>
              <w:rPr>
                <w:rFonts w:ascii="Times New Roman"/>
                <w:kern w:val="2"/>
                <w:szCs w:val="21"/>
              </w:rPr>
              <w:t>0.2145</w:t>
            </w:r>
          </w:p>
        </w:tc>
        <w:tc>
          <w:tcPr>
            <w:tcW w:w="1733" w:type="dxa"/>
            <w:vAlign w:val="center"/>
          </w:tcPr>
          <w:p>
            <w:pPr>
              <w:pStyle w:val="46"/>
              <w:spacing w:beforeLines="0" w:afterLines="0" w:line="240" w:lineRule="auto"/>
              <w:rPr>
                <w:rFonts w:ascii="Times New Roman"/>
                <w:kern w:val="2"/>
                <w:szCs w:val="21"/>
              </w:rPr>
            </w:pPr>
            <w:r>
              <w:rPr>
                <w:rFonts w:ascii="Times New Roman"/>
                <w:kern w:val="2"/>
                <w:szCs w:val="21"/>
              </w:rPr>
              <w:t>+0.2145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04" w:type="dxa"/>
            <w:vMerge w:val="continue"/>
            <w:vAlign w:val="center"/>
          </w:tcPr>
          <w:p>
            <w:pPr>
              <w:pStyle w:val="46"/>
              <w:spacing w:before="24" w:after="24" w:line="240" w:lineRule="auto"/>
              <w:rPr>
                <w:rFonts w:ascii="Times New Roman"/>
                <w:snapToGrid w:val="0"/>
                <w:kern w:val="21"/>
                <w:szCs w:val="21"/>
              </w:rPr>
            </w:pPr>
          </w:p>
        </w:tc>
        <w:tc>
          <w:tcPr>
            <w:tcW w:w="1910" w:type="dxa"/>
            <w:vAlign w:val="center"/>
          </w:tcPr>
          <w:p>
            <w:pPr>
              <w:pStyle w:val="46"/>
              <w:spacing w:beforeLines="0" w:afterLines="0" w:line="240" w:lineRule="auto"/>
              <w:rPr>
                <w:rFonts w:ascii="Times New Roman"/>
              </w:rPr>
            </w:pPr>
            <w:r>
              <w:rPr>
                <w:rFonts w:ascii="Times New Roman"/>
              </w:rPr>
              <w:t>污泥</w:t>
            </w:r>
          </w:p>
        </w:tc>
        <w:tc>
          <w:tcPr>
            <w:tcW w:w="1087"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1152" w:type="dxa"/>
            <w:vAlign w:val="center"/>
          </w:tcPr>
          <w:p>
            <w:pPr>
              <w:pStyle w:val="46"/>
              <w:spacing w:beforeLines="0" w:afterLines="0" w:line="240" w:lineRule="auto"/>
              <w:rPr>
                <w:rFonts w:ascii="Times New Roman"/>
                <w:szCs w:val="21"/>
              </w:rPr>
            </w:pPr>
            <w:r>
              <w:rPr>
                <w:rFonts w:ascii="Times New Roman"/>
                <w:szCs w:val="21"/>
              </w:rPr>
              <w:t>/</w:t>
            </w:r>
          </w:p>
        </w:tc>
        <w:tc>
          <w:tcPr>
            <w:tcW w:w="2011" w:type="dxa"/>
            <w:vAlign w:val="center"/>
          </w:tcPr>
          <w:p>
            <w:pPr>
              <w:pStyle w:val="46"/>
              <w:spacing w:beforeLines="0" w:afterLines="0" w:line="240" w:lineRule="auto"/>
              <w:rPr>
                <w:rFonts w:ascii="Times New Roman"/>
                <w:kern w:val="2"/>
                <w:szCs w:val="21"/>
              </w:rPr>
            </w:pPr>
            <w:r>
              <w:rPr>
                <w:rFonts w:ascii="Times New Roman"/>
                <w:kern w:val="2"/>
                <w:szCs w:val="21"/>
              </w:rPr>
              <w:t>0.192</w:t>
            </w:r>
          </w:p>
        </w:tc>
        <w:tc>
          <w:tcPr>
            <w:tcW w:w="1580" w:type="dxa"/>
            <w:vAlign w:val="center"/>
          </w:tcPr>
          <w:p>
            <w:pPr>
              <w:pStyle w:val="46"/>
              <w:spacing w:beforeLines="0" w:afterLines="0" w:line="240" w:lineRule="auto"/>
              <w:rPr>
                <w:rFonts w:ascii="Times New Roman"/>
                <w:kern w:val="2"/>
                <w:szCs w:val="21"/>
              </w:rPr>
            </w:pPr>
            <w:r>
              <w:rPr>
                <w:rFonts w:ascii="Times New Roman"/>
                <w:kern w:val="2"/>
                <w:szCs w:val="21"/>
              </w:rPr>
              <w:t>/</w:t>
            </w:r>
          </w:p>
        </w:tc>
        <w:tc>
          <w:tcPr>
            <w:tcW w:w="2153" w:type="dxa"/>
            <w:vAlign w:val="center"/>
          </w:tcPr>
          <w:p>
            <w:pPr>
              <w:pStyle w:val="46"/>
              <w:spacing w:beforeLines="0" w:afterLines="0" w:line="240" w:lineRule="auto"/>
              <w:rPr>
                <w:rFonts w:ascii="Times New Roman"/>
                <w:kern w:val="2"/>
                <w:szCs w:val="21"/>
              </w:rPr>
            </w:pPr>
            <w:r>
              <w:rPr>
                <w:rFonts w:ascii="Times New Roman"/>
                <w:kern w:val="2"/>
                <w:szCs w:val="21"/>
              </w:rPr>
              <w:t>0.192</w:t>
            </w:r>
          </w:p>
        </w:tc>
        <w:tc>
          <w:tcPr>
            <w:tcW w:w="1733" w:type="dxa"/>
            <w:vAlign w:val="center"/>
          </w:tcPr>
          <w:p>
            <w:pPr>
              <w:pStyle w:val="46"/>
              <w:spacing w:beforeLines="0" w:afterLines="0" w:line="240" w:lineRule="auto"/>
              <w:rPr>
                <w:rFonts w:ascii="Times New Roman"/>
                <w:kern w:val="2"/>
                <w:szCs w:val="21"/>
              </w:rPr>
            </w:pPr>
            <w:r>
              <w:rPr>
                <w:rFonts w:ascii="Times New Roman"/>
                <w:kern w:val="2"/>
                <w:szCs w:val="21"/>
              </w:rPr>
              <w:t>+0.192</w:t>
            </w:r>
          </w:p>
        </w:tc>
      </w:tr>
    </w:tbl>
    <w:p>
      <w:pPr>
        <w:pStyle w:val="46"/>
        <w:spacing w:before="192" w:beforeLines="80" w:after="24"/>
        <w:jc w:val="left"/>
        <w:sectPr>
          <w:footerReference r:id="rId7" w:type="default"/>
          <w:pgSz w:w="16838" w:h="11906" w:orient="landscape"/>
          <w:pgMar w:top="1701" w:right="1418" w:bottom="1701" w:left="1418" w:header="851" w:footer="851" w:gutter="0"/>
          <w:cols w:space="720" w:num="1"/>
          <w:docGrid w:linePitch="312" w:charSpace="0"/>
        </w:sect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szCs w:val="21"/>
        </w:rPr>
        <w:t>⑤</w:t>
      </w:r>
      <w:r>
        <w:rPr>
          <w:rFonts w:ascii="Times New Roman"/>
          <w:snapToGrid w:val="0"/>
          <w:spacing w:val="-16"/>
          <w:kern w:val="21"/>
          <w:szCs w:val="21"/>
        </w:rPr>
        <w:fldChar w:fldCharType="end"/>
      </w:r>
    </w:p>
    <w:p>
      <w:pPr>
        <w:jc w:val="center"/>
        <w:rPr>
          <w:rFonts w:ascii="宋体" w:hAnsi="宋体"/>
          <w:sz w:val="44"/>
          <w:szCs w:val="44"/>
        </w:rPr>
      </w:pPr>
      <w:r>
        <w:rPr>
          <w:rFonts w:hint="eastAsia" w:ascii="宋体" w:hAnsi="宋体"/>
          <w:sz w:val="44"/>
          <w:szCs w:val="44"/>
        </w:rPr>
        <w:t>委托书</w:t>
      </w:r>
    </w:p>
    <w:p>
      <w:pPr>
        <w:rPr>
          <w:rFonts w:ascii="宋体" w:hAnsi="宋体"/>
          <w:sz w:val="28"/>
          <w:szCs w:val="28"/>
        </w:rPr>
      </w:pPr>
    </w:p>
    <w:p>
      <w:pPr>
        <w:rPr>
          <w:rFonts w:ascii="宋体" w:hAnsi="宋体"/>
          <w:sz w:val="28"/>
          <w:szCs w:val="28"/>
        </w:rPr>
      </w:pPr>
      <w:r>
        <w:rPr>
          <w:rFonts w:hint="eastAsia" w:ascii="宋体" w:hAnsi="宋体"/>
          <w:sz w:val="28"/>
          <w:szCs w:val="28"/>
        </w:rPr>
        <w:t>河南蓝天环境工程有限公司：</w:t>
      </w:r>
    </w:p>
    <w:p>
      <w:pPr>
        <w:spacing w:line="600" w:lineRule="exact"/>
        <w:ind w:firstLine="560" w:firstLineChars="200"/>
        <w:rPr>
          <w:rFonts w:ascii="宋体" w:hAnsi="宋体"/>
          <w:sz w:val="28"/>
          <w:szCs w:val="28"/>
        </w:rPr>
      </w:pPr>
      <w:r>
        <w:rPr>
          <w:rFonts w:hint="eastAsia" w:ascii="宋体" w:hAnsi="宋体"/>
          <w:sz w:val="28"/>
          <w:szCs w:val="28"/>
        </w:rPr>
        <w:t>我单位拟在河南省新乡经济开发区</w:t>
      </w:r>
      <w:r>
        <w:rPr>
          <w:rFonts w:ascii="宋体" w:hAnsi="宋体"/>
          <w:sz w:val="28"/>
          <w:szCs w:val="28"/>
        </w:rPr>
        <w:t>107国道与胡韦线交汇处A3地块</w:t>
      </w:r>
      <w:r>
        <w:rPr>
          <w:rFonts w:hint="eastAsia" w:ascii="宋体" w:hAnsi="宋体"/>
          <w:sz w:val="28"/>
          <w:szCs w:val="28"/>
        </w:rPr>
        <w:t>建设“新乡县检验检测中心建设项目”，根据国家环保法规等要求，现委托贵单位对该项目进行环境影响评价工作，望抓紧进行。</w:t>
      </w:r>
    </w:p>
    <w:p>
      <w:pPr>
        <w:spacing w:line="600" w:lineRule="exact"/>
        <w:ind w:firstLine="560" w:firstLineChars="200"/>
        <w:rPr>
          <w:rFonts w:ascii="宋体" w:hAnsi="宋体"/>
          <w:sz w:val="28"/>
          <w:szCs w:val="28"/>
        </w:rPr>
      </w:pPr>
    </w:p>
    <w:p>
      <w:pPr>
        <w:spacing w:line="600" w:lineRule="exact"/>
        <w:ind w:firstLine="560" w:firstLineChars="200"/>
        <w:rPr>
          <w:rFonts w:ascii="宋体" w:hAnsi="宋体"/>
          <w:sz w:val="28"/>
          <w:szCs w:val="28"/>
        </w:rPr>
      </w:pPr>
    </w:p>
    <w:p>
      <w:pPr>
        <w:spacing w:line="600" w:lineRule="exact"/>
        <w:ind w:firstLine="560" w:firstLineChars="200"/>
        <w:rPr>
          <w:rFonts w:ascii="宋体" w:hAnsi="宋体"/>
          <w:sz w:val="28"/>
          <w:szCs w:val="28"/>
        </w:rPr>
      </w:pPr>
    </w:p>
    <w:p>
      <w:pPr>
        <w:spacing w:line="600" w:lineRule="exact"/>
        <w:ind w:firstLine="560" w:firstLineChars="200"/>
        <w:rPr>
          <w:rFonts w:ascii="宋体" w:hAnsi="宋体"/>
          <w:sz w:val="28"/>
          <w:szCs w:val="28"/>
        </w:rPr>
      </w:pPr>
    </w:p>
    <w:p>
      <w:pPr>
        <w:spacing w:line="600" w:lineRule="exact"/>
        <w:ind w:firstLine="560" w:firstLineChars="200"/>
        <w:rPr>
          <w:rFonts w:ascii="宋体" w:hAnsi="宋体"/>
          <w:sz w:val="28"/>
          <w:szCs w:val="28"/>
        </w:rPr>
      </w:pPr>
    </w:p>
    <w:p>
      <w:pPr>
        <w:spacing w:line="600" w:lineRule="exact"/>
        <w:ind w:firstLine="560" w:firstLineChars="200"/>
        <w:rPr>
          <w:rFonts w:hint="eastAsia" w:ascii="宋体" w:hAnsi="宋体" w:eastAsia="宋体"/>
          <w:sz w:val="28"/>
          <w:szCs w:val="28"/>
          <w:lang w:eastAsia="zh-CN"/>
        </w:rPr>
      </w:pPr>
    </w:p>
    <w:p>
      <w:pPr>
        <w:spacing w:line="600" w:lineRule="exact"/>
        <w:ind w:firstLine="560" w:firstLineChars="200"/>
        <w:rPr>
          <w:rFonts w:ascii="宋体" w:hAnsi="宋体"/>
          <w:sz w:val="28"/>
          <w:szCs w:val="28"/>
        </w:rPr>
      </w:pPr>
    </w:p>
    <w:p>
      <w:pPr>
        <w:spacing w:line="600" w:lineRule="exact"/>
        <w:ind w:firstLine="560" w:firstLineChars="200"/>
        <w:rPr>
          <w:rFonts w:hint="eastAsia" w:ascii="宋体" w:hAnsi="宋体"/>
          <w:sz w:val="28"/>
          <w:szCs w:val="28"/>
        </w:rPr>
      </w:pPr>
      <w:bookmarkStart w:id="4" w:name="_GoBack"/>
      <w:bookmarkEnd w:id="4"/>
    </w:p>
    <w:p>
      <w:pPr>
        <w:ind w:left="3990" w:leftChars="1900" w:firstLine="1400" w:firstLineChars="500"/>
        <w:rPr>
          <w:rFonts w:ascii="宋体" w:hAnsi="宋体"/>
          <w:sz w:val="28"/>
          <w:szCs w:val="28"/>
        </w:rPr>
      </w:pPr>
      <w:r>
        <w:rPr>
          <w:rFonts w:hint="eastAsia" w:ascii="宋体" w:hAnsi="宋体"/>
          <w:sz w:val="28"/>
          <w:szCs w:val="28"/>
        </w:rPr>
        <w:t xml:space="preserve">河南印海智谷实业有限公司 </w:t>
      </w:r>
      <w:r>
        <w:rPr>
          <w:rFonts w:ascii="宋体" w:hAnsi="宋体"/>
          <w:sz w:val="28"/>
          <w:szCs w:val="28"/>
        </w:rPr>
        <w:t xml:space="preserve">  </w:t>
      </w:r>
    </w:p>
    <w:p>
      <w:pPr>
        <w:ind w:firstLine="5880" w:firstLineChars="2100"/>
        <w:rPr>
          <w:rFonts w:ascii="宋体" w:hAnsi="宋体"/>
          <w:sz w:val="28"/>
          <w:szCs w:val="28"/>
        </w:rPr>
      </w:pPr>
      <w:r>
        <w:rPr>
          <w:rFonts w:hint="eastAsia" w:ascii="宋体" w:hAnsi="宋体"/>
          <w:sz w:val="28"/>
          <w:szCs w:val="28"/>
        </w:rPr>
        <w:t>2</w:t>
      </w:r>
      <w:r>
        <w:rPr>
          <w:rFonts w:ascii="宋体" w:hAnsi="宋体"/>
          <w:sz w:val="28"/>
          <w:szCs w:val="28"/>
        </w:rPr>
        <w:t>022</w:t>
      </w:r>
      <w:r>
        <w:rPr>
          <w:rFonts w:hint="eastAsia" w:ascii="宋体" w:hAnsi="宋体"/>
          <w:sz w:val="28"/>
          <w:szCs w:val="28"/>
        </w:rPr>
        <w:t>年</w:t>
      </w:r>
      <w:r>
        <w:rPr>
          <w:rFonts w:ascii="宋体" w:hAnsi="宋体"/>
          <w:sz w:val="28"/>
          <w:szCs w:val="28"/>
        </w:rPr>
        <w:t>7</w:t>
      </w:r>
      <w:r>
        <w:rPr>
          <w:rFonts w:hint="eastAsia" w:ascii="宋体" w:hAnsi="宋体"/>
          <w:sz w:val="28"/>
          <w:szCs w:val="28"/>
        </w:rPr>
        <w:t>月</w:t>
      </w:r>
      <w:r>
        <w:rPr>
          <w:rFonts w:ascii="宋体" w:hAnsi="宋体"/>
          <w:sz w:val="28"/>
          <w:szCs w:val="28"/>
        </w:rPr>
        <w:t>15</w:t>
      </w:r>
      <w:r>
        <w:rPr>
          <w:rFonts w:hint="eastAsia" w:ascii="宋体" w:hAnsi="宋体"/>
          <w:sz w:val="28"/>
          <w:szCs w:val="28"/>
        </w:rPr>
        <w:t>日</w:t>
      </w:r>
    </w:p>
    <w:p>
      <w:pPr>
        <w:widowControl/>
        <w:jc w:val="left"/>
        <w:rPr>
          <w:rFonts w:eastAsia="黑体"/>
        </w:rPr>
      </w:pPr>
      <w:r>
        <w:rPr>
          <w:rFonts w:eastAsia="黑体"/>
        </w:rPr>
        <w:br w:type="page"/>
      </w:r>
    </w:p>
    <w:p>
      <w:pPr>
        <w:rPr>
          <w:rFonts w:ascii="宋体" w:hAnsi="宋体"/>
          <w:b/>
          <w:bCs/>
          <w:sz w:val="32"/>
          <w:szCs w:val="32"/>
        </w:rPr>
      </w:pPr>
      <w:r>
        <w:rPr>
          <w:rFonts w:hint="eastAsia" w:ascii="宋体" w:hAnsi="宋体"/>
          <w:b/>
          <w:bCs/>
          <w:sz w:val="32"/>
          <w:szCs w:val="32"/>
        </w:rPr>
        <w:t>附件</w:t>
      </w:r>
      <w:r>
        <w:rPr>
          <w:rFonts w:ascii="宋体" w:hAnsi="宋体"/>
          <w:b/>
          <w:bCs/>
          <w:sz w:val="32"/>
          <w:szCs w:val="32"/>
        </w:rPr>
        <w:t>2</w:t>
      </w:r>
      <w:r>
        <w:rPr>
          <w:rFonts w:hint="eastAsia" w:ascii="宋体" w:hAnsi="宋体"/>
          <w:b/>
          <w:bCs/>
          <w:sz w:val="32"/>
          <w:szCs w:val="32"/>
        </w:rPr>
        <w:t>：项目可研报告批复文件</w:t>
      </w:r>
    </w:p>
    <w:p>
      <w:r>
        <w:drawing>
          <wp:inline distT="0" distB="0" distL="114300" distR="114300">
            <wp:extent cx="6011545" cy="8184515"/>
            <wp:effectExtent l="0" t="0" r="8255" b="6985"/>
            <wp:docPr id="8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
                    <pic:cNvPicPr>
                      <a:picLocks noChangeAspect="1"/>
                    </pic:cNvPicPr>
                  </pic:nvPicPr>
                  <pic:blipFill>
                    <a:blip r:embed="rId55"/>
                    <a:stretch>
                      <a:fillRect/>
                    </a:stretch>
                  </pic:blipFill>
                  <pic:spPr>
                    <a:xfrm>
                      <a:off x="0" y="0"/>
                      <a:ext cx="6011545" cy="8184515"/>
                    </a:xfrm>
                    <a:prstGeom prst="rect">
                      <a:avLst/>
                    </a:prstGeom>
                    <a:noFill/>
                    <a:ln>
                      <a:noFill/>
                    </a:ln>
                  </pic:spPr>
                </pic:pic>
              </a:graphicData>
            </a:graphic>
          </wp:inline>
        </w:drawing>
      </w:r>
    </w:p>
    <w:p>
      <w:r>
        <w:drawing>
          <wp:anchor distT="0" distB="0" distL="114300" distR="114300" simplePos="0" relativeHeight="251669504" behindDoc="0" locked="0" layoutInCell="1" allowOverlap="1">
            <wp:simplePos x="0" y="0"/>
            <wp:positionH relativeFrom="column">
              <wp:posOffset>-65405</wp:posOffset>
            </wp:positionH>
            <wp:positionV relativeFrom="paragraph">
              <wp:posOffset>7620</wp:posOffset>
            </wp:positionV>
            <wp:extent cx="5943600" cy="8497570"/>
            <wp:effectExtent l="0" t="0" r="0" b="0"/>
            <wp:wrapTopAndBottom/>
            <wp:docPr id="43" name="图片 43"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文本, 信件&#10;&#10;描述已自动生成"/>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943600" cy="8497570"/>
                    </a:xfrm>
                    <a:prstGeom prst="rect">
                      <a:avLst/>
                    </a:prstGeom>
                    <a:noFill/>
                    <a:ln>
                      <a:noFill/>
                    </a:ln>
                  </pic:spPr>
                </pic:pic>
              </a:graphicData>
            </a:graphic>
          </wp:anchor>
        </w:drawing>
      </w:r>
    </w:p>
    <w:p>
      <w:r>
        <w:drawing>
          <wp:anchor distT="0" distB="0" distL="114300" distR="114300" simplePos="0" relativeHeight="251670528" behindDoc="0" locked="0" layoutInCell="1" allowOverlap="1">
            <wp:simplePos x="0" y="0"/>
            <wp:positionH relativeFrom="column">
              <wp:posOffset>13970</wp:posOffset>
            </wp:positionH>
            <wp:positionV relativeFrom="paragraph">
              <wp:posOffset>7620</wp:posOffset>
            </wp:positionV>
            <wp:extent cx="5911850" cy="8387080"/>
            <wp:effectExtent l="0" t="0" r="0" b="0"/>
            <wp:wrapTopAndBottom/>
            <wp:docPr id="44" name="图片 4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手机屏幕截图&#10;&#10;描述已自动生成"/>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911850" cy="8387080"/>
                    </a:xfrm>
                    <a:prstGeom prst="rect">
                      <a:avLst/>
                    </a:prstGeom>
                    <a:noFill/>
                    <a:ln>
                      <a:noFill/>
                    </a:ln>
                  </pic:spPr>
                </pic:pic>
              </a:graphicData>
            </a:graphic>
          </wp:anchor>
        </w:drawing>
      </w:r>
    </w:p>
    <w:p>
      <w:pPr>
        <w:widowControl/>
        <w:jc w:val="center"/>
        <w:rPr>
          <w:rFonts w:eastAsia="黑体"/>
        </w:rPr>
      </w:pPr>
      <w:r>
        <w:drawing>
          <wp:inline distT="0" distB="0" distL="0" distR="0">
            <wp:extent cx="5897880" cy="8339455"/>
            <wp:effectExtent l="0" t="0" r="7620" b="4445"/>
            <wp:docPr id="45" name="图片 4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文本&#10;&#10;描述已自动生成"/>
                    <pic:cNvPicPr>
                      <a:picLocks noChangeAspect="1"/>
                    </pic:cNvPicPr>
                  </pic:nvPicPr>
                  <pic:blipFill>
                    <a:blip r:embed="rId58"/>
                    <a:stretch>
                      <a:fillRect/>
                    </a:stretch>
                  </pic:blipFill>
                  <pic:spPr>
                    <a:xfrm>
                      <a:off x="0" y="0"/>
                      <a:ext cx="5908711" cy="8354852"/>
                    </a:xfrm>
                    <a:prstGeom prst="rect">
                      <a:avLst/>
                    </a:prstGeom>
                  </pic:spPr>
                </pic:pic>
              </a:graphicData>
            </a:graphic>
          </wp:inline>
        </w:drawing>
      </w:r>
      <w:r>
        <w:rPr>
          <w:rFonts w:eastAsia="黑体"/>
        </w:rPr>
        <w:br w:type="page"/>
      </w:r>
    </w:p>
    <w:p>
      <w:pPr>
        <w:widowControl/>
        <w:jc w:val="left"/>
        <w:rPr>
          <w:rFonts w:eastAsia="黑体"/>
          <w:kern w:val="0"/>
          <w:sz w:val="24"/>
          <w:szCs w:val="20"/>
        </w:rPr>
      </w:pPr>
      <w:r>
        <w:drawing>
          <wp:inline distT="0" distB="0" distL="0" distR="0">
            <wp:extent cx="5805805" cy="8165465"/>
            <wp:effectExtent l="0" t="0" r="4445" b="6985"/>
            <wp:docPr id="46" name="图片 46"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文本, 信件&#10;&#10;描述已自动生成"/>
                    <pic:cNvPicPr>
                      <a:picLocks noChangeAspect="1"/>
                    </pic:cNvPicPr>
                  </pic:nvPicPr>
                  <pic:blipFill>
                    <a:blip r:embed="rId59"/>
                    <a:stretch>
                      <a:fillRect/>
                    </a:stretch>
                  </pic:blipFill>
                  <pic:spPr>
                    <a:xfrm>
                      <a:off x="0" y="0"/>
                      <a:ext cx="5816138" cy="8179975"/>
                    </a:xfrm>
                    <a:prstGeom prst="rect">
                      <a:avLst/>
                    </a:prstGeom>
                  </pic:spPr>
                </pic:pic>
              </a:graphicData>
            </a:graphic>
          </wp:inline>
        </w:drawing>
      </w:r>
      <w:r>
        <w:rPr>
          <w:rFonts w:eastAsia="黑体"/>
        </w:rPr>
        <w:br w:type="page"/>
      </w:r>
    </w:p>
    <w:p>
      <w:pPr>
        <w:pStyle w:val="17"/>
        <w:adjustRightInd w:val="0"/>
        <w:snapToGrid w:val="0"/>
        <w:spacing w:before="648" w:beforeLines="270" w:beforeAutospacing="0" w:after="648" w:afterLines="270" w:afterAutospacing="0"/>
        <w:outlineLvl w:val="0"/>
        <w:rPr>
          <w:rFonts w:ascii="Times New Roman" w:hAnsi="Times New Roman" w:eastAsia="黑体"/>
        </w:rPr>
        <w:sectPr>
          <w:footerReference r:id="rId8" w:type="default"/>
          <w:pgSz w:w="11906" w:h="16838"/>
          <w:pgMar w:top="1701" w:right="1418" w:bottom="1701" w:left="1418" w:header="851" w:footer="851" w:gutter="0"/>
          <w:cols w:space="720" w:num="1"/>
          <w:docGrid w:linePitch="312" w:charSpace="0"/>
        </w:sectPr>
      </w:pPr>
    </w:p>
    <w:p>
      <w:pPr>
        <w:pStyle w:val="17"/>
        <w:adjustRightInd w:val="0"/>
        <w:snapToGrid w:val="0"/>
        <w:spacing w:before="648" w:beforeLines="270" w:beforeAutospacing="0" w:after="648" w:afterLines="270" w:afterAutospacing="0"/>
        <w:jc w:val="center"/>
        <w:outlineLvl w:val="0"/>
        <w:rPr>
          <w:rFonts w:ascii="Times New Roman" w:hAnsi="Times New Roman" w:eastAsia="黑体"/>
        </w:rPr>
      </w:pPr>
      <w:r>
        <w:drawing>
          <wp:inline distT="0" distB="0" distL="0" distR="0">
            <wp:extent cx="7630160" cy="5829935"/>
            <wp:effectExtent l="0" t="0" r="8890" b="0"/>
            <wp:docPr id="47" name="图片 47"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地图&#10;&#10;描述已自动生成"/>
                    <pic:cNvPicPr>
                      <a:picLocks noChangeAspect="1"/>
                    </pic:cNvPicPr>
                  </pic:nvPicPr>
                  <pic:blipFill>
                    <a:blip r:embed="rId60"/>
                    <a:stretch>
                      <a:fillRect/>
                    </a:stretch>
                  </pic:blipFill>
                  <pic:spPr>
                    <a:xfrm>
                      <a:off x="0" y="0"/>
                      <a:ext cx="7631325" cy="5831181"/>
                    </a:xfrm>
                    <a:prstGeom prst="rect">
                      <a:avLst/>
                    </a:prstGeom>
                  </pic:spPr>
                </pic:pic>
              </a:graphicData>
            </a:graphic>
          </wp:inline>
        </w:drawing>
      </w:r>
    </w:p>
    <w:p>
      <w:pPr>
        <w:pStyle w:val="17"/>
        <w:adjustRightInd w:val="0"/>
        <w:snapToGrid w:val="0"/>
        <w:spacing w:before="648" w:beforeLines="270" w:beforeAutospacing="0" w:after="648" w:afterLines="270" w:afterAutospacing="0"/>
        <w:outlineLvl w:val="0"/>
        <w:rPr>
          <w:rFonts w:ascii="Times New Roman" w:hAnsi="Times New Roman" w:eastAsia="黑体"/>
        </w:rPr>
        <w:sectPr>
          <w:pgSz w:w="16838" w:h="11906" w:orient="landscape"/>
          <w:pgMar w:top="1418" w:right="1701" w:bottom="1418" w:left="1701" w:header="851" w:footer="851" w:gutter="0"/>
          <w:cols w:space="720" w:num="1"/>
          <w:docGrid w:linePitch="312" w:charSpace="0"/>
        </w:sectPr>
      </w:pPr>
    </w:p>
    <w:p>
      <w:pPr>
        <w:pStyle w:val="17"/>
        <w:adjustRightInd w:val="0"/>
        <w:snapToGrid w:val="0"/>
        <w:spacing w:before="648" w:beforeLines="270" w:beforeAutospacing="0" w:after="648" w:afterLines="270" w:afterAutospacing="0"/>
        <w:outlineLvl w:val="0"/>
        <w:rPr>
          <w:rFonts w:ascii="Times New Roman" w:hAnsi="Times New Roman" w:eastAsia="黑体"/>
        </w:rPr>
      </w:pPr>
      <w:r>
        <w:drawing>
          <wp:inline distT="0" distB="0" distL="0" distR="0">
            <wp:extent cx="5664835" cy="8465820"/>
            <wp:effectExtent l="0" t="0" r="0" b="0"/>
            <wp:docPr id="48" name="图片 4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示&#10;&#10;描述已自动生成"/>
                    <pic:cNvPicPr>
                      <a:picLocks noChangeAspect="1"/>
                    </pic:cNvPicPr>
                  </pic:nvPicPr>
                  <pic:blipFill>
                    <a:blip r:embed="rId61"/>
                    <a:stretch>
                      <a:fillRect/>
                    </a:stretch>
                  </pic:blipFill>
                  <pic:spPr>
                    <a:xfrm>
                      <a:off x="0" y="0"/>
                      <a:ext cx="5667020" cy="8469047"/>
                    </a:xfrm>
                    <a:prstGeom prst="rect">
                      <a:avLst/>
                    </a:prstGeom>
                  </pic:spPr>
                </pic:pic>
              </a:graphicData>
            </a:graphic>
          </wp:inline>
        </w:drawing>
      </w:r>
    </w:p>
    <w:p>
      <w:pPr>
        <w:pStyle w:val="17"/>
        <w:adjustRightInd w:val="0"/>
        <w:snapToGrid w:val="0"/>
        <w:spacing w:before="648" w:beforeLines="270" w:beforeAutospacing="0" w:after="648" w:afterLines="270" w:afterAutospacing="0"/>
        <w:outlineLvl w:val="0"/>
        <w:rPr>
          <w:rFonts w:ascii="Times New Roman" w:hAnsi="Times New Roman" w:eastAsia="黑体"/>
        </w:rPr>
        <w:sectPr>
          <w:pgSz w:w="11906" w:h="16838"/>
          <w:pgMar w:top="1701" w:right="1418" w:bottom="1701" w:left="1418" w:header="851" w:footer="851" w:gutter="0"/>
          <w:cols w:space="720" w:num="1"/>
          <w:docGrid w:linePitch="312" w:charSpace="0"/>
        </w:sectPr>
      </w:pPr>
    </w:p>
    <w:p>
      <w:pPr>
        <w:pStyle w:val="17"/>
        <w:adjustRightInd w:val="0"/>
        <w:snapToGrid w:val="0"/>
        <w:spacing w:before="648" w:beforeLines="270" w:beforeAutospacing="0" w:after="648" w:afterLines="270" w:afterAutospacing="0"/>
        <w:outlineLvl w:val="0"/>
        <w:rPr>
          <w:rFonts w:ascii="Times New Roman" w:hAnsi="Times New Roman" w:eastAsia="黑体"/>
        </w:rPr>
      </w:pPr>
      <w:r>
        <w:drawing>
          <wp:inline distT="0" distB="0" distL="0" distR="0">
            <wp:extent cx="8682990" cy="5281295"/>
            <wp:effectExtent l="0" t="0" r="3810" b="0"/>
            <wp:docPr id="49" name="图片 4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示&#10;&#10;描述已自动生成"/>
                    <pic:cNvPicPr>
                      <a:picLocks noChangeAspect="1"/>
                    </pic:cNvPicPr>
                  </pic:nvPicPr>
                  <pic:blipFill>
                    <a:blip r:embed="rId62"/>
                    <a:stretch>
                      <a:fillRect/>
                    </a:stretch>
                  </pic:blipFill>
                  <pic:spPr>
                    <a:xfrm>
                      <a:off x="0" y="0"/>
                      <a:ext cx="8689642" cy="5285186"/>
                    </a:xfrm>
                    <a:prstGeom prst="rect">
                      <a:avLst/>
                    </a:prstGeom>
                  </pic:spPr>
                </pic:pic>
              </a:graphicData>
            </a:graphic>
          </wp:inline>
        </w:drawing>
      </w:r>
    </w:p>
    <w:p>
      <w:pPr>
        <w:pStyle w:val="17"/>
        <w:adjustRightInd w:val="0"/>
        <w:snapToGrid w:val="0"/>
        <w:spacing w:before="648" w:beforeLines="270" w:beforeAutospacing="0" w:after="648" w:afterLines="270" w:afterAutospacing="0"/>
        <w:outlineLvl w:val="0"/>
        <w:rPr>
          <w:rFonts w:ascii="Times New Roman" w:hAnsi="Times New Roman" w:eastAsia="黑体"/>
        </w:rPr>
      </w:pPr>
      <w:r>
        <w:drawing>
          <wp:inline distT="0" distB="0" distL="0" distR="0">
            <wp:extent cx="8673465" cy="5391785"/>
            <wp:effectExtent l="0" t="0" r="0" b="0"/>
            <wp:docPr id="50" name="图片 5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示&#10;&#10;描述已自动生成"/>
                    <pic:cNvPicPr>
                      <a:picLocks noChangeAspect="1"/>
                    </pic:cNvPicPr>
                  </pic:nvPicPr>
                  <pic:blipFill>
                    <a:blip r:embed="rId63"/>
                    <a:stretch>
                      <a:fillRect/>
                    </a:stretch>
                  </pic:blipFill>
                  <pic:spPr>
                    <a:xfrm>
                      <a:off x="0" y="0"/>
                      <a:ext cx="8678056" cy="5394397"/>
                    </a:xfrm>
                    <a:prstGeom prst="rect">
                      <a:avLst/>
                    </a:prstGeom>
                  </pic:spPr>
                </pic:pic>
              </a:graphicData>
            </a:graphic>
          </wp:inline>
        </w:drawing>
      </w:r>
    </w:p>
    <w:p>
      <w:pPr>
        <w:pStyle w:val="17"/>
        <w:adjustRightInd w:val="0"/>
        <w:snapToGrid w:val="0"/>
        <w:spacing w:before="648" w:beforeLines="270" w:beforeAutospacing="0" w:after="648" w:afterLines="270" w:afterAutospacing="0"/>
        <w:outlineLvl w:val="0"/>
        <w:rPr>
          <w:rFonts w:ascii="Times New Roman" w:hAnsi="Times New Roman" w:eastAsia="黑体"/>
        </w:rPr>
      </w:pPr>
      <w:r>
        <w:drawing>
          <wp:inline distT="0" distB="0" distL="0" distR="0">
            <wp:extent cx="8825865" cy="5501640"/>
            <wp:effectExtent l="0" t="0" r="0" b="3810"/>
            <wp:docPr id="51" name="图片 5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示&#10;&#10;描述已自动生成"/>
                    <pic:cNvPicPr>
                      <a:picLocks noChangeAspect="1"/>
                    </pic:cNvPicPr>
                  </pic:nvPicPr>
                  <pic:blipFill>
                    <a:blip r:embed="rId64"/>
                    <a:stretch>
                      <a:fillRect/>
                    </a:stretch>
                  </pic:blipFill>
                  <pic:spPr>
                    <a:xfrm>
                      <a:off x="0" y="0"/>
                      <a:ext cx="8827215" cy="5502884"/>
                    </a:xfrm>
                    <a:prstGeom prst="rect">
                      <a:avLst/>
                    </a:prstGeom>
                  </pic:spPr>
                </pic:pic>
              </a:graphicData>
            </a:graphic>
          </wp:inline>
        </w:drawing>
      </w:r>
    </w:p>
    <w:p>
      <w:pPr>
        <w:pStyle w:val="17"/>
        <w:adjustRightInd w:val="0"/>
        <w:snapToGrid w:val="0"/>
        <w:spacing w:before="648" w:beforeLines="270" w:beforeAutospacing="0" w:after="648" w:afterLines="270" w:afterAutospacing="0"/>
        <w:outlineLvl w:val="0"/>
        <w:rPr>
          <w:rFonts w:ascii="Times New Roman" w:hAnsi="Times New Roman" w:eastAsia="黑体"/>
        </w:rPr>
      </w:pPr>
      <w:r>
        <w:drawing>
          <wp:inline distT="0" distB="0" distL="0" distR="0">
            <wp:extent cx="9003665" cy="5486400"/>
            <wp:effectExtent l="0" t="0" r="6985" b="0"/>
            <wp:docPr id="52" name="图片 52"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日历&#10;&#10;描述已自动生成"/>
                    <pic:cNvPicPr>
                      <a:picLocks noChangeAspect="1"/>
                    </pic:cNvPicPr>
                  </pic:nvPicPr>
                  <pic:blipFill>
                    <a:blip r:embed="rId65"/>
                    <a:stretch>
                      <a:fillRect/>
                    </a:stretch>
                  </pic:blipFill>
                  <pic:spPr>
                    <a:xfrm>
                      <a:off x="0" y="0"/>
                      <a:ext cx="9005163" cy="5487144"/>
                    </a:xfrm>
                    <a:prstGeom prst="rect">
                      <a:avLst/>
                    </a:prstGeom>
                  </pic:spPr>
                </pic:pic>
              </a:graphicData>
            </a:graphic>
          </wp:inline>
        </w:drawing>
      </w:r>
    </w:p>
    <w:p>
      <w:pPr>
        <w:pStyle w:val="17"/>
        <w:adjustRightInd w:val="0"/>
        <w:snapToGrid w:val="0"/>
        <w:spacing w:before="648" w:beforeLines="270" w:beforeAutospacing="0" w:after="648" w:afterLines="270" w:afterAutospacing="0"/>
        <w:jc w:val="center"/>
        <w:outlineLvl w:val="0"/>
        <w:rPr>
          <w:rFonts w:ascii="Times New Roman" w:hAnsi="Times New Roman" w:eastAsia="黑体"/>
        </w:rPr>
      </w:pPr>
      <w:r>
        <w:drawing>
          <wp:inline distT="0" distB="0" distL="0" distR="0">
            <wp:extent cx="8087995" cy="5759450"/>
            <wp:effectExtent l="0" t="0" r="8255" b="0"/>
            <wp:docPr id="53" name="图片 53" descr="图示,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示, 地图&#10;&#10;描述已自动生成"/>
                    <pic:cNvPicPr>
                      <a:picLocks noChangeAspect="1"/>
                    </pic:cNvPicPr>
                  </pic:nvPicPr>
                  <pic:blipFill>
                    <a:blip r:embed="rId66"/>
                    <a:stretch>
                      <a:fillRect/>
                    </a:stretch>
                  </pic:blipFill>
                  <pic:spPr>
                    <a:xfrm>
                      <a:off x="0" y="0"/>
                      <a:ext cx="8087995" cy="5759450"/>
                    </a:xfrm>
                    <a:prstGeom prst="rect">
                      <a:avLst/>
                    </a:prstGeom>
                  </pic:spPr>
                </pic:pic>
              </a:graphicData>
            </a:graphic>
          </wp:inline>
        </w:drawing>
      </w:r>
    </w:p>
    <w:p>
      <w:pPr>
        <w:pStyle w:val="17"/>
        <w:adjustRightInd w:val="0"/>
        <w:snapToGrid w:val="0"/>
        <w:spacing w:before="648" w:beforeLines="270" w:beforeAutospacing="0" w:after="648" w:afterLines="270" w:afterAutospacing="0"/>
        <w:outlineLvl w:val="0"/>
        <w:rPr>
          <w:rFonts w:hint="eastAsia" w:ascii="Times New Roman" w:hAnsi="Times New Roman" w:eastAsia="黑体"/>
        </w:rPr>
      </w:pPr>
      <w:r>
        <w:drawing>
          <wp:inline distT="0" distB="0" distL="0" distR="0">
            <wp:extent cx="8673465" cy="5265420"/>
            <wp:effectExtent l="0" t="0" r="0" b="0"/>
            <wp:docPr id="54" name="图片 54" descr="图示,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示, 地图&#10;&#10;描述已自动生成"/>
                    <pic:cNvPicPr>
                      <a:picLocks noChangeAspect="1"/>
                    </pic:cNvPicPr>
                  </pic:nvPicPr>
                  <pic:blipFill>
                    <a:blip r:embed="rId67"/>
                    <a:stretch>
                      <a:fillRect/>
                    </a:stretch>
                  </pic:blipFill>
                  <pic:spPr>
                    <a:xfrm>
                      <a:off x="0" y="0"/>
                      <a:ext cx="8677452" cy="5268084"/>
                    </a:xfrm>
                    <a:prstGeom prst="rect">
                      <a:avLst/>
                    </a:prstGeom>
                  </pic:spPr>
                </pic:pic>
              </a:graphicData>
            </a:graphic>
          </wp:inline>
        </w:drawing>
      </w:r>
    </w:p>
    <w:sectPr>
      <w:pgSz w:w="16838" w:h="11906" w:orient="landscape"/>
      <w:pgMar w:top="1418" w:right="1701" w:bottom="1418"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方正小标宋_GBK">
    <w:altName w:val="微软雅黑"/>
    <w:panose1 w:val="00000000000000000000"/>
    <w:charset w:val="86"/>
    <w:family w:val="auto"/>
    <w:pitch w:val="default"/>
    <w:sig w:usb0="00000000" w:usb1="00000000" w:usb2="00082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Segoe UI Symbol">
    <w:panose1 w:val="020B0502040204020203"/>
    <w:charset w:val="00"/>
    <w:family w:val="swiss"/>
    <w:pitch w:val="default"/>
    <w:sig w:usb0="8000006F" w:usb1="1200FBEF" w:usb2="0064C000" w:usb3="00000002" w:csb0="00000001" w:csb1="40000000"/>
  </w:font>
  <w:font w:name="MS Gothic">
    <w:panose1 w:val="020B0609070205080204"/>
    <w:charset w:val="80"/>
    <w:family w:val="modern"/>
    <w:pitch w:val="default"/>
    <w:sig w:usb0="E00002FF" w:usb1="6AC7FDFB" w:usb2="00000012" w:usb3="00000000" w:csb0="4002009F" w:csb1="DFD7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80F3C52" w:usb2="00000016" w:usb3="00000000" w:csb0="0004001F" w:csb1="00000000"/>
  </w:font>
  <w:font w:name="MS Mincho">
    <w:panose1 w:val="02020609040205080304"/>
    <w:charset w:val="80"/>
    <w:family w:val="modern"/>
    <w:pitch w:val="default"/>
    <w:sig w:usb0="E00002FF" w:usb1="6AC7FDFB" w:usb2="00000012" w:usb3="00000000" w:csb0="4002009F" w:csb1="DFD70000"/>
  </w:font>
  <w:font w:name="等线">
    <w:altName w:val="Arial Unicode MS"/>
    <w:panose1 w:val="02010600030101010101"/>
    <w:charset w:val="86"/>
    <w:family w:val="auto"/>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 w:name="Gulim">
    <w:panose1 w:val="020B0600000101010101"/>
    <w:charset w:val="81"/>
    <w:family w:val="auto"/>
    <w:pitch w:val="default"/>
    <w:sig w:usb0="B00002AF" w:usb1="69D77CFB" w:usb2="00000030" w:usb3="00000000" w:csb0="4008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24"/>
        <w:rFonts w:ascii="宋体" w:hAnsi="宋体"/>
        <w:sz w:val="28"/>
        <w:szCs w:val="28"/>
      </w:rPr>
    </w:pPr>
    <w:r>
      <w:rPr>
        <w:rStyle w:val="24"/>
        <w:rFonts w:hint="eastAsia" w:ascii="宋体" w:hAnsi="宋体"/>
        <w:sz w:val="28"/>
        <w:szCs w:val="28"/>
      </w:rPr>
      <w:t>—</w:t>
    </w:r>
    <w:r>
      <w:rPr>
        <w:rStyle w:val="24"/>
        <w:rFonts w:ascii="宋体" w:hAnsi="宋体"/>
        <w:sz w:val="26"/>
        <w:szCs w:val="26"/>
      </w:rPr>
      <w:fldChar w:fldCharType="begin"/>
    </w:r>
    <w:r>
      <w:rPr>
        <w:rStyle w:val="24"/>
        <w:rFonts w:ascii="宋体" w:hAnsi="宋体"/>
        <w:sz w:val="26"/>
        <w:szCs w:val="26"/>
      </w:rPr>
      <w:instrText xml:space="preserve">PAGE  </w:instrText>
    </w:r>
    <w:r>
      <w:rPr>
        <w:rStyle w:val="24"/>
        <w:rFonts w:ascii="宋体" w:hAnsi="宋体"/>
        <w:sz w:val="26"/>
        <w:szCs w:val="26"/>
      </w:rPr>
      <w:fldChar w:fldCharType="separate"/>
    </w:r>
    <w:r>
      <w:rPr>
        <w:rStyle w:val="24"/>
        <w:rFonts w:ascii="宋体" w:hAnsi="宋体"/>
        <w:sz w:val="26"/>
        <w:szCs w:val="26"/>
      </w:rPr>
      <w:t>3</w:t>
    </w:r>
    <w:r>
      <w:rPr>
        <w:rStyle w:val="24"/>
        <w:rFonts w:ascii="宋体" w:hAnsi="宋体"/>
        <w:sz w:val="26"/>
        <w:szCs w:val="26"/>
      </w:rPr>
      <w:fldChar w:fldCharType="end"/>
    </w:r>
    <w:r>
      <w:rPr>
        <w:rStyle w:val="24"/>
        <w:rFonts w:hint="eastAsia" w:ascii="宋体" w:hAnsi="宋体"/>
        <w:sz w:val="28"/>
        <w:szCs w:val="28"/>
      </w:rPr>
      <w:t>—</w:t>
    </w:r>
  </w:p>
  <w:p>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4"/>
      </w:rPr>
    </w:pPr>
    <w:r>
      <w:fldChar w:fldCharType="begin"/>
    </w:r>
    <w:r>
      <w:rPr>
        <w:rStyle w:val="24"/>
      </w:rPr>
      <w:instrText xml:space="preserve">PAGE  </w:instrText>
    </w:r>
    <w:r>
      <w:fldChar w:fldCharType="separate"/>
    </w:r>
    <w:r>
      <w:rPr>
        <w:rStyle w:val="24"/>
      </w:rPr>
      <w:t>3</w: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24"/>
        <w:rFonts w:ascii="宋体" w:hAnsi="宋体"/>
        <w:sz w:val="28"/>
        <w:szCs w:val="28"/>
      </w:rPr>
    </w:pPr>
    <w:r>
      <w:rPr>
        <w:rStyle w:val="24"/>
        <w:rFonts w:hint="eastAsia" w:ascii="宋体" w:hAnsi="宋体"/>
        <w:sz w:val="28"/>
        <w:szCs w:val="28"/>
      </w:rPr>
      <w:t>—</w:t>
    </w:r>
    <w:r>
      <w:rPr>
        <w:rStyle w:val="24"/>
        <w:rFonts w:ascii="宋体" w:hAnsi="宋体"/>
        <w:sz w:val="26"/>
        <w:szCs w:val="26"/>
      </w:rPr>
      <w:fldChar w:fldCharType="begin"/>
    </w:r>
    <w:r>
      <w:rPr>
        <w:rStyle w:val="24"/>
        <w:rFonts w:ascii="宋体" w:hAnsi="宋体"/>
        <w:sz w:val="26"/>
        <w:szCs w:val="26"/>
      </w:rPr>
      <w:instrText xml:space="preserve">PAGE  </w:instrText>
    </w:r>
    <w:r>
      <w:rPr>
        <w:rStyle w:val="24"/>
        <w:rFonts w:ascii="宋体" w:hAnsi="宋体"/>
        <w:sz w:val="26"/>
        <w:szCs w:val="26"/>
      </w:rPr>
      <w:fldChar w:fldCharType="separate"/>
    </w:r>
    <w:r>
      <w:rPr>
        <w:rStyle w:val="24"/>
        <w:rFonts w:ascii="宋体" w:hAnsi="宋体"/>
        <w:sz w:val="26"/>
        <w:szCs w:val="26"/>
      </w:rPr>
      <w:t>22</w:t>
    </w:r>
    <w:r>
      <w:rPr>
        <w:rStyle w:val="24"/>
        <w:rFonts w:ascii="宋体" w:hAnsi="宋体"/>
        <w:sz w:val="26"/>
        <w:szCs w:val="26"/>
      </w:rPr>
      <w:fldChar w:fldCharType="end"/>
    </w:r>
    <w:r>
      <w:rPr>
        <w:rStyle w:val="24"/>
        <w:rFonts w:hint="eastAsia" w:ascii="宋体" w:hAnsi="宋体"/>
        <w:sz w:val="28"/>
        <w:szCs w:val="28"/>
      </w:rPr>
      <w:t>—</w:t>
    </w:r>
  </w:p>
  <w:p>
    <w:pPr>
      <w:pStyle w:val="15"/>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4"/>
        <w:rFonts w:ascii="宋体" w:hAnsi="宋体"/>
        <w:sz w:val="28"/>
        <w:szCs w:val="28"/>
      </w:rPr>
    </w:pPr>
    <w:r>
      <w:rPr>
        <w:rStyle w:val="24"/>
        <w:rFonts w:hint="eastAsia" w:ascii="宋体" w:hAnsi="宋体"/>
        <w:sz w:val="28"/>
        <w:szCs w:val="28"/>
      </w:rPr>
      <w:t>—</w:t>
    </w:r>
    <w:r>
      <w:rPr>
        <w:rStyle w:val="24"/>
        <w:rFonts w:ascii="宋体" w:hAnsi="宋体"/>
        <w:sz w:val="26"/>
        <w:szCs w:val="26"/>
      </w:rPr>
      <w:fldChar w:fldCharType="begin"/>
    </w:r>
    <w:r>
      <w:rPr>
        <w:rStyle w:val="24"/>
        <w:rFonts w:ascii="宋体" w:hAnsi="宋体"/>
        <w:sz w:val="26"/>
        <w:szCs w:val="26"/>
      </w:rPr>
      <w:instrText xml:space="preserve">PAGE  </w:instrText>
    </w:r>
    <w:r>
      <w:rPr>
        <w:rStyle w:val="24"/>
        <w:rFonts w:ascii="宋体" w:hAnsi="宋体"/>
        <w:sz w:val="26"/>
        <w:szCs w:val="26"/>
      </w:rPr>
      <w:fldChar w:fldCharType="separate"/>
    </w:r>
    <w:r>
      <w:rPr>
        <w:rStyle w:val="24"/>
        <w:rFonts w:ascii="宋体" w:hAnsi="宋体"/>
        <w:sz w:val="26"/>
        <w:szCs w:val="26"/>
      </w:rPr>
      <w:t>46</w:t>
    </w:r>
    <w:r>
      <w:rPr>
        <w:rStyle w:val="24"/>
        <w:rFonts w:ascii="宋体" w:hAnsi="宋体"/>
        <w:sz w:val="26"/>
        <w:szCs w:val="26"/>
      </w:rPr>
      <w:fldChar w:fldCharType="end"/>
    </w:r>
    <w:r>
      <w:rPr>
        <w:rStyle w:val="24"/>
        <w:rFonts w:hint="eastAsia" w:ascii="宋体" w:hAnsi="宋体"/>
        <w:sz w:val="28"/>
        <w:szCs w:val="28"/>
      </w:rPr>
      <w:t>—</w:t>
    </w:r>
  </w:p>
  <w:p>
    <w:pPr>
      <w:pStyle w:val="15"/>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4"/>
        <w:rFonts w:ascii="宋体" w:hAnsi="宋体"/>
        <w:sz w:val="28"/>
        <w:szCs w:val="28"/>
      </w:rPr>
    </w:pPr>
    <w:r>
      <w:rPr>
        <w:rStyle w:val="24"/>
        <w:rFonts w:hint="eastAsia" w:ascii="宋体" w:hAnsi="宋体"/>
        <w:sz w:val="28"/>
        <w:szCs w:val="28"/>
      </w:rPr>
      <w:t>—</w:t>
    </w:r>
    <w:r>
      <w:rPr>
        <w:rStyle w:val="24"/>
        <w:rFonts w:ascii="宋体" w:hAnsi="宋体"/>
        <w:sz w:val="26"/>
        <w:szCs w:val="26"/>
      </w:rPr>
      <w:fldChar w:fldCharType="begin"/>
    </w:r>
    <w:r>
      <w:rPr>
        <w:rStyle w:val="24"/>
        <w:rFonts w:ascii="宋体" w:hAnsi="宋体"/>
        <w:sz w:val="26"/>
        <w:szCs w:val="26"/>
      </w:rPr>
      <w:instrText xml:space="preserve">PAGE  </w:instrText>
    </w:r>
    <w:r>
      <w:rPr>
        <w:rStyle w:val="24"/>
        <w:rFonts w:ascii="宋体" w:hAnsi="宋体"/>
        <w:sz w:val="26"/>
        <w:szCs w:val="26"/>
      </w:rPr>
      <w:fldChar w:fldCharType="separate"/>
    </w:r>
    <w:r>
      <w:rPr>
        <w:rStyle w:val="24"/>
        <w:rFonts w:ascii="宋体" w:hAnsi="宋体"/>
        <w:sz w:val="26"/>
        <w:szCs w:val="26"/>
      </w:rPr>
      <w:t>80</w:t>
    </w:r>
    <w:r>
      <w:rPr>
        <w:rStyle w:val="24"/>
        <w:rFonts w:ascii="宋体" w:hAnsi="宋体"/>
        <w:sz w:val="26"/>
        <w:szCs w:val="26"/>
      </w:rPr>
      <w:fldChar w:fldCharType="end"/>
    </w:r>
    <w:r>
      <w:rPr>
        <w:rStyle w:val="24"/>
        <w:rFonts w:hint="eastAsia" w:ascii="宋体" w:hAnsi="宋体"/>
        <w:sz w:val="28"/>
        <w:szCs w:val="28"/>
      </w:rPr>
      <w:t>—</w:t>
    </w:r>
  </w:p>
  <w:p>
    <w:pPr>
      <w:pStyle w:val="15"/>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24"/>
        <w:rFonts w:ascii="宋体" w:hAnsi="宋体"/>
        <w:sz w:val="28"/>
        <w:szCs w:val="28"/>
      </w:rPr>
    </w:pPr>
    <w:r>
      <w:rPr>
        <w:rStyle w:val="24"/>
        <w:rFonts w:hint="eastAsia" w:ascii="宋体" w:hAnsi="宋体"/>
        <w:sz w:val="28"/>
        <w:szCs w:val="28"/>
      </w:rPr>
      <w:t>—</w:t>
    </w:r>
    <w:r>
      <w:rPr>
        <w:rStyle w:val="24"/>
        <w:rFonts w:ascii="宋体" w:hAnsi="宋体"/>
        <w:sz w:val="26"/>
        <w:szCs w:val="26"/>
      </w:rPr>
      <w:fldChar w:fldCharType="begin"/>
    </w:r>
    <w:r>
      <w:rPr>
        <w:rStyle w:val="24"/>
        <w:rFonts w:ascii="宋体" w:hAnsi="宋体"/>
        <w:sz w:val="26"/>
        <w:szCs w:val="26"/>
      </w:rPr>
      <w:instrText xml:space="preserve">PAGE  </w:instrText>
    </w:r>
    <w:r>
      <w:rPr>
        <w:rStyle w:val="24"/>
        <w:rFonts w:ascii="宋体" w:hAnsi="宋体"/>
        <w:sz w:val="26"/>
        <w:szCs w:val="26"/>
      </w:rPr>
      <w:fldChar w:fldCharType="separate"/>
    </w:r>
    <w:r>
      <w:rPr>
        <w:rStyle w:val="24"/>
        <w:rFonts w:ascii="宋体" w:hAnsi="宋体"/>
        <w:sz w:val="26"/>
        <w:szCs w:val="26"/>
      </w:rPr>
      <w:t>47</w:t>
    </w:r>
    <w:r>
      <w:rPr>
        <w:rStyle w:val="24"/>
        <w:rFonts w:ascii="宋体" w:hAnsi="宋体"/>
        <w:sz w:val="26"/>
        <w:szCs w:val="26"/>
      </w:rPr>
      <w:fldChar w:fldCharType="end"/>
    </w:r>
    <w:r>
      <w:rPr>
        <w:rStyle w:val="24"/>
        <w:rFonts w:hint="eastAsia" w:ascii="宋体" w:hAnsi="宋体"/>
        <w:sz w:val="28"/>
        <w:szCs w:val="28"/>
      </w:rPr>
      <w:t>—</w:t>
    </w:r>
  </w:p>
  <w:p>
    <w:pPr>
      <w:pStyle w:val="15"/>
      <w:ind w:right="360" w:firstLine="36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ViMjU0YTZlOTgyMWFkYzg1OTY4OGQ2NTUwNzlmNjEifQ=="/>
  </w:docVars>
  <w:rsids>
    <w:rsidRoot w:val="00A14947"/>
    <w:rsid w:val="00001E07"/>
    <w:rsid w:val="00002AE3"/>
    <w:rsid w:val="00003B1F"/>
    <w:rsid w:val="000060B3"/>
    <w:rsid w:val="0000674F"/>
    <w:rsid w:val="00006AD8"/>
    <w:rsid w:val="000115BC"/>
    <w:rsid w:val="00013966"/>
    <w:rsid w:val="00014AEF"/>
    <w:rsid w:val="000200D0"/>
    <w:rsid w:val="00020C5A"/>
    <w:rsid w:val="00021EAA"/>
    <w:rsid w:val="00022D2E"/>
    <w:rsid w:val="00023F0F"/>
    <w:rsid w:val="00024A8C"/>
    <w:rsid w:val="00026341"/>
    <w:rsid w:val="00026B44"/>
    <w:rsid w:val="00027DFF"/>
    <w:rsid w:val="000338A3"/>
    <w:rsid w:val="00034578"/>
    <w:rsid w:val="000347EB"/>
    <w:rsid w:val="0003530C"/>
    <w:rsid w:val="0003711F"/>
    <w:rsid w:val="00040791"/>
    <w:rsid w:val="000409B6"/>
    <w:rsid w:val="00043634"/>
    <w:rsid w:val="0004364B"/>
    <w:rsid w:val="00043F41"/>
    <w:rsid w:val="000440D0"/>
    <w:rsid w:val="00044228"/>
    <w:rsid w:val="0004436D"/>
    <w:rsid w:val="00046153"/>
    <w:rsid w:val="0005069C"/>
    <w:rsid w:val="000512D4"/>
    <w:rsid w:val="00051F85"/>
    <w:rsid w:val="000535CD"/>
    <w:rsid w:val="00053B81"/>
    <w:rsid w:val="000573CD"/>
    <w:rsid w:val="000606EC"/>
    <w:rsid w:val="00060D47"/>
    <w:rsid w:val="00061B1F"/>
    <w:rsid w:val="00062F9A"/>
    <w:rsid w:val="000635EC"/>
    <w:rsid w:val="00063A18"/>
    <w:rsid w:val="0006571B"/>
    <w:rsid w:val="000661DD"/>
    <w:rsid w:val="000663BB"/>
    <w:rsid w:val="00066A97"/>
    <w:rsid w:val="00066EA5"/>
    <w:rsid w:val="00067044"/>
    <w:rsid w:val="000670B2"/>
    <w:rsid w:val="00072A85"/>
    <w:rsid w:val="0007322F"/>
    <w:rsid w:val="000733C4"/>
    <w:rsid w:val="000736BA"/>
    <w:rsid w:val="00074377"/>
    <w:rsid w:val="000746D4"/>
    <w:rsid w:val="00074783"/>
    <w:rsid w:val="000761D4"/>
    <w:rsid w:val="0007673C"/>
    <w:rsid w:val="00076C82"/>
    <w:rsid w:val="000775D8"/>
    <w:rsid w:val="00077D4C"/>
    <w:rsid w:val="000806C3"/>
    <w:rsid w:val="0008070B"/>
    <w:rsid w:val="00080D3F"/>
    <w:rsid w:val="000810AC"/>
    <w:rsid w:val="000811A2"/>
    <w:rsid w:val="00081A02"/>
    <w:rsid w:val="00081FFB"/>
    <w:rsid w:val="00082231"/>
    <w:rsid w:val="00084791"/>
    <w:rsid w:val="000859BC"/>
    <w:rsid w:val="00087A50"/>
    <w:rsid w:val="00087F50"/>
    <w:rsid w:val="00092221"/>
    <w:rsid w:val="00092C88"/>
    <w:rsid w:val="00092D38"/>
    <w:rsid w:val="0009377B"/>
    <w:rsid w:val="00095BD9"/>
    <w:rsid w:val="0009631D"/>
    <w:rsid w:val="0009649F"/>
    <w:rsid w:val="00097850"/>
    <w:rsid w:val="000A20C9"/>
    <w:rsid w:val="000A2BEE"/>
    <w:rsid w:val="000A2DDD"/>
    <w:rsid w:val="000A3401"/>
    <w:rsid w:val="000A50E4"/>
    <w:rsid w:val="000B0465"/>
    <w:rsid w:val="000B058F"/>
    <w:rsid w:val="000B06A8"/>
    <w:rsid w:val="000B0A7C"/>
    <w:rsid w:val="000B0E08"/>
    <w:rsid w:val="000B1AAF"/>
    <w:rsid w:val="000B2FF9"/>
    <w:rsid w:val="000B3653"/>
    <w:rsid w:val="000B4467"/>
    <w:rsid w:val="000B44BA"/>
    <w:rsid w:val="000B44D8"/>
    <w:rsid w:val="000B4A17"/>
    <w:rsid w:val="000B4DB9"/>
    <w:rsid w:val="000B6964"/>
    <w:rsid w:val="000C04D8"/>
    <w:rsid w:val="000C09AC"/>
    <w:rsid w:val="000C146D"/>
    <w:rsid w:val="000C1B11"/>
    <w:rsid w:val="000C1BD7"/>
    <w:rsid w:val="000C2AC8"/>
    <w:rsid w:val="000C4682"/>
    <w:rsid w:val="000C5D2C"/>
    <w:rsid w:val="000C767F"/>
    <w:rsid w:val="000C768D"/>
    <w:rsid w:val="000C7FD0"/>
    <w:rsid w:val="000D18F5"/>
    <w:rsid w:val="000D1E57"/>
    <w:rsid w:val="000D3731"/>
    <w:rsid w:val="000D3F74"/>
    <w:rsid w:val="000D56CE"/>
    <w:rsid w:val="000D5A44"/>
    <w:rsid w:val="000D638F"/>
    <w:rsid w:val="000D68A0"/>
    <w:rsid w:val="000E11F1"/>
    <w:rsid w:val="000E1392"/>
    <w:rsid w:val="000E1576"/>
    <w:rsid w:val="000E21E2"/>
    <w:rsid w:val="000E22BD"/>
    <w:rsid w:val="000E3ED2"/>
    <w:rsid w:val="000E6EC0"/>
    <w:rsid w:val="000E745B"/>
    <w:rsid w:val="000E789E"/>
    <w:rsid w:val="000E7FA9"/>
    <w:rsid w:val="000F0346"/>
    <w:rsid w:val="000F2621"/>
    <w:rsid w:val="000F373E"/>
    <w:rsid w:val="000F4412"/>
    <w:rsid w:val="000F5398"/>
    <w:rsid w:val="000F58C3"/>
    <w:rsid w:val="000F70C3"/>
    <w:rsid w:val="000F79B5"/>
    <w:rsid w:val="001010E8"/>
    <w:rsid w:val="00103740"/>
    <w:rsid w:val="00103BD7"/>
    <w:rsid w:val="00104C60"/>
    <w:rsid w:val="0010685E"/>
    <w:rsid w:val="0010750C"/>
    <w:rsid w:val="00107904"/>
    <w:rsid w:val="00107B08"/>
    <w:rsid w:val="001103BC"/>
    <w:rsid w:val="00110F03"/>
    <w:rsid w:val="001114D3"/>
    <w:rsid w:val="00112553"/>
    <w:rsid w:val="0011295E"/>
    <w:rsid w:val="00112CC2"/>
    <w:rsid w:val="00113755"/>
    <w:rsid w:val="00115DCA"/>
    <w:rsid w:val="00117105"/>
    <w:rsid w:val="0011794C"/>
    <w:rsid w:val="00117B43"/>
    <w:rsid w:val="00117D3D"/>
    <w:rsid w:val="00120252"/>
    <w:rsid w:val="0012111D"/>
    <w:rsid w:val="001217EF"/>
    <w:rsid w:val="00122105"/>
    <w:rsid w:val="0012446B"/>
    <w:rsid w:val="00131F42"/>
    <w:rsid w:val="00131F93"/>
    <w:rsid w:val="001324E6"/>
    <w:rsid w:val="00134A55"/>
    <w:rsid w:val="001357F1"/>
    <w:rsid w:val="00135CA1"/>
    <w:rsid w:val="00135D75"/>
    <w:rsid w:val="00136145"/>
    <w:rsid w:val="0013749C"/>
    <w:rsid w:val="00137719"/>
    <w:rsid w:val="0014019C"/>
    <w:rsid w:val="00140B32"/>
    <w:rsid w:val="00140B8E"/>
    <w:rsid w:val="00140FA8"/>
    <w:rsid w:val="001412B0"/>
    <w:rsid w:val="001418F3"/>
    <w:rsid w:val="00141B86"/>
    <w:rsid w:val="0014254A"/>
    <w:rsid w:val="00142E7C"/>
    <w:rsid w:val="00142FEB"/>
    <w:rsid w:val="00143253"/>
    <w:rsid w:val="00143A2D"/>
    <w:rsid w:val="00143BC3"/>
    <w:rsid w:val="00144395"/>
    <w:rsid w:val="00145A41"/>
    <w:rsid w:val="00145C1A"/>
    <w:rsid w:val="00146A90"/>
    <w:rsid w:val="00150423"/>
    <w:rsid w:val="00151365"/>
    <w:rsid w:val="00151551"/>
    <w:rsid w:val="00151576"/>
    <w:rsid w:val="0015163E"/>
    <w:rsid w:val="00151675"/>
    <w:rsid w:val="00151C81"/>
    <w:rsid w:val="00154624"/>
    <w:rsid w:val="00154977"/>
    <w:rsid w:val="00154ED9"/>
    <w:rsid w:val="001555AA"/>
    <w:rsid w:val="00155620"/>
    <w:rsid w:val="00156C74"/>
    <w:rsid w:val="00156DAA"/>
    <w:rsid w:val="00157435"/>
    <w:rsid w:val="00160A78"/>
    <w:rsid w:val="0016185E"/>
    <w:rsid w:val="00161F43"/>
    <w:rsid w:val="0016220E"/>
    <w:rsid w:val="00162CE8"/>
    <w:rsid w:val="00163085"/>
    <w:rsid w:val="0016588E"/>
    <w:rsid w:val="00167B0C"/>
    <w:rsid w:val="00171112"/>
    <w:rsid w:val="00172F34"/>
    <w:rsid w:val="0017504D"/>
    <w:rsid w:val="0017671A"/>
    <w:rsid w:val="00176E4C"/>
    <w:rsid w:val="00177422"/>
    <w:rsid w:val="001810E9"/>
    <w:rsid w:val="00181AD6"/>
    <w:rsid w:val="00182703"/>
    <w:rsid w:val="0018357D"/>
    <w:rsid w:val="00184590"/>
    <w:rsid w:val="001866F1"/>
    <w:rsid w:val="001870D1"/>
    <w:rsid w:val="0018781E"/>
    <w:rsid w:val="00190263"/>
    <w:rsid w:val="001922A1"/>
    <w:rsid w:val="0019262D"/>
    <w:rsid w:val="00193B5A"/>
    <w:rsid w:val="001958E1"/>
    <w:rsid w:val="0019764D"/>
    <w:rsid w:val="00197CDC"/>
    <w:rsid w:val="001A09F0"/>
    <w:rsid w:val="001A0FFC"/>
    <w:rsid w:val="001A1144"/>
    <w:rsid w:val="001A1B35"/>
    <w:rsid w:val="001A22BE"/>
    <w:rsid w:val="001A2F7A"/>
    <w:rsid w:val="001A3A93"/>
    <w:rsid w:val="001A42EF"/>
    <w:rsid w:val="001A47E2"/>
    <w:rsid w:val="001A48A2"/>
    <w:rsid w:val="001A502B"/>
    <w:rsid w:val="001A57CC"/>
    <w:rsid w:val="001A5AF3"/>
    <w:rsid w:val="001A685C"/>
    <w:rsid w:val="001A6E35"/>
    <w:rsid w:val="001A6F61"/>
    <w:rsid w:val="001A749B"/>
    <w:rsid w:val="001A7801"/>
    <w:rsid w:val="001A7AE0"/>
    <w:rsid w:val="001B0B8E"/>
    <w:rsid w:val="001B0DB8"/>
    <w:rsid w:val="001B11B8"/>
    <w:rsid w:val="001B3841"/>
    <w:rsid w:val="001B44F1"/>
    <w:rsid w:val="001B462C"/>
    <w:rsid w:val="001B56E2"/>
    <w:rsid w:val="001B5CC1"/>
    <w:rsid w:val="001B72B8"/>
    <w:rsid w:val="001B7C68"/>
    <w:rsid w:val="001B7D5A"/>
    <w:rsid w:val="001C0E81"/>
    <w:rsid w:val="001C1863"/>
    <w:rsid w:val="001C6331"/>
    <w:rsid w:val="001C69B3"/>
    <w:rsid w:val="001C74B4"/>
    <w:rsid w:val="001D1114"/>
    <w:rsid w:val="001D1B4D"/>
    <w:rsid w:val="001D20DB"/>
    <w:rsid w:val="001D3E31"/>
    <w:rsid w:val="001D4EAD"/>
    <w:rsid w:val="001D5595"/>
    <w:rsid w:val="001D64D5"/>
    <w:rsid w:val="001D64E8"/>
    <w:rsid w:val="001D7874"/>
    <w:rsid w:val="001D7F22"/>
    <w:rsid w:val="001E08FC"/>
    <w:rsid w:val="001E29B8"/>
    <w:rsid w:val="001E2D5A"/>
    <w:rsid w:val="001E2EA2"/>
    <w:rsid w:val="001E35B8"/>
    <w:rsid w:val="001E395F"/>
    <w:rsid w:val="001E3EF9"/>
    <w:rsid w:val="001E5C65"/>
    <w:rsid w:val="001F06DE"/>
    <w:rsid w:val="001F08D7"/>
    <w:rsid w:val="001F0F17"/>
    <w:rsid w:val="001F1A6B"/>
    <w:rsid w:val="001F3236"/>
    <w:rsid w:val="001F3347"/>
    <w:rsid w:val="001F34E7"/>
    <w:rsid w:val="001F39F9"/>
    <w:rsid w:val="001F55EE"/>
    <w:rsid w:val="001F69E4"/>
    <w:rsid w:val="001F6A08"/>
    <w:rsid w:val="001F6BFB"/>
    <w:rsid w:val="001F7026"/>
    <w:rsid w:val="001F727D"/>
    <w:rsid w:val="001F789F"/>
    <w:rsid w:val="001F7CDE"/>
    <w:rsid w:val="00202C6D"/>
    <w:rsid w:val="00203BD7"/>
    <w:rsid w:val="00203E02"/>
    <w:rsid w:val="00206B6C"/>
    <w:rsid w:val="0021042F"/>
    <w:rsid w:val="00211DB3"/>
    <w:rsid w:val="002125B4"/>
    <w:rsid w:val="002125E8"/>
    <w:rsid w:val="00212B44"/>
    <w:rsid w:val="00213223"/>
    <w:rsid w:val="002148E2"/>
    <w:rsid w:val="00214F43"/>
    <w:rsid w:val="002155B8"/>
    <w:rsid w:val="0021630E"/>
    <w:rsid w:val="00216492"/>
    <w:rsid w:val="00217020"/>
    <w:rsid w:val="00217136"/>
    <w:rsid w:val="0021751D"/>
    <w:rsid w:val="00221F11"/>
    <w:rsid w:val="00222574"/>
    <w:rsid w:val="002225AA"/>
    <w:rsid w:val="00224839"/>
    <w:rsid w:val="002249B2"/>
    <w:rsid w:val="00226574"/>
    <w:rsid w:val="00226C00"/>
    <w:rsid w:val="0022700C"/>
    <w:rsid w:val="002278EC"/>
    <w:rsid w:val="00230030"/>
    <w:rsid w:val="002307B4"/>
    <w:rsid w:val="00230E49"/>
    <w:rsid w:val="0023145C"/>
    <w:rsid w:val="002325D4"/>
    <w:rsid w:val="0023280E"/>
    <w:rsid w:val="002331B6"/>
    <w:rsid w:val="002337AD"/>
    <w:rsid w:val="00234198"/>
    <w:rsid w:val="0023437E"/>
    <w:rsid w:val="002353AD"/>
    <w:rsid w:val="00235E54"/>
    <w:rsid w:val="00236EF9"/>
    <w:rsid w:val="002377D1"/>
    <w:rsid w:val="00237910"/>
    <w:rsid w:val="0024096E"/>
    <w:rsid w:val="00241F6B"/>
    <w:rsid w:val="00242868"/>
    <w:rsid w:val="002506BC"/>
    <w:rsid w:val="00251737"/>
    <w:rsid w:val="00254345"/>
    <w:rsid w:val="00255843"/>
    <w:rsid w:val="0025673A"/>
    <w:rsid w:val="0025798F"/>
    <w:rsid w:val="002602D0"/>
    <w:rsid w:val="002629F1"/>
    <w:rsid w:val="002643E6"/>
    <w:rsid w:val="00264557"/>
    <w:rsid w:val="00264E02"/>
    <w:rsid w:val="002657BE"/>
    <w:rsid w:val="002670FC"/>
    <w:rsid w:val="00267C0E"/>
    <w:rsid w:val="00267C63"/>
    <w:rsid w:val="002711CE"/>
    <w:rsid w:val="00273C84"/>
    <w:rsid w:val="00274BD2"/>
    <w:rsid w:val="00275B60"/>
    <w:rsid w:val="0027614A"/>
    <w:rsid w:val="002777CA"/>
    <w:rsid w:val="0027793A"/>
    <w:rsid w:val="002805AB"/>
    <w:rsid w:val="002833EB"/>
    <w:rsid w:val="00284204"/>
    <w:rsid w:val="002852EA"/>
    <w:rsid w:val="00291773"/>
    <w:rsid w:val="00292729"/>
    <w:rsid w:val="00292949"/>
    <w:rsid w:val="0029396B"/>
    <w:rsid w:val="002952FC"/>
    <w:rsid w:val="00295596"/>
    <w:rsid w:val="00295D37"/>
    <w:rsid w:val="00297016"/>
    <w:rsid w:val="002A0589"/>
    <w:rsid w:val="002A168C"/>
    <w:rsid w:val="002A1877"/>
    <w:rsid w:val="002A3784"/>
    <w:rsid w:val="002A3910"/>
    <w:rsid w:val="002A3DC7"/>
    <w:rsid w:val="002A42D1"/>
    <w:rsid w:val="002A4338"/>
    <w:rsid w:val="002A5EF9"/>
    <w:rsid w:val="002A6800"/>
    <w:rsid w:val="002B1443"/>
    <w:rsid w:val="002B365E"/>
    <w:rsid w:val="002B3698"/>
    <w:rsid w:val="002B49E2"/>
    <w:rsid w:val="002B4D3E"/>
    <w:rsid w:val="002B6236"/>
    <w:rsid w:val="002B64B4"/>
    <w:rsid w:val="002B78D2"/>
    <w:rsid w:val="002B7B00"/>
    <w:rsid w:val="002B7C44"/>
    <w:rsid w:val="002C1118"/>
    <w:rsid w:val="002C27BC"/>
    <w:rsid w:val="002C2B17"/>
    <w:rsid w:val="002C3B3B"/>
    <w:rsid w:val="002C43C8"/>
    <w:rsid w:val="002C4DD4"/>
    <w:rsid w:val="002C70D3"/>
    <w:rsid w:val="002D0521"/>
    <w:rsid w:val="002D1BD0"/>
    <w:rsid w:val="002D2E67"/>
    <w:rsid w:val="002D39A8"/>
    <w:rsid w:val="002D3A9C"/>
    <w:rsid w:val="002D3DD0"/>
    <w:rsid w:val="002D54D9"/>
    <w:rsid w:val="002D648D"/>
    <w:rsid w:val="002D696D"/>
    <w:rsid w:val="002D6DC2"/>
    <w:rsid w:val="002D780A"/>
    <w:rsid w:val="002D7BFD"/>
    <w:rsid w:val="002E1BA7"/>
    <w:rsid w:val="002E1F3A"/>
    <w:rsid w:val="002E2381"/>
    <w:rsid w:val="002E298A"/>
    <w:rsid w:val="002E60E1"/>
    <w:rsid w:val="002E7E50"/>
    <w:rsid w:val="002F07BD"/>
    <w:rsid w:val="002F13BC"/>
    <w:rsid w:val="002F3D73"/>
    <w:rsid w:val="002F6851"/>
    <w:rsid w:val="002F7E19"/>
    <w:rsid w:val="0030055A"/>
    <w:rsid w:val="00301978"/>
    <w:rsid w:val="00301DB5"/>
    <w:rsid w:val="0030332C"/>
    <w:rsid w:val="003051C2"/>
    <w:rsid w:val="00305BEC"/>
    <w:rsid w:val="003071D6"/>
    <w:rsid w:val="003106B1"/>
    <w:rsid w:val="00310F89"/>
    <w:rsid w:val="00312296"/>
    <w:rsid w:val="00312896"/>
    <w:rsid w:val="003149F2"/>
    <w:rsid w:val="00314F0E"/>
    <w:rsid w:val="00316B50"/>
    <w:rsid w:val="0031701F"/>
    <w:rsid w:val="00321D8E"/>
    <w:rsid w:val="003220D5"/>
    <w:rsid w:val="00322798"/>
    <w:rsid w:val="0032280C"/>
    <w:rsid w:val="003248A1"/>
    <w:rsid w:val="00325928"/>
    <w:rsid w:val="00326293"/>
    <w:rsid w:val="00326994"/>
    <w:rsid w:val="00326DA1"/>
    <w:rsid w:val="0033018A"/>
    <w:rsid w:val="0033092B"/>
    <w:rsid w:val="00332863"/>
    <w:rsid w:val="0033482A"/>
    <w:rsid w:val="0033684D"/>
    <w:rsid w:val="00337B42"/>
    <w:rsid w:val="00340EF4"/>
    <w:rsid w:val="00341277"/>
    <w:rsid w:val="00341B42"/>
    <w:rsid w:val="0034348F"/>
    <w:rsid w:val="00344B12"/>
    <w:rsid w:val="00344BF4"/>
    <w:rsid w:val="00345040"/>
    <w:rsid w:val="003455CE"/>
    <w:rsid w:val="00346FC9"/>
    <w:rsid w:val="00347A52"/>
    <w:rsid w:val="00350AC3"/>
    <w:rsid w:val="003518EE"/>
    <w:rsid w:val="00353895"/>
    <w:rsid w:val="00356653"/>
    <w:rsid w:val="00356D0F"/>
    <w:rsid w:val="00356FCE"/>
    <w:rsid w:val="0035743F"/>
    <w:rsid w:val="0035778C"/>
    <w:rsid w:val="00357BE2"/>
    <w:rsid w:val="0036105B"/>
    <w:rsid w:val="0036170C"/>
    <w:rsid w:val="00361AC5"/>
    <w:rsid w:val="00362718"/>
    <w:rsid w:val="00366300"/>
    <w:rsid w:val="00366E0F"/>
    <w:rsid w:val="00367810"/>
    <w:rsid w:val="00367E4C"/>
    <w:rsid w:val="00370A5E"/>
    <w:rsid w:val="003719C3"/>
    <w:rsid w:val="003724F8"/>
    <w:rsid w:val="00372B33"/>
    <w:rsid w:val="003766E7"/>
    <w:rsid w:val="00376F01"/>
    <w:rsid w:val="00377299"/>
    <w:rsid w:val="0038061D"/>
    <w:rsid w:val="00381A72"/>
    <w:rsid w:val="00381D1D"/>
    <w:rsid w:val="00382444"/>
    <w:rsid w:val="003824A4"/>
    <w:rsid w:val="003836AB"/>
    <w:rsid w:val="003841DB"/>
    <w:rsid w:val="00384676"/>
    <w:rsid w:val="00386B47"/>
    <w:rsid w:val="003875A4"/>
    <w:rsid w:val="003879A6"/>
    <w:rsid w:val="00387B35"/>
    <w:rsid w:val="00390857"/>
    <w:rsid w:val="00390D48"/>
    <w:rsid w:val="00390D92"/>
    <w:rsid w:val="00390F03"/>
    <w:rsid w:val="003912EE"/>
    <w:rsid w:val="00391A5C"/>
    <w:rsid w:val="00391BA0"/>
    <w:rsid w:val="00392170"/>
    <w:rsid w:val="003958F9"/>
    <w:rsid w:val="003A0033"/>
    <w:rsid w:val="003A0712"/>
    <w:rsid w:val="003A3338"/>
    <w:rsid w:val="003A4BF3"/>
    <w:rsid w:val="003A645F"/>
    <w:rsid w:val="003A70A4"/>
    <w:rsid w:val="003B10C6"/>
    <w:rsid w:val="003B16A4"/>
    <w:rsid w:val="003B1D93"/>
    <w:rsid w:val="003B25BB"/>
    <w:rsid w:val="003B420D"/>
    <w:rsid w:val="003B5A2C"/>
    <w:rsid w:val="003B5EDD"/>
    <w:rsid w:val="003B66DD"/>
    <w:rsid w:val="003B6CF2"/>
    <w:rsid w:val="003B773D"/>
    <w:rsid w:val="003C0497"/>
    <w:rsid w:val="003C0B73"/>
    <w:rsid w:val="003C13E9"/>
    <w:rsid w:val="003C361F"/>
    <w:rsid w:val="003C50C2"/>
    <w:rsid w:val="003C66C1"/>
    <w:rsid w:val="003C6C16"/>
    <w:rsid w:val="003D0101"/>
    <w:rsid w:val="003D03BE"/>
    <w:rsid w:val="003D03DD"/>
    <w:rsid w:val="003D0638"/>
    <w:rsid w:val="003D309C"/>
    <w:rsid w:val="003D3E3F"/>
    <w:rsid w:val="003D4949"/>
    <w:rsid w:val="003D4984"/>
    <w:rsid w:val="003D6E77"/>
    <w:rsid w:val="003D6EB4"/>
    <w:rsid w:val="003D77D1"/>
    <w:rsid w:val="003D794D"/>
    <w:rsid w:val="003D7BAC"/>
    <w:rsid w:val="003E3058"/>
    <w:rsid w:val="003E7254"/>
    <w:rsid w:val="003E746D"/>
    <w:rsid w:val="003E76A9"/>
    <w:rsid w:val="003F0046"/>
    <w:rsid w:val="003F05CC"/>
    <w:rsid w:val="003F0809"/>
    <w:rsid w:val="003F0EB6"/>
    <w:rsid w:val="003F0FC4"/>
    <w:rsid w:val="003F12F3"/>
    <w:rsid w:val="003F3262"/>
    <w:rsid w:val="003F385D"/>
    <w:rsid w:val="003F3C28"/>
    <w:rsid w:val="003F4720"/>
    <w:rsid w:val="003F55EB"/>
    <w:rsid w:val="003F5FB3"/>
    <w:rsid w:val="003F5FF3"/>
    <w:rsid w:val="003F6A8C"/>
    <w:rsid w:val="003F715C"/>
    <w:rsid w:val="003F755C"/>
    <w:rsid w:val="003F75AD"/>
    <w:rsid w:val="00401785"/>
    <w:rsid w:val="0040284C"/>
    <w:rsid w:val="0040294C"/>
    <w:rsid w:val="00405BE9"/>
    <w:rsid w:val="00406843"/>
    <w:rsid w:val="00406F01"/>
    <w:rsid w:val="0041017A"/>
    <w:rsid w:val="004102B6"/>
    <w:rsid w:val="0041053B"/>
    <w:rsid w:val="00410F7B"/>
    <w:rsid w:val="004121B1"/>
    <w:rsid w:val="00412828"/>
    <w:rsid w:val="004136E8"/>
    <w:rsid w:val="004146B4"/>
    <w:rsid w:val="004158C1"/>
    <w:rsid w:val="004158E9"/>
    <w:rsid w:val="00415986"/>
    <w:rsid w:val="00416D50"/>
    <w:rsid w:val="00416FD5"/>
    <w:rsid w:val="00417772"/>
    <w:rsid w:val="00420522"/>
    <w:rsid w:val="004205F5"/>
    <w:rsid w:val="00420E6A"/>
    <w:rsid w:val="0042114B"/>
    <w:rsid w:val="00421E28"/>
    <w:rsid w:val="00424BC6"/>
    <w:rsid w:val="00424BD4"/>
    <w:rsid w:val="00425A9E"/>
    <w:rsid w:val="00425D02"/>
    <w:rsid w:val="004269EF"/>
    <w:rsid w:val="00426D6B"/>
    <w:rsid w:val="00426F4A"/>
    <w:rsid w:val="004271C2"/>
    <w:rsid w:val="00427FAB"/>
    <w:rsid w:val="00430DFE"/>
    <w:rsid w:val="00431B0E"/>
    <w:rsid w:val="00431CC2"/>
    <w:rsid w:val="00431E6C"/>
    <w:rsid w:val="004320DB"/>
    <w:rsid w:val="00432BBB"/>
    <w:rsid w:val="00432E52"/>
    <w:rsid w:val="00433CE7"/>
    <w:rsid w:val="00433F42"/>
    <w:rsid w:val="004355B1"/>
    <w:rsid w:val="00435814"/>
    <w:rsid w:val="004366F0"/>
    <w:rsid w:val="00437758"/>
    <w:rsid w:val="004379E9"/>
    <w:rsid w:val="00437EF0"/>
    <w:rsid w:val="004417E5"/>
    <w:rsid w:val="00441B3D"/>
    <w:rsid w:val="00441B93"/>
    <w:rsid w:val="004425C4"/>
    <w:rsid w:val="00442F30"/>
    <w:rsid w:val="00442FC9"/>
    <w:rsid w:val="00443717"/>
    <w:rsid w:val="00444734"/>
    <w:rsid w:val="004454B6"/>
    <w:rsid w:val="00447162"/>
    <w:rsid w:val="00447191"/>
    <w:rsid w:val="00447AC0"/>
    <w:rsid w:val="00447E64"/>
    <w:rsid w:val="004522E1"/>
    <w:rsid w:val="00452738"/>
    <w:rsid w:val="00454790"/>
    <w:rsid w:val="00454D19"/>
    <w:rsid w:val="00456091"/>
    <w:rsid w:val="00456B2C"/>
    <w:rsid w:val="004574AF"/>
    <w:rsid w:val="00460E7C"/>
    <w:rsid w:val="00462A3B"/>
    <w:rsid w:val="0046307D"/>
    <w:rsid w:val="0046384E"/>
    <w:rsid w:val="0046453A"/>
    <w:rsid w:val="00464878"/>
    <w:rsid w:val="00465A5E"/>
    <w:rsid w:val="00466321"/>
    <w:rsid w:val="0046756B"/>
    <w:rsid w:val="004710B3"/>
    <w:rsid w:val="004716B0"/>
    <w:rsid w:val="004717B8"/>
    <w:rsid w:val="00471CED"/>
    <w:rsid w:val="00476C55"/>
    <w:rsid w:val="00476C7F"/>
    <w:rsid w:val="00477321"/>
    <w:rsid w:val="004775D8"/>
    <w:rsid w:val="00477715"/>
    <w:rsid w:val="00480762"/>
    <w:rsid w:val="00481B18"/>
    <w:rsid w:val="004833F2"/>
    <w:rsid w:val="00483C5A"/>
    <w:rsid w:val="00484B9B"/>
    <w:rsid w:val="004855F6"/>
    <w:rsid w:val="004865FA"/>
    <w:rsid w:val="0048661E"/>
    <w:rsid w:val="00487C14"/>
    <w:rsid w:val="00491218"/>
    <w:rsid w:val="0049268B"/>
    <w:rsid w:val="004940AE"/>
    <w:rsid w:val="00494670"/>
    <w:rsid w:val="00494B76"/>
    <w:rsid w:val="0049793D"/>
    <w:rsid w:val="004A3823"/>
    <w:rsid w:val="004A4DC0"/>
    <w:rsid w:val="004A544D"/>
    <w:rsid w:val="004A59FC"/>
    <w:rsid w:val="004A5FA4"/>
    <w:rsid w:val="004A7A91"/>
    <w:rsid w:val="004B1A9B"/>
    <w:rsid w:val="004B31E4"/>
    <w:rsid w:val="004B3433"/>
    <w:rsid w:val="004B3782"/>
    <w:rsid w:val="004B4270"/>
    <w:rsid w:val="004B4675"/>
    <w:rsid w:val="004B4B93"/>
    <w:rsid w:val="004B4CA0"/>
    <w:rsid w:val="004B68A4"/>
    <w:rsid w:val="004B76F0"/>
    <w:rsid w:val="004C0872"/>
    <w:rsid w:val="004C36E0"/>
    <w:rsid w:val="004C4908"/>
    <w:rsid w:val="004C4CAC"/>
    <w:rsid w:val="004C6517"/>
    <w:rsid w:val="004C6632"/>
    <w:rsid w:val="004C6865"/>
    <w:rsid w:val="004C750F"/>
    <w:rsid w:val="004C78FC"/>
    <w:rsid w:val="004C7D81"/>
    <w:rsid w:val="004D0170"/>
    <w:rsid w:val="004D047F"/>
    <w:rsid w:val="004D13C8"/>
    <w:rsid w:val="004D1BE2"/>
    <w:rsid w:val="004D1DAE"/>
    <w:rsid w:val="004D1EE0"/>
    <w:rsid w:val="004D36EF"/>
    <w:rsid w:val="004D473D"/>
    <w:rsid w:val="004D4C7D"/>
    <w:rsid w:val="004D52D1"/>
    <w:rsid w:val="004D55D3"/>
    <w:rsid w:val="004D5B1C"/>
    <w:rsid w:val="004D5F2D"/>
    <w:rsid w:val="004D60D8"/>
    <w:rsid w:val="004D730A"/>
    <w:rsid w:val="004D741A"/>
    <w:rsid w:val="004D766B"/>
    <w:rsid w:val="004D7685"/>
    <w:rsid w:val="004E054F"/>
    <w:rsid w:val="004E061B"/>
    <w:rsid w:val="004E32C6"/>
    <w:rsid w:val="004E53D4"/>
    <w:rsid w:val="004E688F"/>
    <w:rsid w:val="004E6946"/>
    <w:rsid w:val="004E7277"/>
    <w:rsid w:val="004F1AD8"/>
    <w:rsid w:val="004F1D39"/>
    <w:rsid w:val="004F27B3"/>
    <w:rsid w:val="004F4875"/>
    <w:rsid w:val="004F575C"/>
    <w:rsid w:val="00500895"/>
    <w:rsid w:val="0050354F"/>
    <w:rsid w:val="005039CB"/>
    <w:rsid w:val="00503A3B"/>
    <w:rsid w:val="00503C3E"/>
    <w:rsid w:val="005053FD"/>
    <w:rsid w:val="00505407"/>
    <w:rsid w:val="0050558F"/>
    <w:rsid w:val="00506286"/>
    <w:rsid w:val="00507153"/>
    <w:rsid w:val="00510813"/>
    <w:rsid w:val="00510A06"/>
    <w:rsid w:val="00510DF8"/>
    <w:rsid w:val="0051126C"/>
    <w:rsid w:val="005115F5"/>
    <w:rsid w:val="00511990"/>
    <w:rsid w:val="00511DE0"/>
    <w:rsid w:val="00511EAB"/>
    <w:rsid w:val="005123B9"/>
    <w:rsid w:val="00514870"/>
    <w:rsid w:val="00514B9B"/>
    <w:rsid w:val="00515E3B"/>
    <w:rsid w:val="00516C5F"/>
    <w:rsid w:val="00517CAE"/>
    <w:rsid w:val="00517E32"/>
    <w:rsid w:val="00517EEF"/>
    <w:rsid w:val="00517F02"/>
    <w:rsid w:val="00521C03"/>
    <w:rsid w:val="00523A26"/>
    <w:rsid w:val="00524303"/>
    <w:rsid w:val="005258A2"/>
    <w:rsid w:val="005263A4"/>
    <w:rsid w:val="0052695D"/>
    <w:rsid w:val="00530229"/>
    <w:rsid w:val="005303CB"/>
    <w:rsid w:val="00530C71"/>
    <w:rsid w:val="00530F3B"/>
    <w:rsid w:val="00531E6C"/>
    <w:rsid w:val="00531F88"/>
    <w:rsid w:val="005320C6"/>
    <w:rsid w:val="00533944"/>
    <w:rsid w:val="00535620"/>
    <w:rsid w:val="0053779A"/>
    <w:rsid w:val="00537D60"/>
    <w:rsid w:val="005401AE"/>
    <w:rsid w:val="00541449"/>
    <w:rsid w:val="00541B01"/>
    <w:rsid w:val="00542E07"/>
    <w:rsid w:val="00545424"/>
    <w:rsid w:val="005473A6"/>
    <w:rsid w:val="005500C2"/>
    <w:rsid w:val="00550E4C"/>
    <w:rsid w:val="00554803"/>
    <w:rsid w:val="00554A7B"/>
    <w:rsid w:val="0055572C"/>
    <w:rsid w:val="005560BB"/>
    <w:rsid w:val="0056106A"/>
    <w:rsid w:val="00563982"/>
    <w:rsid w:val="005672F2"/>
    <w:rsid w:val="005720AE"/>
    <w:rsid w:val="00572407"/>
    <w:rsid w:val="00572C1F"/>
    <w:rsid w:val="00573252"/>
    <w:rsid w:val="00573688"/>
    <w:rsid w:val="0057374F"/>
    <w:rsid w:val="0057460D"/>
    <w:rsid w:val="00575407"/>
    <w:rsid w:val="00575900"/>
    <w:rsid w:val="005760D4"/>
    <w:rsid w:val="00580A88"/>
    <w:rsid w:val="00580F9A"/>
    <w:rsid w:val="0058147D"/>
    <w:rsid w:val="00581C01"/>
    <w:rsid w:val="00582B7C"/>
    <w:rsid w:val="005845F5"/>
    <w:rsid w:val="00584C97"/>
    <w:rsid w:val="00585CF4"/>
    <w:rsid w:val="005864A4"/>
    <w:rsid w:val="005866DA"/>
    <w:rsid w:val="00586811"/>
    <w:rsid w:val="00586F30"/>
    <w:rsid w:val="00587063"/>
    <w:rsid w:val="0059272E"/>
    <w:rsid w:val="00592A6B"/>
    <w:rsid w:val="00592C99"/>
    <w:rsid w:val="00594D77"/>
    <w:rsid w:val="005957C9"/>
    <w:rsid w:val="005962F6"/>
    <w:rsid w:val="005969E4"/>
    <w:rsid w:val="00597187"/>
    <w:rsid w:val="005A06B7"/>
    <w:rsid w:val="005A07AD"/>
    <w:rsid w:val="005A0954"/>
    <w:rsid w:val="005A1759"/>
    <w:rsid w:val="005A2882"/>
    <w:rsid w:val="005A2947"/>
    <w:rsid w:val="005A2DC2"/>
    <w:rsid w:val="005A3B75"/>
    <w:rsid w:val="005A3BA7"/>
    <w:rsid w:val="005A68A7"/>
    <w:rsid w:val="005A6CFD"/>
    <w:rsid w:val="005A6E29"/>
    <w:rsid w:val="005A716E"/>
    <w:rsid w:val="005A7F86"/>
    <w:rsid w:val="005B04FD"/>
    <w:rsid w:val="005B1D64"/>
    <w:rsid w:val="005B235B"/>
    <w:rsid w:val="005B2D1D"/>
    <w:rsid w:val="005B38A1"/>
    <w:rsid w:val="005B3E23"/>
    <w:rsid w:val="005B3F7E"/>
    <w:rsid w:val="005B5B94"/>
    <w:rsid w:val="005B7851"/>
    <w:rsid w:val="005C16A0"/>
    <w:rsid w:val="005C1C34"/>
    <w:rsid w:val="005C1D9B"/>
    <w:rsid w:val="005C4B0A"/>
    <w:rsid w:val="005C4D8E"/>
    <w:rsid w:val="005C65C8"/>
    <w:rsid w:val="005C6D44"/>
    <w:rsid w:val="005C73E7"/>
    <w:rsid w:val="005C7420"/>
    <w:rsid w:val="005C750E"/>
    <w:rsid w:val="005D0643"/>
    <w:rsid w:val="005D0916"/>
    <w:rsid w:val="005D09C7"/>
    <w:rsid w:val="005D11D7"/>
    <w:rsid w:val="005D2480"/>
    <w:rsid w:val="005D2E66"/>
    <w:rsid w:val="005D3291"/>
    <w:rsid w:val="005D36AB"/>
    <w:rsid w:val="005D3C3E"/>
    <w:rsid w:val="005D3E21"/>
    <w:rsid w:val="005D3FB9"/>
    <w:rsid w:val="005D68E6"/>
    <w:rsid w:val="005D69B4"/>
    <w:rsid w:val="005D7505"/>
    <w:rsid w:val="005E1B8F"/>
    <w:rsid w:val="005E1EAA"/>
    <w:rsid w:val="005E2B7F"/>
    <w:rsid w:val="005E2BE2"/>
    <w:rsid w:val="005E30B7"/>
    <w:rsid w:val="005E4747"/>
    <w:rsid w:val="005E4AC7"/>
    <w:rsid w:val="005E4BF0"/>
    <w:rsid w:val="005E55E5"/>
    <w:rsid w:val="005F1A87"/>
    <w:rsid w:val="005F2476"/>
    <w:rsid w:val="005F3D57"/>
    <w:rsid w:val="005F3F3C"/>
    <w:rsid w:val="005F4821"/>
    <w:rsid w:val="005F4FBC"/>
    <w:rsid w:val="005F58DB"/>
    <w:rsid w:val="005F633F"/>
    <w:rsid w:val="005F7B42"/>
    <w:rsid w:val="00600380"/>
    <w:rsid w:val="00601C62"/>
    <w:rsid w:val="00606115"/>
    <w:rsid w:val="006079DA"/>
    <w:rsid w:val="00607C85"/>
    <w:rsid w:val="00610992"/>
    <w:rsid w:val="00611A9E"/>
    <w:rsid w:val="00612343"/>
    <w:rsid w:val="00612C45"/>
    <w:rsid w:val="00614F57"/>
    <w:rsid w:val="006156B5"/>
    <w:rsid w:val="00617CC3"/>
    <w:rsid w:val="0062043D"/>
    <w:rsid w:val="00620BC5"/>
    <w:rsid w:val="00620DBA"/>
    <w:rsid w:val="00621A7A"/>
    <w:rsid w:val="00621E5E"/>
    <w:rsid w:val="00623B45"/>
    <w:rsid w:val="00624868"/>
    <w:rsid w:val="0062597D"/>
    <w:rsid w:val="006265CC"/>
    <w:rsid w:val="00626647"/>
    <w:rsid w:val="0063071E"/>
    <w:rsid w:val="006319FE"/>
    <w:rsid w:val="00631B41"/>
    <w:rsid w:val="00632D4F"/>
    <w:rsid w:val="00633287"/>
    <w:rsid w:val="006334F3"/>
    <w:rsid w:val="0063619D"/>
    <w:rsid w:val="006371C6"/>
    <w:rsid w:val="006377A6"/>
    <w:rsid w:val="00637A3D"/>
    <w:rsid w:val="0064119D"/>
    <w:rsid w:val="006411EF"/>
    <w:rsid w:val="0064139B"/>
    <w:rsid w:val="0064179B"/>
    <w:rsid w:val="0064259A"/>
    <w:rsid w:val="0064259F"/>
    <w:rsid w:val="0064281B"/>
    <w:rsid w:val="006457C6"/>
    <w:rsid w:val="006473D7"/>
    <w:rsid w:val="006522B1"/>
    <w:rsid w:val="006546FE"/>
    <w:rsid w:val="006550C1"/>
    <w:rsid w:val="00655C0B"/>
    <w:rsid w:val="00655F8E"/>
    <w:rsid w:val="0066011A"/>
    <w:rsid w:val="00660B8C"/>
    <w:rsid w:val="006614DF"/>
    <w:rsid w:val="006616CC"/>
    <w:rsid w:val="00661F3F"/>
    <w:rsid w:val="00662096"/>
    <w:rsid w:val="006627E3"/>
    <w:rsid w:val="006630CC"/>
    <w:rsid w:val="00665A45"/>
    <w:rsid w:val="00666386"/>
    <w:rsid w:val="00666C28"/>
    <w:rsid w:val="0066751C"/>
    <w:rsid w:val="00672922"/>
    <w:rsid w:val="0067310E"/>
    <w:rsid w:val="0067329D"/>
    <w:rsid w:val="006748B8"/>
    <w:rsid w:val="00675D9B"/>
    <w:rsid w:val="006775C3"/>
    <w:rsid w:val="00677D85"/>
    <w:rsid w:val="006804BD"/>
    <w:rsid w:val="00681C86"/>
    <w:rsid w:val="00682001"/>
    <w:rsid w:val="00683F04"/>
    <w:rsid w:val="00683F42"/>
    <w:rsid w:val="00685B99"/>
    <w:rsid w:val="00686197"/>
    <w:rsid w:val="0068732E"/>
    <w:rsid w:val="00687546"/>
    <w:rsid w:val="006909D9"/>
    <w:rsid w:val="0069290A"/>
    <w:rsid w:val="00693B1C"/>
    <w:rsid w:val="006944E0"/>
    <w:rsid w:val="0069589D"/>
    <w:rsid w:val="0069658A"/>
    <w:rsid w:val="006969FA"/>
    <w:rsid w:val="00697123"/>
    <w:rsid w:val="0069775A"/>
    <w:rsid w:val="00697813"/>
    <w:rsid w:val="006A1896"/>
    <w:rsid w:val="006A3EE8"/>
    <w:rsid w:val="006A5632"/>
    <w:rsid w:val="006A57C8"/>
    <w:rsid w:val="006A72BF"/>
    <w:rsid w:val="006A7BBA"/>
    <w:rsid w:val="006B03F2"/>
    <w:rsid w:val="006B1135"/>
    <w:rsid w:val="006B255D"/>
    <w:rsid w:val="006B2D6A"/>
    <w:rsid w:val="006B37DC"/>
    <w:rsid w:val="006B4C30"/>
    <w:rsid w:val="006B4F68"/>
    <w:rsid w:val="006B54EE"/>
    <w:rsid w:val="006B750E"/>
    <w:rsid w:val="006C0592"/>
    <w:rsid w:val="006C1AF3"/>
    <w:rsid w:val="006C272E"/>
    <w:rsid w:val="006C2846"/>
    <w:rsid w:val="006C3121"/>
    <w:rsid w:val="006C332C"/>
    <w:rsid w:val="006C37A6"/>
    <w:rsid w:val="006C39D6"/>
    <w:rsid w:val="006C5479"/>
    <w:rsid w:val="006C54CB"/>
    <w:rsid w:val="006C7DB4"/>
    <w:rsid w:val="006D049E"/>
    <w:rsid w:val="006D05FC"/>
    <w:rsid w:val="006D0CE0"/>
    <w:rsid w:val="006D13B5"/>
    <w:rsid w:val="006D71DD"/>
    <w:rsid w:val="006D7CEC"/>
    <w:rsid w:val="006E0896"/>
    <w:rsid w:val="006E12FF"/>
    <w:rsid w:val="006E2826"/>
    <w:rsid w:val="006E607E"/>
    <w:rsid w:val="006E7D4A"/>
    <w:rsid w:val="006E7E0D"/>
    <w:rsid w:val="006F0C55"/>
    <w:rsid w:val="006F1D4C"/>
    <w:rsid w:val="006F22E0"/>
    <w:rsid w:val="006F2399"/>
    <w:rsid w:val="006F2602"/>
    <w:rsid w:val="006F2692"/>
    <w:rsid w:val="006F2F3D"/>
    <w:rsid w:val="006F306D"/>
    <w:rsid w:val="006F3BCB"/>
    <w:rsid w:val="006F572E"/>
    <w:rsid w:val="006F6ACA"/>
    <w:rsid w:val="00701A94"/>
    <w:rsid w:val="007029E6"/>
    <w:rsid w:val="00702DBB"/>
    <w:rsid w:val="00706C5D"/>
    <w:rsid w:val="00706CAD"/>
    <w:rsid w:val="00706FEC"/>
    <w:rsid w:val="00707820"/>
    <w:rsid w:val="00710131"/>
    <w:rsid w:val="00710221"/>
    <w:rsid w:val="00711451"/>
    <w:rsid w:val="00711C6D"/>
    <w:rsid w:val="007131D3"/>
    <w:rsid w:val="00713313"/>
    <w:rsid w:val="00714A1E"/>
    <w:rsid w:val="00715B2E"/>
    <w:rsid w:val="0071626D"/>
    <w:rsid w:val="007169F0"/>
    <w:rsid w:val="007205A3"/>
    <w:rsid w:val="007207E0"/>
    <w:rsid w:val="00721901"/>
    <w:rsid w:val="007223B6"/>
    <w:rsid w:val="0072489D"/>
    <w:rsid w:val="0073228B"/>
    <w:rsid w:val="00732922"/>
    <w:rsid w:val="00732C31"/>
    <w:rsid w:val="00733C04"/>
    <w:rsid w:val="00735496"/>
    <w:rsid w:val="007368F1"/>
    <w:rsid w:val="00736DB4"/>
    <w:rsid w:val="00737EAE"/>
    <w:rsid w:val="00740576"/>
    <w:rsid w:val="007414C3"/>
    <w:rsid w:val="00742955"/>
    <w:rsid w:val="00744298"/>
    <w:rsid w:val="007447D1"/>
    <w:rsid w:val="0074597F"/>
    <w:rsid w:val="0074624F"/>
    <w:rsid w:val="00747F16"/>
    <w:rsid w:val="0075162E"/>
    <w:rsid w:val="00752B53"/>
    <w:rsid w:val="00754034"/>
    <w:rsid w:val="00754D29"/>
    <w:rsid w:val="00755367"/>
    <w:rsid w:val="00756556"/>
    <w:rsid w:val="00756D79"/>
    <w:rsid w:val="0075775A"/>
    <w:rsid w:val="007608DA"/>
    <w:rsid w:val="00760E04"/>
    <w:rsid w:val="00761020"/>
    <w:rsid w:val="00761666"/>
    <w:rsid w:val="007618C4"/>
    <w:rsid w:val="00763C0B"/>
    <w:rsid w:val="00764F7A"/>
    <w:rsid w:val="00767980"/>
    <w:rsid w:val="00770B19"/>
    <w:rsid w:val="00772706"/>
    <w:rsid w:val="007730CA"/>
    <w:rsid w:val="007737D0"/>
    <w:rsid w:val="00774320"/>
    <w:rsid w:val="0077463F"/>
    <w:rsid w:val="0077682C"/>
    <w:rsid w:val="00777E64"/>
    <w:rsid w:val="00781263"/>
    <w:rsid w:val="007836EA"/>
    <w:rsid w:val="00783E52"/>
    <w:rsid w:val="00784CDA"/>
    <w:rsid w:val="00786516"/>
    <w:rsid w:val="00786600"/>
    <w:rsid w:val="00787AC2"/>
    <w:rsid w:val="007906C4"/>
    <w:rsid w:val="007906FF"/>
    <w:rsid w:val="0079191B"/>
    <w:rsid w:val="007928DC"/>
    <w:rsid w:val="007933F7"/>
    <w:rsid w:val="00793D28"/>
    <w:rsid w:val="00793F7A"/>
    <w:rsid w:val="007940EA"/>
    <w:rsid w:val="00795A4F"/>
    <w:rsid w:val="00795BD1"/>
    <w:rsid w:val="00795ED4"/>
    <w:rsid w:val="007967E8"/>
    <w:rsid w:val="007968B0"/>
    <w:rsid w:val="00796D5D"/>
    <w:rsid w:val="007972F6"/>
    <w:rsid w:val="007A02FF"/>
    <w:rsid w:val="007A2170"/>
    <w:rsid w:val="007A22BF"/>
    <w:rsid w:val="007A3323"/>
    <w:rsid w:val="007A4100"/>
    <w:rsid w:val="007A5927"/>
    <w:rsid w:val="007A6334"/>
    <w:rsid w:val="007A67BF"/>
    <w:rsid w:val="007A7992"/>
    <w:rsid w:val="007B0D39"/>
    <w:rsid w:val="007B54AA"/>
    <w:rsid w:val="007B60E2"/>
    <w:rsid w:val="007B6980"/>
    <w:rsid w:val="007B6EAA"/>
    <w:rsid w:val="007B72B8"/>
    <w:rsid w:val="007B7A58"/>
    <w:rsid w:val="007C21B5"/>
    <w:rsid w:val="007C2408"/>
    <w:rsid w:val="007C3A1C"/>
    <w:rsid w:val="007C3F5E"/>
    <w:rsid w:val="007C4E60"/>
    <w:rsid w:val="007C56BD"/>
    <w:rsid w:val="007C5705"/>
    <w:rsid w:val="007C5ACF"/>
    <w:rsid w:val="007C5E27"/>
    <w:rsid w:val="007D0083"/>
    <w:rsid w:val="007D1404"/>
    <w:rsid w:val="007D1713"/>
    <w:rsid w:val="007D49DE"/>
    <w:rsid w:val="007D5766"/>
    <w:rsid w:val="007D63A7"/>
    <w:rsid w:val="007D7138"/>
    <w:rsid w:val="007E0671"/>
    <w:rsid w:val="007E25DF"/>
    <w:rsid w:val="007E4BD2"/>
    <w:rsid w:val="007E4C8C"/>
    <w:rsid w:val="007E50BC"/>
    <w:rsid w:val="007E5D57"/>
    <w:rsid w:val="007E663D"/>
    <w:rsid w:val="007E68FC"/>
    <w:rsid w:val="007F07C8"/>
    <w:rsid w:val="007F084A"/>
    <w:rsid w:val="007F0B30"/>
    <w:rsid w:val="007F0D9E"/>
    <w:rsid w:val="007F0FC8"/>
    <w:rsid w:val="007F19EB"/>
    <w:rsid w:val="007F1CD0"/>
    <w:rsid w:val="007F2C9A"/>
    <w:rsid w:val="007F3615"/>
    <w:rsid w:val="007F37F3"/>
    <w:rsid w:val="007F466D"/>
    <w:rsid w:val="007F4E27"/>
    <w:rsid w:val="00800091"/>
    <w:rsid w:val="00800D14"/>
    <w:rsid w:val="00800D6D"/>
    <w:rsid w:val="00800E26"/>
    <w:rsid w:val="00801393"/>
    <w:rsid w:val="00801450"/>
    <w:rsid w:val="008016D3"/>
    <w:rsid w:val="008020E8"/>
    <w:rsid w:val="008021BD"/>
    <w:rsid w:val="0080237D"/>
    <w:rsid w:val="00802458"/>
    <w:rsid w:val="008025EA"/>
    <w:rsid w:val="00802C03"/>
    <w:rsid w:val="00802C50"/>
    <w:rsid w:val="00802E41"/>
    <w:rsid w:val="00802F88"/>
    <w:rsid w:val="008039BF"/>
    <w:rsid w:val="00804A03"/>
    <w:rsid w:val="008057DB"/>
    <w:rsid w:val="008057F6"/>
    <w:rsid w:val="008064D9"/>
    <w:rsid w:val="00806BD3"/>
    <w:rsid w:val="00806E9C"/>
    <w:rsid w:val="00807148"/>
    <w:rsid w:val="00807C26"/>
    <w:rsid w:val="00811888"/>
    <w:rsid w:val="00811D76"/>
    <w:rsid w:val="0081293E"/>
    <w:rsid w:val="00813228"/>
    <w:rsid w:val="00813E08"/>
    <w:rsid w:val="00815465"/>
    <w:rsid w:val="008162B5"/>
    <w:rsid w:val="008176C4"/>
    <w:rsid w:val="00817B03"/>
    <w:rsid w:val="00817E9A"/>
    <w:rsid w:val="008202F4"/>
    <w:rsid w:val="00823113"/>
    <w:rsid w:val="00825204"/>
    <w:rsid w:val="008255C2"/>
    <w:rsid w:val="008261CD"/>
    <w:rsid w:val="008306BD"/>
    <w:rsid w:val="00831A80"/>
    <w:rsid w:val="008331AA"/>
    <w:rsid w:val="008336CD"/>
    <w:rsid w:val="00833743"/>
    <w:rsid w:val="0083397E"/>
    <w:rsid w:val="008340A4"/>
    <w:rsid w:val="00835291"/>
    <w:rsid w:val="00835FDD"/>
    <w:rsid w:val="008377AE"/>
    <w:rsid w:val="0084059C"/>
    <w:rsid w:val="00840B21"/>
    <w:rsid w:val="00840EEB"/>
    <w:rsid w:val="00841DCF"/>
    <w:rsid w:val="008424CC"/>
    <w:rsid w:val="008452AC"/>
    <w:rsid w:val="00845563"/>
    <w:rsid w:val="00845F85"/>
    <w:rsid w:val="00847FAE"/>
    <w:rsid w:val="008539AA"/>
    <w:rsid w:val="0085481A"/>
    <w:rsid w:val="008552E9"/>
    <w:rsid w:val="00855EA3"/>
    <w:rsid w:val="008567F8"/>
    <w:rsid w:val="008569CE"/>
    <w:rsid w:val="00857FE3"/>
    <w:rsid w:val="00860123"/>
    <w:rsid w:val="00861CF0"/>
    <w:rsid w:val="00862126"/>
    <w:rsid w:val="00862ECF"/>
    <w:rsid w:val="00863351"/>
    <w:rsid w:val="008638E8"/>
    <w:rsid w:val="00863953"/>
    <w:rsid w:val="00866213"/>
    <w:rsid w:val="00866D5B"/>
    <w:rsid w:val="00867B6F"/>
    <w:rsid w:val="00870A83"/>
    <w:rsid w:val="0087135F"/>
    <w:rsid w:val="00871A10"/>
    <w:rsid w:val="00872159"/>
    <w:rsid w:val="0087293E"/>
    <w:rsid w:val="00872CB8"/>
    <w:rsid w:val="00872D94"/>
    <w:rsid w:val="00872EA5"/>
    <w:rsid w:val="00873540"/>
    <w:rsid w:val="008741AC"/>
    <w:rsid w:val="0087578B"/>
    <w:rsid w:val="008760DF"/>
    <w:rsid w:val="0087738D"/>
    <w:rsid w:val="00880364"/>
    <w:rsid w:val="00881877"/>
    <w:rsid w:val="00881ED0"/>
    <w:rsid w:val="00882D20"/>
    <w:rsid w:val="00885FFD"/>
    <w:rsid w:val="008862E8"/>
    <w:rsid w:val="00886794"/>
    <w:rsid w:val="00887CA7"/>
    <w:rsid w:val="00890129"/>
    <w:rsid w:val="00891592"/>
    <w:rsid w:val="00891E9E"/>
    <w:rsid w:val="008930C2"/>
    <w:rsid w:val="00893BE6"/>
    <w:rsid w:val="00893E3A"/>
    <w:rsid w:val="008940F8"/>
    <w:rsid w:val="008943E9"/>
    <w:rsid w:val="00894C6F"/>
    <w:rsid w:val="00894EF9"/>
    <w:rsid w:val="008954DC"/>
    <w:rsid w:val="00895565"/>
    <w:rsid w:val="00895938"/>
    <w:rsid w:val="00896C69"/>
    <w:rsid w:val="008A151D"/>
    <w:rsid w:val="008A18DB"/>
    <w:rsid w:val="008A1948"/>
    <w:rsid w:val="008A1B70"/>
    <w:rsid w:val="008A1E31"/>
    <w:rsid w:val="008A2F68"/>
    <w:rsid w:val="008A5BB6"/>
    <w:rsid w:val="008A5EB0"/>
    <w:rsid w:val="008A6271"/>
    <w:rsid w:val="008A6D08"/>
    <w:rsid w:val="008A7A84"/>
    <w:rsid w:val="008A7FE7"/>
    <w:rsid w:val="008B0258"/>
    <w:rsid w:val="008B0BC6"/>
    <w:rsid w:val="008B0CC6"/>
    <w:rsid w:val="008B1EB0"/>
    <w:rsid w:val="008B202E"/>
    <w:rsid w:val="008B30F2"/>
    <w:rsid w:val="008B4FA6"/>
    <w:rsid w:val="008B5282"/>
    <w:rsid w:val="008B6DE7"/>
    <w:rsid w:val="008B6ECE"/>
    <w:rsid w:val="008B7164"/>
    <w:rsid w:val="008B7C17"/>
    <w:rsid w:val="008C0BC3"/>
    <w:rsid w:val="008C1CDA"/>
    <w:rsid w:val="008C2D01"/>
    <w:rsid w:val="008C3354"/>
    <w:rsid w:val="008C40E6"/>
    <w:rsid w:val="008C51C6"/>
    <w:rsid w:val="008C5BD9"/>
    <w:rsid w:val="008D00FA"/>
    <w:rsid w:val="008D0353"/>
    <w:rsid w:val="008D0F7A"/>
    <w:rsid w:val="008D2794"/>
    <w:rsid w:val="008D4C9B"/>
    <w:rsid w:val="008D542D"/>
    <w:rsid w:val="008D602C"/>
    <w:rsid w:val="008D68E4"/>
    <w:rsid w:val="008E0506"/>
    <w:rsid w:val="008E0713"/>
    <w:rsid w:val="008E0CFF"/>
    <w:rsid w:val="008E1376"/>
    <w:rsid w:val="008E1A59"/>
    <w:rsid w:val="008E4580"/>
    <w:rsid w:val="008E4666"/>
    <w:rsid w:val="008E58DD"/>
    <w:rsid w:val="008E58FB"/>
    <w:rsid w:val="008E5CA1"/>
    <w:rsid w:val="008E5D6B"/>
    <w:rsid w:val="008E6AC8"/>
    <w:rsid w:val="008E76F0"/>
    <w:rsid w:val="008F0A89"/>
    <w:rsid w:val="008F15FE"/>
    <w:rsid w:val="008F16B1"/>
    <w:rsid w:val="008F181C"/>
    <w:rsid w:val="008F2891"/>
    <w:rsid w:val="008F2D29"/>
    <w:rsid w:val="008F5187"/>
    <w:rsid w:val="008F539C"/>
    <w:rsid w:val="008F60D8"/>
    <w:rsid w:val="008F687F"/>
    <w:rsid w:val="008F7A90"/>
    <w:rsid w:val="008F7B9A"/>
    <w:rsid w:val="0090025A"/>
    <w:rsid w:val="00901B82"/>
    <w:rsid w:val="00902727"/>
    <w:rsid w:val="0090312B"/>
    <w:rsid w:val="00903F4A"/>
    <w:rsid w:val="009063D0"/>
    <w:rsid w:val="009066C7"/>
    <w:rsid w:val="00906BEF"/>
    <w:rsid w:val="0090747F"/>
    <w:rsid w:val="00910847"/>
    <w:rsid w:val="00912210"/>
    <w:rsid w:val="00912638"/>
    <w:rsid w:val="009134D1"/>
    <w:rsid w:val="0091389C"/>
    <w:rsid w:val="009138A6"/>
    <w:rsid w:val="00914559"/>
    <w:rsid w:val="0091477F"/>
    <w:rsid w:val="00914ED3"/>
    <w:rsid w:val="00915FA8"/>
    <w:rsid w:val="0091736D"/>
    <w:rsid w:val="00917C61"/>
    <w:rsid w:val="0092238F"/>
    <w:rsid w:val="0092247B"/>
    <w:rsid w:val="00924300"/>
    <w:rsid w:val="00924695"/>
    <w:rsid w:val="00924DC7"/>
    <w:rsid w:val="00925C01"/>
    <w:rsid w:val="009265BA"/>
    <w:rsid w:val="00927258"/>
    <w:rsid w:val="0093037A"/>
    <w:rsid w:val="009308B3"/>
    <w:rsid w:val="00930AD2"/>
    <w:rsid w:val="0093251E"/>
    <w:rsid w:val="0093482C"/>
    <w:rsid w:val="0093498A"/>
    <w:rsid w:val="00934A5C"/>
    <w:rsid w:val="00936181"/>
    <w:rsid w:val="00936A02"/>
    <w:rsid w:val="00936CD4"/>
    <w:rsid w:val="009371DF"/>
    <w:rsid w:val="00937477"/>
    <w:rsid w:val="00937C62"/>
    <w:rsid w:val="0094154D"/>
    <w:rsid w:val="00943017"/>
    <w:rsid w:val="00943030"/>
    <w:rsid w:val="00943DD5"/>
    <w:rsid w:val="00947D7B"/>
    <w:rsid w:val="00950A33"/>
    <w:rsid w:val="0095101F"/>
    <w:rsid w:val="0095103D"/>
    <w:rsid w:val="0095155F"/>
    <w:rsid w:val="0095168E"/>
    <w:rsid w:val="009520EB"/>
    <w:rsid w:val="00952624"/>
    <w:rsid w:val="00952B8D"/>
    <w:rsid w:val="00952EA9"/>
    <w:rsid w:val="00953DA1"/>
    <w:rsid w:val="00954429"/>
    <w:rsid w:val="009549AA"/>
    <w:rsid w:val="00954D7B"/>
    <w:rsid w:val="009563CE"/>
    <w:rsid w:val="00956ECA"/>
    <w:rsid w:val="00957947"/>
    <w:rsid w:val="00957BA6"/>
    <w:rsid w:val="00960A24"/>
    <w:rsid w:val="009620F4"/>
    <w:rsid w:val="00962536"/>
    <w:rsid w:val="00962A0D"/>
    <w:rsid w:val="00966B3E"/>
    <w:rsid w:val="00966E45"/>
    <w:rsid w:val="00970CFB"/>
    <w:rsid w:val="00971EAD"/>
    <w:rsid w:val="00972276"/>
    <w:rsid w:val="00973235"/>
    <w:rsid w:val="00973970"/>
    <w:rsid w:val="00973C6E"/>
    <w:rsid w:val="00974410"/>
    <w:rsid w:val="00975371"/>
    <w:rsid w:val="00976328"/>
    <w:rsid w:val="00976378"/>
    <w:rsid w:val="0097680D"/>
    <w:rsid w:val="00976846"/>
    <w:rsid w:val="00976BE9"/>
    <w:rsid w:val="00980112"/>
    <w:rsid w:val="009819CD"/>
    <w:rsid w:val="00982400"/>
    <w:rsid w:val="00982438"/>
    <w:rsid w:val="0098385C"/>
    <w:rsid w:val="00983B90"/>
    <w:rsid w:val="0098404C"/>
    <w:rsid w:val="00985104"/>
    <w:rsid w:val="00985283"/>
    <w:rsid w:val="009858BF"/>
    <w:rsid w:val="00987355"/>
    <w:rsid w:val="00987E22"/>
    <w:rsid w:val="00987E3B"/>
    <w:rsid w:val="00991765"/>
    <w:rsid w:val="0099406A"/>
    <w:rsid w:val="00994472"/>
    <w:rsid w:val="00995992"/>
    <w:rsid w:val="009959A1"/>
    <w:rsid w:val="009961D6"/>
    <w:rsid w:val="00996C4D"/>
    <w:rsid w:val="00996CC9"/>
    <w:rsid w:val="00996D85"/>
    <w:rsid w:val="00997A70"/>
    <w:rsid w:val="00997A74"/>
    <w:rsid w:val="00997C60"/>
    <w:rsid w:val="009A03E5"/>
    <w:rsid w:val="009A078C"/>
    <w:rsid w:val="009A088B"/>
    <w:rsid w:val="009A0F3B"/>
    <w:rsid w:val="009A1A27"/>
    <w:rsid w:val="009A1BB4"/>
    <w:rsid w:val="009A2628"/>
    <w:rsid w:val="009A2815"/>
    <w:rsid w:val="009A3200"/>
    <w:rsid w:val="009A371B"/>
    <w:rsid w:val="009A4511"/>
    <w:rsid w:val="009A684D"/>
    <w:rsid w:val="009A6E30"/>
    <w:rsid w:val="009B0897"/>
    <w:rsid w:val="009B12CC"/>
    <w:rsid w:val="009B25F4"/>
    <w:rsid w:val="009B4339"/>
    <w:rsid w:val="009B43B4"/>
    <w:rsid w:val="009B5864"/>
    <w:rsid w:val="009B6A13"/>
    <w:rsid w:val="009B6CD9"/>
    <w:rsid w:val="009B6EC5"/>
    <w:rsid w:val="009B774A"/>
    <w:rsid w:val="009B7BD9"/>
    <w:rsid w:val="009C3FF0"/>
    <w:rsid w:val="009C4E04"/>
    <w:rsid w:val="009C5502"/>
    <w:rsid w:val="009C65DD"/>
    <w:rsid w:val="009C7DD5"/>
    <w:rsid w:val="009D0D1C"/>
    <w:rsid w:val="009D1821"/>
    <w:rsid w:val="009D1F44"/>
    <w:rsid w:val="009D1F51"/>
    <w:rsid w:val="009D26B1"/>
    <w:rsid w:val="009D43BC"/>
    <w:rsid w:val="009D45D3"/>
    <w:rsid w:val="009D6309"/>
    <w:rsid w:val="009D7034"/>
    <w:rsid w:val="009E033A"/>
    <w:rsid w:val="009E084E"/>
    <w:rsid w:val="009E0EF6"/>
    <w:rsid w:val="009E1FDA"/>
    <w:rsid w:val="009E227D"/>
    <w:rsid w:val="009E3442"/>
    <w:rsid w:val="009E35D6"/>
    <w:rsid w:val="009E5019"/>
    <w:rsid w:val="009E7E78"/>
    <w:rsid w:val="009F285F"/>
    <w:rsid w:val="009F2A1D"/>
    <w:rsid w:val="009F3A54"/>
    <w:rsid w:val="009F3C64"/>
    <w:rsid w:val="009F5413"/>
    <w:rsid w:val="009F620C"/>
    <w:rsid w:val="009F68A2"/>
    <w:rsid w:val="009F6DAF"/>
    <w:rsid w:val="009F718D"/>
    <w:rsid w:val="009F7A24"/>
    <w:rsid w:val="009F7B5F"/>
    <w:rsid w:val="00A0031E"/>
    <w:rsid w:val="00A00F26"/>
    <w:rsid w:val="00A010DE"/>
    <w:rsid w:val="00A0127D"/>
    <w:rsid w:val="00A01CEB"/>
    <w:rsid w:val="00A02341"/>
    <w:rsid w:val="00A02781"/>
    <w:rsid w:val="00A02FCB"/>
    <w:rsid w:val="00A03DBE"/>
    <w:rsid w:val="00A04037"/>
    <w:rsid w:val="00A04F1B"/>
    <w:rsid w:val="00A0501B"/>
    <w:rsid w:val="00A05474"/>
    <w:rsid w:val="00A06812"/>
    <w:rsid w:val="00A06A85"/>
    <w:rsid w:val="00A07F1E"/>
    <w:rsid w:val="00A11A27"/>
    <w:rsid w:val="00A123E9"/>
    <w:rsid w:val="00A1394D"/>
    <w:rsid w:val="00A14947"/>
    <w:rsid w:val="00A15BFB"/>
    <w:rsid w:val="00A16283"/>
    <w:rsid w:val="00A16B06"/>
    <w:rsid w:val="00A1772A"/>
    <w:rsid w:val="00A203CA"/>
    <w:rsid w:val="00A20A00"/>
    <w:rsid w:val="00A23555"/>
    <w:rsid w:val="00A24757"/>
    <w:rsid w:val="00A25614"/>
    <w:rsid w:val="00A267CE"/>
    <w:rsid w:val="00A2789B"/>
    <w:rsid w:val="00A27FA1"/>
    <w:rsid w:val="00A310D9"/>
    <w:rsid w:val="00A31339"/>
    <w:rsid w:val="00A32A83"/>
    <w:rsid w:val="00A333ED"/>
    <w:rsid w:val="00A34100"/>
    <w:rsid w:val="00A34951"/>
    <w:rsid w:val="00A35712"/>
    <w:rsid w:val="00A35E87"/>
    <w:rsid w:val="00A36514"/>
    <w:rsid w:val="00A3677E"/>
    <w:rsid w:val="00A368DB"/>
    <w:rsid w:val="00A40FDD"/>
    <w:rsid w:val="00A414A8"/>
    <w:rsid w:val="00A419CA"/>
    <w:rsid w:val="00A423AA"/>
    <w:rsid w:val="00A42888"/>
    <w:rsid w:val="00A434F4"/>
    <w:rsid w:val="00A45243"/>
    <w:rsid w:val="00A47ACC"/>
    <w:rsid w:val="00A47FFE"/>
    <w:rsid w:val="00A500B1"/>
    <w:rsid w:val="00A50507"/>
    <w:rsid w:val="00A505A7"/>
    <w:rsid w:val="00A509DC"/>
    <w:rsid w:val="00A50F4A"/>
    <w:rsid w:val="00A5191C"/>
    <w:rsid w:val="00A51A7B"/>
    <w:rsid w:val="00A51A80"/>
    <w:rsid w:val="00A52D54"/>
    <w:rsid w:val="00A53314"/>
    <w:rsid w:val="00A53EC6"/>
    <w:rsid w:val="00A55C0F"/>
    <w:rsid w:val="00A56A6F"/>
    <w:rsid w:val="00A570EB"/>
    <w:rsid w:val="00A576EB"/>
    <w:rsid w:val="00A606E1"/>
    <w:rsid w:val="00A650D7"/>
    <w:rsid w:val="00A65492"/>
    <w:rsid w:val="00A657AC"/>
    <w:rsid w:val="00A65C3C"/>
    <w:rsid w:val="00A719AA"/>
    <w:rsid w:val="00A73F21"/>
    <w:rsid w:val="00A7496D"/>
    <w:rsid w:val="00A74B8E"/>
    <w:rsid w:val="00A74D3B"/>
    <w:rsid w:val="00A74D7B"/>
    <w:rsid w:val="00A750A0"/>
    <w:rsid w:val="00A771E9"/>
    <w:rsid w:val="00A77E1B"/>
    <w:rsid w:val="00A80B22"/>
    <w:rsid w:val="00A84C79"/>
    <w:rsid w:val="00A870F4"/>
    <w:rsid w:val="00A8713F"/>
    <w:rsid w:val="00A87CC6"/>
    <w:rsid w:val="00A90BA1"/>
    <w:rsid w:val="00A94E58"/>
    <w:rsid w:val="00A96343"/>
    <w:rsid w:val="00A96E6D"/>
    <w:rsid w:val="00A96FB4"/>
    <w:rsid w:val="00A97A9A"/>
    <w:rsid w:val="00AA0671"/>
    <w:rsid w:val="00AA2531"/>
    <w:rsid w:val="00AA2A63"/>
    <w:rsid w:val="00AA3607"/>
    <w:rsid w:val="00AA522C"/>
    <w:rsid w:val="00AA5EF1"/>
    <w:rsid w:val="00AA7EFF"/>
    <w:rsid w:val="00AB00AC"/>
    <w:rsid w:val="00AB1E09"/>
    <w:rsid w:val="00AB2D4B"/>
    <w:rsid w:val="00AB3086"/>
    <w:rsid w:val="00AB37A2"/>
    <w:rsid w:val="00AB5330"/>
    <w:rsid w:val="00AB59D3"/>
    <w:rsid w:val="00AB5ED2"/>
    <w:rsid w:val="00AB7747"/>
    <w:rsid w:val="00AC14CE"/>
    <w:rsid w:val="00AC1F59"/>
    <w:rsid w:val="00AC29B1"/>
    <w:rsid w:val="00AC2A56"/>
    <w:rsid w:val="00AC302D"/>
    <w:rsid w:val="00AC4B06"/>
    <w:rsid w:val="00AC5B09"/>
    <w:rsid w:val="00AC60EE"/>
    <w:rsid w:val="00AC6229"/>
    <w:rsid w:val="00AC6F5E"/>
    <w:rsid w:val="00AC7B25"/>
    <w:rsid w:val="00AC7C0A"/>
    <w:rsid w:val="00AD055E"/>
    <w:rsid w:val="00AD0A6B"/>
    <w:rsid w:val="00AD25F7"/>
    <w:rsid w:val="00AD47A7"/>
    <w:rsid w:val="00AD51BD"/>
    <w:rsid w:val="00AE2907"/>
    <w:rsid w:val="00AE313B"/>
    <w:rsid w:val="00AE5901"/>
    <w:rsid w:val="00AE5B87"/>
    <w:rsid w:val="00AE6A57"/>
    <w:rsid w:val="00AE7F6B"/>
    <w:rsid w:val="00AF0816"/>
    <w:rsid w:val="00AF0CBF"/>
    <w:rsid w:val="00AF0F39"/>
    <w:rsid w:val="00AF15D2"/>
    <w:rsid w:val="00AF257F"/>
    <w:rsid w:val="00AF33CF"/>
    <w:rsid w:val="00AF3D14"/>
    <w:rsid w:val="00AF4383"/>
    <w:rsid w:val="00AF4C73"/>
    <w:rsid w:val="00AF4D50"/>
    <w:rsid w:val="00AF6179"/>
    <w:rsid w:val="00AF6EC9"/>
    <w:rsid w:val="00B00375"/>
    <w:rsid w:val="00B0136C"/>
    <w:rsid w:val="00B027AE"/>
    <w:rsid w:val="00B02E85"/>
    <w:rsid w:val="00B03BDC"/>
    <w:rsid w:val="00B041F3"/>
    <w:rsid w:val="00B04D40"/>
    <w:rsid w:val="00B05137"/>
    <w:rsid w:val="00B056A0"/>
    <w:rsid w:val="00B05966"/>
    <w:rsid w:val="00B05B0C"/>
    <w:rsid w:val="00B05F13"/>
    <w:rsid w:val="00B062DF"/>
    <w:rsid w:val="00B06B5A"/>
    <w:rsid w:val="00B10AB7"/>
    <w:rsid w:val="00B10EAB"/>
    <w:rsid w:val="00B10FDE"/>
    <w:rsid w:val="00B11192"/>
    <w:rsid w:val="00B1148C"/>
    <w:rsid w:val="00B11C6B"/>
    <w:rsid w:val="00B1295A"/>
    <w:rsid w:val="00B13C6B"/>
    <w:rsid w:val="00B173B2"/>
    <w:rsid w:val="00B20602"/>
    <w:rsid w:val="00B20A45"/>
    <w:rsid w:val="00B20E6C"/>
    <w:rsid w:val="00B216EC"/>
    <w:rsid w:val="00B22C5C"/>
    <w:rsid w:val="00B23B71"/>
    <w:rsid w:val="00B24F30"/>
    <w:rsid w:val="00B25C29"/>
    <w:rsid w:val="00B25C58"/>
    <w:rsid w:val="00B2679F"/>
    <w:rsid w:val="00B268DB"/>
    <w:rsid w:val="00B27DFD"/>
    <w:rsid w:val="00B3078B"/>
    <w:rsid w:val="00B31ABF"/>
    <w:rsid w:val="00B31DD6"/>
    <w:rsid w:val="00B321BB"/>
    <w:rsid w:val="00B32F66"/>
    <w:rsid w:val="00B33B58"/>
    <w:rsid w:val="00B33BE3"/>
    <w:rsid w:val="00B34BEF"/>
    <w:rsid w:val="00B34D85"/>
    <w:rsid w:val="00B355CE"/>
    <w:rsid w:val="00B364A8"/>
    <w:rsid w:val="00B3677A"/>
    <w:rsid w:val="00B4047E"/>
    <w:rsid w:val="00B40CFF"/>
    <w:rsid w:val="00B4157D"/>
    <w:rsid w:val="00B42A7D"/>
    <w:rsid w:val="00B42F62"/>
    <w:rsid w:val="00B44404"/>
    <w:rsid w:val="00B445E7"/>
    <w:rsid w:val="00B4571E"/>
    <w:rsid w:val="00B47447"/>
    <w:rsid w:val="00B47858"/>
    <w:rsid w:val="00B50D0D"/>
    <w:rsid w:val="00B5134B"/>
    <w:rsid w:val="00B51A0E"/>
    <w:rsid w:val="00B532D7"/>
    <w:rsid w:val="00B5392F"/>
    <w:rsid w:val="00B53A65"/>
    <w:rsid w:val="00B53B5D"/>
    <w:rsid w:val="00B56C4F"/>
    <w:rsid w:val="00B6055E"/>
    <w:rsid w:val="00B6317D"/>
    <w:rsid w:val="00B6540C"/>
    <w:rsid w:val="00B66582"/>
    <w:rsid w:val="00B66C8E"/>
    <w:rsid w:val="00B66DAB"/>
    <w:rsid w:val="00B67A72"/>
    <w:rsid w:val="00B67B4A"/>
    <w:rsid w:val="00B710BD"/>
    <w:rsid w:val="00B712B8"/>
    <w:rsid w:val="00B74D04"/>
    <w:rsid w:val="00B75181"/>
    <w:rsid w:val="00B760AA"/>
    <w:rsid w:val="00B762B0"/>
    <w:rsid w:val="00B767F0"/>
    <w:rsid w:val="00B770FA"/>
    <w:rsid w:val="00B7723F"/>
    <w:rsid w:val="00B77D2C"/>
    <w:rsid w:val="00B803A5"/>
    <w:rsid w:val="00B80534"/>
    <w:rsid w:val="00B8245A"/>
    <w:rsid w:val="00B827D0"/>
    <w:rsid w:val="00B835BE"/>
    <w:rsid w:val="00B8426F"/>
    <w:rsid w:val="00B8433C"/>
    <w:rsid w:val="00B85D2A"/>
    <w:rsid w:val="00B86B0E"/>
    <w:rsid w:val="00B87491"/>
    <w:rsid w:val="00B877E3"/>
    <w:rsid w:val="00B87FCF"/>
    <w:rsid w:val="00B908F7"/>
    <w:rsid w:val="00B92850"/>
    <w:rsid w:val="00B92D28"/>
    <w:rsid w:val="00B950F7"/>
    <w:rsid w:val="00B9528A"/>
    <w:rsid w:val="00B95631"/>
    <w:rsid w:val="00B95A51"/>
    <w:rsid w:val="00B9662F"/>
    <w:rsid w:val="00B97A5B"/>
    <w:rsid w:val="00BA034F"/>
    <w:rsid w:val="00BA12F4"/>
    <w:rsid w:val="00BA2911"/>
    <w:rsid w:val="00BA29E9"/>
    <w:rsid w:val="00BA2A8B"/>
    <w:rsid w:val="00BA3D2C"/>
    <w:rsid w:val="00BA41B0"/>
    <w:rsid w:val="00BA5427"/>
    <w:rsid w:val="00BA662B"/>
    <w:rsid w:val="00BA6FB9"/>
    <w:rsid w:val="00BA7142"/>
    <w:rsid w:val="00BB17DC"/>
    <w:rsid w:val="00BB237C"/>
    <w:rsid w:val="00BB2C58"/>
    <w:rsid w:val="00BB3D5F"/>
    <w:rsid w:val="00BB41A3"/>
    <w:rsid w:val="00BB4AED"/>
    <w:rsid w:val="00BB5090"/>
    <w:rsid w:val="00BB5393"/>
    <w:rsid w:val="00BB58A5"/>
    <w:rsid w:val="00BB5A15"/>
    <w:rsid w:val="00BC0E7B"/>
    <w:rsid w:val="00BC16E5"/>
    <w:rsid w:val="00BC1C07"/>
    <w:rsid w:val="00BC22E5"/>
    <w:rsid w:val="00BC32DC"/>
    <w:rsid w:val="00BC35B6"/>
    <w:rsid w:val="00BC3B25"/>
    <w:rsid w:val="00BC4E65"/>
    <w:rsid w:val="00BC4F31"/>
    <w:rsid w:val="00BC600B"/>
    <w:rsid w:val="00BD0C69"/>
    <w:rsid w:val="00BD0CBF"/>
    <w:rsid w:val="00BD10A1"/>
    <w:rsid w:val="00BD1B51"/>
    <w:rsid w:val="00BD1F3A"/>
    <w:rsid w:val="00BD35BC"/>
    <w:rsid w:val="00BD3FC1"/>
    <w:rsid w:val="00BD4412"/>
    <w:rsid w:val="00BD4596"/>
    <w:rsid w:val="00BD4826"/>
    <w:rsid w:val="00BD4C02"/>
    <w:rsid w:val="00BD4D6C"/>
    <w:rsid w:val="00BD4D71"/>
    <w:rsid w:val="00BD4F06"/>
    <w:rsid w:val="00BD6962"/>
    <w:rsid w:val="00BD6DB9"/>
    <w:rsid w:val="00BE06DA"/>
    <w:rsid w:val="00BE1405"/>
    <w:rsid w:val="00BE1EDF"/>
    <w:rsid w:val="00BE24A4"/>
    <w:rsid w:val="00BE2B65"/>
    <w:rsid w:val="00BE312D"/>
    <w:rsid w:val="00BE3705"/>
    <w:rsid w:val="00BE42F3"/>
    <w:rsid w:val="00BE4954"/>
    <w:rsid w:val="00BE4FDF"/>
    <w:rsid w:val="00BE59B4"/>
    <w:rsid w:val="00BE5C73"/>
    <w:rsid w:val="00BE60BB"/>
    <w:rsid w:val="00BE65FB"/>
    <w:rsid w:val="00BE6BCB"/>
    <w:rsid w:val="00BE7D05"/>
    <w:rsid w:val="00BF0916"/>
    <w:rsid w:val="00BF16D5"/>
    <w:rsid w:val="00BF1C20"/>
    <w:rsid w:val="00BF3BAE"/>
    <w:rsid w:val="00BF4CEF"/>
    <w:rsid w:val="00BF5962"/>
    <w:rsid w:val="00BF6C70"/>
    <w:rsid w:val="00BF747E"/>
    <w:rsid w:val="00BF7D5E"/>
    <w:rsid w:val="00C000A4"/>
    <w:rsid w:val="00C00E54"/>
    <w:rsid w:val="00C00FAF"/>
    <w:rsid w:val="00C021BD"/>
    <w:rsid w:val="00C02349"/>
    <w:rsid w:val="00C04ECC"/>
    <w:rsid w:val="00C0505F"/>
    <w:rsid w:val="00C05C33"/>
    <w:rsid w:val="00C05E0B"/>
    <w:rsid w:val="00C05FAE"/>
    <w:rsid w:val="00C07F84"/>
    <w:rsid w:val="00C10241"/>
    <w:rsid w:val="00C10578"/>
    <w:rsid w:val="00C11EA1"/>
    <w:rsid w:val="00C12B10"/>
    <w:rsid w:val="00C13128"/>
    <w:rsid w:val="00C135BC"/>
    <w:rsid w:val="00C150B3"/>
    <w:rsid w:val="00C1563D"/>
    <w:rsid w:val="00C159AE"/>
    <w:rsid w:val="00C15C95"/>
    <w:rsid w:val="00C166B9"/>
    <w:rsid w:val="00C177FC"/>
    <w:rsid w:val="00C2203F"/>
    <w:rsid w:val="00C24844"/>
    <w:rsid w:val="00C2596A"/>
    <w:rsid w:val="00C25E48"/>
    <w:rsid w:val="00C25EC4"/>
    <w:rsid w:val="00C263D8"/>
    <w:rsid w:val="00C266A1"/>
    <w:rsid w:val="00C26B06"/>
    <w:rsid w:val="00C27126"/>
    <w:rsid w:val="00C27537"/>
    <w:rsid w:val="00C279E8"/>
    <w:rsid w:val="00C312C5"/>
    <w:rsid w:val="00C31F8A"/>
    <w:rsid w:val="00C32488"/>
    <w:rsid w:val="00C325D7"/>
    <w:rsid w:val="00C32832"/>
    <w:rsid w:val="00C328FE"/>
    <w:rsid w:val="00C33507"/>
    <w:rsid w:val="00C339C1"/>
    <w:rsid w:val="00C34A93"/>
    <w:rsid w:val="00C35BE0"/>
    <w:rsid w:val="00C36488"/>
    <w:rsid w:val="00C37292"/>
    <w:rsid w:val="00C37D8E"/>
    <w:rsid w:val="00C4219D"/>
    <w:rsid w:val="00C42592"/>
    <w:rsid w:val="00C4409D"/>
    <w:rsid w:val="00C44E72"/>
    <w:rsid w:val="00C451E1"/>
    <w:rsid w:val="00C45249"/>
    <w:rsid w:val="00C45464"/>
    <w:rsid w:val="00C45884"/>
    <w:rsid w:val="00C45A06"/>
    <w:rsid w:val="00C465F5"/>
    <w:rsid w:val="00C47E5B"/>
    <w:rsid w:val="00C50851"/>
    <w:rsid w:val="00C514B7"/>
    <w:rsid w:val="00C52C84"/>
    <w:rsid w:val="00C53D92"/>
    <w:rsid w:val="00C53FE4"/>
    <w:rsid w:val="00C55BAC"/>
    <w:rsid w:val="00C56377"/>
    <w:rsid w:val="00C57575"/>
    <w:rsid w:val="00C61E4B"/>
    <w:rsid w:val="00C63B90"/>
    <w:rsid w:val="00C64BFF"/>
    <w:rsid w:val="00C6560A"/>
    <w:rsid w:val="00C704E9"/>
    <w:rsid w:val="00C708D9"/>
    <w:rsid w:val="00C70CE7"/>
    <w:rsid w:val="00C72CB6"/>
    <w:rsid w:val="00C72EC2"/>
    <w:rsid w:val="00C72FB4"/>
    <w:rsid w:val="00C74D9A"/>
    <w:rsid w:val="00C74ED1"/>
    <w:rsid w:val="00C759C9"/>
    <w:rsid w:val="00C75C68"/>
    <w:rsid w:val="00C7633A"/>
    <w:rsid w:val="00C763C9"/>
    <w:rsid w:val="00C80057"/>
    <w:rsid w:val="00C81275"/>
    <w:rsid w:val="00C82232"/>
    <w:rsid w:val="00C82913"/>
    <w:rsid w:val="00C8401A"/>
    <w:rsid w:val="00C859EF"/>
    <w:rsid w:val="00C86D97"/>
    <w:rsid w:val="00C87DC8"/>
    <w:rsid w:val="00C90C95"/>
    <w:rsid w:val="00C932A4"/>
    <w:rsid w:val="00C93EF6"/>
    <w:rsid w:val="00C94DE7"/>
    <w:rsid w:val="00C972B1"/>
    <w:rsid w:val="00C976BB"/>
    <w:rsid w:val="00C977FE"/>
    <w:rsid w:val="00C97EE3"/>
    <w:rsid w:val="00CA0B21"/>
    <w:rsid w:val="00CA13F7"/>
    <w:rsid w:val="00CA14BB"/>
    <w:rsid w:val="00CA1A4E"/>
    <w:rsid w:val="00CA2CCE"/>
    <w:rsid w:val="00CA3776"/>
    <w:rsid w:val="00CA43FD"/>
    <w:rsid w:val="00CA49E3"/>
    <w:rsid w:val="00CA6A35"/>
    <w:rsid w:val="00CA7EF8"/>
    <w:rsid w:val="00CB0361"/>
    <w:rsid w:val="00CB110A"/>
    <w:rsid w:val="00CB422C"/>
    <w:rsid w:val="00CB4915"/>
    <w:rsid w:val="00CB5436"/>
    <w:rsid w:val="00CB792A"/>
    <w:rsid w:val="00CB7993"/>
    <w:rsid w:val="00CC255F"/>
    <w:rsid w:val="00CC489B"/>
    <w:rsid w:val="00CC61D5"/>
    <w:rsid w:val="00CC760C"/>
    <w:rsid w:val="00CD2BCD"/>
    <w:rsid w:val="00CD3177"/>
    <w:rsid w:val="00CD36A5"/>
    <w:rsid w:val="00CD3A4C"/>
    <w:rsid w:val="00CD4F1C"/>
    <w:rsid w:val="00CD6607"/>
    <w:rsid w:val="00CE10E9"/>
    <w:rsid w:val="00CE1426"/>
    <w:rsid w:val="00CE1F1D"/>
    <w:rsid w:val="00CE2910"/>
    <w:rsid w:val="00CE2C9C"/>
    <w:rsid w:val="00CE5267"/>
    <w:rsid w:val="00CE5393"/>
    <w:rsid w:val="00CE6178"/>
    <w:rsid w:val="00CE73AC"/>
    <w:rsid w:val="00CF314B"/>
    <w:rsid w:val="00CF36BE"/>
    <w:rsid w:val="00CF5E14"/>
    <w:rsid w:val="00CF6000"/>
    <w:rsid w:val="00CF6132"/>
    <w:rsid w:val="00CF67CD"/>
    <w:rsid w:val="00CF6E07"/>
    <w:rsid w:val="00CF7A21"/>
    <w:rsid w:val="00D003B9"/>
    <w:rsid w:val="00D003F3"/>
    <w:rsid w:val="00D00481"/>
    <w:rsid w:val="00D00574"/>
    <w:rsid w:val="00D010D1"/>
    <w:rsid w:val="00D01B13"/>
    <w:rsid w:val="00D02804"/>
    <w:rsid w:val="00D0364F"/>
    <w:rsid w:val="00D03FA8"/>
    <w:rsid w:val="00D043F4"/>
    <w:rsid w:val="00D04667"/>
    <w:rsid w:val="00D06834"/>
    <w:rsid w:val="00D06C98"/>
    <w:rsid w:val="00D06E00"/>
    <w:rsid w:val="00D077C9"/>
    <w:rsid w:val="00D07F55"/>
    <w:rsid w:val="00D11AEE"/>
    <w:rsid w:val="00D11DD8"/>
    <w:rsid w:val="00D14081"/>
    <w:rsid w:val="00D15046"/>
    <w:rsid w:val="00D2019A"/>
    <w:rsid w:val="00D20E41"/>
    <w:rsid w:val="00D21564"/>
    <w:rsid w:val="00D22F45"/>
    <w:rsid w:val="00D232CD"/>
    <w:rsid w:val="00D258DD"/>
    <w:rsid w:val="00D265B3"/>
    <w:rsid w:val="00D26998"/>
    <w:rsid w:val="00D26D2E"/>
    <w:rsid w:val="00D26D65"/>
    <w:rsid w:val="00D26F38"/>
    <w:rsid w:val="00D27FC7"/>
    <w:rsid w:val="00D308ED"/>
    <w:rsid w:val="00D30E15"/>
    <w:rsid w:val="00D3177E"/>
    <w:rsid w:val="00D36BFE"/>
    <w:rsid w:val="00D36D86"/>
    <w:rsid w:val="00D405E0"/>
    <w:rsid w:val="00D427C9"/>
    <w:rsid w:val="00D428AA"/>
    <w:rsid w:val="00D42D05"/>
    <w:rsid w:val="00D42D6D"/>
    <w:rsid w:val="00D43522"/>
    <w:rsid w:val="00D439BF"/>
    <w:rsid w:val="00D4747D"/>
    <w:rsid w:val="00D47CB2"/>
    <w:rsid w:val="00D5034D"/>
    <w:rsid w:val="00D50A34"/>
    <w:rsid w:val="00D5294B"/>
    <w:rsid w:val="00D53EFA"/>
    <w:rsid w:val="00D550FC"/>
    <w:rsid w:val="00D554EA"/>
    <w:rsid w:val="00D5638D"/>
    <w:rsid w:val="00D566F1"/>
    <w:rsid w:val="00D616EB"/>
    <w:rsid w:val="00D61C1F"/>
    <w:rsid w:val="00D624C2"/>
    <w:rsid w:val="00D62960"/>
    <w:rsid w:val="00D63356"/>
    <w:rsid w:val="00D63840"/>
    <w:rsid w:val="00D67BBE"/>
    <w:rsid w:val="00D71164"/>
    <w:rsid w:val="00D739FA"/>
    <w:rsid w:val="00D74276"/>
    <w:rsid w:val="00D74DDC"/>
    <w:rsid w:val="00D75768"/>
    <w:rsid w:val="00D76215"/>
    <w:rsid w:val="00D76C00"/>
    <w:rsid w:val="00D77901"/>
    <w:rsid w:val="00D81104"/>
    <w:rsid w:val="00D82DBD"/>
    <w:rsid w:val="00D83716"/>
    <w:rsid w:val="00D867A5"/>
    <w:rsid w:val="00D877F7"/>
    <w:rsid w:val="00D87D68"/>
    <w:rsid w:val="00D902B9"/>
    <w:rsid w:val="00D91CAF"/>
    <w:rsid w:val="00D91E5F"/>
    <w:rsid w:val="00D93855"/>
    <w:rsid w:val="00D93F0E"/>
    <w:rsid w:val="00D94A7C"/>
    <w:rsid w:val="00D95668"/>
    <w:rsid w:val="00D95896"/>
    <w:rsid w:val="00D95BBD"/>
    <w:rsid w:val="00D969C3"/>
    <w:rsid w:val="00D97F9A"/>
    <w:rsid w:val="00DA0531"/>
    <w:rsid w:val="00DA0935"/>
    <w:rsid w:val="00DA0983"/>
    <w:rsid w:val="00DA2073"/>
    <w:rsid w:val="00DA2DFA"/>
    <w:rsid w:val="00DA3C7C"/>
    <w:rsid w:val="00DA750F"/>
    <w:rsid w:val="00DA7A92"/>
    <w:rsid w:val="00DB001C"/>
    <w:rsid w:val="00DB011A"/>
    <w:rsid w:val="00DB08BA"/>
    <w:rsid w:val="00DB14E2"/>
    <w:rsid w:val="00DB1B09"/>
    <w:rsid w:val="00DB2983"/>
    <w:rsid w:val="00DB3A37"/>
    <w:rsid w:val="00DB43D9"/>
    <w:rsid w:val="00DB4C73"/>
    <w:rsid w:val="00DB5E34"/>
    <w:rsid w:val="00DB7069"/>
    <w:rsid w:val="00DB7484"/>
    <w:rsid w:val="00DB7AEE"/>
    <w:rsid w:val="00DC1001"/>
    <w:rsid w:val="00DC1257"/>
    <w:rsid w:val="00DC193E"/>
    <w:rsid w:val="00DC3DC0"/>
    <w:rsid w:val="00DC3EC8"/>
    <w:rsid w:val="00DC404A"/>
    <w:rsid w:val="00DC4985"/>
    <w:rsid w:val="00DC5B2B"/>
    <w:rsid w:val="00DC6B17"/>
    <w:rsid w:val="00DC6C68"/>
    <w:rsid w:val="00DC71CD"/>
    <w:rsid w:val="00DC75C4"/>
    <w:rsid w:val="00DD0107"/>
    <w:rsid w:val="00DD01DD"/>
    <w:rsid w:val="00DD1E20"/>
    <w:rsid w:val="00DD20F1"/>
    <w:rsid w:val="00DD216D"/>
    <w:rsid w:val="00DD317F"/>
    <w:rsid w:val="00DD318D"/>
    <w:rsid w:val="00DD351C"/>
    <w:rsid w:val="00DD38C2"/>
    <w:rsid w:val="00DD4346"/>
    <w:rsid w:val="00DD469C"/>
    <w:rsid w:val="00DD5368"/>
    <w:rsid w:val="00DD6B80"/>
    <w:rsid w:val="00DD6E96"/>
    <w:rsid w:val="00DD722C"/>
    <w:rsid w:val="00DE03F2"/>
    <w:rsid w:val="00DE06E2"/>
    <w:rsid w:val="00DE3A8A"/>
    <w:rsid w:val="00DE599C"/>
    <w:rsid w:val="00DF0D46"/>
    <w:rsid w:val="00DF1392"/>
    <w:rsid w:val="00DF2E12"/>
    <w:rsid w:val="00DF4893"/>
    <w:rsid w:val="00DF4A59"/>
    <w:rsid w:val="00DF514A"/>
    <w:rsid w:val="00DF6214"/>
    <w:rsid w:val="00DF6690"/>
    <w:rsid w:val="00DF6804"/>
    <w:rsid w:val="00DF7634"/>
    <w:rsid w:val="00E00022"/>
    <w:rsid w:val="00E01874"/>
    <w:rsid w:val="00E0358D"/>
    <w:rsid w:val="00E04323"/>
    <w:rsid w:val="00E04E72"/>
    <w:rsid w:val="00E06C80"/>
    <w:rsid w:val="00E06C93"/>
    <w:rsid w:val="00E070A2"/>
    <w:rsid w:val="00E07792"/>
    <w:rsid w:val="00E11B58"/>
    <w:rsid w:val="00E12939"/>
    <w:rsid w:val="00E13523"/>
    <w:rsid w:val="00E14323"/>
    <w:rsid w:val="00E153CA"/>
    <w:rsid w:val="00E164CF"/>
    <w:rsid w:val="00E17FA2"/>
    <w:rsid w:val="00E21272"/>
    <w:rsid w:val="00E235DB"/>
    <w:rsid w:val="00E24017"/>
    <w:rsid w:val="00E2656A"/>
    <w:rsid w:val="00E27792"/>
    <w:rsid w:val="00E27E8E"/>
    <w:rsid w:val="00E30CBA"/>
    <w:rsid w:val="00E319F5"/>
    <w:rsid w:val="00E31CCF"/>
    <w:rsid w:val="00E33141"/>
    <w:rsid w:val="00E33418"/>
    <w:rsid w:val="00E35995"/>
    <w:rsid w:val="00E35F97"/>
    <w:rsid w:val="00E36A63"/>
    <w:rsid w:val="00E375F2"/>
    <w:rsid w:val="00E4071C"/>
    <w:rsid w:val="00E411A7"/>
    <w:rsid w:val="00E412D0"/>
    <w:rsid w:val="00E41C9B"/>
    <w:rsid w:val="00E4258F"/>
    <w:rsid w:val="00E44D98"/>
    <w:rsid w:val="00E476F1"/>
    <w:rsid w:val="00E50DA8"/>
    <w:rsid w:val="00E50DF4"/>
    <w:rsid w:val="00E5321C"/>
    <w:rsid w:val="00E53F0E"/>
    <w:rsid w:val="00E5530A"/>
    <w:rsid w:val="00E5531E"/>
    <w:rsid w:val="00E559B4"/>
    <w:rsid w:val="00E56322"/>
    <w:rsid w:val="00E60982"/>
    <w:rsid w:val="00E61361"/>
    <w:rsid w:val="00E61EC6"/>
    <w:rsid w:val="00E62C62"/>
    <w:rsid w:val="00E62D4A"/>
    <w:rsid w:val="00E64DDB"/>
    <w:rsid w:val="00E654C1"/>
    <w:rsid w:val="00E65D97"/>
    <w:rsid w:val="00E71093"/>
    <w:rsid w:val="00E71427"/>
    <w:rsid w:val="00E7199A"/>
    <w:rsid w:val="00E72A5A"/>
    <w:rsid w:val="00E72F31"/>
    <w:rsid w:val="00E73354"/>
    <w:rsid w:val="00E73835"/>
    <w:rsid w:val="00E73879"/>
    <w:rsid w:val="00E7529B"/>
    <w:rsid w:val="00E75774"/>
    <w:rsid w:val="00E75BDF"/>
    <w:rsid w:val="00E75E63"/>
    <w:rsid w:val="00E763FF"/>
    <w:rsid w:val="00E76A99"/>
    <w:rsid w:val="00E77CB0"/>
    <w:rsid w:val="00E80B1E"/>
    <w:rsid w:val="00E80C9D"/>
    <w:rsid w:val="00E81F8F"/>
    <w:rsid w:val="00E82711"/>
    <w:rsid w:val="00E83437"/>
    <w:rsid w:val="00E846CA"/>
    <w:rsid w:val="00E852A0"/>
    <w:rsid w:val="00E85B48"/>
    <w:rsid w:val="00E9007F"/>
    <w:rsid w:val="00E91566"/>
    <w:rsid w:val="00E9184D"/>
    <w:rsid w:val="00E9242D"/>
    <w:rsid w:val="00E9403A"/>
    <w:rsid w:val="00E95E96"/>
    <w:rsid w:val="00E96048"/>
    <w:rsid w:val="00EA0F1E"/>
    <w:rsid w:val="00EA2406"/>
    <w:rsid w:val="00EA4500"/>
    <w:rsid w:val="00EA5338"/>
    <w:rsid w:val="00EA5813"/>
    <w:rsid w:val="00EA5BFC"/>
    <w:rsid w:val="00EA5EFF"/>
    <w:rsid w:val="00EA6AA9"/>
    <w:rsid w:val="00EA7471"/>
    <w:rsid w:val="00EB1566"/>
    <w:rsid w:val="00EB433F"/>
    <w:rsid w:val="00EB462F"/>
    <w:rsid w:val="00EB5255"/>
    <w:rsid w:val="00EB5318"/>
    <w:rsid w:val="00EB5C47"/>
    <w:rsid w:val="00EB63D0"/>
    <w:rsid w:val="00EB698F"/>
    <w:rsid w:val="00EB70BB"/>
    <w:rsid w:val="00EC0664"/>
    <w:rsid w:val="00EC0A7B"/>
    <w:rsid w:val="00EC33BF"/>
    <w:rsid w:val="00EC41B0"/>
    <w:rsid w:val="00EC448B"/>
    <w:rsid w:val="00EC4857"/>
    <w:rsid w:val="00EC756F"/>
    <w:rsid w:val="00EC7E72"/>
    <w:rsid w:val="00ED04F3"/>
    <w:rsid w:val="00ED0639"/>
    <w:rsid w:val="00ED0C3E"/>
    <w:rsid w:val="00ED1A89"/>
    <w:rsid w:val="00ED2623"/>
    <w:rsid w:val="00ED399B"/>
    <w:rsid w:val="00ED3CCA"/>
    <w:rsid w:val="00ED6524"/>
    <w:rsid w:val="00ED6AE5"/>
    <w:rsid w:val="00ED760F"/>
    <w:rsid w:val="00EE018D"/>
    <w:rsid w:val="00EE0BD4"/>
    <w:rsid w:val="00EE0E66"/>
    <w:rsid w:val="00EE1EE2"/>
    <w:rsid w:val="00EE2F8B"/>
    <w:rsid w:val="00EE328C"/>
    <w:rsid w:val="00EE514F"/>
    <w:rsid w:val="00EE698E"/>
    <w:rsid w:val="00EF1D82"/>
    <w:rsid w:val="00EF202C"/>
    <w:rsid w:val="00EF25D4"/>
    <w:rsid w:val="00EF40CC"/>
    <w:rsid w:val="00EF4755"/>
    <w:rsid w:val="00EF635E"/>
    <w:rsid w:val="00EF6E55"/>
    <w:rsid w:val="00EF7135"/>
    <w:rsid w:val="00F006AA"/>
    <w:rsid w:val="00F027DB"/>
    <w:rsid w:val="00F03503"/>
    <w:rsid w:val="00F0627E"/>
    <w:rsid w:val="00F10E54"/>
    <w:rsid w:val="00F1461C"/>
    <w:rsid w:val="00F14A7A"/>
    <w:rsid w:val="00F15037"/>
    <w:rsid w:val="00F21265"/>
    <w:rsid w:val="00F21669"/>
    <w:rsid w:val="00F22985"/>
    <w:rsid w:val="00F22F8A"/>
    <w:rsid w:val="00F26ABE"/>
    <w:rsid w:val="00F27E07"/>
    <w:rsid w:val="00F30E14"/>
    <w:rsid w:val="00F33150"/>
    <w:rsid w:val="00F3369E"/>
    <w:rsid w:val="00F3383E"/>
    <w:rsid w:val="00F3557B"/>
    <w:rsid w:val="00F361D9"/>
    <w:rsid w:val="00F36C75"/>
    <w:rsid w:val="00F403B6"/>
    <w:rsid w:val="00F40A47"/>
    <w:rsid w:val="00F40AB3"/>
    <w:rsid w:val="00F41907"/>
    <w:rsid w:val="00F42371"/>
    <w:rsid w:val="00F424D4"/>
    <w:rsid w:val="00F426F6"/>
    <w:rsid w:val="00F44A53"/>
    <w:rsid w:val="00F44D85"/>
    <w:rsid w:val="00F465A7"/>
    <w:rsid w:val="00F46CAE"/>
    <w:rsid w:val="00F47DBD"/>
    <w:rsid w:val="00F50122"/>
    <w:rsid w:val="00F50841"/>
    <w:rsid w:val="00F50B7C"/>
    <w:rsid w:val="00F514AF"/>
    <w:rsid w:val="00F518E9"/>
    <w:rsid w:val="00F54BF2"/>
    <w:rsid w:val="00F550E6"/>
    <w:rsid w:val="00F56A26"/>
    <w:rsid w:val="00F5716A"/>
    <w:rsid w:val="00F5763C"/>
    <w:rsid w:val="00F57F7B"/>
    <w:rsid w:val="00F61439"/>
    <w:rsid w:val="00F6162A"/>
    <w:rsid w:val="00F62D3B"/>
    <w:rsid w:val="00F63EF4"/>
    <w:rsid w:val="00F64428"/>
    <w:rsid w:val="00F654D3"/>
    <w:rsid w:val="00F67EFD"/>
    <w:rsid w:val="00F67F76"/>
    <w:rsid w:val="00F70F0A"/>
    <w:rsid w:val="00F734BC"/>
    <w:rsid w:val="00F74345"/>
    <w:rsid w:val="00F7547A"/>
    <w:rsid w:val="00F75B9F"/>
    <w:rsid w:val="00F77050"/>
    <w:rsid w:val="00F77246"/>
    <w:rsid w:val="00F777B4"/>
    <w:rsid w:val="00F77C45"/>
    <w:rsid w:val="00F80366"/>
    <w:rsid w:val="00F80A0A"/>
    <w:rsid w:val="00F8141C"/>
    <w:rsid w:val="00F81B4E"/>
    <w:rsid w:val="00F82B19"/>
    <w:rsid w:val="00F82FDE"/>
    <w:rsid w:val="00F84073"/>
    <w:rsid w:val="00F855CE"/>
    <w:rsid w:val="00F86647"/>
    <w:rsid w:val="00F86CF2"/>
    <w:rsid w:val="00F86E1F"/>
    <w:rsid w:val="00F87859"/>
    <w:rsid w:val="00F9212D"/>
    <w:rsid w:val="00F922A4"/>
    <w:rsid w:val="00F925CF"/>
    <w:rsid w:val="00F92930"/>
    <w:rsid w:val="00F93D94"/>
    <w:rsid w:val="00F94612"/>
    <w:rsid w:val="00F965DA"/>
    <w:rsid w:val="00F971DA"/>
    <w:rsid w:val="00FA0187"/>
    <w:rsid w:val="00FA03E2"/>
    <w:rsid w:val="00FA06B0"/>
    <w:rsid w:val="00FA0890"/>
    <w:rsid w:val="00FA1F78"/>
    <w:rsid w:val="00FA35F4"/>
    <w:rsid w:val="00FA3E8D"/>
    <w:rsid w:val="00FA406A"/>
    <w:rsid w:val="00FA470E"/>
    <w:rsid w:val="00FA62E6"/>
    <w:rsid w:val="00FA7AD6"/>
    <w:rsid w:val="00FB2EB3"/>
    <w:rsid w:val="00FB503A"/>
    <w:rsid w:val="00FB516C"/>
    <w:rsid w:val="00FB51B1"/>
    <w:rsid w:val="00FB6F98"/>
    <w:rsid w:val="00FC020A"/>
    <w:rsid w:val="00FC079B"/>
    <w:rsid w:val="00FC1779"/>
    <w:rsid w:val="00FC22FC"/>
    <w:rsid w:val="00FC278D"/>
    <w:rsid w:val="00FC2B81"/>
    <w:rsid w:val="00FC353D"/>
    <w:rsid w:val="00FC5435"/>
    <w:rsid w:val="00FC5A0C"/>
    <w:rsid w:val="00FC6B77"/>
    <w:rsid w:val="00FC7C6D"/>
    <w:rsid w:val="00FD0236"/>
    <w:rsid w:val="00FD0534"/>
    <w:rsid w:val="00FD1833"/>
    <w:rsid w:val="00FD18F4"/>
    <w:rsid w:val="00FD358A"/>
    <w:rsid w:val="00FD54DB"/>
    <w:rsid w:val="00FD619F"/>
    <w:rsid w:val="00FE2243"/>
    <w:rsid w:val="00FE487D"/>
    <w:rsid w:val="00FE564F"/>
    <w:rsid w:val="00FF03D4"/>
    <w:rsid w:val="00FF0D31"/>
    <w:rsid w:val="00FF30E1"/>
    <w:rsid w:val="00FF49B8"/>
    <w:rsid w:val="00FF4D27"/>
    <w:rsid w:val="00FF7076"/>
    <w:rsid w:val="00FF7CFE"/>
    <w:rsid w:val="01290F7E"/>
    <w:rsid w:val="015D1E09"/>
    <w:rsid w:val="02697903"/>
    <w:rsid w:val="02F96569"/>
    <w:rsid w:val="03EA7B21"/>
    <w:rsid w:val="05F83EAE"/>
    <w:rsid w:val="063E7D85"/>
    <w:rsid w:val="07293586"/>
    <w:rsid w:val="07295285"/>
    <w:rsid w:val="07636392"/>
    <w:rsid w:val="07770C56"/>
    <w:rsid w:val="092217DD"/>
    <w:rsid w:val="093A7294"/>
    <w:rsid w:val="099F3C38"/>
    <w:rsid w:val="0A263993"/>
    <w:rsid w:val="0A2D3AC2"/>
    <w:rsid w:val="0AA755DF"/>
    <w:rsid w:val="0B120D44"/>
    <w:rsid w:val="0BD27BF6"/>
    <w:rsid w:val="0C3B3C7D"/>
    <w:rsid w:val="0CAB2EAE"/>
    <w:rsid w:val="0D621C7D"/>
    <w:rsid w:val="0E73034D"/>
    <w:rsid w:val="0F13775A"/>
    <w:rsid w:val="0F5C547F"/>
    <w:rsid w:val="0F5F45FE"/>
    <w:rsid w:val="0F9A112B"/>
    <w:rsid w:val="106D2F64"/>
    <w:rsid w:val="10B63710"/>
    <w:rsid w:val="10F10820"/>
    <w:rsid w:val="111C2F7A"/>
    <w:rsid w:val="11665CA1"/>
    <w:rsid w:val="13951726"/>
    <w:rsid w:val="13DE5A07"/>
    <w:rsid w:val="14396509"/>
    <w:rsid w:val="14B45A2D"/>
    <w:rsid w:val="14DD2C3C"/>
    <w:rsid w:val="16087E1D"/>
    <w:rsid w:val="17701D14"/>
    <w:rsid w:val="17735226"/>
    <w:rsid w:val="189F624C"/>
    <w:rsid w:val="1A1C66C0"/>
    <w:rsid w:val="1A42393B"/>
    <w:rsid w:val="1AAD45DE"/>
    <w:rsid w:val="1B046F80"/>
    <w:rsid w:val="1B3267B5"/>
    <w:rsid w:val="1B40161D"/>
    <w:rsid w:val="1B441859"/>
    <w:rsid w:val="1B6606B1"/>
    <w:rsid w:val="1BA41430"/>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22B9B"/>
    <w:rsid w:val="29E325E0"/>
    <w:rsid w:val="2A452503"/>
    <w:rsid w:val="2BA936A8"/>
    <w:rsid w:val="2C315A5A"/>
    <w:rsid w:val="2C4B1C25"/>
    <w:rsid w:val="2D9E56F5"/>
    <w:rsid w:val="2E667F96"/>
    <w:rsid w:val="2E8226AB"/>
    <w:rsid w:val="2FD065E6"/>
    <w:rsid w:val="2FD96870"/>
    <w:rsid w:val="30580BC9"/>
    <w:rsid w:val="3111322F"/>
    <w:rsid w:val="311E2ED7"/>
    <w:rsid w:val="315619EE"/>
    <w:rsid w:val="315C449C"/>
    <w:rsid w:val="31B82709"/>
    <w:rsid w:val="31D05482"/>
    <w:rsid w:val="32400B34"/>
    <w:rsid w:val="329E6876"/>
    <w:rsid w:val="333015F2"/>
    <w:rsid w:val="334B6320"/>
    <w:rsid w:val="33D934D4"/>
    <w:rsid w:val="33FE2F6A"/>
    <w:rsid w:val="340E07E5"/>
    <w:rsid w:val="34235BF7"/>
    <w:rsid w:val="34A40E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ED11CEA"/>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70170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681A8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102"/>
    <w:semiHidden/>
    <w:unhideWhenUsed/>
    <w:qFormat/>
    <w:locked/>
    <w:uiPriority w:val="0"/>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link w:val="27"/>
    <w:qFormat/>
    <w:locked/>
    <w:uiPriority w:val="0"/>
    <w:pPr>
      <w:keepNext/>
      <w:keepLines/>
      <w:spacing w:before="260" w:after="260" w:line="416" w:lineRule="auto"/>
      <w:outlineLvl w:val="2"/>
    </w:pPr>
    <w:rPr>
      <w:b/>
      <w:bCs/>
      <w:sz w:val="32"/>
      <w:szCs w:val="32"/>
    </w:rPr>
  </w:style>
  <w:style w:type="paragraph" w:styleId="5">
    <w:name w:val="heading 4"/>
    <w:basedOn w:val="1"/>
    <w:next w:val="1"/>
    <w:link w:val="28"/>
    <w:qFormat/>
    <w:locked/>
    <w:uiPriority w:val="0"/>
    <w:pPr>
      <w:keepNext/>
      <w:keepLines/>
      <w:spacing w:before="280" w:after="290" w:line="376" w:lineRule="auto"/>
      <w:outlineLvl w:val="3"/>
    </w:pPr>
    <w:rPr>
      <w:rFonts w:ascii="等线 Light" w:hAnsi="等线 Light" w:eastAsia="等线 Light"/>
      <w:b/>
      <w:bCs/>
      <w:sz w:val="28"/>
      <w:szCs w:val="28"/>
    </w:rPr>
  </w:style>
  <w:style w:type="paragraph" w:styleId="6">
    <w:name w:val="heading 5"/>
    <w:basedOn w:val="1"/>
    <w:next w:val="1"/>
    <w:link w:val="29"/>
    <w:qFormat/>
    <w:locked/>
    <w:uiPriority w:val="0"/>
    <w:pPr>
      <w:keepNext/>
      <w:keepLines/>
      <w:spacing w:before="280" w:after="290" w:line="376" w:lineRule="auto"/>
      <w:outlineLvl w:val="4"/>
    </w:pPr>
    <w:rPr>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locked/>
    <w:uiPriority w:val="0"/>
    <w:pPr>
      <w:ind w:firstLine="420" w:firstLineChars="200"/>
    </w:pPr>
    <w:rPr>
      <w:rFonts w:ascii="Calibri" w:hAnsi="Calibri" w:cs="Calibri"/>
    </w:rPr>
  </w:style>
  <w:style w:type="paragraph" w:styleId="8">
    <w:name w:val="Document Map"/>
    <w:basedOn w:val="1"/>
    <w:link w:val="30"/>
    <w:qFormat/>
    <w:locked/>
    <w:uiPriority w:val="0"/>
    <w:rPr>
      <w:rFonts w:ascii="宋体"/>
      <w:sz w:val="18"/>
      <w:szCs w:val="18"/>
    </w:rPr>
  </w:style>
  <w:style w:type="paragraph" w:styleId="9">
    <w:name w:val="annotation text"/>
    <w:basedOn w:val="1"/>
    <w:link w:val="31"/>
    <w:qFormat/>
    <w:uiPriority w:val="0"/>
    <w:pPr>
      <w:jc w:val="left"/>
    </w:pPr>
    <w:rPr>
      <w:kern w:val="0"/>
      <w:sz w:val="24"/>
      <w:szCs w:val="20"/>
    </w:rPr>
  </w:style>
  <w:style w:type="paragraph" w:styleId="10">
    <w:name w:val="Body Text"/>
    <w:basedOn w:val="1"/>
    <w:link w:val="32"/>
    <w:qFormat/>
    <w:uiPriority w:val="0"/>
    <w:pPr>
      <w:widowControl/>
      <w:snapToGrid w:val="0"/>
      <w:spacing w:before="60" w:after="160" w:line="259" w:lineRule="auto"/>
      <w:ind w:right="113"/>
    </w:pPr>
    <w:rPr>
      <w:kern w:val="0"/>
      <w:sz w:val="18"/>
      <w:szCs w:val="20"/>
    </w:rPr>
  </w:style>
  <w:style w:type="paragraph" w:styleId="11">
    <w:name w:val="Body Text Indent"/>
    <w:basedOn w:val="1"/>
    <w:link w:val="33"/>
    <w:qFormat/>
    <w:uiPriority w:val="0"/>
    <w:pPr>
      <w:spacing w:after="120"/>
      <w:ind w:left="420" w:leftChars="200"/>
    </w:pPr>
    <w:rPr>
      <w:kern w:val="0"/>
      <w:sz w:val="24"/>
      <w:szCs w:val="20"/>
    </w:rPr>
  </w:style>
  <w:style w:type="paragraph" w:styleId="12">
    <w:name w:val="Plain Text"/>
    <w:basedOn w:val="1"/>
    <w:link w:val="34"/>
    <w:qFormat/>
    <w:locked/>
    <w:uiPriority w:val="0"/>
    <w:rPr>
      <w:rFonts w:ascii="宋体" w:hAnsi="Courier New"/>
      <w:szCs w:val="21"/>
    </w:rPr>
  </w:style>
  <w:style w:type="paragraph" w:styleId="13">
    <w:name w:val="Date"/>
    <w:basedOn w:val="1"/>
    <w:next w:val="1"/>
    <w:link w:val="35"/>
    <w:qFormat/>
    <w:uiPriority w:val="0"/>
    <w:pPr>
      <w:ind w:left="100" w:leftChars="2500"/>
    </w:pPr>
    <w:rPr>
      <w:kern w:val="0"/>
      <w:sz w:val="24"/>
      <w:szCs w:val="20"/>
    </w:rPr>
  </w:style>
  <w:style w:type="paragraph" w:styleId="14">
    <w:name w:val="Balloon Text"/>
    <w:basedOn w:val="1"/>
    <w:link w:val="36"/>
    <w:semiHidden/>
    <w:qFormat/>
    <w:uiPriority w:val="0"/>
    <w:rPr>
      <w:kern w:val="0"/>
      <w:sz w:val="18"/>
      <w:szCs w:val="20"/>
    </w:rPr>
  </w:style>
  <w:style w:type="paragraph" w:styleId="15">
    <w:name w:val="footer"/>
    <w:basedOn w:val="1"/>
    <w:link w:val="37"/>
    <w:qFormat/>
    <w:uiPriority w:val="99"/>
    <w:pPr>
      <w:tabs>
        <w:tab w:val="center" w:pos="4153"/>
        <w:tab w:val="right" w:pos="8306"/>
      </w:tabs>
      <w:snapToGrid w:val="0"/>
      <w:jc w:val="left"/>
    </w:pPr>
    <w:rPr>
      <w:kern w:val="0"/>
      <w:sz w:val="18"/>
      <w:szCs w:val="20"/>
    </w:rPr>
  </w:style>
  <w:style w:type="paragraph" w:styleId="16">
    <w:name w:val="header"/>
    <w:basedOn w:val="1"/>
    <w:link w:val="38"/>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Normal (Web)"/>
    <w:basedOn w:val="1"/>
    <w:link w:val="39"/>
    <w:qFormat/>
    <w:uiPriority w:val="0"/>
    <w:pPr>
      <w:widowControl/>
      <w:spacing w:before="100" w:beforeAutospacing="1" w:after="100" w:afterAutospacing="1"/>
      <w:jc w:val="left"/>
    </w:pPr>
    <w:rPr>
      <w:rFonts w:ascii="宋体" w:hAnsi="宋体"/>
      <w:kern w:val="0"/>
      <w:sz w:val="24"/>
      <w:szCs w:val="20"/>
    </w:rPr>
  </w:style>
  <w:style w:type="paragraph" w:styleId="18">
    <w:name w:val="annotation subject"/>
    <w:basedOn w:val="9"/>
    <w:next w:val="9"/>
    <w:link w:val="40"/>
    <w:semiHidden/>
    <w:qFormat/>
    <w:uiPriority w:val="0"/>
    <w:rPr>
      <w:b/>
      <w:kern w:val="2"/>
    </w:rPr>
  </w:style>
  <w:style w:type="paragraph" w:styleId="19">
    <w:name w:val="Body Text First Indent"/>
    <w:basedOn w:val="10"/>
    <w:link w:val="41"/>
    <w:qFormat/>
    <w:locked/>
    <w:uiPriority w:val="0"/>
    <w:pPr>
      <w:widowControl w:val="0"/>
      <w:snapToGrid/>
      <w:spacing w:before="0" w:after="120" w:line="240" w:lineRule="auto"/>
      <w:ind w:right="0" w:firstLine="420" w:firstLineChars="100"/>
    </w:pPr>
    <w:rPr>
      <w:kern w:val="2"/>
      <w:sz w:val="21"/>
      <w:szCs w:val="24"/>
    </w:rPr>
  </w:style>
  <w:style w:type="paragraph" w:styleId="20">
    <w:name w:val="Body Text First Indent 2"/>
    <w:basedOn w:val="11"/>
    <w:link w:val="42"/>
    <w:qFormat/>
    <w:locked/>
    <w:uiPriority w:val="0"/>
    <w:pPr>
      <w:ind w:firstLine="420" w:firstLineChars="200"/>
    </w:pPr>
    <w:rPr>
      <w:kern w:val="2"/>
      <w:sz w:val="21"/>
      <w:szCs w:val="24"/>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qFormat/>
    <w:locked/>
    <w:uiPriority w:val="0"/>
  </w:style>
  <w:style w:type="character" w:styleId="25">
    <w:name w:val="Hyperlink"/>
    <w:unhideWhenUsed/>
    <w:qFormat/>
    <w:locked/>
    <w:uiPriority w:val="99"/>
    <w:rPr>
      <w:color w:val="000000"/>
      <w:u w:val="none"/>
    </w:rPr>
  </w:style>
  <w:style w:type="character" w:styleId="26">
    <w:name w:val="annotation reference"/>
    <w:semiHidden/>
    <w:qFormat/>
    <w:uiPriority w:val="0"/>
    <w:rPr>
      <w:sz w:val="21"/>
    </w:rPr>
  </w:style>
  <w:style w:type="character" w:customStyle="1" w:styleId="27">
    <w:name w:val="标题 3 字符"/>
    <w:link w:val="4"/>
    <w:semiHidden/>
    <w:qFormat/>
    <w:uiPriority w:val="0"/>
    <w:rPr>
      <w:b/>
      <w:bCs/>
      <w:kern w:val="2"/>
      <w:sz w:val="32"/>
      <w:szCs w:val="32"/>
    </w:rPr>
  </w:style>
  <w:style w:type="character" w:customStyle="1" w:styleId="28">
    <w:name w:val="标题 4 字符"/>
    <w:link w:val="5"/>
    <w:semiHidden/>
    <w:qFormat/>
    <w:uiPriority w:val="0"/>
    <w:rPr>
      <w:rFonts w:ascii="等线 Light" w:hAnsi="等线 Light" w:eastAsia="等线 Light" w:cs="Times New Roman"/>
      <w:b/>
      <w:bCs/>
      <w:kern w:val="2"/>
      <w:sz w:val="28"/>
      <w:szCs w:val="28"/>
    </w:rPr>
  </w:style>
  <w:style w:type="character" w:customStyle="1" w:styleId="29">
    <w:name w:val="标题 5 字符"/>
    <w:link w:val="6"/>
    <w:semiHidden/>
    <w:qFormat/>
    <w:uiPriority w:val="0"/>
    <w:rPr>
      <w:b/>
      <w:bCs/>
      <w:kern w:val="2"/>
      <w:sz w:val="28"/>
      <w:szCs w:val="28"/>
    </w:rPr>
  </w:style>
  <w:style w:type="character" w:customStyle="1" w:styleId="30">
    <w:name w:val="文档结构图 字符"/>
    <w:link w:val="8"/>
    <w:qFormat/>
    <w:uiPriority w:val="0"/>
    <w:rPr>
      <w:rFonts w:ascii="宋体"/>
      <w:kern w:val="2"/>
      <w:sz w:val="18"/>
      <w:szCs w:val="18"/>
    </w:rPr>
  </w:style>
  <w:style w:type="character" w:customStyle="1" w:styleId="31">
    <w:name w:val="批注文字 字符"/>
    <w:link w:val="9"/>
    <w:qFormat/>
    <w:locked/>
    <w:uiPriority w:val="0"/>
    <w:rPr>
      <w:rFonts w:ascii="Times New Roman" w:hAnsi="Times New Roman" w:eastAsia="宋体"/>
      <w:sz w:val="24"/>
    </w:rPr>
  </w:style>
  <w:style w:type="character" w:customStyle="1" w:styleId="32">
    <w:name w:val="正文文本 字符"/>
    <w:link w:val="10"/>
    <w:qFormat/>
    <w:locked/>
    <w:uiPriority w:val="0"/>
    <w:rPr>
      <w:sz w:val="18"/>
    </w:rPr>
  </w:style>
  <w:style w:type="character" w:customStyle="1" w:styleId="33">
    <w:name w:val="正文文本缩进 字符"/>
    <w:link w:val="11"/>
    <w:semiHidden/>
    <w:qFormat/>
    <w:locked/>
    <w:uiPriority w:val="0"/>
    <w:rPr>
      <w:rFonts w:ascii="Times New Roman" w:hAnsi="Times New Roman" w:eastAsia="宋体"/>
      <w:sz w:val="24"/>
    </w:rPr>
  </w:style>
  <w:style w:type="character" w:customStyle="1" w:styleId="34">
    <w:name w:val="纯文本 字符"/>
    <w:link w:val="12"/>
    <w:qFormat/>
    <w:uiPriority w:val="0"/>
    <w:rPr>
      <w:rFonts w:ascii="宋体" w:hAnsi="Courier New" w:cs="Courier New"/>
      <w:kern w:val="2"/>
      <w:sz w:val="21"/>
      <w:szCs w:val="21"/>
    </w:rPr>
  </w:style>
  <w:style w:type="character" w:customStyle="1" w:styleId="35">
    <w:name w:val="日期 字符1"/>
    <w:link w:val="13"/>
    <w:qFormat/>
    <w:locked/>
    <w:uiPriority w:val="0"/>
    <w:rPr>
      <w:rFonts w:ascii="Times New Roman" w:hAnsi="Times New Roman" w:eastAsia="宋体"/>
      <w:sz w:val="24"/>
    </w:rPr>
  </w:style>
  <w:style w:type="character" w:customStyle="1" w:styleId="36">
    <w:name w:val="批注框文本 字符"/>
    <w:link w:val="14"/>
    <w:semiHidden/>
    <w:qFormat/>
    <w:locked/>
    <w:uiPriority w:val="0"/>
    <w:rPr>
      <w:rFonts w:ascii="Times New Roman" w:hAnsi="Times New Roman" w:eastAsia="宋体"/>
      <w:sz w:val="18"/>
    </w:rPr>
  </w:style>
  <w:style w:type="character" w:customStyle="1" w:styleId="37">
    <w:name w:val="页脚 字符1"/>
    <w:link w:val="15"/>
    <w:locked/>
    <w:uiPriority w:val="99"/>
    <w:rPr>
      <w:sz w:val="18"/>
    </w:rPr>
  </w:style>
  <w:style w:type="character" w:customStyle="1" w:styleId="38">
    <w:name w:val="页眉 字符"/>
    <w:link w:val="16"/>
    <w:locked/>
    <w:uiPriority w:val="0"/>
    <w:rPr>
      <w:sz w:val="18"/>
    </w:rPr>
  </w:style>
  <w:style w:type="character" w:customStyle="1" w:styleId="39">
    <w:name w:val="普通(网站) 字符"/>
    <w:link w:val="17"/>
    <w:locked/>
    <w:uiPriority w:val="0"/>
    <w:rPr>
      <w:rFonts w:ascii="宋体" w:hAnsi="宋体" w:eastAsia="宋体"/>
      <w:sz w:val="24"/>
    </w:rPr>
  </w:style>
  <w:style w:type="character" w:customStyle="1" w:styleId="40">
    <w:name w:val="批注主题 字符"/>
    <w:link w:val="18"/>
    <w:semiHidden/>
    <w:locked/>
    <w:uiPriority w:val="0"/>
    <w:rPr>
      <w:rFonts w:ascii="Times New Roman" w:hAnsi="Times New Roman" w:eastAsia="宋体"/>
      <w:b/>
      <w:kern w:val="2"/>
      <w:sz w:val="24"/>
    </w:rPr>
  </w:style>
  <w:style w:type="character" w:customStyle="1" w:styleId="41">
    <w:name w:val="正文文本首行缩进 字符"/>
    <w:link w:val="19"/>
    <w:uiPriority w:val="0"/>
    <w:rPr>
      <w:kern w:val="2"/>
      <w:sz w:val="21"/>
      <w:szCs w:val="24"/>
    </w:rPr>
  </w:style>
  <w:style w:type="character" w:customStyle="1" w:styleId="42">
    <w:name w:val="正文文本首行缩进 2 字符"/>
    <w:link w:val="20"/>
    <w:uiPriority w:val="0"/>
    <w:rPr>
      <w:rFonts w:ascii="Times New Roman" w:hAnsi="Times New Roman" w:eastAsia="宋体"/>
      <w:kern w:val="2"/>
      <w:sz w:val="21"/>
      <w:szCs w:val="24"/>
    </w:rPr>
  </w:style>
  <w:style w:type="character" w:customStyle="1" w:styleId="43">
    <w:name w:val="页脚 字符"/>
    <w:uiPriority w:val="99"/>
  </w:style>
  <w:style w:type="character" w:customStyle="1" w:styleId="44">
    <w:name w:val="正文文本 字符1"/>
    <w:semiHidden/>
    <w:qFormat/>
    <w:uiPriority w:val="0"/>
    <w:rPr>
      <w:rFonts w:ascii="Times New Roman" w:hAnsi="Times New Roman" w:eastAsia="宋体"/>
      <w:sz w:val="24"/>
    </w:rPr>
  </w:style>
  <w:style w:type="character" w:customStyle="1" w:styleId="45">
    <w:name w:val="表格 Char"/>
    <w:link w:val="46"/>
    <w:locked/>
    <w:uiPriority w:val="0"/>
    <w:rPr>
      <w:rFonts w:ascii="宋体"/>
      <w:sz w:val="21"/>
    </w:rPr>
  </w:style>
  <w:style w:type="paragraph" w:customStyle="1" w:styleId="46">
    <w:name w:val="表格"/>
    <w:basedOn w:val="1"/>
    <w:next w:val="1"/>
    <w:link w:val="45"/>
    <w:uiPriority w:val="0"/>
    <w:pPr>
      <w:adjustRightInd w:val="0"/>
      <w:snapToGrid w:val="0"/>
      <w:spacing w:beforeLines="10" w:afterLines="10" w:line="259" w:lineRule="auto"/>
      <w:jc w:val="center"/>
    </w:pPr>
    <w:rPr>
      <w:rFonts w:ascii="宋体"/>
      <w:kern w:val="0"/>
      <w:szCs w:val="20"/>
    </w:rPr>
  </w:style>
  <w:style w:type="character" w:customStyle="1" w:styleId="47">
    <w:name w:val="日期 字符"/>
    <w:semiHidden/>
    <w:uiPriority w:val="0"/>
    <w:rPr>
      <w:rFonts w:ascii="Times New Roman" w:hAnsi="Times New Roman" w:eastAsia="宋体"/>
      <w:sz w:val="24"/>
    </w:rPr>
  </w:style>
  <w:style w:type="character" w:customStyle="1" w:styleId="48">
    <w:name w:val="批注文字 字符1"/>
    <w:semiHidden/>
    <w:uiPriority w:val="0"/>
    <w:rPr>
      <w:rFonts w:ascii="Times New Roman" w:hAnsi="Times New Roman" w:eastAsia="宋体"/>
      <w:sz w:val="24"/>
    </w:rPr>
  </w:style>
  <w:style w:type="paragraph" w:customStyle="1" w:styleId="49">
    <w:name w:val="正文_10"/>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0">
    <w:name w:val="普通(网站)2"/>
    <w:basedOn w:val="1"/>
    <w:uiPriority w:val="0"/>
    <w:pPr>
      <w:widowControl/>
      <w:spacing w:before="100" w:beforeAutospacing="1" w:after="100" w:afterAutospacing="1"/>
      <w:jc w:val="left"/>
    </w:pPr>
    <w:rPr>
      <w:rFonts w:ascii="宋体" w:hAnsi="宋体"/>
      <w:sz w:val="24"/>
      <w:szCs w:val="20"/>
    </w:rPr>
  </w:style>
  <w:style w:type="paragraph" w:customStyle="1" w:styleId="51">
    <w:name w:val="鸿达表格文字"/>
    <w:basedOn w:val="1"/>
    <w:link w:val="52"/>
    <w:qFormat/>
    <w:uiPriority w:val="0"/>
    <w:pPr>
      <w:contextualSpacing/>
      <w:jc w:val="center"/>
      <w:textAlignment w:val="baseline"/>
    </w:pPr>
    <w:rPr>
      <w:kern w:val="0"/>
      <w:szCs w:val="21"/>
    </w:rPr>
  </w:style>
  <w:style w:type="character" w:customStyle="1" w:styleId="52">
    <w:name w:val="鸿达表格文字 Char"/>
    <w:link w:val="51"/>
    <w:qFormat/>
    <w:uiPriority w:val="0"/>
    <w:rPr>
      <w:sz w:val="21"/>
      <w:szCs w:val="21"/>
    </w:rPr>
  </w:style>
  <w:style w:type="paragraph" w:customStyle="1" w:styleId="53">
    <w:name w:val="鸿达表格段落"/>
    <w:basedOn w:val="1"/>
    <w:qFormat/>
    <w:uiPriority w:val="0"/>
    <w:pPr>
      <w:adjustRightInd w:val="0"/>
      <w:snapToGrid w:val="0"/>
      <w:ind w:firstLine="200" w:firstLineChars="200"/>
      <w:jc w:val="left"/>
    </w:pPr>
    <w:rPr>
      <w:snapToGrid w:val="0"/>
      <w:kern w:val="0"/>
    </w:rPr>
  </w:style>
  <w:style w:type="paragraph" w:customStyle="1" w:styleId="54">
    <w:name w:val="鸿达表头"/>
    <w:basedOn w:val="1"/>
    <w:link w:val="55"/>
    <w:qFormat/>
    <w:uiPriority w:val="0"/>
    <w:pPr>
      <w:spacing w:beforeLines="100" w:afterLines="50"/>
      <w:ind w:firstLine="100" w:firstLineChars="100"/>
    </w:pPr>
    <w:rPr>
      <w:b/>
      <w:sz w:val="24"/>
    </w:rPr>
  </w:style>
  <w:style w:type="character" w:customStyle="1" w:styleId="55">
    <w:name w:val="鸿达表头 Char"/>
    <w:link w:val="54"/>
    <w:qFormat/>
    <w:uiPriority w:val="0"/>
    <w:rPr>
      <w:b/>
      <w:kern w:val="2"/>
      <w:sz w:val="24"/>
      <w:szCs w:val="24"/>
    </w:rPr>
  </w:style>
  <w:style w:type="paragraph" w:customStyle="1" w:styleId="56">
    <w:name w:val="鸿达表加粗"/>
    <w:basedOn w:val="1"/>
    <w:link w:val="57"/>
    <w:qFormat/>
    <w:uiPriority w:val="0"/>
    <w:pPr>
      <w:jc w:val="center"/>
    </w:pPr>
    <w:rPr>
      <w:rFonts w:cs="宋体"/>
      <w:b/>
      <w:color w:val="000000"/>
      <w:szCs w:val="20"/>
    </w:rPr>
  </w:style>
  <w:style w:type="character" w:customStyle="1" w:styleId="57">
    <w:name w:val="鸿达表加粗 字符"/>
    <w:link w:val="56"/>
    <w:uiPriority w:val="0"/>
    <w:rPr>
      <w:rFonts w:cs="宋体"/>
      <w:b/>
      <w:color w:val="000000"/>
      <w:kern w:val="2"/>
      <w:sz w:val="21"/>
    </w:rPr>
  </w:style>
  <w:style w:type="character" w:customStyle="1" w:styleId="58">
    <w:name w:val="段落 Char"/>
    <w:link w:val="59"/>
    <w:qFormat/>
    <w:uiPriority w:val="99"/>
    <w:rPr>
      <w:rFonts w:cs="Courier New"/>
      <w:kern w:val="2"/>
      <w:sz w:val="28"/>
      <w:szCs w:val="24"/>
    </w:rPr>
  </w:style>
  <w:style w:type="paragraph" w:customStyle="1" w:styleId="59">
    <w:name w:val="段落"/>
    <w:basedOn w:val="12"/>
    <w:link w:val="58"/>
    <w:qFormat/>
    <w:uiPriority w:val="99"/>
    <w:pPr>
      <w:spacing w:line="500" w:lineRule="exact"/>
      <w:ind w:firstLine="578"/>
    </w:pPr>
    <w:rPr>
      <w:rFonts w:ascii="Times New Roman" w:hAnsi="Times New Roman"/>
      <w:sz w:val="28"/>
      <w:szCs w:val="24"/>
    </w:rPr>
  </w:style>
  <w:style w:type="paragraph" w:customStyle="1" w:styleId="60">
    <w:name w:val="报告表表格文字"/>
    <w:basedOn w:val="1"/>
    <w:qFormat/>
    <w:uiPriority w:val="0"/>
    <w:pPr>
      <w:autoSpaceDE w:val="0"/>
      <w:autoSpaceDN w:val="0"/>
      <w:adjustRightInd w:val="0"/>
      <w:snapToGrid w:val="0"/>
      <w:jc w:val="center"/>
    </w:pPr>
    <w:rPr>
      <w:color w:val="000000"/>
      <w:kern w:val="0"/>
      <w:szCs w:val="21"/>
    </w:rPr>
  </w:style>
  <w:style w:type="paragraph" w:customStyle="1" w:styleId="61">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62">
    <w:name w:val="Table Paragraph"/>
    <w:basedOn w:val="1"/>
    <w:qFormat/>
    <w:uiPriority w:val="0"/>
    <w:pPr>
      <w:autoSpaceDE w:val="0"/>
      <w:autoSpaceDN w:val="0"/>
      <w:jc w:val="center"/>
    </w:pPr>
    <w:rPr>
      <w:rFonts w:ascii="宋体" w:hAnsi="宋体" w:cs="宋体"/>
      <w:kern w:val="0"/>
      <w:sz w:val="22"/>
      <w:szCs w:val="22"/>
    </w:rPr>
  </w:style>
  <w:style w:type="paragraph" w:styleId="63">
    <w:name w:val="List Paragraph"/>
    <w:basedOn w:val="1"/>
    <w:qFormat/>
    <w:uiPriority w:val="1"/>
    <w:pPr>
      <w:autoSpaceDE w:val="0"/>
      <w:autoSpaceDN w:val="0"/>
      <w:ind w:left="1661" w:hanging="703"/>
      <w:jc w:val="left"/>
    </w:pPr>
    <w:rPr>
      <w:rFonts w:ascii="仿宋" w:hAnsi="仿宋" w:eastAsia="仿宋" w:cs="仿宋"/>
      <w:kern w:val="0"/>
      <w:sz w:val="22"/>
      <w:szCs w:val="22"/>
      <w:lang w:val="zh-CN" w:bidi="zh-CN"/>
    </w:rPr>
  </w:style>
  <w:style w:type="paragraph" w:customStyle="1" w:styleId="64">
    <w:name w:val="标题 41"/>
    <w:basedOn w:val="1"/>
    <w:qFormat/>
    <w:uiPriority w:val="0"/>
    <w:pPr>
      <w:autoSpaceDE w:val="0"/>
      <w:autoSpaceDN w:val="0"/>
      <w:spacing w:before="100" w:beforeAutospacing="1" w:after="100" w:afterAutospacing="1"/>
      <w:ind w:left="228"/>
      <w:jc w:val="left"/>
      <w:outlineLvl w:val="4"/>
    </w:pPr>
    <w:rPr>
      <w:rFonts w:ascii="宋体" w:hAnsi="宋体" w:cs="宋体"/>
      <w:b/>
      <w:bCs/>
      <w:kern w:val="0"/>
      <w:sz w:val="24"/>
    </w:rPr>
  </w:style>
  <w:style w:type="paragraph" w:customStyle="1" w:styleId="65">
    <w:name w:val="正文1"/>
    <w:qFormat/>
    <w:uiPriority w:val="0"/>
    <w:pPr>
      <w:jc w:val="both"/>
    </w:pPr>
    <w:rPr>
      <w:rFonts w:ascii="Calibri" w:hAnsi="Calibri" w:eastAsia="宋体" w:cs="Calibri"/>
      <w:kern w:val="2"/>
      <w:sz w:val="21"/>
      <w:szCs w:val="21"/>
      <w:lang w:val="en-US" w:eastAsia="zh-CN" w:bidi="ar-SA"/>
    </w:rPr>
  </w:style>
  <w:style w:type="character" w:customStyle="1" w:styleId="66">
    <w:name w:val="font21"/>
    <w:qFormat/>
    <w:uiPriority w:val="0"/>
    <w:rPr>
      <w:rFonts w:hint="eastAsia" w:ascii="宋体" w:hAnsi="宋体" w:eastAsia="宋体" w:cs="宋体"/>
      <w:color w:val="000000"/>
      <w:sz w:val="22"/>
      <w:szCs w:val="22"/>
      <w:u w:val="none"/>
    </w:rPr>
  </w:style>
  <w:style w:type="character" w:customStyle="1" w:styleId="67">
    <w:name w:val="文档结构图 Char"/>
    <w:qFormat/>
    <w:uiPriority w:val="0"/>
    <w:rPr>
      <w:rFonts w:ascii="宋体"/>
      <w:kern w:val="2"/>
      <w:sz w:val="18"/>
      <w:szCs w:val="18"/>
    </w:rPr>
  </w:style>
  <w:style w:type="character" w:customStyle="1" w:styleId="68">
    <w:name w:val="批注文字 Char"/>
    <w:qFormat/>
    <w:locked/>
    <w:uiPriority w:val="0"/>
    <w:rPr>
      <w:rFonts w:ascii="Times New Roman" w:hAnsi="Times New Roman" w:eastAsia="宋体"/>
      <w:sz w:val="24"/>
    </w:rPr>
  </w:style>
  <w:style w:type="character" w:customStyle="1" w:styleId="69">
    <w:name w:val="正文文本 Char"/>
    <w:locked/>
    <w:uiPriority w:val="0"/>
    <w:rPr>
      <w:sz w:val="18"/>
    </w:rPr>
  </w:style>
  <w:style w:type="character" w:customStyle="1" w:styleId="70">
    <w:name w:val="正文文本缩进 Char"/>
    <w:semiHidden/>
    <w:qFormat/>
    <w:locked/>
    <w:uiPriority w:val="0"/>
    <w:rPr>
      <w:rFonts w:ascii="Times New Roman" w:hAnsi="Times New Roman" w:eastAsia="宋体"/>
      <w:sz w:val="24"/>
    </w:rPr>
  </w:style>
  <w:style w:type="character" w:customStyle="1" w:styleId="71">
    <w:name w:val="纯文本 Char"/>
    <w:qFormat/>
    <w:uiPriority w:val="0"/>
    <w:rPr>
      <w:rFonts w:ascii="宋体" w:hAnsi="Courier New" w:cs="Courier New"/>
      <w:kern w:val="2"/>
      <w:sz w:val="21"/>
      <w:szCs w:val="21"/>
    </w:rPr>
  </w:style>
  <w:style w:type="character" w:customStyle="1" w:styleId="72">
    <w:name w:val="日期 Char"/>
    <w:locked/>
    <w:uiPriority w:val="0"/>
    <w:rPr>
      <w:rFonts w:ascii="Times New Roman" w:hAnsi="Times New Roman" w:eastAsia="宋体"/>
      <w:sz w:val="24"/>
    </w:rPr>
  </w:style>
  <w:style w:type="character" w:customStyle="1" w:styleId="73">
    <w:name w:val="批注框文本 Char"/>
    <w:semiHidden/>
    <w:qFormat/>
    <w:locked/>
    <w:uiPriority w:val="0"/>
    <w:rPr>
      <w:rFonts w:ascii="Times New Roman" w:hAnsi="Times New Roman" w:eastAsia="宋体"/>
      <w:sz w:val="18"/>
    </w:rPr>
  </w:style>
  <w:style w:type="character" w:customStyle="1" w:styleId="74">
    <w:name w:val="页脚 Char"/>
    <w:qFormat/>
    <w:locked/>
    <w:uiPriority w:val="99"/>
    <w:rPr>
      <w:sz w:val="18"/>
    </w:rPr>
  </w:style>
  <w:style w:type="character" w:customStyle="1" w:styleId="75">
    <w:name w:val="页眉 Char"/>
    <w:locked/>
    <w:uiPriority w:val="0"/>
    <w:rPr>
      <w:sz w:val="18"/>
    </w:rPr>
  </w:style>
  <w:style w:type="character" w:customStyle="1" w:styleId="76">
    <w:name w:val="普通(网站) Char"/>
    <w:qFormat/>
    <w:locked/>
    <w:uiPriority w:val="0"/>
    <w:rPr>
      <w:rFonts w:ascii="宋体" w:hAnsi="宋体" w:eastAsia="宋体"/>
      <w:sz w:val="24"/>
    </w:rPr>
  </w:style>
  <w:style w:type="character" w:customStyle="1" w:styleId="77">
    <w:name w:val="批注主题 Char"/>
    <w:semiHidden/>
    <w:qFormat/>
    <w:locked/>
    <w:uiPriority w:val="0"/>
    <w:rPr>
      <w:rFonts w:ascii="Times New Roman" w:hAnsi="Times New Roman" w:eastAsia="宋体"/>
      <w:b/>
      <w:kern w:val="2"/>
      <w:sz w:val="24"/>
    </w:rPr>
  </w:style>
  <w:style w:type="paragraph" w:customStyle="1" w:styleId="78">
    <w:name w:val="_Style 79"/>
    <w:basedOn w:val="1"/>
    <w:next w:val="63"/>
    <w:link w:val="79"/>
    <w:qFormat/>
    <w:uiPriority w:val="0"/>
    <w:pPr>
      <w:ind w:firstLine="420" w:firstLineChars="200"/>
    </w:pPr>
  </w:style>
  <w:style w:type="character" w:customStyle="1" w:styleId="79">
    <w:name w:val="正文首行缩进 2 Char"/>
    <w:link w:val="78"/>
    <w:qFormat/>
    <w:uiPriority w:val="0"/>
    <w:rPr>
      <w:kern w:val="2"/>
      <w:sz w:val="21"/>
      <w:szCs w:val="24"/>
    </w:rPr>
  </w:style>
  <w:style w:type="character" w:customStyle="1" w:styleId="80">
    <w:name w:val="正文首行缩进 Char"/>
    <w:qFormat/>
    <w:uiPriority w:val="0"/>
    <w:rPr>
      <w:kern w:val="2"/>
      <w:sz w:val="21"/>
      <w:szCs w:val="24"/>
    </w:rPr>
  </w:style>
  <w:style w:type="character" w:customStyle="1" w:styleId="81">
    <w:name w:val="font11"/>
    <w:qFormat/>
    <w:uiPriority w:val="0"/>
    <w:rPr>
      <w:rFonts w:hint="default" w:ascii="Times New Roman" w:hAnsi="Times New Roman" w:cs="Times New Roman"/>
      <w:color w:val="000000"/>
      <w:sz w:val="21"/>
      <w:szCs w:val="21"/>
      <w:u w:val="none"/>
    </w:rPr>
  </w:style>
  <w:style w:type="character" w:customStyle="1" w:styleId="82">
    <w:name w:val="font101"/>
    <w:qFormat/>
    <w:uiPriority w:val="0"/>
    <w:rPr>
      <w:rFonts w:hint="eastAsia" w:ascii="仿宋" w:hAnsi="仿宋" w:eastAsia="仿宋" w:cs="仿宋"/>
      <w:color w:val="000000"/>
      <w:sz w:val="21"/>
      <w:szCs w:val="21"/>
      <w:u w:val="none"/>
    </w:rPr>
  </w:style>
  <w:style w:type="character" w:customStyle="1" w:styleId="83">
    <w:name w:val="表头 Char2"/>
    <w:link w:val="84"/>
    <w:qFormat/>
    <w:uiPriority w:val="0"/>
    <w:rPr>
      <w:rFonts w:ascii="宋体" w:hAnsi="宋体" w:cs="宋体"/>
      <w:b/>
      <w:bCs/>
      <w:kern w:val="24"/>
      <w:sz w:val="24"/>
      <w:szCs w:val="28"/>
    </w:rPr>
  </w:style>
  <w:style w:type="paragraph" w:customStyle="1" w:styleId="84">
    <w:name w:val="表头"/>
    <w:basedOn w:val="1"/>
    <w:next w:val="1"/>
    <w:link w:val="83"/>
    <w:uiPriority w:val="0"/>
    <w:pPr>
      <w:tabs>
        <w:tab w:val="left" w:pos="6840"/>
      </w:tabs>
      <w:topLinePunct/>
      <w:snapToGrid w:val="0"/>
      <w:spacing w:line="529" w:lineRule="exact"/>
      <w:jc w:val="center"/>
    </w:pPr>
    <w:rPr>
      <w:rFonts w:ascii="宋体" w:hAnsi="宋体" w:cs="宋体"/>
      <w:b/>
      <w:bCs/>
      <w:kern w:val="24"/>
      <w:sz w:val="24"/>
      <w:szCs w:val="28"/>
    </w:rPr>
  </w:style>
  <w:style w:type="table" w:customStyle="1" w:styleId="85">
    <w:name w:val="Table Normal"/>
    <w:basedOn w:val="21"/>
    <w:qFormat/>
    <w:uiPriority w:val="2"/>
    <w:rPr>
      <w:rFonts w:eastAsia="Times New Roman"/>
    </w:rPr>
    <w:tblPr>
      <w:tblCellMar>
        <w:left w:w="0" w:type="dxa"/>
        <w:right w:w="0" w:type="dxa"/>
      </w:tblCellMar>
    </w:tblPr>
  </w:style>
  <w:style w:type="character" w:customStyle="1" w:styleId="86">
    <w:name w:val="未处理的提及1"/>
    <w:unhideWhenUsed/>
    <w:uiPriority w:val="99"/>
    <w:rPr>
      <w:color w:val="605E5C"/>
      <w:shd w:val="clear" w:color="auto" w:fill="E1DFDD"/>
    </w:rPr>
  </w:style>
  <w:style w:type="paragraph" w:customStyle="1" w:styleId="87">
    <w:name w:val="样式 加粗 居中 行距: 固定值 25 磅"/>
    <w:basedOn w:val="1"/>
    <w:qFormat/>
    <w:uiPriority w:val="0"/>
    <w:pPr>
      <w:spacing w:line="500" w:lineRule="exact"/>
      <w:jc w:val="center"/>
    </w:pPr>
    <w:rPr>
      <w:rFonts w:ascii="Calibri" w:hAnsi="Calibri" w:cs="宋体"/>
      <w:b/>
      <w:bCs/>
      <w:spacing w:val="-4"/>
      <w:sz w:val="24"/>
      <w:szCs w:val="20"/>
    </w:rPr>
  </w:style>
  <w:style w:type="character" w:customStyle="1" w:styleId="88">
    <w:name w:val="font31"/>
    <w:qFormat/>
    <w:uiPriority w:val="0"/>
    <w:rPr>
      <w:rFonts w:hint="default" w:ascii="Times New Roman" w:hAnsi="Times New Roman" w:cs="Times New Roman"/>
      <w:color w:val="00B050"/>
      <w:sz w:val="21"/>
      <w:szCs w:val="21"/>
      <w:u w:val="none"/>
      <w:vertAlign w:val="subscript"/>
    </w:rPr>
  </w:style>
  <w:style w:type="character" w:customStyle="1" w:styleId="89">
    <w:name w:val="font61"/>
    <w:uiPriority w:val="0"/>
    <w:rPr>
      <w:rFonts w:hint="default" w:ascii="Times New Roman" w:hAnsi="Times New Roman" w:cs="Times New Roman"/>
      <w:color w:val="00B050"/>
      <w:sz w:val="24"/>
      <w:szCs w:val="24"/>
      <w:u w:val="none"/>
      <w:vertAlign w:val="subscript"/>
    </w:rPr>
  </w:style>
  <w:style w:type="character" w:customStyle="1" w:styleId="90">
    <w:name w:val="font51"/>
    <w:qFormat/>
    <w:uiPriority w:val="0"/>
    <w:rPr>
      <w:rFonts w:hint="default" w:ascii="Times New Roman" w:hAnsi="Times New Roman" w:cs="Times New Roman"/>
      <w:color w:val="00B050"/>
      <w:sz w:val="21"/>
      <w:szCs w:val="21"/>
      <w:u w:val="none"/>
    </w:rPr>
  </w:style>
  <w:style w:type="character" w:customStyle="1" w:styleId="91">
    <w:name w:val="font41"/>
    <w:qFormat/>
    <w:uiPriority w:val="0"/>
    <w:rPr>
      <w:rFonts w:hint="eastAsia" w:ascii="宋体" w:hAnsi="宋体" w:eastAsia="宋体"/>
      <w:color w:val="000000"/>
      <w:sz w:val="22"/>
      <w:szCs w:val="22"/>
      <w:u w:val="none"/>
    </w:rPr>
  </w:style>
  <w:style w:type="character" w:customStyle="1" w:styleId="92">
    <w:name w:val="font01"/>
    <w:uiPriority w:val="0"/>
    <w:rPr>
      <w:rFonts w:hint="default" w:ascii="Times New Roman" w:hAnsi="Times New Roman" w:cs="Times New Roman"/>
      <w:color w:val="000000"/>
      <w:sz w:val="22"/>
      <w:szCs w:val="22"/>
      <w:u w:val="none"/>
    </w:rPr>
  </w:style>
  <w:style w:type="paragraph" w:customStyle="1" w:styleId="93">
    <w:name w:val="验收图"/>
    <w:basedOn w:val="1"/>
    <w:qFormat/>
    <w:uiPriority w:val="0"/>
    <w:pPr>
      <w:widowControl/>
      <w:adjustRightInd w:val="0"/>
      <w:snapToGrid w:val="0"/>
      <w:jc w:val="center"/>
    </w:pPr>
    <w:rPr>
      <w:b/>
      <w:kern w:val="0"/>
      <w:sz w:val="24"/>
      <w:szCs w:val="22"/>
    </w:rPr>
  </w:style>
  <w:style w:type="character" w:customStyle="1" w:styleId="94">
    <w:name w:val="ref"/>
    <w:qFormat/>
    <w:uiPriority w:val="0"/>
  </w:style>
  <w:style w:type="paragraph" w:customStyle="1" w:styleId="95">
    <w:name w:val="报告书表格表头"/>
    <w:basedOn w:val="1"/>
    <w:qFormat/>
    <w:uiPriority w:val="0"/>
    <w:pPr>
      <w:adjustRightInd w:val="0"/>
      <w:snapToGrid w:val="0"/>
      <w:spacing w:line="520" w:lineRule="exact"/>
      <w:ind w:firstLine="200" w:firstLineChars="200"/>
    </w:pPr>
    <w:rPr>
      <w:rFonts w:eastAsia="黑体"/>
      <w:color w:val="000000"/>
      <w:sz w:val="24"/>
      <w:szCs w:val="22"/>
    </w:rPr>
  </w:style>
  <w:style w:type="paragraph" w:customStyle="1" w:styleId="96">
    <w:name w:val="表格内容"/>
    <w:link w:val="97"/>
    <w:qFormat/>
    <w:uiPriority w:val="0"/>
    <w:pPr>
      <w:jc w:val="center"/>
    </w:pPr>
    <w:rPr>
      <w:rFonts w:ascii="Times New Roman" w:hAnsi="Times New Roman" w:eastAsia="宋体" w:cs="宋体"/>
      <w:color w:val="000000"/>
      <w:sz w:val="21"/>
      <w:szCs w:val="21"/>
      <w:lang w:val="en-US" w:eastAsia="zh-CN" w:bidi="ar-SA"/>
    </w:rPr>
  </w:style>
  <w:style w:type="character" w:customStyle="1" w:styleId="97">
    <w:name w:val="表格内容 Char"/>
    <w:link w:val="96"/>
    <w:qFormat/>
    <w:locked/>
    <w:uiPriority w:val="0"/>
    <w:rPr>
      <w:rFonts w:cs="宋体"/>
      <w:color w:val="000000"/>
      <w:sz w:val="21"/>
      <w:szCs w:val="21"/>
    </w:rPr>
  </w:style>
  <w:style w:type="paragraph" w:customStyle="1" w:styleId="98">
    <w:name w:val="表内 定"/>
    <w:basedOn w:val="1"/>
    <w:link w:val="99"/>
    <w:qFormat/>
    <w:uiPriority w:val="0"/>
    <w:pPr>
      <w:jc w:val="left"/>
    </w:pPr>
    <w:rPr>
      <w:rFonts w:eastAsia="仿宋"/>
      <w:snapToGrid w:val="0"/>
      <w:color w:val="000000"/>
      <w:kern w:val="0"/>
      <w:sz w:val="20"/>
    </w:rPr>
  </w:style>
  <w:style w:type="character" w:customStyle="1" w:styleId="99">
    <w:name w:val="表内 定 Char"/>
    <w:link w:val="98"/>
    <w:qFormat/>
    <w:uiPriority w:val="0"/>
    <w:rPr>
      <w:rFonts w:eastAsia="仿宋"/>
      <w:snapToGrid/>
      <w:color w:val="000000"/>
      <w:szCs w:val="24"/>
    </w:rPr>
  </w:style>
  <w:style w:type="character" w:customStyle="1" w:styleId="100">
    <w:name w:val="cf01"/>
    <w:qFormat/>
    <w:uiPriority w:val="0"/>
    <w:rPr>
      <w:rFonts w:hint="eastAsia" w:ascii="Microsoft YaHei UI" w:hAnsi="Microsoft YaHei UI" w:eastAsia="Microsoft YaHei UI"/>
      <w:sz w:val="18"/>
      <w:szCs w:val="18"/>
    </w:rPr>
  </w:style>
  <w:style w:type="character" w:customStyle="1" w:styleId="101">
    <w:name w:val="cf11"/>
    <w:uiPriority w:val="0"/>
    <w:rPr>
      <w:rFonts w:hint="eastAsia" w:ascii="Microsoft YaHei UI" w:hAnsi="Microsoft YaHei UI" w:eastAsia="Microsoft YaHei UI"/>
      <w:sz w:val="18"/>
      <w:szCs w:val="18"/>
    </w:rPr>
  </w:style>
  <w:style w:type="character" w:customStyle="1" w:styleId="102">
    <w:name w:val="标题 2 字符"/>
    <w:link w:val="3"/>
    <w:semiHidden/>
    <w:qFormat/>
    <w:uiPriority w:val="0"/>
    <w:rPr>
      <w:rFonts w:ascii="等线 Light" w:hAnsi="等线 Light" w:eastAsia="等线 Light" w:cs="Times New Roman"/>
      <w:b/>
      <w:bCs/>
      <w:kern w:val="2"/>
      <w:sz w:val="32"/>
      <w:szCs w:val="32"/>
    </w:rPr>
  </w:style>
  <w:style w:type="character" w:customStyle="1" w:styleId="103">
    <w:name w:val="font81"/>
    <w:basedOn w:val="23"/>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0" Type="http://schemas.openxmlformats.org/officeDocument/2006/relationships/fontTable" Target="fontTable.xml"/><Relationship Id="rId7" Type="http://schemas.openxmlformats.org/officeDocument/2006/relationships/footer" Target="footer5.xml"/><Relationship Id="rId69" Type="http://schemas.openxmlformats.org/officeDocument/2006/relationships/customXml" Target="../customXml/item2.xml"/><Relationship Id="rId68" Type="http://schemas.openxmlformats.org/officeDocument/2006/relationships/customXml" Target="../customXml/item1.xml"/><Relationship Id="rId67" Type="http://schemas.openxmlformats.org/officeDocument/2006/relationships/image" Target="media/image51.png"/><Relationship Id="rId66" Type="http://schemas.openxmlformats.org/officeDocument/2006/relationships/image" Target="media/image50.png"/><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footer" Target="footer4.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jpeg"/><Relationship Id="rId56" Type="http://schemas.openxmlformats.org/officeDocument/2006/relationships/image" Target="media/image40.jpeg"/><Relationship Id="rId55" Type="http://schemas.openxmlformats.org/officeDocument/2006/relationships/image" Target="media/image39.png"/><Relationship Id="rId54" Type="http://schemas.openxmlformats.org/officeDocument/2006/relationships/image" Target="media/image38.jpe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wmf"/><Relationship Id="rId50" Type="http://schemas.openxmlformats.org/officeDocument/2006/relationships/image" Target="media/image34.wmf"/><Relationship Id="rId5" Type="http://schemas.openxmlformats.org/officeDocument/2006/relationships/footer" Target="footer3.xml"/><Relationship Id="rId49" Type="http://schemas.openxmlformats.org/officeDocument/2006/relationships/image" Target="media/image33.wmf"/><Relationship Id="rId48" Type="http://schemas.openxmlformats.org/officeDocument/2006/relationships/image" Target="media/image32.wmf"/><Relationship Id="rId47" Type="http://schemas.openxmlformats.org/officeDocument/2006/relationships/image" Target="media/image31.wmf"/><Relationship Id="rId46" Type="http://schemas.openxmlformats.org/officeDocument/2006/relationships/image" Target="media/image30.wmf"/><Relationship Id="rId45" Type="http://schemas.openxmlformats.org/officeDocument/2006/relationships/image" Target="media/image29.wmf"/><Relationship Id="rId44" Type="http://schemas.openxmlformats.org/officeDocument/2006/relationships/image" Target="media/image28.wmf"/><Relationship Id="rId43" Type="http://schemas.openxmlformats.org/officeDocument/2006/relationships/image" Target="media/image27.wmf"/><Relationship Id="rId42" Type="http://schemas.openxmlformats.org/officeDocument/2006/relationships/image" Target="media/image26.wmf"/><Relationship Id="rId41" Type="http://schemas.openxmlformats.org/officeDocument/2006/relationships/image" Target="media/image25.wmf"/><Relationship Id="rId40" Type="http://schemas.openxmlformats.org/officeDocument/2006/relationships/image" Target="media/image24.wmf"/><Relationship Id="rId4" Type="http://schemas.openxmlformats.org/officeDocument/2006/relationships/footer" Target="footer2.xml"/><Relationship Id="rId39" Type="http://schemas.openxmlformats.org/officeDocument/2006/relationships/image" Target="media/image23.wmf"/><Relationship Id="rId38" Type="http://schemas.openxmlformats.org/officeDocument/2006/relationships/image" Target="media/image22.wmf"/><Relationship Id="rId37" Type="http://schemas.openxmlformats.org/officeDocument/2006/relationships/image" Target="media/image21.wmf"/><Relationship Id="rId36" Type="http://schemas.openxmlformats.org/officeDocument/2006/relationships/image" Target="media/image20.wmf"/><Relationship Id="rId35" Type="http://schemas.openxmlformats.org/officeDocument/2006/relationships/image" Target="media/image19.wmf"/><Relationship Id="rId34" Type="http://schemas.openxmlformats.org/officeDocument/2006/relationships/image" Target="media/image18.wmf"/><Relationship Id="rId33" Type="http://schemas.openxmlformats.org/officeDocument/2006/relationships/image" Target="media/image17.wmf"/><Relationship Id="rId32" Type="http://schemas.openxmlformats.org/officeDocument/2006/relationships/image" Target="media/image16.emf"/><Relationship Id="rId31" Type="http://schemas.openxmlformats.org/officeDocument/2006/relationships/oleObject" Target="embeddings/oleObject7.bin"/><Relationship Id="rId30" Type="http://schemas.openxmlformats.org/officeDocument/2006/relationships/image" Target="media/image15.emf"/><Relationship Id="rId3" Type="http://schemas.openxmlformats.org/officeDocument/2006/relationships/footer" Target="footer1.xml"/><Relationship Id="rId29" Type="http://schemas.openxmlformats.org/officeDocument/2006/relationships/oleObject" Target="embeddings/oleObject6.bin"/><Relationship Id="rId28" Type="http://schemas.openxmlformats.org/officeDocument/2006/relationships/image" Target="media/image14.emf"/><Relationship Id="rId27" Type="http://schemas.openxmlformats.org/officeDocument/2006/relationships/oleObject" Target="embeddings/oleObject5.bin"/><Relationship Id="rId26" Type="http://schemas.openxmlformats.org/officeDocument/2006/relationships/image" Target="media/image13.emf"/><Relationship Id="rId25" Type="http://schemas.openxmlformats.org/officeDocument/2006/relationships/oleObject" Target="embeddings/oleObject4.bin"/><Relationship Id="rId24" Type="http://schemas.openxmlformats.org/officeDocument/2006/relationships/image" Target="media/image12.emf"/><Relationship Id="rId23" Type="http://schemas.openxmlformats.org/officeDocument/2006/relationships/oleObject" Target="embeddings/oleObject3.bin"/><Relationship Id="rId22" Type="http://schemas.openxmlformats.org/officeDocument/2006/relationships/image" Target="media/image11.emf"/><Relationship Id="rId21" Type="http://schemas.openxmlformats.org/officeDocument/2006/relationships/oleObject" Target="embeddings/oleObject2.bin"/><Relationship Id="rId20" Type="http://schemas.openxmlformats.org/officeDocument/2006/relationships/image" Target="media/image10.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26A3A2-F9B9-47EB-826C-E3D0A36FAED1}">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142</Pages>
  <Words>18285</Words>
  <Characters>104227</Characters>
  <Lines>868</Lines>
  <Paragraphs>244</Paragraphs>
  <TotalTime>16</TotalTime>
  <ScaleCrop>false</ScaleCrop>
  <LinksUpToDate>false</LinksUpToDate>
  <CharactersWithSpaces>122268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2022-10-10T03:48:00Z</dcterms:created>
  <dc:creator>lhj</dc:creator>
  <cp:lastModifiedBy>火柴盒</cp:lastModifiedBy>
  <cp:lastPrinted>2020-12-29T02:43:00Z</cp:lastPrinted>
  <dcterms:modified xsi:type="dcterms:W3CDTF">2022-11-22T07:28:55Z</dcterms:modified>
  <dc:title>附件2</dc:title>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887B94F71ECB4106B43C7608333EA971</vt:lpwstr>
  </property>
</Properties>
</file>