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496" w:type="dxa"/>
        <w:tblInd w:w="0" w:type="dxa"/>
        <w:tblLayout w:type="fixed"/>
        <w:tblCellMar>
          <w:top w:w="0" w:type="dxa"/>
          <w:left w:w="0" w:type="dxa"/>
          <w:bottom w:w="0" w:type="dxa"/>
          <w:right w:w="0" w:type="dxa"/>
        </w:tblCellMar>
      </w:tblPr>
      <w:tblGrid>
        <w:gridCol w:w="787"/>
        <w:gridCol w:w="869"/>
        <w:gridCol w:w="1931"/>
        <w:gridCol w:w="1012"/>
        <w:gridCol w:w="5897"/>
      </w:tblGrid>
      <w:tr>
        <w:tblPrEx>
          <w:tblCellMar>
            <w:top w:w="0" w:type="dxa"/>
            <w:left w:w="0" w:type="dxa"/>
            <w:bottom w:w="0" w:type="dxa"/>
            <w:right w:w="0" w:type="dxa"/>
          </w:tblCellMar>
        </w:tblPrEx>
        <w:trPr>
          <w:trHeight w:val="750" w:hRule="atLeast"/>
        </w:trPr>
        <w:tc>
          <w:tcPr>
            <w:tcW w:w="10496" w:type="dxa"/>
            <w:gridSpan w:val="5"/>
            <w:tcBorders>
              <w:top w:val="nil"/>
              <w:left w:val="nil"/>
              <w:bottom w:val="nil"/>
              <w:right w:val="nil"/>
            </w:tcBorders>
            <w:shd w:val="clear" w:color="auto" w:fill="auto"/>
            <w:noWrap/>
            <w:tcMar>
              <w:top w:w="15" w:type="dxa"/>
              <w:left w:w="15" w:type="dxa"/>
              <w:right w:w="15" w:type="dxa"/>
            </w:tcMar>
            <w:vAlign w:val="center"/>
          </w:tcPr>
          <w:p>
            <w:pPr>
              <w:widowControl/>
              <w:ind w:firstLine="1767" w:firstLineChars="400"/>
              <w:jc w:val="both"/>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10496"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CellMar>
            <w:top w:w="0" w:type="dxa"/>
            <w:left w:w="0" w:type="dxa"/>
            <w:bottom w:w="0" w:type="dxa"/>
            <w:right w:w="0" w:type="dxa"/>
          </w:tblCellMar>
        </w:tblPrEx>
        <w:trPr>
          <w:trHeight w:val="450" w:hRule="atLeast"/>
        </w:trPr>
        <w:tc>
          <w:tcPr>
            <w:tcW w:w="165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新乡县住房和城乡建设局</w:t>
            </w:r>
          </w:p>
        </w:tc>
      </w:tr>
      <w:tr>
        <w:tblPrEx>
          <w:tblCellMar>
            <w:top w:w="0" w:type="dxa"/>
            <w:left w:w="0" w:type="dxa"/>
            <w:bottom w:w="0" w:type="dxa"/>
            <w:right w:w="0" w:type="dxa"/>
          </w:tblCellMar>
        </w:tblPrEx>
        <w:trPr>
          <w:trHeight w:val="45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709"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
              <w:numPr>
                <w:ilvl w:val="0"/>
                <w:numId w:val="0"/>
              </w:numPr>
              <w:spacing w:line="240" w:lineRule="auto"/>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目标1：指导全县城乡管理建设工作</w:t>
            </w:r>
            <w:r>
              <w:rPr>
                <w:rFonts w:hint="eastAsia" w:ascii="仿宋" w:hAnsi="仿宋" w:eastAsia="仿宋" w:cs="宋体"/>
                <w:color w:val="000000"/>
                <w:kern w:val="0"/>
                <w:sz w:val="18"/>
                <w:szCs w:val="18"/>
                <w:lang w:val="en-US" w:eastAsia="zh-CN" w:bidi="ar"/>
              </w:rPr>
              <w:br w:type="textWrapping"/>
            </w:r>
            <w:r>
              <w:rPr>
                <w:rFonts w:hint="eastAsia" w:ascii="仿宋" w:hAnsi="仿宋" w:eastAsia="仿宋" w:cs="宋体"/>
                <w:color w:val="000000"/>
                <w:kern w:val="0"/>
                <w:sz w:val="18"/>
                <w:szCs w:val="18"/>
                <w:lang w:val="en-US" w:eastAsia="zh-CN" w:bidi="ar"/>
              </w:rPr>
              <w:t>目标2：指导农村住房建设、危房改造工作</w:t>
            </w:r>
          </w:p>
          <w:p>
            <w:pPr>
              <w:pStyle w:val="2"/>
              <w:numPr>
                <w:ilvl w:val="0"/>
                <w:numId w:val="0"/>
              </w:numPr>
              <w:spacing w:line="240" w:lineRule="auto"/>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目标3：推进建筑节能，城镇减排和墙体材料革新</w:t>
            </w:r>
          </w:p>
          <w:p>
            <w:pPr>
              <w:pStyle w:val="2"/>
              <w:numPr>
                <w:ilvl w:val="0"/>
                <w:numId w:val="0"/>
              </w:numPr>
              <w:spacing w:line="240" w:lineRule="auto"/>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目标4：房屋建筑质和市政基础设施工程量安全监管工作</w:t>
            </w:r>
          </w:p>
          <w:p>
            <w:pPr>
              <w:widowControl/>
              <w:jc w:val="left"/>
              <w:textAlignment w:val="center"/>
              <w:rPr>
                <w:rFonts w:ascii="仿宋" w:hAnsi="仿宋" w:eastAsia="仿宋" w:cs="仿宋"/>
                <w:color w:val="000000"/>
                <w:sz w:val="22"/>
                <w:szCs w:val="22"/>
              </w:rPr>
            </w:pPr>
            <w:r>
              <w:rPr>
                <w:rFonts w:hint="eastAsia" w:ascii="仿宋" w:hAnsi="仿宋" w:eastAsia="仿宋" w:cs="宋体"/>
                <w:color w:val="000000"/>
                <w:kern w:val="0"/>
                <w:sz w:val="18"/>
                <w:szCs w:val="18"/>
                <w:lang w:val="en-US" w:eastAsia="zh-CN" w:bidi="ar"/>
              </w:rPr>
              <w:t>目标5：贯彻执行国家人民防空法律、规章和方针政策。负责组织实施人民防空设施建设相关审核审批。</w:t>
            </w:r>
          </w:p>
        </w:tc>
      </w:tr>
      <w:tr>
        <w:tblPrEx>
          <w:tblCellMar>
            <w:top w:w="0" w:type="dxa"/>
            <w:left w:w="0" w:type="dxa"/>
            <w:bottom w:w="0" w:type="dxa"/>
            <w:right w:w="0" w:type="dxa"/>
          </w:tblCellMar>
        </w:tblPrEx>
        <w:trPr>
          <w:trHeight w:val="45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709"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709"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709"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78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以道路、供气、供水、污水及集中供热等基础设施和公共服务设施建设为重点，加大协调监管</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bidi="ar"/>
              </w:rPr>
              <w:t>加快基础公用设施建设。</w:t>
            </w:r>
          </w:p>
        </w:tc>
      </w:tr>
      <w:tr>
        <w:tblPrEx>
          <w:tblCellMar>
            <w:top w:w="0" w:type="dxa"/>
            <w:left w:w="0" w:type="dxa"/>
            <w:bottom w:w="0" w:type="dxa"/>
            <w:right w:w="0" w:type="dxa"/>
          </w:tblCellMar>
        </w:tblPrEx>
        <w:trPr>
          <w:trHeight w:val="34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default" w:ascii="仿宋" w:hAnsi="仿宋" w:eastAsia="仿宋" w:cs="宋体"/>
                <w:color w:val="000000"/>
                <w:kern w:val="0"/>
                <w:sz w:val="18"/>
                <w:szCs w:val="18"/>
                <w:lang w:eastAsia="zh-CN" w:bidi="ar"/>
              </w:rPr>
              <w:t>大力推广危房改造、农房抗震工作</w:t>
            </w:r>
          </w:p>
        </w:tc>
      </w:tr>
      <w:tr>
        <w:tblPrEx>
          <w:tblCellMar>
            <w:top w:w="0" w:type="dxa"/>
            <w:left w:w="0" w:type="dxa"/>
            <w:bottom w:w="0" w:type="dxa"/>
            <w:right w:w="0" w:type="dxa"/>
          </w:tblCellMar>
        </w:tblPrEx>
        <w:trPr>
          <w:trHeight w:val="42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default" w:ascii="仿宋" w:hAnsi="仿宋" w:eastAsia="仿宋" w:cs="宋体"/>
                <w:color w:val="000000"/>
                <w:kern w:val="0"/>
                <w:sz w:val="18"/>
                <w:szCs w:val="18"/>
                <w:lang w:eastAsia="zh-CN" w:bidi="ar"/>
              </w:rPr>
              <w:t>围绕经济社会发展，加强人防工程建设</w:t>
            </w:r>
          </w:p>
        </w:tc>
      </w:tr>
      <w:tr>
        <w:tblPrEx>
          <w:tblCellMar>
            <w:top w:w="0" w:type="dxa"/>
            <w:left w:w="0" w:type="dxa"/>
            <w:bottom w:w="0" w:type="dxa"/>
            <w:right w:w="0" w:type="dxa"/>
          </w:tblCellMar>
        </w:tblPrEx>
        <w:trPr>
          <w:trHeight w:val="488"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default" w:ascii="仿宋" w:hAnsi="仿宋" w:eastAsia="仿宋" w:cs="宋体"/>
                <w:color w:val="000000"/>
                <w:kern w:val="0"/>
                <w:sz w:val="18"/>
                <w:szCs w:val="18"/>
                <w:lang w:eastAsia="zh-CN" w:bidi="ar"/>
              </w:rPr>
              <w:t>加大建筑市场监管，保障工程质量安全</w:t>
            </w:r>
          </w:p>
        </w:tc>
      </w:tr>
      <w:tr>
        <w:tblPrEx>
          <w:tblCellMar>
            <w:top w:w="0" w:type="dxa"/>
            <w:left w:w="0" w:type="dxa"/>
            <w:bottom w:w="0" w:type="dxa"/>
            <w:right w:w="0" w:type="dxa"/>
          </w:tblCellMar>
        </w:tblPrEx>
        <w:trPr>
          <w:trHeight w:val="525"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2"/>
                <w:szCs w:val="22"/>
                <w:lang w:eastAsia="zh-CN"/>
              </w:rPr>
            </w:pPr>
            <w:r>
              <w:rPr>
                <w:rFonts w:hint="eastAsia" w:ascii="仿宋" w:hAnsi="仿宋" w:eastAsia="仿宋" w:cs="仿宋"/>
                <w:color w:val="000000"/>
                <w:kern w:val="0"/>
                <w:sz w:val="22"/>
                <w:szCs w:val="22"/>
              </w:rPr>
              <w:t>任务</w:t>
            </w:r>
            <w:r>
              <w:rPr>
                <w:rFonts w:hint="eastAsia" w:ascii="仿宋" w:hAnsi="仿宋" w:eastAsia="仿宋" w:cs="仿宋"/>
                <w:color w:val="000000"/>
                <w:kern w:val="0"/>
                <w:sz w:val="22"/>
                <w:szCs w:val="22"/>
                <w:lang w:val="en-US" w:eastAsia="zh-CN"/>
              </w:rPr>
              <w:t>5</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黑体" w:cs="仿宋"/>
                <w:b/>
                <w:color w:val="000000"/>
                <w:sz w:val="22"/>
                <w:szCs w:val="22"/>
                <w:lang w:eastAsia="zh-CN"/>
              </w:rPr>
            </w:pPr>
            <w:r>
              <w:rPr>
                <w:rFonts w:hint="default" w:ascii="仿宋" w:hAnsi="仿宋" w:eastAsia="仿宋" w:cs="宋体"/>
                <w:color w:val="000000"/>
                <w:kern w:val="0"/>
                <w:sz w:val="18"/>
                <w:szCs w:val="18"/>
                <w:lang w:eastAsia="zh-CN" w:bidi="ar"/>
              </w:rPr>
              <w:t>大力推广</w:t>
            </w:r>
            <w:r>
              <w:rPr>
                <w:rFonts w:hint="eastAsia" w:ascii="仿宋" w:hAnsi="仿宋" w:eastAsia="仿宋" w:cs="宋体"/>
                <w:color w:val="000000"/>
                <w:kern w:val="0"/>
                <w:sz w:val="18"/>
                <w:szCs w:val="18"/>
                <w:lang w:eastAsia="zh-CN" w:bidi="ar"/>
              </w:rPr>
              <w:t>既</w:t>
            </w:r>
            <w:r>
              <w:rPr>
                <w:rFonts w:hint="default" w:ascii="仿宋" w:hAnsi="仿宋" w:eastAsia="仿宋" w:cs="宋体"/>
                <w:color w:val="000000"/>
                <w:kern w:val="0"/>
                <w:sz w:val="18"/>
                <w:szCs w:val="18"/>
                <w:lang w:eastAsia="zh-CN" w:bidi="ar"/>
              </w:rPr>
              <w:t>改</w:t>
            </w:r>
            <w:r>
              <w:rPr>
                <w:rFonts w:hint="eastAsia" w:ascii="仿宋" w:hAnsi="仿宋" w:eastAsia="仿宋" w:cs="宋体"/>
                <w:color w:val="000000"/>
                <w:kern w:val="0"/>
                <w:sz w:val="18"/>
                <w:szCs w:val="18"/>
                <w:lang w:eastAsia="zh-CN" w:bidi="ar"/>
              </w:rPr>
              <w:t>工作</w:t>
            </w:r>
          </w:p>
        </w:tc>
      </w:tr>
      <w:tr>
        <w:tblPrEx>
          <w:tblCellMar>
            <w:top w:w="0" w:type="dxa"/>
            <w:left w:w="0" w:type="dxa"/>
            <w:bottom w:w="0" w:type="dxa"/>
            <w:right w:w="0" w:type="dxa"/>
          </w:tblCellMar>
        </w:tblPrEx>
        <w:trPr>
          <w:trHeight w:val="44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90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25122.72</w:t>
            </w:r>
          </w:p>
        </w:tc>
      </w:tr>
      <w:tr>
        <w:tblPrEx>
          <w:tblCellMar>
            <w:top w:w="0" w:type="dxa"/>
            <w:left w:w="0" w:type="dxa"/>
            <w:bottom w:w="0" w:type="dxa"/>
            <w:right w:w="0" w:type="dxa"/>
          </w:tblCellMar>
        </w:tblPrEx>
        <w:trPr>
          <w:trHeight w:val="4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1、资金来源：（1）财政性资金</w:t>
            </w:r>
          </w:p>
        </w:tc>
        <w:tc>
          <w:tcPr>
            <w:tcW w:w="690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25074.85</w:t>
            </w:r>
          </w:p>
        </w:tc>
      </w:tr>
      <w:tr>
        <w:tblPrEx>
          <w:tblCellMar>
            <w:top w:w="0" w:type="dxa"/>
            <w:left w:w="0" w:type="dxa"/>
            <w:bottom w:w="0" w:type="dxa"/>
            <w:right w:w="0" w:type="dxa"/>
          </w:tblCellMar>
        </w:tblPrEx>
        <w:trPr>
          <w:trHeight w:val="3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（2）其他资金</w:t>
            </w:r>
          </w:p>
        </w:tc>
        <w:tc>
          <w:tcPr>
            <w:tcW w:w="690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47.87</w:t>
            </w:r>
          </w:p>
        </w:tc>
      </w:tr>
      <w:tr>
        <w:tblPrEx>
          <w:tblCellMar>
            <w:top w:w="0" w:type="dxa"/>
            <w:left w:w="0" w:type="dxa"/>
            <w:bottom w:w="0" w:type="dxa"/>
            <w:right w:w="0" w:type="dxa"/>
          </w:tblCellMar>
        </w:tblPrEx>
        <w:trPr>
          <w:trHeight w:val="4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2、资金结构：（1）基本支出</w:t>
            </w:r>
          </w:p>
        </w:tc>
        <w:tc>
          <w:tcPr>
            <w:tcW w:w="690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639.4</w:t>
            </w:r>
          </w:p>
        </w:tc>
      </w:tr>
      <w:tr>
        <w:tblPrEx>
          <w:tblCellMar>
            <w:top w:w="0" w:type="dxa"/>
            <w:left w:w="0" w:type="dxa"/>
            <w:bottom w:w="0" w:type="dxa"/>
            <w:right w:w="0" w:type="dxa"/>
          </w:tblCellMar>
        </w:tblPrEx>
        <w:trPr>
          <w:trHeight w:val="44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2"/>
                <w:rFonts w:ascii="仿宋" w:hAnsi="仿宋" w:eastAsia="仿宋" w:cs="仿宋"/>
              </w:rPr>
              <w:t>（2）项目支出</w:t>
            </w:r>
          </w:p>
        </w:tc>
        <w:tc>
          <w:tcPr>
            <w:tcW w:w="690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24483.32</w:t>
            </w:r>
          </w:p>
        </w:tc>
      </w:tr>
      <w:tr>
        <w:tblPrEx>
          <w:tblCellMar>
            <w:top w:w="0" w:type="dxa"/>
            <w:left w:w="0" w:type="dxa"/>
            <w:bottom w:w="0" w:type="dxa"/>
            <w:right w:w="0" w:type="dxa"/>
          </w:tblCellMar>
        </w:tblPrEx>
        <w:trPr>
          <w:trHeight w:val="540" w:hRule="atLeast"/>
        </w:trPr>
        <w:tc>
          <w:tcPr>
            <w:tcW w:w="7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科学</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220" w:firstLineChars="100"/>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rPr>
            </w:pPr>
            <w:r>
              <w:rPr>
                <w:rFonts w:hint="eastAsia" w:ascii="仿宋" w:hAnsi="仿宋" w:eastAsia="仿宋" w:cs="仿宋"/>
                <w:color w:val="000000"/>
                <w:sz w:val="18"/>
                <w:szCs w:val="18"/>
                <w:lang w:val="en-US" w:eastAsia="zh-CN"/>
              </w:rPr>
              <w:t>≥</w:t>
            </w:r>
            <w:r>
              <w:rPr>
                <w:rFonts w:hint="eastAsia" w:ascii="仿宋" w:hAnsi="仿宋" w:eastAsia="仿宋" w:cs="宋体"/>
                <w:color w:val="000000"/>
                <w:sz w:val="18"/>
                <w:szCs w:val="18"/>
                <w:lang w:val="en-US" w:eastAsia="zh-CN"/>
              </w:rPr>
              <w:t>50%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lang w:val="en-US" w:eastAsia="zh-CN"/>
              </w:rPr>
              <w:t>≦</w:t>
            </w: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lang w:val="en-US" w:eastAsia="zh-CN"/>
              </w:rPr>
              <w:t>≦</w:t>
            </w:r>
            <w:r>
              <w:rPr>
                <w:rFonts w:hint="eastAsia" w:ascii="仿宋" w:hAnsi="仿宋" w:eastAsia="仿宋" w:cs="仿宋"/>
                <w:color w:val="000000"/>
                <w:sz w:val="20"/>
                <w:szCs w:val="20"/>
                <w:lang w:val="en-US" w:eastAsia="zh-CN"/>
              </w:rPr>
              <w:t>50%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宋体" w:hAnsi="宋体" w:eastAsia="宋体" w:cs="宋体"/>
                <w:color w:val="000000"/>
                <w:sz w:val="20"/>
                <w:szCs w:val="20"/>
              </w:rPr>
              <w:t>≦</w:t>
            </w: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真实</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78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86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3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101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合规</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公开</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78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重点工作1全面完成新乡县综合污水处理厂建设，并完成通水调试，实现正式运行</w:t>
            </w:r>
            <w:r>
              <w:rPr>
                <w:rFonts w:hint="eastAsia" w:ascii="仿宋" w:hAnsi="仿宋" w:eastAsia="仿宋" w:cs="仿宋"/>
                <w:color w:val="000000"/>
                <w:kern w:val="0"/>
                <w:sz w:val="20"/>
                <w:szCs w:val="20"/>
                <w:lang w:eastAsia="zh-CN"/>
              </w:rPr>
              <w:t>。</w:t>
            </w:r>
          </w:p>
        </w:tc>
      </w:tr>
      <w:tr>
        <w:tblPrEx>
          <w:tblCellMar>
            <w:top w:w="0" w:type="dxa"/>
            <w:left w:w="0" w:type="dxa"/>
            <w:bottom w:w="0" w:type="dxa"/>
            <w:right w:w="0" w:type="dxa"/>
          </w:tblCellMar>
        </w:tblPrEx>
        <w:trPr>
          <w:trHeight w:val="54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r>
              <w:rPr>
                <w:rFonts w:hint="eastAsia" w:ascii="仿宋" w:hAnsi="仿宋" w:eastAsia="仿宋" w:cs="仿宋"/>
                <w:color w:val="000000"/>
                <w:kern w:val="0"/>
                <w:sz w:val="20"/>
                <w:szCs w:val="20"/>
                <w:lang w:eastAsia="zh-CN"/>
              </w:rPr>
              <w:t>农村危房改造</w:t>
            </w:r>
            <w:r>
              <w:rPr>
                <w:rFonts w:hint="default" w:ascii="仿宋" w:hAnsi="仿宋" w:eastAsia="仿宋" w:cs="仿宋"/>
                <w:color w:val="000000"/>
                <w:kern w:val="0"/>
                <w:sz w:val="20"/>
                <w:szCs w:val="20"/>
                <w:lang w:eastAsia="zh-CN"/>
              </w:rPr>
              <w:t>方面，</w:t>
            </w:r>
            <w:r>
              <w:rPr>
                <w:rFonts w:hint="default" w:ascii="仿宋" w:hAnsi="仿宋" w:eastAsia="仿宋" w:cs="仿宋"/>
                <w:color w:val="000000"/>
                <w:kern w:val="0"/>
                <w:sz w:val="20"/>
                <w:szCs w:val="20"/>
              </w:rPr>
              <w:t>202</w:t>
            </w:r>
            <w:r>
              <w:rPr>
                <w:rFonts w:hint="eastAsia" w:ascii="仿宋" w:hAnsi="仿宋" w:eastAsia="仿宋" w:cs="仿宋"/>
                <w:color w:val="000000"/>
                <w:kern w:val="0"/>
                <w:sz w:val="20"/>
                <w:szCs w:val="20"/>
                <w:lang w:val="en-US" w:eastAsia="zh-CN"/>
              </w:rPr>
              <w:t>1</w:t>
            </w:r>
            <w:r>
              <w:rPr>
                <w:rFonts w:hint="default" w:ascii="仿宋" w:hAnsi="仿宋" w:eastAsia="仿宋" w:cs="仿宋"/>
                <w:color w:val="000000"/>
                <w:kern w:val="0"/>
                <w:sz w:val="20"/>
                <w:szCs w:val="20"/>
              </w:rPr>
              <w:t>年上级分配我县现有农村危房改造户</w:t>
            </w:r>
            <w:r>
              <w:rPr>
                <w:rFonts w:hint="eastAsia" w:ascii="仿宋" w:hAnsi="仿宋" w:eastAsia="仿宋" w:cs="仿宋"/>
                <w:color w:val="000000"/>
                <w:kern w:val="0"/>
                <w:sz w:val="20"/>
                <w:szCs w:val="20"/>
                <w:lang w:val="en-US" w:eastAsia="zh-CN"/>
              </w:rPr>
              <w:t>20</w:t>
            </w:r>
            <w:r>
              <w:rPr>
                <w:rFonts w:hint="default" w:ascii="仿宋" w:hAnsi="仿宋" w:eastAsia="仿宋" w:cs="仿宋"/>
                <w:color w:val="000000"/>
                <w:kern w:val="0"/>
                <w:sz w:val="20"/>
                <w:szCs w:val="20"/>
              </w:rPr>
              <w:t>户。</w:t>
            </w:r>
          </w:p>
        </w:tc>
      </w:tr>
      <w:tr>
        <w:tblPrEx>
          <w:tblCellMar>
            <w:top w:w="0" w:type="dxa"/>
            <w:left w:w="0" w:type="dxa"/>
            <w:bottom w:w="0" w:type="dxa"/>
            <w:right w:w="0" w:type="dxa"/>
          </w:tblCellMar>
        </w:tblPrEx>
        <w:trPr>
          <w:trHeight w:val="38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0"/>
                <w:szCs w:val="20"/>
                <w:lang w:eastAsia="zh-CN"/>
              </w:rPr>
            </w:pPr>
          </w:p>
        </w:tc>
      </w:tr>
      <w:tr>
        <w:tblPrEx>
          <w:tblCellMar>
            <w:top w:w="0" w:type="dxa"/>
            <w:left w:w="0" w:type="dxa"/>
            <w:bottom w:w="0" w:type="dxa"/>
            <w:right w:w="0" w:type="dxa"/>
          </w:tblCellMar>
        </w:tblPrEx>
        <w:trPr>
          <w:trHeight w:val="44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w:t>
            </w:r>
            <w:r>
              <w:rPr>
                <w:rFonts w:hint="eastAsia" w:ascii="仿宋" w:hAnsi="仿宋" w:eastAsia="仿宋" w:cs="宋体"/>
                <w:color w:val="000000"/>
                <w:kern w:val="0"/>
                <w:sz w:val="18"/>
                <w:szCs w:val="18"/>
                <w:lang w:val="en-US" w:eastAsia="zh-CN" w:bidi="ar"/>
              </w:rPr>
              <w:t>指导农村住房建设、危房改造工作</w:t>
            </w:r>
          </w:p>
        </w:tc>
      </w:tr>
      <w:tr>
        <w:tblPrEx>
          <w:tblCellMar>
            <w:top w:w="0" w:type="dxa"/>
            <w:left w:w="0" w:type="dxa"/>
            <w:bottom w:w="0" w:type="dxa"/>
            <w:right w:w="0" w:type="dxa"/>
          </w:tblCellMar>
        </w:tblPrEx>
        <w:trPr>
          <w:trHeight w:val="38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w:t>
            </w:r>
            <w:r>
              <w:rPr>
                <w:rFonts w:hint="eastAsia" w:ascii="仿宋" w:hAnsi="仿宋" w:eastAsia="仿宋" w:cs="宋体"/>
                <w:color w:val="000000"/>
                <w:kern w:val="0"/>
                <w:sz w:val="18"/>
                <w:szCs w:val="18"/>
                <w:lang w:val="en-US" w:eastAsia="zh-CN" w:bidi="ar"/>
              </w:rPr>
              <w:t>推进建筑节能，城镇减排和墙体材料革新</w:t>
            </w:r>
          </w:p>
        </w:tc>
      </w:tr>
      <w:tr>
        <w:tblPrEx>
          <w:tblCellMar>
            <w:top w:w="0" w:type="dxa"/>
            <w:left w:w="0" w:type="dxa"/>
            <w:bottom w:w="0" w:type="dxa"/>
            <w:right w:w="0" w:type="dxa"/>
          </w:tblCellMar>
        </w:tblPrEx>
        <w:trPr>
          <w:trHeight w:val="27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8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宋体"/>
                <w:color w:val="000000"/>
                <w:kern w:val="0"/>
                <w:sz w:val="18"/>
                <w:szCs w:val="18"/>
                <w:lang w:val="en-US" w:eastAsia="zh-CN" w:bidi="ar"/>
              </w:rPr>
              <w:t>房屋建筑质和市政基础设施工程量安全监管工作</w:t>
            </w:r>
          </w:p>
        </w:tc>
      </w:tr>
      <w:tr>
        <w:tblPrEx>
          <w:tblCellMar>
            <w:top w:w="0" w:type="dxa"/>
            <w:left w:w="0" w:type="dxa"/>
            <w:bottom w:w="0" w:type="dxa"/>
            <w:right w:w="0" w:type="dxa"/>
          </w:tblCellMar>
        </w:tblPrEx>
        <w:trPr>
          <w:trHeight w:val="402"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9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黑体"/>
                <w:color w:val="000000"/>
                <w:sz w:val="18"/>
                <w:szCs w:val="18"/>
                <w:lang w:val="en-US" w:eastAsia="zh-CN"/>
              </w:rPr>
              <w:t>完成住建局部门职责，达到社会效益</w:t>
            </w:r>
          </w:p>
        </w:tc>
        <w:tc>
          <w:tcPr>
            <w:tcW w:w="58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eastAsia="zh-CN" w:bidi="ar"/>
              </w:rPr>
              <w:t>部门整体运行</w:t>
            </w:r>
            <w:r>
              <w:rPr>
                <w:rFonts w:hint="eastAsia" w:ascii="仿宋" w:hAnsi="仿宋" w:eastAsia="仿宋" w:cs="宋体"/>
                <w:color w:val="000000"/>
                <w:kern w:val="0"/>
                <w:sz w:val="18"/>
                <w:szCs w:val="18"/>
                <w:lang w:bidi="ar"/>
              </w:rPr>
              <w:t>可持续影响</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黑体"/>
                <w:color w:val="000000"/>
                <w:sz w:val="18"/>
                <w:szCs w:val="18"/>
                <w:lang w:val="en-US" w:eastAsia="zh-CN"/>
              </w:rPr>
              <w:t>可持续</w:t>
            </w:r>
          </w:p>
        </w:tc>
        <w:tc>
          <w:tcPr>
            <w:tcW w:w="58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社会公众满意度</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≧90%</w:t>
            </w:r>
          </w:p>
        </w:tc>
        <w:tc>
          <w:tcPr>
            <w:tcW w:w="589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服务对象满意度</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黑体"/>
                <w:color w:val="000000"/>
                <w:sz w:val="18"/>
                <w:szCs w:val="18"/>
                <w:lang w:val="en-US" w:eastAsia="zh-CN"/>
              </w:rPr>
              <w:t>≧90%</w:t>
            </w:r>
          </w:p>
        </w:tc>
        <w:tc>
          <w:tcPr>
            <w:tcW w:w="58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1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11"/>
        <w:ind w:firstLine="0" w:firstLineChars="0"/>
      </w:pPr>
      <w:bookmarkStart w:id="0" w:name="_GoBack"/>
      <w:bookmarkEnd w:id="0"/>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287967"/>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4C15AD7"/>
    <w:rsid w:val="351077AD"/>
    <w:rsid w:val="356B73F7"/>
    <w:rsid w:val="37190D0A"/>
    <w:rsid w:val="39B35D5B"/>
    <w:rsid w:val="3C650EA2"/>
    <w:rsid w:val="3C882259"/>
    <w:rsid w:val="3D8D2DB2"/>
    <w:rsid w:val="3DBF3F38"/>
    <w:rsid w:val="40DC543A"/>
    <w:rsid w:val="44661788"/>
    <w:rsid w:val="447B51CD"/>
    <w:rsid w:val="44A1365C"/>
    <w:rsid w:val="48792D39"/>
    <w:rsid w:val="499C14F2"/>
    <w:rsid w:val="4A69625F"/>
    <w:rsid w:val="4B870AC0"/>
    <w:rsid w:val="4C281AB1"/>
    <w:rsid w:val="4C2B4AF1"/>
    <w:rsid w:val="4D3969C6"/>
    <w:rsid w:val="530504E8"/>
    <w:rsid w:val="53D53D55"/>
    <w:rsid w:val="54FE107E"/>
    <w:rsid w:val="55163C24"/>
    <w:rsid w:val="5601198C"/>
    <w:rsid w:val="56104055"/>
    <w:rsid w:val="572C68E4"/>
    <w:rsid w:val="58F07DB3"/>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6"/>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5"/>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7"/>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8"/>
    <w:semiHidden/>
    <w:unhideWhenUsed/>
    <w:qFormat/>
    <w:uiPriority w:val="0"/>
    <w:pPr>
      <w:keepNext/>
      <w:keepLines/>
      <w:spacing w:line="372" w:lineRule="auto"/>
      <w:outlineLvl w:val="3"/>
    </w:pPr>
    <w:rPr>
      <w:rFonts w:ascii="宋体" w:hAnsi="宋体"/>
      <w:b/>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Indent 2"/>
    <w:basedOn w:val="1"/>
    <w:qFormat/>
    <w:uiPriority w:val="0"/>
    <w:pPr>
      <w:spacing w:line="480" w:lineRule="auto"/>
      <w:ind w:left="420" w:leftChars="200"/>
    </w:pPr>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Body Text First Indent"/>
    <w:basedOn w:val="2"/>
    <w:qFormat/>
    <w:uiPriority w:val="0"/>
    <w:pPr>
      <w:ind w:firstLine="420" w:firstLineChars="1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2 Char"/>
    <w:link w:val="5"/>
    <w:qFormat/>
    <w:uiPriority w:val="9"/>
    <w:rPr>
      <w:rFonts w:ascii="Arial" w:hAnsi="Arial" w:eastAsia="宋体" w:cs="Arial"/>
      <w:b/>
      <w:bCs/>
      <w:sz w:val="32"/>
      <w:szCs w:val="32"/>
    </w:rPr>
  </w:style>
  <w:style w:type="character" w:customStyle="1" w:styleId="16">
    <w:name w:val="标题 1 Char"/>
    <w:link w:val="4"/>
    <w:qFormat/>
    <w:uiPriority w:val="0"/>
    <w:rPr>
      <w:rFonts w:ascii="Times New Roman" w:hAnsi="Times New Roman" w:eastAsia="宋体" w:cs="宋体"/>
      <w:b/>
      <w:kern w:val="44"/>
      <w:sz w:val="36"/>
    </w:rPr>
  </w:style>
  <w:style w:type="character" w:customStyle="1" w:styleId="17">
    <w:name w:val="标题 3 Char"/>
    <w:link w:val="6"/>
    <w:qFormat/>
    <w:uiPriority w:val="9"/>
    <w:rPr>
      <w:rFonts w:ascii="Calibri" w:hAnsi="Calibri" w:eastAsia="宋体" w:cs="宋体"/>
      <w:b/>
      <w:sz w:val="30"/>
    </w:rPr>
  </w:style>
  <w:style w:type="character" w:customStyle="1" w:styleId="18">
    <w:name w:val="标题 4 Char"/>
    <w:link w:val="7"/>
    <w:qFormat/>
    <w:uiPriority w:val="0"/>
    <w:rPr>
      <w:rFonts w:ascii="宋体" w:hAnsi="宋体" w:eastAsia="宋体"/>
      <w:b/>
    </w:rPr>
  </w:style>
  <w:style w:type="paragraph" w:customStyle="1" w:styleId="19">
    <w:name w:val="正文文本1"/>
    <w:basedOn w:val="1"/>
    <w:link w:val="21"/>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20">
    <w:name w:val="正文文本 + 11 pt"/>
    <w:basedOn w:val="21"/>
    <w:qFormat/>
    <w:uiPriority w:val="0"/>
    <w:rPr>
      <w:color w:val="000000"/>
      <w:w w:val="100"/>
      <w:position w:val="0"/>
      <w:sz w:val="22"/>
      <w:szCs w:val="22"/>
      <w:lang w:val="en-US"/>
    </w:rPr>
  </w:style>
  <w:style w:type="character" w:customStyle="1" w:styleId="21">
    <w:name w:val="正文文本_"/>
    <w:basedOn w:val="14"/>
    <w:link w:val="19"/>
    <w:qFormat/>
    <w:uiPriority w:val="0"/>
    <w:rPr>
      <w:rFonts w:ascii="MingLiU" w:hAnsi="MingLiU" w:eastAsia="MingLiU" w:cs="MingLiU"/>
      <w:spacing w:val="40"/>
      <w:sz w:val="28"/>
      <w:szCs w:val="28"/>
      <w:u w:val="none"/>
    </w:rPr>
  </w:style>
  <w:style w:type="character" w:customStyle="1" w:styleId="22">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2783</Words>
  <Characters>2922</Characters>
  <Lines>24</Lines>
  <Paragraphs>6</Paragraphs>
  <TotalTime>2</TotalTime>
  <ScaleCrop>false</ScaleCrop>
  <LinksUpToDate>false</LinksUpToDate>
  <CharactersWithSpaces>2922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2022-03-11T08:02:19Z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