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539" w:type="dxa"/>
              <w:tblInd w:w="3" w:type="dxa"/>
              <w:tblLayout w:type="fixed"/>
              <w:tblCellMar>
                <w:top w:w="0" w:type="dxa"/>
                <w:left w:w="108" w:type="dxa"/>
                <w:bottom w:w="0" w:type="dxa"/>
                <w:right w:w="108" w:type="dxa"/>
              </w:tblCellMar>
            </w:tblPr>
            <w:tblGrid>
              <w:gridCol w:w="459"/>
              <w:gridCol w:w="848"/>
              <w:gridCol w:w="858"/>
              <w:gridCol w:w="1944"/>
              <w:gridCol w:w="1581"/>
              <w:gridCol w:w="782"/>
              <w:gridCol w:w="2388"/>
              <w:gridCol w:w="329"/>
              <w:gridCol w:w="1350"/>
            </w:tblGrid>
            <w:tr>
              <w:tblPrEx>
                <w:tblCellMar>
                  <w:top w:w="0" w:type="dxa"/>
                  <w:left w:w="108" w:type="dxa"/>
                  <w:bottom w:w="0" w:type="dxa"/>
                  <w:right w:w="108" w:type="dxa"/>
                </w:tblCellMar>
              </w:tblPrEx>
              <w:trPr>
                <w:trHeight w:val="373" w:hRule="atLeast"/>
              </w:trPr>
              <w:tc>
                <w:tcPr>
                  <w:tcW w:w="130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232"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金融大道修复工程　</w:t>
                  </w:r>
                </w:p>
              </w:tc>
            </w:tr>
            <w:tr>
              <w:tblPrEx>
                <w:tblCellMar>
                  <w:top w:w="0" w:type="dxa"/>
                  <w:left w:w="108" w:type="dxa"/>
                  <w:bottom w:w="0" w:type="dxa"/>
                  <w:right w:w="108" w:type="dxa"/>
                </w:tblCellMar>
              </w:tblPrEx>
              <w:trPr>
                <w:trHeight w:val="373" w:hRule="atLeast"/>
              </w:trPr>
              <w:tc>
                <w:tcPr>
                  <w:tcW w:w="130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住建局</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住建局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373" w:hRule="atLeast"/>
              </w:trPr>
              <w:tc>
                <w:tcPr>
                  <w:tcW w:w="130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80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26.128218</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26.128218　</w:t>
                  </w:r>
                </w:p>
              </w:tc>
            </w:tr>
            <w:tr>
              <w:tblPrEx>
                <w:tblCellMar>
                  <w:top w:w="0" w:type="dxa"/>
                  <w:left w:w="108" w:type="dxa"/>
                  <w:bottom w:w="0" w:type="dxa"/>
                  <w:right w:w="108" w:type="dxa"/>
                </w:tblCellMar>
              </w:tblPrEx>
              <w:trPr>
                <w:trHeight w:val="373" w:hRule="atLeast"/>
              </w:trPr>
              <w:tc>
                <w:tcPr>
                  <w:tcW w:w="13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80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26.128218</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26.128218　</w:t>
                  </w:r>
                </w:p>
              </w:tc>
            </w:tr>
            <w:tr>
              <w:tblPrEx>
                <w:tblCellMar>
                  <w:top w:w="0" w:type="dxa"/>
                  <w:left w:w="108" w:type="dxa"/>
                  <w:bottom w:w="0" w:type="dxa"/>
                  <w:right w:w="108" w:type="dxa"/>
                </w:tblCellMar>
              </w:tblPrEx>
              <w:trPr>
                <w:trHeight w:val="373" w:hRule="atLeast"/>
              </w:trPr>
              <w:tc>
                <w:tcPr>
                  <w:tcW w:w="13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80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bookmarkStart w:id="0" w:name="_GoBack"/>
                  <w:bookmarkEnd w:id="0"/>
                  <w:r>
                    <w:rPr>
                      <w:rFonts w:hint="eastAsia" w:ascii="仿宋" w:hAnsi="仿宋" w:eastAsia="仿宋" w:cs="仿宋"/>
                      <w:kern w:val="0"/>
                      <w:sz w:val="24"/>
                    </w:rPr>
                    <w:t>　</w:t>
                  </w:r>
                </w:p>
              </w:tc>
            </w:tr>
            <w:tr>
              <w:tblPrEx>
                <w:tblCellMar>
                  <w:top w:w="0" w:type="dxa"/>
                  <w:left w:w="108" w:type="dxa"/>
                  <w:bottom w:w="0" w:type="dxa"/>
                  <w:right w:w="108" w:type="dxa"/>
                </w:tblCellMar>
              </w:tblPrEx>
              <w:trPr>
                <w:trHeight w:val="373" w:hRule="atLeast"/>
              </w:trPr>
              <w:tc>
                <w:tcPr>
                  <w:tcW w:w="4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23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4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146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23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目标1：对金融大道长约100米，深约8米坍塌路段进行修复，并对其损坏的雨</w:t>
                  </w:r>
                  <w:r>
                    <w:rPr>
                      <w:rFonts w:hint="eastAsia" w:ascii="仿宋" w:hAnsi="仿宋" w:eastAsia="仿宋" w:cs="仿宋"/>
                      <w:kern w:val="0"/>
                      <w:sz w:val="24"/>
                      <w:lang w:eastAsia="zh-CN"/>
                    </w:rPr>
                    <w:t>水</w:t>
                  </w:r>
                  <w:r>
                    <w:rPr>
                      <w:rFonts w:hint="eastAsia" w:ascii="仿宋" w:hAnsi="仿宋" w:eastAsia="仿宋" w:cs="仿宋"/>
                      <w:kern w:val="0"/>
                      <w:sz w:val="24"/>
                    </w:rPr>
                    <w:t>污水管网</w:t>
                  </w:r>
                  <w:r>
                    <w:rPr>
                      <w:rFonts w:hint="eastAsia" w:ascii="仿宋" w:hAnsi="仿宋" w:eastAsia="仿宋" w:cs="仿宋"/>
                      <w:kern w:val="0"/>
                      <w:sz w:val="24"/>
                      <w:lang w:eastAsia="zh-CN"/>
                    </w:rPr>
                    <w:t>、</w:t>
                  </w:r>
                  <w:r>
                    <w:rPr>
                      <w:rFonts w:hint="eastAsia" w:ascii="仿宋" w:hAnsi="仿宋" w:eastAsia="仿宋" w:cs="仿宋"/>
                      <w:kern w:val="0"/>
                      <w:sz w:val="24"/>
                    </w:rPr>
                    <w:t>通信管廊及慢车道路面进行修复，恢复原状。</w:t>
                  </w:r>
                  <w:r>
                    <w:rPr>
                      <w:rFonts w:hint="eastAsia" w:ascii="仿宋" w:hAnsi="仿宋" w:eastAsia="仿宋" w:cs="仿宋"/>
                      <w:kern w:val="0"/>
                      <w:sz w:val="24"/>
                    </w:rPr>
                    <w:br w:type="textWrapping"/>
                  </w:r>
                </w:p>
              </w:tc>
              <w:tc>
                <w:tcPr>
                  <w:tcW w:w="4849"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目标1：对金融大道长约100米，深约8米坍塌路段进行修复，并对其损坏的雨</w:t>
                  </w:r>
                  <w:r>
                    <w:rPr>
                      <w:rFonts w:hint="eastAsia" w:ascii="仿宋" w:hAnsi="仿宋" w:eastAsia="仿宋" w:cs="仿宋"/>
                      <w:kern w:val="0"/>
                      <w:sz w:val="24"/>
                      <w:lang w:eastAsia="zh-CN"/>
                    </w:rPr>
                    <w:t>水</w:t>
                  </w:r>
                  <w:r>
                    <w:rPr>
                      <w:rFonts w:hint="eastAsia" w:ascii="仿宋" w:hAnsi="仿宋" w:eastAsia="仿宋" w:cs="仿宋"/>
                      <w:kern w:val="0"/>
                      <w:sz w:val="24"/>
                    </w:rPr>
                    <w:t>污水管网</w:t>
                  </w:r>
                  <w:r>
                    <w:rPr>
                      <w:rFonts w:hint="eastAsia" w:ascii="仿宋" w:hAnsi="仿宋" w:eastAsia="仿宋" w:cs="仿宋"/>
                      <w:kern w:val="0"/>
                      <w:sz w:val="24"/>
                      <w:lang w:eastAsia="zh-CN"/>
                    </w:rPr>
                    <w:t>、</w:t>
                  </w:r>
                  <w:r>
                    <w:rPr>
                      <w:rFonts w:hint="eastAsia" w:ascii="仿宋" w:hAnsi="仿宋" w:eastAsia="仿宋" w:cs="仿宋"/>
                      <w:kern w:val="0"/>
                      <w:sz w:val="24"/>
                    </w:rPr>
                    <w:t>通信管廊及慢车道路面进行修复，恢复原状。</w:t>
                  </w:r>
                </w:p>
              </w:tc>
            </w:tr>
            <w:tr>
              <w:tblPrEx>
                <w:tblCellMar>
                  <w:top w:w="0" w:type="dxa"/>
                  <w:left w:w="108" w:type="dxa"/>
                  <w:bottom w:w="0" w:type="dxa"/>
                  <w:right w:w="108" w:type="dxa"/>
                </w:tblCellMar>
              </w:tblPrEx>
              <w:trPr>
                <w:trHeight w:val="736" w:hRule="atLeast"/>
              </w:trPr>
              <w:tc>
                <w:tcPr>
                  <w:tcW w:w="4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highlight w:val="yellow"/>
                      <w:lang w:val="en-US" w:eastAsia="zh-CN"/>
                    </w:rPr>
                  </w:pPr>
                  <w:r>
                    <w:rPr>
                      <w:rFonts w:hint="eastAsia" w:ascii="仿宋" w:hAnsi="仿宋" w:eastAsia="仿宋" w:cs="仿宋"/>
                      <w:kern w:val="0"/>
                      <w:sz w:val="24"/>
                      <w:highlight w:val="yellow"/>
                      <w:lang w:eastAsia="zh-CN"/>
                    </w:rPr>
                    <w:t>修复道路长度</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highlight w:val="yellow"/>
                      <w:lang w:val="en-US" w:eastAsia="zh-CN"/>
                    </w:rPr>
                  </w:pPr>
                  <w:r>
                    <w:rPr>
                      <w:rFonts w:hint="eastAsia" w:ascii="仿宋" w:hAnsi="仿宋" w:eastAsia="仿宋" w:cs="仿宋"/>
                      <w:kern w:val="0"/>
                      <w:sz w:val="24"/>
                      <w:highlight w:val="yellow"/>
                      <w:lang w:val="en-US" w:eastAsia="zh-CN"/>
                    </w:rPr>
                    <w:t>100米</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eastAsia="zh-CN"/>
                    </w:rPr>
                    <w:t>修复道路长度</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val="en-US" w:eastAsia="zh-CN"/>
                    </w:rPr>
                    <w:t>100米</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highlight w:val="yellow"/>
                      <w:lang w:eastAsia="zh-CN"/>
                    </w:rPr>
                  </w:pPr>
                  <w:r>
                    <w:rPr>
                      <w:rFonts w:hint="eastAsia" w:ascii="仿宋" w:hAnsi="仿宋" w:eastAsia="仿宋" w:cs="仿宋"/>
                      <w:kern w:val="0"/>
                      <w:sz w:val="24"/>
                      <w:highlight w:val="yellow"/>
                      <w:lang w:eastAsia="zh-CN"/>
                    </w:rPr>
                    <w:t>修复坍塌深度</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highlight w:val="yellow"/>
                      <w:lang w:val="en-US" w:eastAsia="zh-CN"/>
                    </w:rPr>
                  </w:pPr>
                  <w:r>
                    <w:rPr>
                      <w:rFonts w:hint="eastAsia" w:ascii="仿宋" w:hAnsi="仿宋" w:eastAsia="仿宋" w:cs="仿宋"/>
                      <w:kern w:val="0"/>
                      <w:sz w:val="24"/>
                      <w:highlight w:val="yellow"/>
                      <w:lang w:val="en-US" w:eastAsia="zh-CN"/>
                    </w:rPr>
                    <w:t>8米</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eastAsia="zh-CN"/>
                    </w:rPr>
                    <w:t>修复坍塌深度</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val="en-US" w:eastAsia="zh-CN"/>
                    </w:rPr>
                    <w:t>8米</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highlight w:val="yellow"/>
                      <w:lang w:eastAsia="zh-CN"/>
                    </w:rPr>
                  </w:pPr>
                  <w:r>
                    <w:rPr>
                      <w:rFonts w:hint="eastAsia" w:ascii="仿宋" w:hAnsi="仿宋" w:eastAsia="仿宋" w:cs="仿宋"/>
                      <w:kern w:val="0"/>
                      <w:sz w:val="24"/>
                      <w:highlight w:val="yellow"/>
                      <w:lang w:eastAsia="zh-CN"/>
                    </w:rPr>
                    <w:t>修复排水管网</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highlight w:val="yellow"/>
                      <w:lang w:val="en-US" w:eastAsia="zh-CN"/>
                    </w:rPr>
                  </w:pPr>
                  <w:r>
                    <w:rPr>
                      <w:rFonts w:hint="eastAsia" w:ascii="仿宋" w:hAnsi="仿宋" w:eastAsia="仿宋" w:cs="仿宋"/>
                      <w:kern w:val="0"/>
                      <w:sz w:val="24"/>
                      <w:highlight w:val="yellow"/>
                      <w:lang w:val="en-US" w:eastAsia="zh-CN"/>
                    </w:rPr>
                    <w:t>100米</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eastAsia="zh-CN"/>
                    </w:rPr>
                    <w:t>修复排水管网</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val="en-US" w:eastAsia="zh-CN"/>
                    </w:rPr>
                    <w:t>100米</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竣工验收达标率</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竣工验收达标率</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工程施工安全率</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工程施工安全率</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工程质量合格率</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工程质量合格率</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及时完工率</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及时完工率</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highlight w:val="yellow"/>
                      <w:lang w:eastAsia="zh-CN"/>
                    </w:rPr>
                  </w:pPr>
                  <w:r>
                    <w:rPr>
                      <w:rFonts w:hint="eastAsia" w:ascii="仿宋" w:hAnsi="仿宋" w:eastAsia="仿宋" w:cs="仿宋"/>
                      <w:kern w:val="0"/>
                      <w:sz w:val="24"/>
                      <w:highlight w:val="yellow"/>
                      <w:lang w:eastAsia="zh-CN"/>
                    </w:rPr>
                    <w:t>施工周期</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highlight w:val="yellow"/>
                      <w:lang w:val="en-US" w:eastAsia="zh-CN"/>
                    </w:rPr>
                  </w:pPr>
                  <w:r>
                    <w:rPr>
                      <w:rFonts w:hint="eastAsia" w:ascii="仿宋" w:hAnsi="仿宋" w:eastAsia="仿宋" w:cs="仿宋"/>
                      <w:kern w:val="0"/>
                      <w:sz w:val="24"/>
                      <w:highlight w:val="yellow"/>
                      <w:lang w:eastAsia="zh-CN"/>
                    </w:rPr>
                    <w:t>≤</w:t>
                  </w:r>
                  <w:r>
                    <w:rPr>
                      <w:rFonts w:hint="eastAsia" w:ascii="仿宋" w:hAnsi="仿宋" w:eastAsia="仿宋" w:cs="仿宋"/>
                      <w:kern w:val="0"/>
                      <w:sz w:val="24"/>
                      <w:highlight w:val="yellow"/>
                      <w:lang w:val="en-US" w:eastAsia="zh-CN"/>
                    </w:rPr>
                    <w:t>30天</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eastAsia="zh-CN"/>
                    </w:rPr>
                    <w:t>施工周期</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highlight w:val="yellow"/>
                      <w:lang w:val="en-US" w:eastAsia="zh-CN" w:bidi="ar-SA"/>
                    </w:rPr>
                  </w:pPr>
                  <w:r>
                    <w:rPr>
                      <w:rFonts w:hint="eastAsia" w:ascii="仿宋" w:hAnsi="仿宋" w:eastAsia="仿宋" w:cs="仿宋"/>
                      <w:kern w:val="0"/>
                      <w:sz w:val="24"/>
                      <w:highlight w:val="yellow"/>
                      <w:lang w:eastAsia="zh-CN"/>
                    </w:rPr>
                    <w:t>≤</w:t>
                  </w:r>
                  <w:r>
                    <w:rPr>
                      <w:rFonts w:hint="eastAsia" w:ascii="仿宋" w:hAnsi="仿宋" w:eastAsia="仿宋" w:cs="仿宋"/>
                      <w:kern w:val="0"/>
                      <w:sz w:val="24"/>
                      <w:highlight w:val="yellow"/>
                      <w:lang w:val="en-US" w:eastAsia="zh-CN"/>
                    </w:rPr>
                    <w:t>30天</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项目成本</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27万</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项目成本</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27万</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项目审计</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通过</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项目审计</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通过</w:t>
                  </w:r>
                </w:p>
              </w:tc>
            </w:tr>
            <w:tr>
              <w:tblPrEx>
                <w:tblCellMar>
                  <w:top w:w="0" w:type="dxa"/>
                  <w:left w:w="108" w:type="dxa"/>
                  <w:bottom w:w="0" w:type="dxa"/>
                  <w:right w:w="108" w:type="dxa"/>
                </w:tblCellMar>
              </w:tblPrEx>
              <w:trPr>
                <w:trHeight w:val="736"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保障群众安全出行</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保障群众安全出行</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提升城市形象</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提升</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提升城市形象</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提升</w:t>
                  </w:r>
                </w:p>
              </w:tc>
            </w:tr>
            <w:tr>
              <w:tblPrEx>
                <w:tblCellMar>
                  <w:top w:w="0" w:type="dxa"/>
                  <w:left w:w="108" w:type="dxa"/>
                  <w:bottom w:w="0" w:type="dxa"/>
                  <w:right w:w="108" w:type="dxa"/>
                </w:tblCellMar>
              </w:tblPrEx>
              <w:trPr>
                <w:trHeight w:val="1098"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改善道路排水系统</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改善道路排水系统</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w:t>
                  </w:r>
                </w:p>
              </w:tc>
            </w:tr>
            <w:tr>
              <w:tblPrEx>
                <w:tblCellMar>
                  <w:top w:w="0" w:type="dxa"/>
                  <w:left w:w="108" w:type="dxa"/>
                  <w:bottom w:w="0" w:type="dxa"/>
                  <w:right w:w="108" w:type="dxa"/>
                </w:tblCellMar>
              </w:tblPrEx>
              <w:trPr>
                <w:trHeight w:val="373"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道路持续使用</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道路持续使用</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1087"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排水系统持续使用</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排水系统持续使用</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1834"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群众满意度</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群众满意度</w:t>
                  </w:r>
                </w:p>
              </w:tc>
              <w:tc>
                <w:tcPr>
                  <w:tcW w:w="1679"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95%</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E8F506F"/>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A1832C1"/>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5D7F0BCD"/>
    <w:rsid w:val="603E5DB0"/>
    <w:rsid w:val="62A47E73"/>
    <w:rsid w:val="62A85D16"/>
    <w:rsid w:val="642660CF"/>
    <w:rsid w:val="64D12C3C"/>
    <w:rsid w:val="6647282C"/>
    <w:rsid w:val="678B2E0B"/>
    <w:rsid w:val="6988452D"/>
    <w:rsid w:val="6A2F3E36"/>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2021-09-18T01:16:12Z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2BB3D6730ED14DADAED5BF6B7F50A499</vt:lpwstr>
  </property>
</Properties>
</file>