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Spec="center" w:tblpY="1239"/>
        <w:tblOverlap w:val="never"/>
        <w:tblW w:w="5000" w:type="pct"/>
        <w:jc w:val="center"/>
        <w:tblLayout w:type="fixed"/>
        <w:tblCellMar>
          <w:top w:w="0" w:type="dxa"/>
          <w:left w:w="0" w:type="dxa"/>
          <w:bottom w:w="0" w:type="dxa"/>
          <w:right w:w="0" w:type="dxa"/>
        </w:tblCellMar>
      </w:tblPr>
      <w:tblGrid>
        <w:gridCol w:w="693"/>
        <w:gridCol w:w="762"/>
        <w:gridCol w:w="1973"/>
        <w:gridCol w:w="1035"/>
        <w:gridCol w:w="6033"/>
      </w:tblGrid>
      <w:tr>
        <w:tblPrEx>
          <w:tblCellMar>
            <w:top w:w="0" w:type="dxa"/>
            <w:left w:w="0" w:type="dxa"/>
            <w:bottom w:w="0" w:type="dxa"/>
            <w:right w:w="0" w:type="dxa"/>
          </w:tblCellMar>
        </w:tblPrEx>
        <w:trPr>
          <w:trHeight w:val="750" w:hRule="atLeast"/>
          <w:jc w:val="center"/>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jc w:val="center"/>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jc w:val="center"/>
        </w:trPr>
        <w:tc>
          <w:tcPr>
            <w:tcW w:w="69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新乡县发展和改革委员会</w:t>
            </w:r>
          </w:p>
        </w:tc>
      </w:tr>
      <w:tr>
        <w:tblPrEx>
          <w:tblCellMar>
            <w:top w:w="0" w:type="dxa"/>
            <w:left w:w="0" w:type="dxa"/>
            <w:bottom w:w="0" w:type="dxa"/>
            <w:right w:w="0" w:type="dxa"/>
          </w:tblCellMar>
        </w:tblPrEx>
        <w:trPr>
          <w:trHeight w:val="450" w:hRule="atLeast"/>
          <w:jc w:val="center"/>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669"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目标1：组织实施国民经济和社会发展战略</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目标2：推进和协调全县经济体制改革</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目标3：抓好各类项目的审核批准备案及实施管理、申报及产业结构调整升级</w:t>
            </w:r>
          </w:p>
        </w:tc>
      </w:tr>
      <w:tr>
        <w:tblPrEx>
          <w:tblCellMar>
            <w:top w:w="0" w:type="dxa"/>
            <w:left w:w="0" w:type="dxa"/>
            <w:bottom w:w="0" w:type="dxa"/>
            <w:right w:w="0" w:type="dxa"/>
          </w:tblCellMar>
        </w:tblPrEx>
        <w:trPr>
          <w:trHeight w:val="45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6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6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66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jc w:val="center"/>
        </w:trPr>
        <w:tc>
          <w:tcPr>
            <w:tcW w:w="33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sz w:val="18"/>
                <w:szCs w:val="18"/>
                <w:lang w:val="en-US" w:eastAsia="zh-CN"/>
              </w:rPr>
              <w:t>拟定并组织实施全县国民经济和社会发展中长期规划和年度计划。牵头组织统一规划体系建设。</w:t>
            </w:r>
          </w:p>
        </w:tc>
      </w:tr>
      <w:tr>
        <w:tblPrEx>
          <w:tblCellMar>
            <w:top w:w="0" w:type="dxa"/>
            <w:left w:w="0" w:type="dxa"/>
            <w:bottom w:w="0" w:type="dxa"/>
            <w:right w:w="0" w:type="dxa"/>
          </w:tblCellMar>
        </w:tblPrEx>
        <w:trPr>
          <w:trHeight w:val="34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sz w:val="18"/>
                <w:szCs w:val="18"/>
                <w:lang w:val="en-US" w:eastAsia="zh-CN"/>
              </w:rPr>
              <w:t>推进实施可持续发展战略，推动生态文明建设，协调生态环境保护和修复、能源资源节约和综合利用等工作。</w:t>
            </w:r>
          </w:p>
        </w:tc>
      </w:tr>
      <w:tr>
        <w:tblPrEx>
          <w:tblCellMar>
            <w:top w:w="0" w:type="dxa"/>
            <w:left w:w="0" w:type="dxa"/>
            <w:bottom w:w="0" w:type="dxa"/>
            <w:right w:w="0" w:type="dxa"/>
          </w:tblCellMar>
        </w:tblPrEx>
        <w:trPr>
          <w:trHeight w:val="42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sz w:val="18"/>
                <w:szCs w:val="18"/>
                <w:lang w:val="en-US" w:eastAsia="zh-CN"/>
              </w:rPr>
              <w:t>贯彻执行国家和省市粮食流通和物资储备管理的法律法规；拟定全县粮食流通和物资储备体质改革方案并组织实施；推动国有粮食企业改革。</w:t>
            </w:r>
          </w:p>
        </w:tc>
      </w:tr>
      <w:tr>
        <w:tblPrEx>
          <w:tblCellMar>
            <w:top w:w="0" w:type="dxa"/>
            <w:left w:w="0" w:type="dxa"/>
            <w:bottom w:w="0" w:type="dxa"/>
            <w:right w:w="0" w:type="dxa"/>
          </w:tblCellMar>
        </w:tblPrEx>
        <w:trPr>
          <w:trHeight w:val="42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30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jc w:val="center"/>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0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36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2721.931127</w:t>
            </w:r>
          </w:p>
        </w:tc>
      </w:tr>
      <w:tr>
        <w:tblPrEx>
          <w:tblCellMar>
            <w:top w:w="0" w:type="dxa"/>
            <w:left w:w="0" w:type="dxa"/>
            <w:bottom w:w="0" w:type="dxa"/>
            <w:right w:w="0" w:type="dxa"/>
          </w:tblCellMar>
        </w:tblPrEx>
        <w:trPr>
          <w:trHeight w:val="4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0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36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2717.900127</w:t>
            </w:r>
          </w:p>
        </w:tc>
      </w:tr>
      <w:tr>
        <w:tblPrEx>
          <w:tblCellMar>
            <w:top w:w="0" w:type="dxa"/>
            <w:left w:w="0" w:type="dxa"/>
            <w:bottom w:w="0" w:type="dxa"/>
            <w:right w:w="0" w:type="dxa"/>
          </w:tblCellMar>
        </w:tblPrEx>
        <w:trPr>
          <w:trHeight w:val="3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0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36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sz w:val="22"/>
                <w:szCs w:val="22"/>
                <w:lang w:val="en-US" w:eastAsia="zh-CN"/>
              </w:rPr>
              <w:t>4.0310</w:t>
            </w:r>
          </w:p>
        </w:tc>
      </w:tr>
      <w:tr>
        <w:tblPrEx>
          <w:tblCellMar>
            <w:top w:w="0" w:type="dxa"/>
            <w:left w:w="0" w:type="dxa"/>
            <w:bottom w:w="0" w:type="dxa"/>
            <w:right w:w="0" w:type="dxa"/>
          </w:tblCellMar>
        </w:tblPrEx>
        <w:trPr>
          <w:trHeight w:val="40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0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36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495.3</w:t>
            </w:r>
          </w:p>
        </w:tc>
      </w:tr>
      <w:tr>
        <w:tblPrEx>
          <w:tblCellMar>
            <w:top w:w="0" w:type="dxa"/>
            <w:left w:w="0" w:type="dxa"/>
            <w:bottom w:w="0" w:type="dxa"/>
            <w:right w:w="0" w:type="dxa"/>
          </w:tblCellMar>
        </w:tblPrEx>
        <w:trPr>
          <w:trHeight w:val="44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0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36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sz w:val="22"/>
                <w:szCs w:val="22"/>
                <w:lang w:val="en-US" w:eastAsia="zh-CN"/>
              </w:rPr>
              <w:t>2222.600127</w:t>
            </w:r>
          </w:p>
        </w:tc>
      </w:tr>
      <w:tr>
        <w:tblPrEx>
          <w:tblCellMar>
            <w:top w:w="0" w:type="dxa"/>
            <w:left w:w="0" w:type="dxa"/>
            <w:bottom w:w="0" w:type="dxa"/>
            <w:right w:w="0" w:type="dxa"/>
          </w:tblCellMar>
        </w:tblPrEx>
        <w:trPr>
          <w:trHeight w:val="54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3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bookmarkStart w:id="0" w:name="_GoBack"/>
            <w:bookmarkEnd w:id="0"/>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jc w:val="center"/>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 xml:space="preserve"> ≤20%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jc w:val="both"/>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≤5%</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真实</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jc w:val="center"/>
        </w:trPr>
        <w:tc>
          <w:tcPr>
            <w:tcW w:w="33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62"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40"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9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健全</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公开</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规范</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jc w:val="center"/>
        </w:trPr>
        <w:tc>
          <w:tcPr>
            <w:tcW w:w="3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jc w:val="center"/>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jc w:val="center"/>
        </w:trPr>
        <w:tc>
          <w:tcPr>
            <w:tcW w:w="3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sz w:val="18"/>
                <w:szCs w:val="18"/>
                <w:lang w:val="en-US" w:eastAsia="zh-CN"/>
              </w:rPr>
              <w:t>推进实施可持续发展战略，推动生态文明建设，能源资源节约和综合利用等工作。</w:t>
            </w: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rPr>
            </w:pPr>
            <w:r>
              <w:rPr>
                <w:rFonts w:hint="eastAsia" w:ascii="仿宋" w:hAnsi="仿宋" w:eastAsia="仿宋" w:cs="宋体"/>
                <w:color w:val="000000"/>
                <w:sz w:val="18"/>
                <w:szCs w:val="18"/>
                <w:lang w:val="en-US" w:eastAsia="zh-CN"/>
              </w:rPr>
              <w:t>协调推进生态环境保护和修复工作。</w:t>
            </w: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287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0" w:firstLineChars="100"/>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jc w:val="center"/>
        </w:trPr>
        <w:tc>
          <w:tcPr>
            <w:tcW w:w="3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62"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87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pPr>
    </w:p>
    <w:sectPr>
      <w:headerReference r:id="rId5"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0C744AC"/>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A62A9F"/>
    <w:rsid w:val="54FE107E"/>
    <w:rsid w:val="55163C24"/>
    <w:rsid w:val="5601198C"/>
    <w:rsid w:val="56104055"/>
    <w:rsid w:val="572C68E4"/>
    <w:rsid w:val="5CE85B58"/>
    <w:rsid w:val="5D731A92"/>
    <w:rsid w:val="603E5DB0"/>
    <w:rsid w:val="62A47E73"/>
    <w:rsid w:val="62A85D16"/>
    <w:rsid w:val="642660CF"/>
    <w:rsid w:val="64D12C3C"/>
    <w:rsid w:val="6647282C"/>
    <w:rsid w:val="67533FC8"/>
    <w:rsid w:val="678B2E0B"/>
    <w:rsid w:val="6988452D"/>
    <w:rsid w:val="707D36D5"/>
    <w:rsid w:val="721C39A2"/>
    <w:rsid w:val="72B91FCA"/>
    <w:rsid w:val="755D3DB4"/>
    <w:rsid w:val="77A44894"/>
    <w:rsid w:val="788B35BF"/>
    <w:rsid w:val="796F6487"/>
    <w:rsid w:val="7AC44184"/>
    <w:rsid w:val="7CA865D9"/>
    <w:rsid w:val="7D8A05E2"/>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请多指教</cp:lastModifiedBy>
  <dcterms:modified xsi:type="dcterms:W3CDTF">2021-10-14T02:20:15Z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