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autofit"/>
        <w:tblCellMar>
          <w:top w:w="0" w:type="dxa"/>
          <w:left w:w="0" w:type="dxa"/>
          <w:bottom w:w="0" w:type="dxa"/>
          <w:right w:w="0" w:type="dxa"/>
        </w:tblCellMar>
      </w:tblPr>
      <w:tblGrid>
        <w:gridCol w:w="852"/>
        <w:gridCol w:w="938"/>
        <w:gridCol w:w="2281"/>
        <w:gridCol w:w="837"/>
        <w:gridCol w:w="5584"/>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新乡县供销合作社</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目标1</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val="en-US" w:eastAsia="zh-CN" w:bidi="ar"/>
              </w:rPr>
              <w:t>参与研究制定和实施全县农村商品流通的政策；</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目标2：</w:t>
            </w:r>
            <w:r>
              <w:rPr>
                <w:rFonts w:hint="eastAsia" w:ascii="仿宋" w:hAnsi="仿宋" w:eastAsia="仿宋" w:cs="宋体"/>
                <w:color w:val="000000"/>
                <w:kern w:val="0"/>
                <w:sz w:val="18"/>
                <w:szCs w:val="18"/>
                <w:lang w:val="en-US" w:eastAsia="zh-CN" w:bidi="ar"/>
              </w:rPr>
              <w:t>制定全县供销社的发展战略和规划，指导全县供销社的改革和发展；</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目标3：</w:t>
            </w:r>
            <w:r>
              <w:rPr>
                <w:rFonts w:hint="eastAsia" w:ascii="仿宋" w:hAnsi="仿宋" w:eastAsia="仿宋" w:cs="宋体"/>
                <w:color w:val="000000"/>
                <w:kern w:val="0"/>
                <w:sz w:val="18"/>
                <w:szCs w:val="18"/>
                <w:lang w:val="en-US" w:eastAsia="zh-CN" w:bidi="ar"/>
              </w:rPr>
              <w:t>组织、指导全县基层供销社积极参与农业产业化，搞好农业社会化服务和农村商品流通体系建设；</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目标4：负责监管社有资产，确保社有资产保值增值；</w:t>
            </w:r>
          </w:p>
          <w:p>
            <w:pPr>
              <w:widowControl/>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目标5：负责全县供销社和所属单位的人事管理、工资、安全生产等工作。</w:t>
            </w:r>
          </w:p>
          <w:p>
            <w:pPr>
              <w:pStyle w:val="2"/>
              <w:rPr>
                <w:rFonts w:hint="eastAsia"/>
                <w:lang w:eastAsia="zh-CN"/>
              </w:rPr>
            </w:pP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bidi="ar"/>
              </w:rPr>
              <w:t>管理全县供销社系统资产</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bidi="ar"/>
              </w:rPr>
              <w:t>拓展服务方式，加强为农服务能力建设</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bidi="ar"/>
              </w:rPr>
              <w:t>加快供销电子商务发展</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05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329.87</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305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329.87</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305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305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324.87</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305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相关</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目标1</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val="en-US" w:eastAsia="zh-CN" w:bidi="ar"/>
              </w:rPr>
              <w:t>参与研究制定和实施当年全县农村商品流通的政策；</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目标2：</w:t>
            </w:r>
            <w:r>
              <w:rPr>
                <w:rFonts w:hint="eastAsia" w:ascii="仿宋" w:hAnsi="仿宋" w:eastAsia="仿宋" w:cs="宋体"/>
                <w:color w:val="000000"/>
                <w:kern w:val="0"/>
                <w:sz w:val="18"/>
                <w:szCs w:val="18"/>
                <w:lang w:val="en-US" w:eastAsia="zh-CN" w:bidi="ar"/>
              </w:rPr>
              <w:t>制定全县供销社的发展战略和规划，指导全县供销社21个单位的改革和发展；</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目标3：</w:t>
            </w:r>
            <w:r>
              <w:rPr>
                <w:rFonts w:hint="eastAsia" w:ascii="仿宋" w:hAnsi="仿宋" w:eastAsia="仿宋" w:cs="宋体"/>
                <w:color w:val="000000"/>
                <w:kern w:val="0"/>
                <w:sz w:val="18"/>
                <w:szCs w:val="18"/>
                <w:lang w:val="en-US" w:eastAsia="zh-CN" w:bidi="ar"/>
              </w:rPr>
              <w:t>组织、指导全县6个基层供销社积极参与农业产业化，搞好农业社会化服务和农村商品流通体系建设；</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目标4：负责监管社有资产，确保21个社属单位资产保值增值；</w:t>
            </w:r>
          </w:p>
          <w:p>
            <w:pPr>
              <w:widowControl/>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目标5：负责全县供销社和所属21个单位的人事管理、生产经营等工作。</w:t>
            </w:r>
          </w:p>
          <w:p>
            <w:pPr>
              <w:pStyle w:val="2"/>
              <w:rPr>
                <w:rFonts w:hint="eastAsia"/>
                <w:lang w:eastAsia="zh-CN"/>
              </w:rPr>
            </w:pP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科学</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合理</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完整</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真实</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087"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399"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合规</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val="en-US" w:eastAsia="zh-CN"/>
              </w:rPr>
              <w:t>1.资金的预算和运行</w:t>
            </w:r>
            <w:r>
              <w:rPr>
                <w:rFonts w:hint="eastAsia" w:ascii="仿宋" w:hAnsi="仿宋" w:eastAsia="仿宋" w:cs="仿宋"/>
                <w:color w:val="000000"/>
                <w:kern w:val="0"/>
                <w:sz w:val="20"/>
                <w:szCs w:val="20"/>
              </w:rPr>
              <w:t>符合国家财经法规和财务管理制度规定以及有关专项资金管理办法的规定；2.资金的拨付有</w:t>
            </w:r>
            <w:r>
              <w:rPr>
                <w:rFonts w:hint="eastAsia" w:ascii="仿宋" w:hAnsi="仿宋" w:eastAsia="仿宋" w:cs="仿宋"/>
                <w:color w:val="000000"/>
                <w:kern w:val="0"/>
                <w:sz w:val="20"/>
                <w:szCs w:val="20"/>
                <w:lang w:val="en-US" w:eastAsia="zh-CN"/>
              </w:rPr>
              <w:t>财政部门</w:t>
            </w:r>
            <w:r>
              <w:rPr>
                <w:rFonts w:hint="eastAsia" w:ascii="仿宋" w:hAnsi="仿宋" w:eastAsia="仿宋" w:cs="仿宋"/>
                <w:color w:val="000000"/>
                <w:kern w:val="0"/>
                <w:sz w:val="20"/>
                <w:szCs w:val="20"/>
              </w:rPr>
              <w:t>完整的审批程序和手续；</w:t>
            </w:r>
            <w:r>
              <w:rPr>
                <w:rFonts w:hint="eastAsia" w:ascii="仿宋" w:hAnsi="仿宋" w:eastAsia="仿宋" w:cs="仿宋"/>
                <w:color w:val="000000"/>
                <w:kern w:val="0"/>
                <w:sz w:val="20"/>
                <w:szCs w:val="20"/>
                <w:lang w:val="en-US" w:eastAsia="zh-CN"/>
              </w:rPr>
              <w:t>3.资金使用</w:t>
            </w:r>
            <w:r>
              <w:rPr>
                <w:rFonts w:hint="eastAsia" w:ascii="仿宋" w:hAnsi="仿宋" w:eastAsia="仿宋" w:cs="仿宋"/>
                <w:color w:val="000000"/>
                <w:kern w:val="0"/>
                <w:sz w:val="20"/>
                <w:szCs w:val="20"/>
              </w:rPr>
              <w:t>符合部门预算批复的用途；</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不</w:t>
            </w:r>
            <w:r>
              <w:rPr>
                <w:rFonts w:hint="eastAsia" w:ascii="仿宋" w:hAnsi="仿宋" w:eastAsia="仿宋" w:cs="仿宋"/>
                <w:color w:val="000000"/>
                <w:kern w:val="0"/>
                <w:sz w:val="20"/>
                <w:szCs w:val="20"/>
              </w:rPr>
              <w:t>存在截留支出情况；</w:t>
            </w:r>
            <w:r>
              <w:rPr>
                <w:rFonts w:hint="eastAsia" w:ascii="仿宋" w:hAnsi="仿宋" w:eastAsia="仿宋" w:cs="仿宋"/>
                <w:color w:val="000000"/>
                <w:kern w:val="0"/>
                <w:sz w:val="20"/>
                <w:szCs w:val="20"/>
                <w:lang w:val="en-US" w:eastAsia="zh-CN"/>
              </w:rPr>
              <w:t>5</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不</w:t>
            </w:r>
            <w:r>
              <w:rPr>
                <w:rFonts w:hint="eastAsia" w:ascii="仿宋" w:hAnsi="仿宋" w:eastAsia="仿宋" w:cs="仿宋"/>
                <w:color w:val="000000"/>
                <w:kern w:val="0"/>
                <w:sz w:val="20"/>
                <w:szCs w:val="20"/>
              </w:rPr>
              <w:t>存在挤占支出情况；</w:t>
            </w:r>
            <w:r>
              <w:rPr>
                <w:rFonts w:hint="eastAsia" w:ascii="仿宋" w:hAnsi="仿宋" w:eastAsia="仿宋" w:cs="仿宋"/>
                <w:color w:val="000000"/>
                <w:kern w:val="0"/>
                <w:sz w:val="20"/>
                <w:szCs w:val="20"/>
                <w:lang w:val="en-US" w:eastAsia="zh-CN"/>
              </w:rPr>
              <w:t>6</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不</w:t>
            </w:r>
            <w:r>
              <w:rPr>
                <w:rFonts w:hint="eastAsia" w:ascii="仿宋" w:hAnsi="仿宋" w:eastAsia="仿宋" w:cs="仿宋"/>
                <w:color w:val="000000"/>
                <w:kern w:val="0"/>
                <w:sz w:val="20"/>
                <w:szCs w:val="20"/>
              </w:rPr>
              <w:t>存在挪用支出情况；</w:t>
            </w:r>
            <w:r>
              <w:rPr>
                <w:rFonts w:hint="eastAsia" w:ascii="仿宋" w:hAnsi="仿宋" w:eastAsia="仿宋" w:cs="仿宋"/>
                <w:color w:val="000000"/>
                <w:kern w:val="0"/>
                <w:sz w:val="20"/>
                <w:szCs w:val="20"/>
                <w:lang w:val="en-US" w:eastAsia="zh-CN"/>
              </w:rPr>
              <w:t>7</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不</w:t>
            </w:r>
            <w:r>
              <w:rPr>
                <w:rFonts w:hint="eastAsia" w:ascii="仿宋" w:hAnsi="仿宋" w:eastAsia="仿宋" w:cs="仿宋"/>
                <w:color w:val="000000"/>
                <w:kern w:val="0"/>
                <w:sz w:val="20"/>
                <w:szCs w:val="20"/>
              </w:rPr>
              <w:t>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健全</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w:t>
            </w:r>
            <w:r>
              <w:rPr>
                <w:rFonts w:hint="eastAsia" w:ascii="仿宋" w:hAnsi="仿宋" w:eastAsia="仿宋" w:cs="仿宋"/>
                <w:color w:val="000000"/>
                <w:kern w:val="0"/>
                <w:sz w:val="20"/>
                <w:szCs w:val="20"/>
                <w:lang w:val="en-US" w:eastAsia="zh-CN"/>
              </w:rPr>
              <w:t>.</w:t>
            </w:r>
            <w:r>
              <w:rPr>
                <w:rFonts w:hint="eastAsia" w:ascii="仿宋" w:hAnsi="仿宋" w:eastAsia="仿宋" w:cs="仿宋"/>
                <w:color w:val="000000"/>
                <w:kern w:val="0"/>
                <w:sz w:val="20"/>
                <w:szCs w:val="20"/>
              </w:rPr>
              <w:t>已制定预算资金管理办法、内部管理制度、会计核算制度、会计岗位制度等管理制度；2.相关管理制度得到有效执行。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及时公开</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1.按规定内容公开预决算信息；2.按规定时限公开预决算信息。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规范</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1.建立资产台账，资产报表数据与会计账簿数据相符；2.新增资产符合规定程序和规定标准。</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目标1</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val="en-US" w:eastAsia="zh-CN" w:bidi="ar"/>
              </w:rPr>
              <w:t>参与研究制定和实施当年全县农村商品流通的政策。</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目标2：</w:t>
            </w:r>
            <w:r>
              <w:rPr>
                <w:rFonts w:hint="eastAsia" w:ascii="仿宋" w:hAnsi="仿宋" w:eastAsia="仿宋" w:cs="宋体"/>
                <w:color w:val="000000"/>
                <w:kern w:val="0"/>
                <w:sz w:val="18"/>
                <w:szCs w:val="18"/>
                <w:lang w:val="en-US" w:eastAsia="zh-CN" w:bidi="ar"/>
              </w:rPr>
              <w:t>制定全县供销社的发展战略和规划，指导全县供销社21个单位的改革和发展。</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目标3：</w:t>
            </w:r>
            <w:r>
              <w:rPr>
                <w:rFonts w:hint="eastAsia" w:ascii="仿宋" w:hAnsi="仿宋" w:eastAsia="仿宋" w:cs="宋体"/>
                <w:color w:val="000000"/>
                <w:kern w:val="0"/>
                <w:sz w:val="18"/>
                <w:szCs w:val="18"/>
                <w:lang w:val="en-US" w:eastAsia="zh-CN" w:bidi="ar"/>
              </w:rPr>
              <w:t>组织、指导全县6个基层供销社积极参与农业产业化，搞好农业社会化服务和农村商品流通体系建设。</w:t>
            </w:r>
          </w:p>
          <w:p>
            <w:pPr>
              <w:widowControl/>
              <w:jc w:val="left"/>
              <w:textAlignment w:val="center"/>
              <w:rPr>
                <w:rFonts w:ascii="仿宋" w:hAnsi="仿宋" w:eastAsia="仿宋" w:cs="仿宋"/>
                <w:color w:val="000000"/>
                <w:sz w:val="20"/>
                <w:szCs w:val="20"/>
              </w:rPr>
            </w:pP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838"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838"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计划完成率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目标4：负责监管社有资产，确保21个社属单位资产保值增值。</w:t>
            </w:r>
          </w:p>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838"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5</w:t>
            </w:r>
            <w:r>
              <w:rPr>
                <w:rFonts w:hint="eastAsia" w:ascii="仿宋" w:hAnsi="仿宋" w:eastAsia="仿宋" w:cs="仿宋"/>
                <w:color w:val="000000"/>
                <w:kern w:val="0"/>
                <w:sz w:val="20"/>
                <w:szCs w:val="20"/>
              </w:rPr>
              <w:t>计划完成率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目标5：负责全县供销社和所属21个单位的人事管理、生产经营等工作。</w:t>
            </w:r>
          </w:p>
          <w:p>
            <w:pPr>
              <w:pStyle w:val="2"/>
              <w:rPr>
                <w:rFonts w:hint="eastAsia"/>
                <w:lang w:eastAsia="zh-CN"/>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目标1</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val="en-US" w:eastAsia="zh-CN" w:bidi="ar"/>
              </w:rPr>
              <w:t>参与研究制定和实施当年全县农村商品流通的政策，制定全县供销社的发展战略和规划，指导全县供销社21个单位的改革和发展；</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w:t>
            </w:r>
            <w:r>
              <w:rPr>
                <w:rFonts w:hint="eastAsia" w:ascii="仿宋" w:hAnsi="仿宋" w:eastAsia="仿宋" w:cs="宋体"/>
                <w:color w:val="000000"/>
                <w:kern w:val="0"/>
                <w:sz w:val="18"/>
                <w:szCs w:val="18"/>
                <w:lang w:val="en-US" w:eastAsia="zh-CN" w:bidi="ar"/>
              </w:rPr>
              <w:t>2</w:t>
            </w:r>
            <w:r>
              <w:rPr>
                <w:rFonts w:hint="eastAsia"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组织、指导全县6个基层供销社积极参与农业产业化，搞好农业社会化服务和农村商品流通体系建设；</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目标3：负责监管21个社属企业的社有资产，确保社有资产保值增值，负责全县供销社和所属单位的人事管理、生产经营和安全生产等工作。</w:t>
            </w:r>
          </w:p>
          <w:p>
            <w:pPr>
              <w:pStyle w:val="2"/>
              <w:rPr>
                <w:rFonts w:hint="eastAsia"/>
                <w:lang w:eastAsia="zh-CN"/>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年度工作目标3实现率</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6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目标1</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val="en-US" w:eastAsia="zh-CN" w:bidi="ar"/>
              </w:rPr>
              <w:t>参与研究制定和实施全县农村商品流通的政策；</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目标2：</w:t>
            </w:r>
            <w:r>
              <w:rPr>
                <w:rFonts w:hint="eastAsia" w:ascii="仿宋" w:hAnsi="仿宋" w:eastAsia="仿宋" w:cs="宋体"/>
                <w:color w:val="000000"/>
                <w:kern w:val="0"/>
                <w:sz w:val="18"/>
                <w:szCs w:val="18"/>
                <w:lang w:val="en-US" w:eastAsia="zh-CN" w:bidi="ar"/>
              </w:rPr>
              <w:t>制定全县供销社21个单位的发展战略和规划，指导全县供销社的改革和发展；</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bidi="ar"/>
              </w:rPr>
              <w:t>目标3：</w:t>
            </w:r>
            <w:r>
              <w:rPr>
                <w:rFonts w:hint="eastAsia" w:ascii="仿宋" w:hAnsi="仿宋" w:eastAsia="仿宋" w:cs="宋体"/>
                <w:color w:val="000000"/>
                <w:kern w:val="0"/>
                <w:sz w:val="18"/>
                <w:szCs w:val="18"/>
                <w:lang w:val="en-US" w:eastAsia="zh-CN" w:bidi="ar"/>
              </w:rPr>
              <w:t>组织、指导全县6个基层供销社积极参与农业产业化，搞好农业社会化服务和农村商品流通体系建设；</w:t>
            </w:r>
          </w:p>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目标4：负责监管21个社属单位社有资产，确保社有资产保值增值；</w:t>
            </w:r>
          </w:p>
          <w:p>
            <w:pPr>
              <w:widowControl/>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目标5：负责全县供销社和所属21个社属单位的人事管理、生产经营、安全生产等工作。</w:t>
            </w:r>
          </w:p>
          <w:p>
            <w:pPr>
              <w:pStyle w:val="2"/>
              <w:rPr>
                <w:rFonts w:hint="eastAsia"/>
                <w:lang w:eastAsia="zh-CN"/>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10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6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214A45"/>
    <w:rsid w:val="61214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qFormat/>
    <w:uiPriority w:val="0"/>
    <w:pPr>
      <w:widowControl w:val="0"/>
      <w:ind w:firstLine="420" w:firstLineChars="100"/>
      <w:jc w:val="both"/>
    </w:pPr>
    <w:rPr>
      <w:rFonts w:ascii="Times New Roman" w:hAnsi="Times New Roman" w:eastAsia="宋体" w:cs="Times New Roman"/>
      <w:kern w:val="2"/>
      <w:sz w:val="21"/>
      <w:szCs w:val="24"/>
      <w:lang w:val="en-US" w:eastAsia="zh-CN" w:bidi="ar-SA"/>
    </w:rPr>
  </w:style>
  <w:style w:type="paragraph" w:styleId="3">
    <w:name w:val="Body Text"/>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footer"/>
    <w:uiPriority w:val="0"/>
    <w:pPr>
      <w:widowControl w:val="0"/>
      <w:tabs>
        <w:tab w:val="center" w:pos="4153"/>
        <w:tab w:val="right" w:pos="8306"/>
      </w:tabs>
      <w:snapToGrid w:val="0"/>
      <w:jc w:val="left"/>
    </w:pPr>
    <w:rPr>
      <w:rFonts w:ascii="Times New Roman" w:hAnsi="Times New Roman" w:eastAsia="宋体" w:cs="Times New Roman"/>
      <w:kern w:val="2"/>
      <w:sz w:val="18"/>
      <w:szCs w:val="24"/>
      <w:lang w:val="en-US" w:eastAsia="zh-CN" w:bidi="ar-SA"/>
    </w:rPr>
  </w:style>
  <w:style w:type="paragraph" w:styleId="5">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ascii="Times New Roman" w:hAnsi="Times New Roman" w:eastAsia="宋体" w:cs="Times New Roman"/>
      <w:kern w:val="2"/>
      <w:sz w:val="18"/>
      <w:szCs w:val="24"/>
      <w:lang w:val="en-US" w:eastAsia="zh-CN" w:bidi="ar-SA"/>
    </w:rPr>
  </w:style>
  <w:style w:type="character" w:customStyle="1" w:styleId="8">
    <w:name w:val="font0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2022-03-11T08:22:00Z</dcterms:created>
  <dc:creator>wink~</dc:creator>
  <cp:lastModifiedBy>wink~</cp:lastModifiedBy>
  <dcterms:modified xsi:type="dcterms:W3CDTF">2022-03-11T08:23:05Z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8486294221BF410D9564AE7C7837ADF1</vt:lpwstr>
  </property>
</Properties>
</file>