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810" w:type="dxa"/>
        <w:tblInd w:w="0" w:type="dxa"/>
        <w:tblLayout w:type="fixed"/>
        <w:tblCellMar>
          <w:top w:w="0" w:type="dxa"/>
          <w:left w:w="0" w:type="dxa"/>
          <w:bottom w:w="0" w:type="dxa"/>
          <w:right w:w="0" w:type="dxa"/>
        </w:tblCellMar>
      </w:tblPr>
      <w:tblGrid>
        <w:gridCol w:w="859"/>
        <w:gridCol w:w="942"/>
        <w:gridCol w:w="2184"/>
        <w:gridCol w:w="706"/>
        <w:gridCol w:w="5119"/>
      </w:tblGrid>
      <w:tr>
        <w:tblPrEx>
          <w:tblLayout w:type="fixed"/>
          <w:tblCellMar>
            <w:top w:w="0" w:type="dxa"/>
            <w:left w:w="0" w:type="dxa"/>
            <w:bottom w:w="0" w:type="dxa"/>
            <w:right w:w="0" w:type="dxa"/>
          </w:tblCellMar>
        </w:tblPrEx>
        <w:trPr>
          <w:trHeight w:val="750" w:hRule="atLeast"/>
        </w:trPr>
        <w:tc>
          <w:tcPr>
            <w:tcW w:w="9810" w:type="dxa"/>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9810"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ascii="宋体" w:hAnsi="宋体" w:cs="宋体"/>
                <w:b/>
                <w:color w:val="000000"/>
                <w:kern w:val="0"/>
                <w:sz w:val="24"/>
              </w:rPr>
              <w:t>2021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8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00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中共新乡县委党校</w:t>
            </w:r>
          </w:p>
        </w:tc>
      </w:tr>
      <w:tr>
        <w:tblPrEx>
          <w:tblLayout w:type="fixed"/>
          <w:tblCellMar>
            <w:top w:w="0" w:type="dxa"/>
            <w:left w:w="0" w:type="dxa"/>
            <w:bottom w:w="0" w:type="dxa"/>
            <w:right w:w="0" w:type="dxa"/>
          </w:tblCellMar>
        </w:tblPrEx>
        <w:trPr>
          <w:trHeight w:val="450" w:hRule="atLeast"/>
        </w:trPr>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8951"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发挥党校党员干部培训主阵地、主渠道作用，举办主体班次，开展理论宣讲，提升党员干部理论水平和党性修养。</w:t>
            </w:r>
          </w:p>
        </w:tc>
      </w:tr>
      <w:tr>
        <w:tblPrEx>
          <w:tblLayout w:type="fixed"/>
          <w:tblCellMar>
            <w:top w:w="0" w:type="dxa"/>
            <w:left w:w="0" w:type="dxa"/>
            <w:bottom w:w="0" w:type="dxa"/>
            <w:right w:w="0" w:type="dxa"/>
          </w:tblCellMar>
        </w:tblPrEx>
        <w:trPr>
          <w:trHeight w:val="45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951"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951"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8951"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00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00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sz w:val="18"/>
                <w:szCs w:val="18"/>
                <w:lang w:val="en-US" w:eastAsia="zh-CN"/>
              </w:rPr>
            </w:pPr>
            <w:r>
              <w:rPr>
                <w:rFonts w:hint="eastAsia" w:ascii="仿宋" w:hAnsi="仿宋" w:eastAsia="仿宋" w:cs="宋体"/>
                <w:color w:val="000000"/>
                <w:sz w:val="18"/>
                <w:szCs w:val="18"/>
                <w:lang w:val="en-US" w:eastAsia="zh-CN"/>
              </w:rPr>
              <w:t>县内主体班次</w:t>
            </w:r>
          </w:p>
        </w:tc>
      </w:tr>
      <w:tr>
        <w:tblPrEx>
          <w:tblLayout w:type="fixed"/>
          <w:tblCellMar>
            <w:top w:w="0" w:type="dxa"/>
            <w:left w:w="0" w:type="dxa"/>
            <w:bottom w:w="0" w:type="dxa"/>
            <w:right w:w="0" w:type="dxa"/>
          </w:tblCellMar>
        </w:tblPrEx>
        <w:trPr>
          <w:trHeight w:val="34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00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sz w:val="18"/>
                <w:szCs w:val="18"/>
                <w:lang w:val="en-US" w:eastAsia="zh-CN"/>
              </w:rPr>
            </w:pPr>
            <w:r>
              <w:rPr>
                <w:rFonts w:hint="eastAsia" w:ascii="仿宋" w:hAnsi="仿宋" w:eastAsia="仿宋" w:cs="宋体"/>
                <w:color w:val="000000"/>
                <w:sz w:val="18"/>
                <w:szCs w:val="18"/>
                <w:lang w:val="en-US" w:eastAsia="zh-CN"/>
              </w:rPr>
              <w:t>送课下基层、小院课堂</w:t>
            </w:r>
          </w:p>
        </w:tc>
      </w:tr>
      <w:tr>
        <w:tblPrEx>
          <w:tblLayout w:type="fixed"/>
          <w:tblCellMar>
            <w:top w:w="0" w:type="dxa"/>
            <w:left w:w="0" w:type="dxa"/>
            <w:bottom w:w="0" w:type="dxa"/>
            <w:right w:w="0" w:type="dxa"/>
          </w:tblCellMar>
        </w:tblPrEx>
        <w:trPr>
          <w:trHeight w:val="42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00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sz w:val="18"/>
                <w:szCs w:val="18"/>
                <w:lang w:val="en-US" w:eastAsia="zh-CN"/>
              </w:rPr>
            </w:pPr>
            <w:r>
              <w:rPr>
                <w:rFonts w:hint="eastAsia" w:ascii="仿宋" w:hAnsi="仿宋" w:eastAsia="仿宋" w:cs="宋体"/>
                <w:color w:val="000000"/>
                <w:sz w:val="18"/>
                <w:szCs w:val="18"/>
                <w:lang w:val="en-US" w:eastAsia="zh-CN"/>
              </w:rPr>
              <w:t>基层专题调研</w:t>
            </w:r>
          </w:p>
        </w:tc>
      </w:tr>
      <w:tr>
        <w:tblPrEx>
          <w:tblLayout w:type="fixed"/>
          <w:tblCellMar>
            <w:top w:w="0" w:type="dxa"/>
            <w:left w:w="0" w:type="dxa"/>
            <w:bottom w:w="0" w:type="dxa"/>
            <w:right w:w="0" w:type="dxa"/>
          </w:tblCellMar>
        </w:tblPrEx>
        <w:trPr>
          <w:trHeight w:val="440" w:hRule="atLeast"/>
        </w:trPr>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31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582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275.16</w:t>
            </w:r>
          </w:p>
        </w:tc>
      </w:tr>
      <w:tr>
        <w:tblPrEx>
          <w:tblLayout w:type="fixed"/>
          <w:tblCellMar>
            <w:top w:w="0" w:type="dxa"/>
            <w:left w:w="0" w:type="dxa"/>
            <w:bottom w:w="0" w:type="dxa"/>
            <w:right w:w="0" w:type="dxa"/>
          </w:tblCellMar>
        </w:tblPrEx>
        <w:trPr>
          <w:trHeight w:val="46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1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1、资金来源：（1）财政性资金</w:t>
            </w:r>
          </w:p>
        </w:tc>
        <w:tc>
          <w:tcPr>
            <w:tcW w:w="582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275.16</w:t>
            </w:r>
          </w:p>
        </w:tc>
      </w:tr>
      <w:tr>
        <w:tblPrEx>
          <w:tblLayout w:type="fixed"/>
          <w:tblCellMar>
            <w:top w:w="0" w:type="dxa"/>
            <w:left w:w="0" w:type="dxa"/>
            <w:bottom w:w="0" w:type="dxa"/>
            <w:right w:w="0" w:type="dxa"/>
          </w:tblCellMar>
        </w:tblPrEx>
        <w:trPr>
          <w:trHeight w:val="36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1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（2）其他资金</w:t>
            </w:r>
          </w:p>
        </w:tc>
        <w:tc>
          <w:tcPr>
            <w:tcW w:w="582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0</w:t>
            </w:r>
          </w:p>
        </w:tc>
      </w:tr>
      <w:tr>
        <w:tblPrEx>
          <w:tblLayout w:type="fixed"/>
          <w:tblCellMar>
            <w:top w:w="0" w:type="dxa"/>
            <w:left w:w="0" w:type="dxa"/>
            <w:bottom w:w="0" w:type="dxa"/>
            <w:right w:w="0" w:type="dxa"/>
          </w:tblCellMar>
        </w:tblPrEx>
        <w:trPr>
          <w:trHeight w:val="400" w:hRule="atLeast"/>
        </w:trPr>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p>
            <w:pPr>
              <w:jc w:val="center"/>
              <w:rPr>
                <w:rFonts w:ascii="仿宋" w:hAnsi="仿宋" w:eastAsia="仿宋" w:cs="仿宋"/>
                <w:color w:val="000000"/>
                <w:sz w:val="22"/>
                <w:szCs w:val="22"/>
              </w:rPr>
            </w:pPr>
            <w:r>
              <w:rPr>
                <w:rFonts w:hint="eastAsia" w:ascii="仿宋" w:hAnsi="仿宋" w:eastAsia="仿宋" w:cs="仿宋"/>
                <w:b/>
                <w:color w:val="000000"/>
                <w:kern w:val="0"/>
                <w:sz w:val="20"/>
                <w:szCs w:val="20"/>
              </w:rPr>
              <w:t>一级指标</w:t>
            </w:r>
          </w:p>
        </w:tc>
        <w:tc>
          <w:tcPr>
            <w:tcW w:w="31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2、资金结构：（1）基本支出</w:t>
            </w:r>
          </w:p>
        </w:tc>
        <w:tc>
          <w:tcPr>
            <w:tcW w:w="582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255.16</w:t>
            </w:r>
          </w:p>
        </w:tc>
      </w:tr>
      <w:tr>
        <w:tblPrEx>
          <w:tblLayout w:type="fixed"/>
          <w:tblCellMar>
            <w:top w:w="0" w:type="dxa"/>
            <w:left w:w="0" w:type="dxa"/>
            <w:bottom w:w="0" w:type="dxa"/>
            <w:right w:w="0" w:type="dxa"/>
          </w:tblCellMar>
        </w:tblPrEx>
        <w:trPr>
          <w:trHeight w:val="44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1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（2）项目支出</w:t>
            </w:r>
          </w:p>
        </w:tc>
        <w:tc>
          <w:tcPr>
            <w:tcW w:w="582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20</w:t>
            </w:r>
          </w:p>
        </w:tc>
      </w:tr>
      <w:tr>
        <w:tblPrEx>
          <w:tblLayout w:type="fixed"/>
          <w:tblCellMar>
            <w:top w:w="0" w:type="dxa"/>
            <w:left w:w="0" w:type="dxa"/>
            <w:bottom w:w="0" w:type="dxa"/>
            <w:right w:w="0" w:type="dxa"/>
          </w:tblCellMar>
        </w:tblPrEx>
        <w:trPr>
          <w:trHeight w:val="540" w:hRule="atLeast"/>
        </w:trPr>
        <w:tc>
          <w:tcPr>
            <w:tcW w:w="8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color w:val="000000"/>
                <w:kern w:val="0"/>
                <w:sz w:val="20"/>
                <w:szCs w:val="20"/>
              </w:rPr>
              <w:t>投入管理指标</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20"/>
                <w:szCs w:val="20"/>
              </w:rPr>
            </w:pPr>
            <w:r>
              <w:rPr>
                <w:rFonts w:hint="eastAsia"/>
                <w:sz w:val="20"/>
                <w:szCs w:val="20"/>
              </w:rPr>
              <w:t>相关</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sz w:val="20"/>
                <w:szCs w:val="20"/>
              </w:rPr>
            </w:pPr>
            <w:r>
              <w:rPr>
                <w:rFonts w:hint="eastAsia"/>
                <w:sz w:val="20"/>
                <w:szCs w:val="20"/>
              </w:rPr>
              <w:t>科学</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sz w:val="20"/>
                <w:szCs w:val="20"/>
              </w:rPr>
            </w:pPr>
            <w:r>
              <w:rPr>
                <w:rFonts w:hint="eastAsia"/>
                <w:sz w:val="20"/>
                <w:szCs w:val="20"/>
              </w:rPr>
              <w:t>合理</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完整</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＞90%</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w:t>
            </w:r>
            <w:r>
              <w:rPr>
                <w:rFonts w:ascii="宋体" w:hAnsi="宋体" w:cs="宋体"/>
                <w:color w:val="000000"/>
                <w:sz w:val="20"/>
                <w:szCs w:val="20"/>
              </w:rPr>
              <w:t>20</w:t>
            </w:r>
            <w:r>
              <w:rPr>
                <w:rFonts w:hint="eastAsia" w:ascii="宋体" w:hAnsi="宋体" w:cs="宋体"/>
                <w:color w:val="000000"/>
                <w:sz w:val="20"/>
                <w:szCs w:val="20"/>
              </w:rPr>
              <w:t>%</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≦6%</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18"/>
                <w:szCs w:val="18"/>
              </w:rPr>
            </w:pPr>
            <w:r>
              <w:rPr>
                <w:rFonts w:hint="eastAsia" w:ascii="宋体" w:hAnsi="宋体" w:cs="宋体"/>
                <w:color w:val="000000"/>
                <w:sz w:val="18"/>
                <w:szCs w:val="18"/>
              </w:rPr>
              <w:t xml:space="preserve"> ≦</w:t>
            </w:r>
            <w:r>
              <w:rPr>
                <w:rFonts w:hint="eastAsia" w:ascii="黑体" w:hAnsi="宋体" w:eastAsia="黑体" w:cs="黑体"/>
                <w:color w:val="000000"/>
                <w:sz w:val="18"/>
                <w:szCs w:val="18"/>
              </w:rPr>
              <w:t>100%</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w:t>
            </w:r>
            <w:r>
              <w:rPr>
                <w:rFonts w:hint="eastAsia" w:ascii="黑体" w:hAnsi="宋体" w:eastAsia="黑体" w:cs="黑体"/>
                <w:color w:val="000000"/>
                <w:sz w:val="20"/>
                <w:szCs w:val="20"/>
              </w:rPr>
              <w:t>100%</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真实</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4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218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70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合规</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健全</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公开</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规范</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sz w:val="18"/>
                <w:szCs w:val="18"/>
                <w:lang w:val="en-US" w:eastAsia="zh-CN"/>
              </w:rPr>
            </w:pPr>
            <w:r>
              <w:rPr>
                <w:rFonts w:hint="eastAsia" w:ascii="仿宋" w:hAnsi="仿宋" w:eastAsia="仿宋" w:cs="宋体"/>
                <w:color w:val="000000"/>
                <w:kern w:val="0"/>
                <w:sz w:val="18"/>
                <w:szCs w:val="18"/>
                <w:lang w:val="en-US" w:eastAsia="zh-CN"/>
              </w:rPr>
              <w:t>举办主体班次</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仿宋" w:cs="黑体"/>
                <w:color w:val="000000"/>
                <w:sz w:val="20"/>
                <w:szCs w:val="20"/>
                <w:lang w:eastAsia="zh-CN"/>
              </w:rPr>
            </w:pPr>
            <w:r>
              <w:rPr>
                <w:rFonts w:hint="eastAsia" w:ascii="仿宋" w:hAnsi="仿宋" w:eastAsia="仿宋" w:cs="宋体"/>
                <w:kern w:val="0"/>
                <w:sz w:val="18"/>
                <w:szCs w:val="18"/>
              </w:rPr>
              <w:t>≥10</w:t>
            </w:r>
            <w:r>
              <w:rPr>
                <w:rFonts w:hint="eastAsia" w:ascii="仿宋" w:hAnsi="仿宋" w:eastAsia="仿宋" w:cs="宋体"/>
                <w:kern w:val="0"/>
                <w:sz w:val="18"/>
                <w:szCs w:val="18"/>
                <w:lang w:val="en-US" w:eastAsia="zh-CN"/>
              </w:rPr>
              <w:t>期</w:t>
            </w:r>
          </w:p>
        </w:tc>
        <w:tc>
          <w:tcPr>
            <w:tcW w:w="511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sz w:val="18"/>
                <w:szCs w:val="18"/>
                <w:lang w:val="en-US" w:eastAsia="zh-CN"/>
              </w:rPr>
            </w:pPr>
            <w:r>
              <w:rPr>
                <w:rFonts w:hint="eastAsia" w:ascii="仿宋" w:hAnsi="仿宋" w:eastAsia="仿宋" w:cs="宋体"/>
                <w:color w:val="000000"/>
                <w:kern w:val="0"/>
                <w:sz w:val="18"/>
                <w:szCs w:val="18"/>
                <w:lang w:val="en-US" w:eastAsia="zh-CN" w:bidi="ar"/>
              </w:rPr>
              <w:t>开展“送课下基层”和“小院课堂”宣讲</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default" w:ascii="黑体" w:hAnsi="宋体" w:eastAsia="黑体" w:cs="黑体"/>
                <w:color w:val="000000"/>
                <w:sz w:val="18"/>
                <w:szCs w:val="18"/>
                <w:lang w:val="en-US" w:eastAsia="zh-CN"/>
              </w:rPr>
            </w:pPr>
            <w:r>
              <w:rPr>
                <w:rFonts w:hint="eastAsia" w:ascii="宋体" w:hAnsi="宋体" w:cs="宋体"/>
                <w:color w:val="000000"/>
                <w:sz w:val="18"/>
                <w:szCs w:val="18"/>
              </w:rPr>
              <w:t xml:space="preserve"> </w:t>
            </w:r>
            <w:r>
              <w:rPr>
                <w:rFonts w:hint="eastAsia" w:ascii="黑体" w:hAnsi="宋体" w:eastAsia="黑体" w:cs="黑体"/>
                <w:color w:val="000000"/>
                <w:sz w:val="18"/>
                <w:szCs w:val="18"/>
              </w:rPr>
              <w:t>10</w:t>
            </w:r>
            <w:r>
              <w:rPr>
                <w:rFonts w:hint="eastAsia" w:ascii="黑体" w:hAnsi="宋体" w:eastAsia="黑体" w:cs="黑体"/>
                <w:color w:val="000000"/>
                <w:sz w:val="18"/>
                <w:szCs w:val="18"/>
                <w:lang w:val="en-US" w:eastAsia="zh-CN"/>
              </w:rPr>
              <w:t>0期</w:t>
            </w:r>
          </w:p>
        </w:tc>
        <w:tc>
          <w:tcPr>
            <w:tcW w:w="51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sz w:val="18"/>
                <w:szCs w:val="18"/>
                <w:lang w:val="en-US" w:eastAsia="zh-CN"/>
              </w:rPr>
            </w:pPr>
            <w:r>
              <w:rPr>
                <w:rFonts w:hint="eastAsia" w:ascii="仿宋" w:hAnsi="仿宋" w:eastAsia="仿宋" w:cs="宋体"/>
                <w:color w:val="000000"/>
                <w:sz w:val="18"/>
                <w:szCs w:val="18"/>
                <w:lang w:val="en-US" w:eastAsia="zh-CN"/>
              </w:rPr>
              <w:t>围绕中心工作，开展调研活动</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 xml:space="preserve">≥5次 </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1194"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履职效益</w:t>
            </w: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sz w:val="18"/>
                <w:szCs w:val="18"/>
                <w:lang w:val="en-US"/>
              </w:rPr>
            </w:pPr>
            <w:r>
              <w:rPr>
                <w:rFonts w:hint="eastAsia" w:ascii="仿宋" w:hAnsi="仿宋" w:eastAsia="仿宋" w:cs="宋体"/>
                <w:color w:val="000000"/>
                <w:kern w:val="0"/>
                <w:sz w:val="18"/>
                <w:szCs w:val="18"/>
                <w:lang w:bidi="ar"/>
              </w:rPr>
              <w:t>社会效益：</w:t>
            </w:r>
            <w:r>
              <w:rPr>
                <w:rFonts w:hint="eastAsia" w:ascii="仿宋" w:hAnsi="仿宋" w:eastAsia="仿宋" w:cs="宋体"/>
                <w:color w:val="000000"/>
                <w:kern w:val="0"/>
                <w:sz w:val="18"/>
                <w:szCs w:val="18"/>
                <w:lang w:val="en-US" w:eastAsia="zh-CN"/>
              </w:rPr>
              <w:t>提升党员干部的理论水平和党性修养，厚植群众“听党话、感党恩、跟党走”的自觉</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cs="黑体" w:asciiTheme="minorEastAsia" w:hAnsiTheme="minorEastAsia" w:eastAsiaTheme="minorEastAsia"/>
                <w:color w:val="000000"/>
                <w:sz w:val="20"/>
                <w:szCs w:val="20"/>
              </w:rPr>
            </w:pPr>
            <w:r>
              <w:rPr>
                <w:rFonts w:hint="eastAsia" w:cs="黑体" w:asciiTheme="minorEastAsia" w:hAnsiTheme="minorEastAsia" w:eastAsiaTheme="minorEastAsia"/>
                <w:color w:val="000000"/>
                <w:sz w:val="20"/>
                <w:szCs w:val="20"/>
              </w:rPr>
              <w:t>提高</w:t>
            </w:r>
          </w:p>
        </w:tc>
        <w:tc>
          <w:tcPr>
            <w:tcW w:w="511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28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hint="default" w:ascii="仿宋" w:hAnsi="仿宋" w:eastAsia="仿宋" w:cs="宋体"/>
                <w:color w:val="000000"/>
                <w:sz w:val="18"/>
                <w:szCs w:val="18"/>
                <w:lang w:val="en-US" w:eastAsia="zh-CN"/>
              </w:rPr>
            </w:pPr>
            <w:r>
              <w:rPr>
                <w:rFonts w:hint="eastAsia" w:ascii="仿宋" w:hAnsi="仿宋" w:eastAsia="仿宋" w:cs="宋体"/>
                <w:color w:val="000000"/>
                <w:kern w:val="0"/>
                <w:sz w:val="18"/>
                <w:szCs w:val="18"/>
                <w:lang w:bidi="ar"/>
              </w:rPr>
              <w:t>可持续影响：</w:t>
            </w:r>
            <w:r>
              <w:rPr>
                <w:rFonts w:hint="eastAsia" w:ascii="仿宋" w:hAnsi="仿宋" w:eastAsia="仿宋" w:cs="宋体"/>
                <w:color w:val="000000"/>
                <w:kern w:val="0"/>
                <w:sz w:val="18"/>
                <w:szCs w:val="18"/>
              </w:rPr>
              <w:t>持续</w:t>
            </w:r>
            <w:r>
              <w:rPr>
                <w:rFonts w:hint="eastAsia" w:ascii="仿宋" w:hAnsi="仿宋" w:eastAsia="仿宋" w:cs="宋体"/>
                <w:color w:val="000000"/>
                <w:kern w:val="0"/>
                <w:sz w:val="18"/>
                <w:szCs w:val="18"/>
                <w:lang w:val="en-US" w:eastAsia="zh-CN"/>
              </w:rPr>
              <w:t>提升党员的身份意识，积极发挥党员先锋模范作用</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宋体" w:hAnsi="宋体" w:cs="宋体"/>
                <w:color w:val="000000"/>
                <w:sz w:val="20"/>
                <w:szCs w:val="20"/>
              </w:rPr>
            </w:pPr>
            <w:r>
              <w:rPr>
                <w:rFonts w:hint="eastAsia" w:ascii="宋体" w:hAnsi="宋体" w:cs="宋体"/>
                <w:color w:val="000000"/>
                <w:sz w:val="20"/>
                <w:szCs w:val="20"/>
              </w:rPr>
              <w:t>持续</w:t>
            </w:r>
          </w:p>
        </w:tc>
        <w:tc>
          <w:tcPr>
            <w:tcW w:w="511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21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sz w:val="18"/>
                <w:szCs w:val="18"/>
                <w:lang w:val="en-US" w:eastAsia="zh-CN"/>
              </w:rPr>
            </w:pPr>
            <w:r>
              <w:rPr>
                <w:rFonts w:hint="eastAsia" w:ascii="仿宋" w:hAnsi="仿宋" w:eastAsia="仿宋" w:cs="宋体"/>
                <w:color w:val="000000"/>
                <w:kern w:val="0"/>
                <w:sz w:val="18"/>
                <w:szCs w:val="18"/>
                <w:lang w:bidi="ar"/>
              </w:rPr>
              <w:t>社会公众满意度：</w:t>
            </w:r>
            <w:r>
              <w:rPr>
                <w:rFonts w:hint="eastAsia" w:ascii="仿宋" w:hAnsi="仿宋" w:eastAsia="仿宋" w:cs="宋体"/>
                <w:color w:val="000000"/>
                <w:kern w:val="0"/>
                <w:sz w:val="18"/>
                <w:szCs w:val="18"/>
                <w:lang w:val="en-US" w:eastAsia="zh-CN"/>
              </w:rPr>
              <w:t>党课宣讲受众的满意度</w:t>
            </w:r>
          </w:p>
        </w:tc>
        <w:tc>
          <w:tcPr>
            <w:tcW w:w="7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宋体" w:hAnsi="宋体" w:cs="宋体"/>
                <w:color w:val="000000"/>
                <w:sz w:val="20"/>
                <w:szCs w:val="20"/>
              </w:rPr>
            </w:pPr>
            <w:r>
              <w:rPr>
                <w:rFonts w:hint="eastAsia" w:ascii="宋体" w:hAnsi="宋体" w:cs="宋体"/>
                <w:color w:val="000000"/>
                <w:sz w:val="20"/>
                <w:szCs w:val="20"/>
              </w:rPr>
              <w:t>≥9</w:t>
            </w:r>
            <w:r>
              <w:rPr>
                <w:rFonts w:ascii="宋体" w:hAnsi="宋体" w:cs="宋体"/>
                <w:color w:val="000000"/>
                <w:sz w:val="20"/>
                <w:szCs w:val="20"/>
              </w:rPr>
              <w:t>0</w:t>
            </w:r>
            <w:r>
              <w:rPr>
                <w:rFonts w:hint="eastAsia" w:ascii="宋体" w:hAnsi="宋体" w:cs="宋体"/>
                <w:color w:val="000000"/>
                <w:sz w:val="20"/>
                <w:szCs w:val="20"/>
              </w:rPr>
              <w:t>%</w:t>
            </w:r>
          </w:p>
        </w:tc>
        <w:tc>
          <w:tcPr>
            <w:tcW w:w="51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4E4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2022-03-14T01:59:49Z</dcterms:created>
  <dc:creator>liangn</dc:creator>
  <cp:lastModifiedBy>liangn</cp:lastModifiedBy>
  <dcterms:modified xsi:type="dcterms:W3CDTF">2022-03-14T02:00:19Z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