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4998" w:type="pct"/>
        <w:tblInd w:w="0" w:type="dxa"/>
        <w:tblLayout w:type="autofit"/>
        <w:tblCellMar>
          <w:top w:w="0" w:type="dxa"/>
          <w:left w:w="0" w:type="dxa"/>
          <w:bottom w:w="0" w:type="dxa"/>
          <w:right w:w="0" w:type="dxa"/>
        </w:tblCellMar>
      </w:tblPr>
      <w:tblGrid>
        <w:gridCol w:w="595"/>
        <w:gridCol w:w="655"/>
        <w:gridCol w:w="2019"/>
        <w:gridCol w:w="1063"/>
        <w:gridCol w:w="6164"/>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bookmarkStart w:id="0" w:name="_GoBack"/>
            <w:bookmarkEnd w:id="0"/>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新乡县交通运输局</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目标1：承担涉及全县综合交通运输体系的规划协调工作，会同有关部门组织拟订全县综合交通运输发展政策；</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目标2：组织编制综合交通运输规划，负责编制公路、水路等规划，指导全县交通运输枢纽规划和管理；</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目标3：指导全县交通运输信息化建设，负责全县交通运输行业综合行政执法工作的统筹协调和监督指导。</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bidi="ar"/>
              </w:rPr>
              <w:t>加快改革步伐，提升交通运输服务水平加快推进运输结构调整;2提升公共交通服务水平，建立公共交通信息统计调查制度，开展绿色出行宣传月和公交出行宣传周活动。</w:t>
            </w: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bidi="ar"/>
              </w:rPr>
              <w:t>加快项目建设</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bidi="ar"/>
              </w:rPr>
              <w:t>强化安全监管，推进行业持续稳定发展</w:t>
            </w:r>
            <w:r>
              <w:rPr>
                <w:rFonts w:hint="eastAsia" w:ascii="仿宋" w:hAnsi="仿宋" w:eastAsia="仿宋" w:cs="宋体"/>
                <w:color w:val="000000"/>
                <w:kern w:val="0"/>
                <w:sz w:val="18"/>
                <w:szCs w:val="18"/>
                <w:lang w:val="en-US" w:eastAsia="zh-CN" w:bidi="ar"/>
              </w:rPr>
              <w:t>.</w:t>
            </w:r>
            <w:r>
              <w:rPr>
                <w:rFonts w:hint="eastAsia" w:ascii="仿宋" w:hAnsi="仿宋" w:eastAsia="仿宋" w:cs="宋体"/>
                <w:color w:val="000000"/>
                <w:kern w:val="0"/>
                <w:sz w:val="18"/>
                <w:szCs w:val="18"/>
                <w:lang w:bidi="ar"/>
              </w:rPr>
              <w:t>强化企业主体责任，落实企业全员安全生产责任，强化事中事后监管；强化预防预控措施；强化重点领域监管</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仿宋" w:hAnsi="仿宋" w:eastAsia="仿宋" w:cs="仿宋"/>
                <w:b/>
                <w:color w:val="000000"/>
                <w:sz w:val="22"/>
                <w:szCs w:val="22"/>
                <w:lang w:eastAsia="zh-CN"/>
              </w:rPr>
            </w:pPr>
            <w:r>
              <w:rPr>
                <w:rFonts w:hint="eastAsia" w:ascii="仿宋" w:hAnsi="仿宋" w:eastAsia="仿宋" w:cs="宋体"/>
                <w:color w:val="000000"/>
                <w:kern w:val="0"/>
                <w:sz w:val="18"/>
                <w:szCs w:val="18"/>
                <w:lang w:bidi="ar"/>
              </w:rPr>
              <w:t>认真谋划设计，统筹交通强国建设任务</w:t>
            </w:r>
            <w:r>
              <w:rPr>
                <w:rFonts w:hint="eastAsia" w:ascii="仿宋" w:hAnsi="仿宋" w:eastAsia="仿宋" w:cs="宋体"/>
                <w:color w:val="000000"/>
                <w:kern w:val="0"/>
                <w:sz w:val="18"/>
                <w:szCs w:val="18"/>
                <w:lang w:eastAsia="zh-CN" w:bidi="ar"/>
              </w:rPr>
              <w:t>。</w:t>
            </w:r>
            <w:r>
              <w:rPr>
                <w:rFonts w:hint="eastAsia" w:ascii="仿宋" w:hAnsi="仿宋" w:eastAsia="仿宋" w:cs="宋体"/>
                <w:color w:val="000000"/>
                <w:sz w:val="18"/>
                <w:szCs w:val="18"/>
              </w:rPr>
              <w:t>统筹推动综合立体交通网规划和“十四五”综合交通运输发展规划编制</w:t>
            </w: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5320.8</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lang w:val="en-US" w:eastAsia="zh-CN"/>
              </w:rPr>
              <w:t>5320.8</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1399.1</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3732.4</w:t>
            </w: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相关</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科学</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kern w:val="0"/>
                <w:sz w:val="20"/>
                <w:szCs w:val="20"/>
              </w:rPr>
              <w:t>合理</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完整</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highlight w:val="none"/>
                <w:lang w:val="en-US" w:eastAsia="zh-CN"/>
              </w:rPr>
            </w:pPr>
            <w:r>
              <w:rPr>
                <w:rFonts w:hint="eastAsia" w:ascii="黑体" w:hAnsi="黑体" w:eastAsia="黑体" w:cs="黑体"/>
                <w:color w:val="000000"/>
                <w:sz w:val="20"/>
                <w:szCs w:val="20"/>
                <w:highlight w:val="none"/>
                <w:lang w:val="en-US" w:eastAsia="zh-CN"/>
              </w:rPr>
              <w:t>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highlight w:val="none"/>
                <w:lang w:val="en-US" w:eastAsia="zh-CN"/>
              </w:rPr>
            </w:pPr>
            <w:r>
              <w:rPr>
                <w:rFonts w:hint="eastAsia" w:ascii="黑体" w:hAnsi="黑体" w:eastAsia="黑体" w:cs="黑体"/>
                <w:color w:val="000000"/>
                <w:sz w:val="20"/>
                <w:szCs w:val="20"/>
                <w:highlight w:val="none"/>
                <w:lang w:val="en-US" w:eastAsia="zh-CN"/>
              </w:rPr>
              <w:t>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真实</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合规</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健全</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公开</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规范</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促进经济增长</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827"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方便人们生产生活</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98%</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98%</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headerReference r:id="rId3" w:type="default"/>
          <w:footerReference r:id="rId4" w:type="default"/>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3DA576A"/>
    <w:rsid w:val="04CC7B54"/>
    <w:rsid w:val="0591655C"/>
    <w:rsid w:val="0601105B"/>
    <w:rsid w:val="07432C73"/>
    <w:rsid w:val="0AD76D03"/>
    <w:rsid w:val="0B4A6106"/>
    <w:rsid w:val="0B991E13"/>
    <w:rsid w:val="0CA90420"/>
    <w:rsid w:val="0DB07307"/>
    <w:rsid w:val="0DE46181"/>
    <w:rsid w:val="0F690488"/>
    <w:rsid w:val="11DC45C4"/>
    <w:rsid w:val="132D02FF"/>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65400AD"/>
    <w:rsid w:val="2A4749CF"/>
    <w:rsid w:val="2B3667FE"/>
    <w:rsid w:val="2C020CF3"/>
    <w:rsid w:val="302B2BB8"/>
    <w:rsid w:val="319A78EE"/>
    <w:rsid w:val="33C9294F"/>
    <w:rsid w:val="344D1089"/>
    <w:rsid w:val="345639B6"/>
    <w:rsid w:val="351077AD"/>
    <w:rsid w:val="356B73F7"/>
    <w:rsid w:val="37190D0A"/>
    <w:rsid w:val="39B35D5B"/>
    <w:rsid w:val="3B9A1558"/>
    <w:rsid w:val="3C650EA2"/>
    <w:rsid w:val="3C882259"/>
    <w:rsid w:val="3D8D2DB2"/>
    <w:rsid w:val="3DBF3F38"/>
    <w:rsid w:val="40DC543A"/>
    <w:rsid w:val="4298529D"/>
    <w:rsid w:val="44356D04"/>
    <w:rsid w:val="44661788"/>
    <w:rsid w:val="447B51CD"/>
    <w:rsid w:val="48792D39"/>
    <w:rsid w:val="4893018E"/>
    <w:rsid w:val="499C14F2"/>
    <w:rsid w:val="4A69625F"/>
    <w:rsid w:val="4B870AC0"/>
    <w:rsid w:val="4C281AB1"/>
    <w:rsid w:val="4C2B4AF1"/>
    <w:rsid w:val="530504E8"/>
    <w:rsid w:val="53D53D55"/>
    <w:rsid w:val="54FE107E"/>
    <w:rsid w:val="55163C24"/>
    <w:rsid w:val="553F6722"/>
    <w:rsid w:val="5601198C"/>
    <w:rsid w:val="56104055"/>
    <w:rsid w:val="572C68E4"/>
    <w:rsid w:val="5CE85B58"/>
    <w:rsid w:val="5D731A92"/>
    <w:rsid w:val="603E5DB0"/>
    <w:rsid w:val="62A47E73"/>
    <w:rsid w:val="62A85D16"/>
    <w:rsid w:val="642660CF"/>
    <w:rsid w:val="64D12C3C"/>
    <w:rsid w:val="6647282C"/>
    <w:rsid w:val="678B2E0B"/>
    <w:rsid w:val="68480D40"/>
    <w:rsid w:val="6988452D"/>
    <w:rsid w:val="707D36D5"/>
    <w:rsid w:val="721C39A2"/>
    <w:rsid w:val="72B91FCA"/>
    <w:rsid w:val="74925C59"/>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3</TotalTime>
  <ScaleCrop>false</ScaleCrop>
  <LinksUpToDate>false</LinksUpToDate>
  <CharactersWithSpaces>3401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喂，醒醒</cp:lastModifiedBy>
  <dcterms:modified xsi:type="dcterms:W3CDTF">2022-03-16T07:14:38Z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