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jc w:val="center"/>
        <w:tblLayout w:type="autofit"/>
        <w:tblCellMar>
          <w:top w:w="0" w:type="dxa"/>
          <w:left w:w="0" w:type="dxa"/>
          <w:bottom w:w="0" w:type="dxa"/>
          <w:right w:w="0" w:type="dxa"/>
        </w:tblCellMar>
      </w:tblPr>
      <w:tblGrid>
        <w:gridCol w:w="846"/>
        <w:gridCol w:w="930"/>
        <w:gridCol w:w="1629"/>
        <w:gridCol w:w="1522"/>
        <w:gridCol w:w="5569"/>
      </w:tblGrid>
      <w:tr>
        <w:tblPrEx>
          <w:tblCellMar>
            <w:top w:w="0" w:type="dxa"/>
            <w:left w:w="0" w:type="dxa"/>
            <w:bottom w:w="0" w:type="dxa"/>
            <w:right w:w="0" w:type="dxa"/>
          </w:tblCellMar>
        </w:tblPrEx>
        <w:trPr>
          <w:trHeight w:val="750" w:hRule="atLeast"/>
          <w:jc w:val="center"/>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1"/>
                <w:szCs w:val="21"/>
              </w:rPr>
            </w:pPr>
            <w:r>
              <w:rPr>
                <w:rFonts w:hint="eastAsia" w:ascii="仿宋" w:hAnsi="仿宋" w:eastAsia="仿宋" w:cs="仿宋"/>
                <w:b/>
                <w:color w:val="000000"/>
                <w:kern w:val="0"/>
                <w:sz w:val="21"/>
                <w:szCs w:val="21"/>
              </w:rPr>
              <w:t>部门（单位）整体绩效目标申报表</w:t>
            </w:r>
          </w:p>
        </w:tc>
      </w:tr>
      <w:tr>
        <w:tblPrEx>
          <w:tblCellMar>
            <w:top w:w="0" w:type="dxa"/>
            <w:left w:w="0" w:type="dxa"/>
            <w:bottom w:w="0" w:type="dxa"/>
            <w:right w:w="0" w:type="dxa"/>
          </w:tblCellMar>
        </w:tblPrEx>
        <w:trPr>
          <w:trHeight w:val="416" w:hRule="atLeast"/>
          <w:jc w:val="center"/>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1"/>
                <w:szCs w:val="21"/>
              </w:rPr>
            </w:pPr>
            <w:r>
              <w:rPr>
                <w:rFonts w:hint="eastAsia" w:ascii="仿宋" w:hAnsi="仿宋" w:eastAsia="仿宋" w:cs="仿宋"/>
                <w:b/>
                <w:color w:val="000000"/>
                <w:kern w:val="0"/>
                <w:sz w:val="21"/>
                <w:szCs w:val="21"/>
              </w:rPr>
              <w:t xml:space="preserve">（ </w:t>
            </w:r>
            <w:r>
              <w:rPr>
                <w:rFonts w:hint="eastAsia" w:ascii="仿宋" w:hAnsi="仿宋" w:eastAsia="仿宋" w:cs="仿宋"/>
                <w:b/>
                <w:color w:val="000000"/>
                <w:kern w:val="0"/>
                <w:sz w:val="21"/>
                <w:szCs w:val="21"/>
                <w:lang w:val="en-US" w:eastAsia="zh-CN"/>
              </w:rPr>
              <w:t>2021</w:t>
            </w:r>
            <w:r>
              <w:rPr>
                <w:rFonts w:hint="eastAsia" w:ascii="仿宋" w:hAnsi="仿宋" w:eastAsia="仿宋" w:cs="仿宋"/>
                <w:b/>
                <w:color w:val="000000"/>
                <w:kern w:val="0"/>
                <w:sz w:val="21"/>
                <w:szCs w:val="21"/>
              </w:rPr>
              <w:t xml:space="preserve"> 年度）</w:t>
            </w:r>
          </w:p>
        </w:tc>
      </w:tr>
      <w:tr>
        <w:tblPrEx>
          <w:tblCellMar>
            <w:top w:w="0" w:type="dxa"/>
            <w:left w:w="0" w:type="dxa"/>
            <w:bottom w:w="0" w:type="dxa"/>
            <w:right w:w="0" w:type="dxa"/>
          </w:tblCellMar>
        </w:tblPrEx>
        <w:trPr>
          <w:trHeight w:val="450" w:hRule="atLeast"/>
          <w:jc w:val="center"/>
        </w:trPr>
        <w:tc>
          <w:tcPr>
            <w:tcW w:w="84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部门（单位）名称</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1"/>
                <w:szCs w:val="21"/>
                <w:lang w:val="en-US" w:eastAsia="zh-CN"/>
              </w:rPr>
            </w:pPr>
            <w:r>
              <w:rPr>
                <w:rFonts w:hint="eastAsia" w:ascii="仿宋" w:hAnsi="仿宋" w:eastAsia="仿宋" w:cs="仿宋"/>
                <w:b/>
                <w:color w:val="000000"/>
                <w:sz w:val="21"/>
                <w:szCs w:val="21"/>
                <w:lang w:val="en-US" w:eastAsia="zh-CN"/>
              </w:rPr>
              <w:t>新乡县人力资源和社会保障局</w:t>
            </w:r>
          </w:p>
        </w:tc>
      </w:tr>
      <w:tr>
        <w:tblPrEx>
          <w:tblCellMar>
            <w:top w:w="0" w:type="dxa"/>
            <w:left w:w="0" w:type="dxa"/>
            <w:bottom w:w="0" w:type="dxa"/>
            <w:right w:w="0" w:type="dxa"/>
          </w:tblCellMar>
        </w:tblPrEx>
        <w:trPr>
          <w:trHeight w:val="450" w:hRule="atLeast"/>
          <w:jc w:val="center"/>
        </w:trPr>
        <w:tc>
          <w:tcPr>
            <w:tcW w:w="40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年度履职目标</w:t>
            </w:r>
          </w:p>
        </w:tc>
        <w:tc>
          <w:tcPr>
            <w:tcW w:w="4596"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sz w:val="21"/>
                <w:szCs w:val="21"/>
              </w:rPr>
              <w:t>目标1：为我县建国前企业社保工人发放取暖费</w:t>
            </w:r>
            <w:r>
              <w:rPr>
                <w:rFonts w:hint="eastAsia" w:ascii="仿宋" w:hAnsi="仿宋" w:eastAsia="仿宋" w:cs="仿宋"/>
                <w:sz w:val="21"/>
                <w:szCs w:val="21"/>
              </w:rPr>
              <w:br w:type="textWrapping"/>
            </w:r>
            <w:r>
              <w:rPr>
                <w:rFonts w:hint="eastAsia" w:ascii="仿宋" w:hAnsi="仿宋" w:eastAsia="仿宋" w:cs="仿宋"/>
                <w:sz w:val="21"/>
                <w:szCs w:val="21"/>
              </w:rPr>
              <w:t>目标2：</w:t>
            </w:r>
            <w:r>
              <w:rPr>
                <w:rFonts w:hint="eastAsia" w:ascii="仿宋" w:hAnsi="仿宋" w:eastAsia="仿宋" w:cs="仿宋"/>
                <w:sz w:val="21"/>
                <w:szCs w:val="21"/>
                <w:lang w:val="en-US" w:eastAsia="zh-CN"/>
              </w:rPr>
              <w:t>用于解决因用人单位拖欠农民工工资，造成农民工生活困难，垫付临时生活费用</w:t>
            </w:r>
            <w:r>
              <w:rPr>
                <w:rFonts w:hint="eastAsia" w:ascii="仿宋" w:hAnsi="仿宋" w:eastAsia="仿宋" w:cs="仿宋"/>
                <w:sz w:val="21"/>
                <w:szCs w:val="21"/>
              </w:rPr>
              <w:br w:type="textWrapping"/>
            </w:r>
            <w:r>
              <w:rPr>
                <w:rFonts w:hint="eastAsia" w:ascii="仿宋" w:hAnsi="仿宋" w:eastAsia="仿宋" w:cs="仿宋"/>
                <w:sz w:val="21"/>
                <w:szCs w:val="21"/>
              </w:rPr>
              <w:t>目标3：</w:t>
            </w:r>
            <w:r>
              <w:rPr>
                <w:rFonts w:hint="eastAsia" w:ascii="仿宋" w:hAnsi="仿宋" w:eastAsia="仿宋" w:cs="仿宋"/>
                <w:kern w:val="0"/>
                <w:sz w:val="21"/>
                <w:szCs w:val="21"/>
              </w:rPr>
              <w:t>开展工伤认定、劳动仲裁、档案代理</w:t>
            </w:r>
            <w:r>
              <w:rPr>
                <w:rFonts w:hint="eastAsia" w:ascii="仿宋" w:hAnsi="仿宋" w:eastAsia="仿宋" w:cs="仿宋"/>
                <w:kern w:val="0"/>
                <w:sz w:val="21"/>
                <w:szCs w:val="21"/>
                <w:lang w:eastAsia="zh-CN"/>
              </w:rPr>
              <w:t>、</w:t>
            </w:r>
            <w:r>
              <w:rPr>
                <w:rFonts w:hint="eastAsia" w:ascii="仿宋" w:hAnsi="仿宋" w:eastAsia="仿宋" w:cs="仿宋"/>
                <w:kern w:val="0"/>
                <w:sz w:val="21"/>
                <w:szCs w:val="21"/>
                <w:lang w:val="en-US" w:eastAsia="zh-CN"/>
              </w:rPr>
              <w:t>职称评定</w:t>
            </w:r>
            <w:r>
              <w:rPr>
                <w:rFonts w:hint="eastAsia" w:ascii="仿宋" w:hAnsi="仿宋" w:eastAsia="仿宋" w:cs="仿宋"/>
                <w:kern w:val="0"/>
                <w:sz w:val="21"/>
                <w:szCs w:val="21"/>
              </w:rPr>
              <w:t>等工作经费。购置办公用品及日常开支，保障单位日常办公正常运转。</w:t>
            </w:r>
          </w:p>
          <w:p>
            <w:pPr>
              <w:pStyle w:val="2"/>
              <w:ind w:left="0" w:leftChars="0" w:firstLine="0" w:firstLineChars="0"/>
              <w:rPr>
                <w:rFonts w:hint="eastAsia" w:ascii="仿宋" w:hAnsi="仿宋" w:eastAsia="仿宋" w:cs="仿宋"/>
                <w:kern w:val="0"/>
                <w:sz w:val="21"/>
                <w:szCs w:val="21"/>
              </w:rPr>
            </w:pPr>
            <w:r>
              <w:rPr>
                <w:rFonts w:hint="eastAsia" w:ascii="仿宋" w:hAnsi="仿宋" w:eastAsia="仿宋" w:cs="仿宋"/>
                <w:color w:val="000000"/>
                <w:kern w:val="0"/>
                <w:sz w:val="21"/>
                <w:szCs w:val="21"/>
                <w:lang w:val="en-US" w:eastAsia="zh-CN"/>
              </w:rPr>
              <w:t>目标4：</w:t>
            </w:r>
            <w:r>
              <w:rPr>
                <w:rFonts w:hint="eastAsia" w:ascii="仿宋" w:hAnsi="仿宋" w:eastAsia="仿宋" w:cs="仿宋"/>
                <w:kern w:val="0"/>
                <w:sz w:val="21"/>
                <w:szCs w:val="21"/>
              </w:rPr>
              <w:t>为事业单位招考提供经费保障，保证事业单位招考工作顺利开展。</w:t>
            </w:r>
          </w:p>
          <w:p>
            <w:pPr>
              <w:pStyle w:val="2"/>
              <w:ind w:left="0" w:leftChars="0" w:firstLine="0" w:firstLineChars="0"/>
              <w:rPr>
                <w:rFonts w:hint="eastAsia" w:ascii="仿宋" w:hAnsi="仿宋" w:eastAsia="仿宋" w:cs="仿宋"/>
                <w:kern w:val="0"/>
                <w:sz w:val="21"/>
                <w:szCs w:val="21"/>
              </w:rPr>
            </w:pPr>
            <w:r>
              <w:rPr>
                <w:rFonts w:hint="eastAsia" w:ascii="仿宋" w:hAnsi="仿宋" w:eastAsia="仿宋" w:cs="仿宋"/>
                <w:kern w:val="0"/>
                <w:sz w:val="21"/>
                <w:szCs w:val="21"/>
                <w:lang w:val="en-US" w:eastAsia="zh-CN"/>
              </w:rPr>
              <w:t>目标5：</w:t>
            </w:r>
            <w:r>
              <w:rPr>
                <w:rFonts w:hint="eastAsia" w:ascii="仿宋" w:hAnsi="仿宋" w:eastAsia="仿宋" w:cs="仿宋"/>
                <w:kern w:val="0"/>
                <w:sz w:val="21"/>
                <w:szCs w:val="21"/>
              </w:rPr>
              <w:t>为事业单位招考提供经费保障，保证事业单位招考工作顺利开展。</w:t>
            </w:r>
          </w:p>
          <w:p>
            <w:pPr>
              <w:pStyle w:val="2"/>
              <w:ind w:left="0" w:leftChars="0" w:firstLine="0" w:firstLineChars="0"/>
              <w:rPr>
                <w:rFonts w:hint="eastAsia" w:ascii="仿宋" w:hAnsi="仿宋" w:eastAsia="仿宋" w:cs="仿宋"/>
                <w:color w:val="000000"/>
                <w:kern w:val="0"/>
                <w:sz w:val="21"/>
                <w:szCs w:val="21"/>
                <w:lang w:val="en-US" w:eastAsia="zh-CN"/>
              </w:rPr>
            </w:pPr>
            <w:r>
              <w:rPr>
                <w:rFonts w:hint="eastAsia" w:ascii="仿宋" w:hAnsi="仿宋" w:eastAsia="仿宋" w:cs="仿宋"/>
                <w:kern w:val="0"/>
                <w:sz w:val="21"/>
                <w:szCs w:val="21"/>
                <w:lang w:val="en-US" w:eastAsia="zh-CN"/>
              </w:rPr>
              <w:t>目标6：</w:t>
            </w:r>
            <w:r>
              <w:rPr>
                <w:rFonts w:hint="eastAsia" w:ascii="仿宋" w:hAnsi="仿宋" w:eastAsia="仿宋" w:cs="仿宋"/>
                <w:color w:val="000000"/>
                <w:kern w:val="0"/>
                <w:sz w:val="21"/>
                <w:szCs w:val="21"/>
                <w:lang w:val="en-US" w:eastAsia="zh-CN"/>
              </w:rPr>
              <w:t>根据新脱指(2017)72号文件精神，我县建档立卡60岁以下贫困劳动力务工时间在6个月以上，且年收入在2万元以上给予一次性奖励，奖励金按10%发放，最高不超过5000元。</w:t>
            </w:r>
          </w:p>
          <w:p>
            <w:pPr>
              <w:pStyle w:val="2"/>
              <w:ind w:left="0" w:leftChars="0" w:firstLine="0" w:firstLineChars="0"/>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目标7：购置办公用品及日常开支，保障就业服务中心单位日常办公正常运转。</w:t>
            </w:r>
          </w:p>
          <w:p>
            <w:pPr>
              <w:pStyle w:val="2"/>
              <w:ind w:left="0" w:leftChars="0" w:firstLine="0" w:firstLineChars="0"/>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目标8：创业担保贷款贴息补助保障个体户、小微企业享受创业担保贷款正常运转。</w:t>
            </w:r>
          </w:p>
          <w:p>
            <w:pPr>
              <w:pStyle w:val="2"/>
              <w:ind w:left="0" w:leftChars="0" w:firstLine="0" w:firstLineChars="0"/>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目标9：通过购置专用网络及办公耗材，保障农保中心日常办公的正常运行</w:t>
            </w:r>
          </w:p>
          <w:p>
            <w:pPr>
              <w:pStyle w:val="2"/>
              <w:ind w:left="0" w:leftChars="0" w:firstLine="0" w:firstLineChars="0"/>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目标10：</w:t>
            </w:r>
            <w:r>
              <w:rPr>
                <w:rFonts w:hint="eastAsia" w:ascii="仿宋" w:hAnsi="仿宋" w:eastAsia="仿宋" w:cs="仿宋"/>
                <w:kern w:val="0"/>
                <w:sz w:val="21"/>
                <w:szCs w:val="21"/>
              </w:rPr>
              <w:t>保障劳动保障监察人员日常工资，解决劳动保障监察大队日常执法办公、办案所需经费。</w:t>
            </w:r>
          </w:p>
        </w:tc>
      </w:tr>
      <w:tr>
        <w:tblPrEx>
          <w:tblCellMar>
            <w:top w:w="0" w:type="dxa"/>
            <w:left w:w="0" w:type="dxa"/>
            <w:bottom w:w="0" w:type="dxa"/>
            <w:right w:w="0" w:type="dxa"/>
          </w:tblCellMar>
        </w:tblPrEx>
        <w:trPr>
          <w:trHeight w:val="45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596"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319"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596"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319"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596"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400" w:hRule="atLeast"/>
          <w:jc w:val="center"/>
        </w:trPr>
        <w:tc>
          <w:tcPr>
            <w:tcW w:w="403"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年度主要任务</w:t>
            </w: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任务名称</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主要内容</w:t>
            </w:r>
          </w:p>
        </w:tc>
      </w:tr>
      <w:tr>
        <w:tblPrEx>
          <w:tblCellMar>
            <w:top w:w="0" w:type="dxa"/>
            <w:left w:w="0" w:type="dxa"/>
            <w:bottom w:w="0" w:type="dxa"/>
            <w:right w:w="0" w:type="dxa"/>
          </w:tblCellMar>
        </w:tblPrEx>
        <w:trPr>
          <w:trHeight w:val="44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任务1</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1"/>
                <w:szCs w:val="21"/>
              </w:rPr>
            </w:pPr>
            <w:r>
              <w:rPr>
                <w:rFonts w:hint="eastAsia" w:ascii="仿宋" w:hAnsi="仿宋" w:eastAsia="仿宋" w:cs="仿宋"/>
                <w:kern w:val="0"/>
                <w:sz w:val="21"/>
                <w:szCs w:val="21"/>
              </w:rPr>
              <w:t>建国前老工人取暖费　</w:t>
            </w:r>
          </w:p>
        </w:tc>
      </w:tr>
      <w:tr>
        <w:tblPrEx>
          <w:tblCellMar>
            <w:top w:w="0" w:type="dxa"/>
            <w:left w:w="0" w:type="dxa"/>
            <w:bottom w:w="0" w:type="dxa"/>
            <w:right w:w="0" w:type="dxa"/>
          </w:tblCellMar>
        </w:tblPrEx>
        <w:trPr>
          <w:trHeight w:val="34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任务2</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1"/>
                <w:szCs w:val="21"/>
              </w:rPr>
            </w:pPr>
            <w:r>
              <w:rPr>
                <w:rFonts w:hint="eastAsia" w:ascii="仿宋" w:hAnsi="仿宋" w:eastAsia="仿宋" w:cs="仿宋"/>
                <w:kern w:val="0"/>
                <w:sz w:val="21"/>
                <w:szCs w:val="21"/>
                <w:lang w:val="en-US" w:eastAsia="zh-CN"/>
              </w:rPr>
              <w:t>农民工欠薪周转金</w:t>
            </w:r>
            <w:r>
              <w:rPr>
                <w:rFonts w:hint="eastAsia" w:ascii="仿宋" w:hAnsi="仿宋" w:eastAsia="仿宋" w:cs="仿宋"/>
                <w:kern w:val="0"/>
                <w:sz w:val="21"/>
                <w:szCs w:val="21"/>
              </w:rPr>
              <w:t>　</w:t>
            </w:r>
          </w:p>
        </w:tc>
      </w:tr>
      <w:tr>
        <w:tblPrEx>
          <w:tblCellMar>
            <w:top w:w="0" w:type="dxa"/>
            <w:left w:w="0" w:type="dxa"/>
            <w:bottom w:w="0" w:type="dxa"/>
            <w:right w:w="0" w:type="dxa"/>
          </w:tblCellMar>
        </w:tblPrEx>
        <w:trPr>
          <w:trHeight w:val="42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任务3</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b/>
                <w:color w:val="000000"/>
                <w:sz w:val="21"/>
                <w:szCs w:val="21"/>
              </w:rPr>
            </w:pPr>
            <w:r>
              <w:rPr>
                <w:rFonts w:hint="eastAsia" w:ascii="仿宋" w:hAnsi="仿宋" w:eastAsia="仿宋" w:cs="仿宋"/>
                <w:kern w:val="0"/>
                <w:sz w:val="21"/>
                <w:szCs w:val="21"/>
              </w:rPr>
              <w:t>人事局工作经费　</w:t>
            </w:r>
          </w:p>
        </w:tc>
      </w:tr>
      <w:tr>
        <w:tblPrEx>
          <w:tblCellMar>
            <w:top w:w="0" w:type="dxa"/>
            <w:left w:w="0" w:type="dxa"/>
            <w:bottom w:w="0" w:type="dxa"/>
            <w:right w:w="0" w:type="dxa"/>
          </w:tblCellMar>
        </w:tblPrEx>
        <w:trPr>
          <w:trHeight w:val="42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0"/>
                <w:sz w:val="21"/>
                <w:szCs w:val="21"/>
                <w:lang w:val="en-US" w:eastAsia="zh-CN"/>
              </w:rPr>
              <w:t>任务4</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kern w:val="2"/>
                <w:sz w:val="21"/>
                <w:szCs w:val="21"/>
                <w:lang w:val="en-US" w:eastAsia="zh-CN" w:bidi="ar-SA"/>
              </w:rPr>
            </w:pPr>
            <w:r>
              <w:rPr>
                <w:rFonts w:hint="eastAsia" w:ascii="仿宋" w:hAnsi="仿宋" w:eastAsia="仿宋" w:cs="仿宋"/>
                <w:kern w:val="0"/>
                <w:sz w:val="21"/>
                <w:szCs w:val="21"/>
              </w:rPr>
              <w:t>事业单位招聘　</w:t>
            </w:r>
          </w:p>
        </w:tc>
      </w:tr>
      <w:tr>
        <w:tblPrEx>
          <w:tblCellMar>
            <w:top w:w="0" w:type="dxa"/>
            <w:left w:w="0" w:type="dxa"/>
            <w:bottom w:w="0" w:type="dxa"/>
            <w:right w:w="0" w:type="dxa"/>
          </w:tblCellMar>
        </w:tblPrEx>
        <w:trPr>
          <w:trHeight w:val="525"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任务5</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事业单位招聘</w:t>
            </w:r>
            <w:r>
              <w:rPr>
                <w:rFonts w:hint="eastAsia" w:ascii="仿宋" w:hAnsi="仿宋" w:eastAsia="仿宋" w:cs="仿宋"/>
                <w:kern w:val="0"/>
                <w:sz w:val="21"/>
                <w:szCs w:val="21"/>
                <w:lang w:eastAsia="zh-CN"/>
              </w:rPr>
              <w:t>（</w:t>
            </w:r>
            <w:r>
              <w:rPr>
                <w:rFonts w:hint="eastAsia" w:ascii="仿宋" w:hAnsi="仿宋" w:eastAsia="仿宋" w:cs="仿宋"/>
                <w:kern w:val="0"/>
                <w:sz w:val="21"/>
                <w:szCs w:val="21"/>
                <w:lang w:val="en-US" w:eastAsia="zh-CN"/>
              </w:rPr>
              <w:t>非税部分资金</w:t>
            </w:r>
            <w:r>
              <w:rPr>
                <w:rFonts w:hint="eastAsia" w:ascii="仿宋" w:hAnsi="仿宋" w:eastAsia="仿宋" w:cs="仿宋"/>
                <w:kern w:val="0"/>
                <w:sz w:val="21"/>
                <w:szCs w:val="21"/>
                <w:lang w:eastAsia="zh-CN"/>
              </w:rPr>
              <w:t>）</w:t>
            </w:r>
            <w:r>
              <w:rPr>
                <w:rFonts w:hint="eastAsia" w:ascii="仿宋" w:hAnsi="仿宋" w:eastAsia="仿宋" w:cs="仿宋"/>
                <w:kern w:val="0"/>
                <w:sz w:val="21"/>
                <w:szCs w:val="21"/>
              </w:rPr>
              <w:t>　</w:t>
            </w:r>
          </w:p>
        </w:tc>
      </w:tr>
      <w:tr>
        <w:tblPrEx>
          <w:tblCellMar>
            <w:top w:w="0" w:type="dxa"/>
            <w:left w:w="0" w:type="dxa"/>
            <w:bottom w:w="0" w:type="dxa"/>
            <w:right w:w="0" w:type="dxa"/>
          </w:tblCellMar>
        </w:tblPrEx>
        <w:trPr>
          <w:trHeight w:val="525" w:hRule="atLeast"/>
          <w:jc w:val="center"/>
        </w:trPr>
        <w:tc>
          <w:tcPr>
            <w:tcW w:w="403"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任务6</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建档立卡优秀务工人员奖补　</w:t>
            </w:r>
          </w:p>
        </w:tc>
      </w:tr>
      <w:tr>
        <w:tblPrEx>
          <w:tblCellMar>
            <w:top w:w="0" w:type="dxa"/>
            <w:left w:w="0" w:type="dxa"/>
            <w:bottom w:w="0" w:type="dxa"/>
            <w:right w:w="0" w:type="dxa"/>
          </w:tblCellMar>
        </w:tblPrEx>
        <w:trPr>
          <w:trHeight w:val="525" w:hRule="atLeast"/>
          <w:jc w:val="center"/>
        </w:trPr>
        <w:tc>
          <w:tcPr>
            <w:tcW w:w="403"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bookmarkStart w:id="0" w:name="_GoBack" w:colFirst="1" w:colLast="4"/>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任务9</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其他普惠发展支出</w:t>
            </w:r>
          </w:p>
        </w:tc>
      </w:tr>
      <w:bookmarkEnd w:id="0"/>
      <w:tr>
        <w:tblPrEx>
          <w:tblCellMar>
            <w:top w:w="0" w:type="dxa"/>
            <w:left w:w="0" w:type="dxa"/>
            <w:bottom w:w="0" w:type="dxa"/>
            <w:right w:w="0" w:type="dxa"/>
          </w:tblCellMar>
        </w:tblPrEx>
        <w:trPr>
          <w:trHeight w:val="525" w:hRule="atLeast"/>
          <w:jc w:val="center"/>
        </w:trPr>
        <w:tc>
          <w:tcPr>
            <w:tcW w:w="403"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任务10</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创业贷款贴息经费支出</w:t>
            </w:r>
          </w:p>
        </w:tc>
      </w:tr>
      <w:tr>
        <w:tblPrEx>
          <w:tblCellMar>
            <w:top w:w="0" w:type="dxa"/>
            <w:left w:w="0" w:type="dxa"/>
            <w:bottom w:w="0" w:type="dxa"/>
            <w:right w:w="0" w:type="dxa"/>
          </w:tblCellMar>
        </w:tblPrEx>
        <w:trPr>
          <w:trHeight w:val="525" w:hRule="atLeast"/>
          <w:jc w:val="center"/>
        </w:trPr>
        <w:tc>
          <w:tcPr>
            <w:tcW w:w="403"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任务11</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社会保险经办工作经费</w:t>
            </w:r>
          </w:p>
        </w:tc>
      </w:tr>
      <w:tr>
        <w:tblPrEx>
          <w:tblCellMar>
            <w:top w:w="0" w:type="dxa"/>
            <w:left w:w="0" w:type="dxa"/>
            <w:bottom w:w="0" w:type="dxa"/>
            <w:right w:w="0" w:type="dxa"/>
          </w:tblCellMar>
        </w:tblPrEx>
        <w:trPr>
          <w:trHeight w:val="525" w:hRule="atLeast"/>
          <w:jc w:val="center"/>
        </w:trPr>
        <w:tc>
          <w:tcPr>
            <w:tcW w:w="403"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lang w:val="en-US" w:eastAsia="zh-CN"/>
              </w:rPr>
              <w:t>任务12</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rPr>
              <w:t>自筹人员工资福利、商品服务支出</w:t>
            </w:r>
          </w:p>
        </w:tc>
      </w:tr>
      <w:tr>
        <w:tblPrEx>
          <w:tblCellMar>
            <w:top w:w="0" w:type="dxa"/>
            <w:left w:w="0" w:type="dxa"/>
            <w:bottom w:w="0" w:type="dxa"/>
            <w:right w:w="0" w:type="dxa"/>
          </w:tblCellMar>
        </w:tblPrEx>
        <w:trPr>
          <w:trHeight w:val="525" w:hRule="atLeast"/>
          <w:jc w:val="center"/>
        </w:trPr>
        <w:tc>
          <w:tcPr>
            <w:tcW w:w="403"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color w:val="000000"/>
                <w:kern w:val="0"/>
                <w:sz w:val="21"/>
                <w:szCs w:val="21"/>
                <w:lang w:val="en-US" w:eastAsia="zh-CN" w:bidi="ar-SA"/>
              </w:rPr>
            </w:pPr>
            <w:r>
              <w:rPr>
                <w:rFonts w:hint="eastAsia" w:ascii="仿宋" w:hAnsi="仿宋" w:eastAsia="仿宋" w:cs="仿宋"/>
                <w:color w:val="000000"/>
                <w:kern w:val="0"/>
                <w:sz w:val="21"/>
                <w:szCs w:val="21"/>
              </w:rPr>
              <w:t>年度部门预算总额（万元）</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kern w:val="0"/>
                <w:sz w:val="21"/>
                <w:szCs w:val="21"/>
                <w:lang w:val="en-US" w:eastAsia="zh-CN" w:bidi="ar-SA"/>
              </w:rPr>
            </w:pPr>
            <w:r>
              <w:rPr>
                <w:rFonts w:hint="eastAsia" w:ascii="仿宋" w:hAnsi="仿宋" w:eastAsia="仿宋" w:cs="仿宋"/>
                <w:b/>
                <w:color w:val="000000"/>
                <w:sz w:val="21"/>
                <w:szCs w:val="21"/>
                <w:lang w:val="en-US" w:eastAsia="zh-CN"/>
              </w:rPr>
              <w:t>937.45</w:t>
            </w:r>
          </w:p>
        </w:tc>
      </w:tr>
      <w:tr>
        <w:tblPrEx>
          <w:tblCellMar>
            <w:top w:w="0" w:type="dxa"/>
            <w:left w:w="0" w:type="dxa"/>
            <w:bottom w:w="0" w:type="dxa"/>
            <w:right w:w="0" w:type="dxa"/>
          </w:tblCellMar>
        </w:tblPrEx>
        <w:trPr>
          <w:trHeight w:val="525" w:hRule="atLeast"/>
          <w:jc w:val="center"/>
        </w:trPr>
        <w:tc>
          <w:tcPr>
            <w:tcW w:w="403"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仿宋" w:hAnsi="仿宋" w:eastAsia="仿宋" w:cs="仿宋"/>
                <w:color w:val="000000"/>
                <w:kern w:val="0"/>
                <w:sz w:val="21"/>
                <w:szCs w:val="21"/>
                <w:lang w:val="en-US" w:eastAsia="zh-CN" w:bidi="ar-SA"/>
              </w:rPr>
            </w:pPr>
            <w:r>
              <w:rPr>
                <w:rStyle w:val="21"/>
                <w:rFonts w:hint="eastAsia" w:ascii="仿宋" w:hAnsi="仿宋" w:eastAsia="仿宋" w:cs="仿宋"/>
                <w:sz w:val="21"/>
                <w:szCs w:val="21"/>
              </w:rPr>
              <w:t>1、资金来源：（1）财政性资金</w:t>
            </w:r>
          </w:p>
        </w:tc>
        <w:tc>
          <w:tcPr>
            <w:tcW w:w="415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kern w:val="0"/>
                <w:sz w:val="21"/>
                <w:szCs w:val="21"/>
                <w:lang w:val="en-US" w:eastAsia="zh-CN" w:bidi="ar-SA"/>
              </w:rPr>
            </w:pPr>
            <w:r>
              <w:rPr>
                <w:rFonts w:hint="eastAsia" w:ascii="仿宋" w:hAnsi="仿宋" w:eastAsia="仿宋" w:cs="仿宋"/>
                <w:b/>
                <w:color w:val="000000"/>
                <w:sz w:val="21"/>
                <w:szCs w:val="21"/>
                <w:lang w:val="en-US" w:eastAsia="zh-CN"/>
              </w:rPr>
              <w:t>937.45</w:t>
            </w:r>
          </w:p>
        </w:tc>
      </w:tr>
      <w:tr>
        <w:tblPrEx>
          <w:tblCellMar>
            <w:top w:w="0" w:type="dxa"/>
            <w:left w:w="0" w:type="dxa"/>
            <w:bottom w:w="0" w:type="dxa"/>
            <w:right w:w="0" w:type="dxa"/>
          </w:tblCellMar>
        </w:tblPrEx>
        <w:trPr>
          <w:trHeight w:val="440" w:hRule="atLeast"/>
          <w:jc w:val="center"/>
        </w:trPr>
        <w:tc>
          <w:tcPr>
            <w:tcW w:w="40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预算情况</w:t>
            </w:r>
          </w:p>
        </w:tc>
        <w:tc>
          <w:tcPr>
            <w:tcW w:w="121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Style w:val="21"/>
                <w:rFonts w:hint="eastAsia" w:ascii="仿宋" w:hAnsi="仿宋" w:eastAsia="仿宋" w:cs="仿宋"/>
                <w:sz w:val="21"/>
                <w:szCs w:val="21"/>
              </w:rPr>
              <w:t>（2）其他资金</w:t>
            </w:r>
          </w:p>
        </w:tc>
        <w:tc>
          <w:tcPr>
            <w:tcW w:w="337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1"/>
                <w:szCs w:val="21"/>
                <w:lang w:val="en-US" w:eastAsia="zh-CN"/>
              </w:rPr>
            </w:pPr>
          </w:p>
        </w:tc>
      </w:tr>
      <w:tr>
        <w:tblPrEx>
          <w:tblCellMar>
            <w:top w:w="0" w:type="dxa"/>
            <w:left w:w="0" w:type="dxa"/>
            <w:bottom w:w="0" w:type="dxa"/>
            <w:right w:w="0" w:type="dxa"/>
          </w:tblCellMar>
        </w:tblPrEx>
        <w:trPr>
          <w:trHeight w:val="46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121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Style w:val="21"/>
                <w:rFonts w:hint="eastAsia" w:ascii="仿宋" w:hAnsi="仿宋" w:eastAsia="仿宋" w:cs="仿宋"/>
                <w:sz w:val="21"/>
                <w:szCs w:val="21"/>
              </w:rPr>
              <w:t>2、资金结构：（1）基本支出</w:t>
            </w:r>
          </w:p>
        </w:tc>
        <w:tc>
          <w:tcPr>
            <w:tcW w:w="337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1"/>
                <w:szCs w:val="21"/>
                <w:lang w:val="en-US" w:eastAsia="zh-CN"/>
              </w:rPr>
            </w:pPr>
            <w:r>
              <w:rPr>
                <w:rFonts w:hint="eastAsia" w:ascii="仿宋" w:hAnsi="仿宋" w:eastAsia="仿宋" w:cs="仿宋"/>
                <w:b/>
                <w:color w:val="000000"/>
                <w:sz w:val="21"/>
                <w:szCs w:val="21"/>
                <w:lang w:val="en-US" w:eastAsia="zh-CN"/>
              </w:rPr>
              <w:t>667.5</w:t>
            </w:r>
          </w:p>
        </w:tc>
      </w:tr>
      <w:tr>
        <w:tblPrEx>
          <w:tblCellMar>
            <w:top w:w="0" w:type="dxa"/>
            <w:left w:w="0" w:type="dxa"/>
            <w:bottom w:w="0" w:type="dxa"/>
            <w:right w:w="0" w:type="dxa"/>
          </w:tblCellMar>
        </w:tblPrEx>
        <w:trPr>
          <w:trHeight w:val="36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121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Style w:val="21"/>
                <w:rFonts w:hint="eastAsia" w:ascii="仿宋" w:hAnsi="仿宋" w:eastAsia="仿宋" w:cs="仿宋"/>
                <w:sz w:val="21"/>
                <w:szCs w:val="21"/>
              </w:rPr>
              <w:t>（2）项目支出</w:t>
            </w:r>
          </w:p>
        </w:tc>
        <w:tc>
          <w:tcPr>
            <w:tcW w:w="337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1"/>
                <w:szCs w:val="21"/>
              </w:rPr>
            </w:pPr>
            <w:r>
              <w:rPr>
                <w:rFonts w:hint="eastAsia" w:ascii="仿宋" w:hAnsi="仿宋" w:eastAsia="仿宋" w:cs="仿宋"/>
                <w:b/>
                <w:color w:val="000000"/>
                <w:sz w:val="21"/>
                <w:szCs w:val="21"/>
                <w:lang w:val="en-US" w:eastAsia="zh-CN"/>
              </w:rPr>
              <w:t>269.95</w:t>
            </w:r>
          </w:p>
        </w:tc>
      </w:tr>
      <w:tr>
        <w:tblPrEx>
          <w:tblCellMar>
            <w:top w:w="0" w:type="dxa"/>
            <w:left w:w="0" w:type="dxa"/>
            <w:bottom w:w="0" w:type="dxa"/>
            <w:right w:w="0" w:type="dxa"/>
          </w:tblCellMar>
        </w:tblPrEx>
        <w:trPr>
          <w:trHeight w:val="40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121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b/>
                <w:color w:val="000000"/>
                <w:kern w:val="0"/>
                <w:sz w:val="21"/>
                <w:szCs w:val="21"/>
              </w:rPr>
              <w:t>二级指标</w:t>
            </w:r>
          </w:p>
        </w:tc>
        <w:tc>
          <w:tcPr>
            <w:tcW w:w="337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仿宋" w:hAnsi="仿宋" w:eastAsia="仿宋" w:cs="仿宋"/>
                <w:b/>
                <w:color w:val="000000"/>
                <w:sz w:val="21"/>
                <w:szCs w:val="21"/>
                <w:lang w:val="en-US" w:eastAsia="zh-CN"/>
              </w:rPr>
            </w:pPr>
            <w:r>
              <w:rPr>
                <w:rFonts w:hint="eastAsia" w:ascii="仿宋" w:hAnsi="仿宋" w:eastAsia="仿宋" w:cs="仿宋"/>
                <w:b/>
                <w:color w:val="000000"/>
                <w:kern w:val="0"/>
                <w:sz w:val="21"/>
                <w:szCs w:val="21"/>
              </w:rPr>
              <w:t>三级指标</w:t>
            </w:r>
          </w:p>
        </w:tc>
      </w:tr>
      <w:tr>
        <w:tblPrEx>
          <w:tblCellMar>
            <w:top w:w="0" w:type="dxa"/>
            <w:left w:w="0" w:type="dxa"/>
            <w:bottom w:w="0" w:type="dxa"/>
            <w:right w:w="0" w:type="dxa"/>
          </w:tblCellMar>
        </w:tblPrEx>
        <w:trPr>
          <w:trHeight w:val="44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121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工作目标管理</w:t>
            </w:r>
          </w:p>
        </w:tc>
        <w:tc>
          <w:tcPr>
            <w:tcW w:w="337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仿宋" w:hAnsi="仿宋" w:eastAsia="仿宋" w:cs="仿宋"/>
                <w:b/>
                <w:color w:val="000000"/>
                <w:sz w:val="21"/>
                <w:szCs w:val="21"/>
                <w:lang w:val="en-US" w:eastAsia="zh-CN"/>
              </w:rPr>
            </w:pPr>
            <w:r>
              <w:rPr>
                <w:rFonts w:hint="eastAsia" w:ascii="仿宋" w:hAnsi="仿宋" w:eastAsia="仿宋" w:cs="仿宋"/>
                <w:color w:val="000000"/>
                <w:kern w:val="0"/>
                <w:sz w:val="21"/>
                <w:szCs w:val="21"/>
              </w:rPr>
              <w:t>年度履职目标相关性</w:t>
            </w:r>
          </w:p>
        </w:tc>
      </w:tr>
      <w:tr>
        <w:tblPrEx>
          <w:tblCellMar>
            <w:top w:w="0" w:type="dxa"/>
            <w:left w:w="0" w:type="dxa"/>
            <w:bottom w:w="0" w:type="dxa"/>
            <w:right w:w="0" w:type="dxa"/>
          </w:tblCellMar>
        </w:tblPrEx>
        <w:trPr>
          <w:trHeight w:val="540" w:hRule="atLeast"/>
          <w:jc w:val="center"/>
        </w:trPr>
        <w:tc>
          <w:tcPr>
            <w:tcW w:w="40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b/>
                <w:color w:val="000000"/>
                <w:sz w:val="21"/>
                <w:szCs w:val="21"/>
              </w:rPr>
            </w:pPr>
            <w:r>
              <w:rPr>
                <w:rFonts w:hint="eastAsia" w:ascii="仿宋" w:hAnsi="仿宋" w:eastAsia="仿宋" w:cs="仿宋"/>
                <w:b/>
                <w:color w:val="000000"/>
                <w:kern w:val="0"/>
                <w:sz w:val="21"/>
                <w:szCs w:val="21"/>
              </w:rPr>
              <w:t>一级指标</w:t>
            </w:r>
          </w:p>
        </w:tc>
        <w:tc>
          <w:tcPr>
            <w:tcW w:w="443" w:type="pc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1"/>
                <w:szCs w:val="21"/>
              </w:rPr>
            </w:pPr>
            <w:r>
              <w:rPr>
                <w:rFonts w:hint="eastAsia" w:ascii="仿宋" w:hAnsi="仿宋" w:eastAsia="仿宋" w:cs="仿宋"/>
                <w:color w:val="000000"/>
                <w:kern w:val="0"/>
                <w:sz w:val="21"/>
                <w:szCs w:val="21"/>
              </w:rPr>
              <w:t>预算和财务管理</w:t>
            </w: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b/>
                <w:color w:val="000000"/>
                <w:sz w:val="21"/>
                <w:szCs w:val="21"/>
              </w:rPr>
            </w:pPr>
            <w:r>
              <w:rPr>
                <w:rFonts w:hint="eastAsia" w:ascii="仿宋" w:hAnsi="仿宋" w:eastAsia="仿宋" w:cs="仿宋"/>
                <w:color w:val="000000"/>
                <w:kern w:val="0"/>
                <w:sz w:val="21"/>
                <w:szCs w:val="21"/>
              </w:rPr>
              <w:t>工作任务科学性</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b/>
                <w:color w:val="000000"/>
                <w:sz w:val="21"/>
                <w:szCs w:val="21"/>
              </w:rPr>
            </w:pPr>
            <w:r>
              <w:rPr>
                <w:rFonts w:hint="eastAsia" w:ascii="仿宋" w:hAnsi="仿宋" w:eastAsia="仿宋" w:cs="仿宋"/>
                <w:b/>
                <w:color w:val="000000"/>
                <w:kern w:val="0"/>
                <w:sz w:val="21"/>
                <w:szCs w:val="21"/>
              </w:rPr>
              <w:t>指标值</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b/>
                <w:color w:val="000000"/>
                <w:sz w:val="21"/>
                <w:szCs w:val="21"/>
              </w:rPr>
            </w:pPr>
            <w:r>
              <w:rPr>
                <w:rFonts w:hint="eastAsia" w:ascii="仿宋" w:hAnsi="仿宋" w:eastAsia="仿宋" w:cs="仿宋"/>
                <w:b/>
                <w:color w:val="000000"/>
                <w:kern w:val="0"/>
                <w:sz w:val="21"/>
                <w:szCs w:val="21"/>
              </w:rPr>
              <w:t>指标值说明</w:t>
            </w:r>
          </w:p>
        </w:tc>
      </w:tr>
      <w:tr>
        <w:tblPrEx>
          <w:tblCellMar>
            <w:top w:w="0" w:type="dxa"/>
            <w:left w:w="0" w:type="dxa"/>
            <w:bottom w:w="0" w:type="dxa"/>
            <w:right w:w="0" w:type="dxa"/>
          </w:tblCellMar>
        </w:tblPrEx>
        <w:trPr>
          <w:trHeight w:val="1280" w:hRule="atLeast"/>
          <w:jc w:val="center"/>
        </w:trPr>
        <w:tc>
          <w:tcPr>
            <w:tcW w:w="40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投入管理指标</w:t>
            </w:r>
          </w:p>
        </w:tc>
        <w:tc>
          <w:tcPr>
            <w:tcW w:w="443" w:type="pct"/>
            <w:vMerge w:val="restart"/>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预算和财务管理</w:t>
            </w: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绩效指标合理性</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相关</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预算编制完整性</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科学</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专项资金细化率</w:t>
            </w:r>
          </w:p>
        </w:tc>
        <w:tc>
          <w:tcPr>
            <w:tcW w:w="7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合理</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restart"/>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绩效管理</w:t>
            </w: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预算执行率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完整</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预算调整率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结转结余率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“三公经费”控制率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20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政府采购执行率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5%</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决算真实性</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“三公经费”控制率=本年度“三公经费”实际支出数/“三公经费”预算数*100%</w:t>
            </w:r>
          </w:p>
        </w:tc>
      </w:tr>
      <w:tr>
        <w:tblPrEx>
          <w:tblCellMar>
            <w:top w:w="0" w:type="dxa"/>
            <w:left w:w="0" w:type="dxa"/>
            <w:bottom w:w="0" w:type="dxa"/>
            <w:right w:w="0" w:type="dxa"/>
          </w:tblCellMar>
        </w:tblPrEx>
        <w:trPr>
          <w:trHeight w:val="106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p>
        </w:tc>
        <w:tc>
          <w:tcPr>
            <w:tcW w:w="775"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资金使用合规性</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管理制度健全性</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一致</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决算编制数据是否账表一致，即决算报表数据与会计账簿数据是否一致。</w:t>
            </w:r>
          </w:p>
        </w:tc>
      </w:tr>
      <w:tr>
        <w:tblPrEx>
          <w:tblCellMar>
            <w:top w:w="0" w:type="dxa"/>
            <w:left w:w="0" w:type="dxa"/>
            <w:bottom w:w="0" w:type="dxa"/>
            <w:right w:w="0" w:type="dxa"/>
          </w:tblCellMar>
        </w:tblPrEx>
        <w:trPr>
          <w:trHeight w:val="2160" w:hRule="atLeast"/>
          <w:jc w:val="center"/>
        </w:trPr>
        <w:tc>
          <w:tcPr>
            <w:tcW w:w="403"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投入管理指标</w:t>
            </w:r>
          </w:p>
        </w:tc>
        <w:tc>
          <w:tcPr>
            <w:tcW w:w="443" w:type="pct"/>
            <w:vMerge w:val="restart"/>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预决算信息公开性</w:t>
            </w:r>
          </w:p>
        </w:tc>
        <w:tc>
          <w:tcPr>
            <w:tcW w:w="725"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合规</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资产管理规范性</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健全</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事前评估完成率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公开</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绩效监控完成率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规范</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restart"/>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履职目标实现</w:t>
            </w: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绩效自评完成率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部门评价完成率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评价结果应用率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rPr>
              <w:t>建国前老工人取暖费发放到位率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jc w:val="center"/>
        </w:trPr>
        <w:tc>
          <w:tcPr>
            <w:tcW w:w="40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rPr>
              <w:t>人社部门工作顺利开展</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lang w:val="en-US" w:eastAsia="zh-CN"/>
              </w:rPr>
            </w:pPr>
            <w:r>
              <w:rPr>
                <w:rFonts w:hint="eastAsia" w:ascii="仿宋" w:hAnsi="仿宋" w:eastAsia="仿宋" w:cs="仿宋"/>
                <w:color w:val="000000"/>
                <w:kern w:val="0"/>
                <w:sz w:val="21"/>
                <w:szCs w:val="21"/>
                <w:lang w:val="en-US" w:eastAsia="zh-CN"/>
              </w:rPr>
              <w:t>事业单位招聘工作完成率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38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kern w:val="0"/>
                <w:sz w:val="21"/>
                <w:szCs w:val="21"/>
                <w:lang w:val="en-US" w:eastAsia="zh-CN"/>
              </w:rPr>
              <w:t>就业资金用于发放补贴及时率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100%</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38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lang w:val="en-US" w:eastAsia="zh-CN"/>
              </w:rPr>
            </w:pPr>
            <w:r>
              <w:rPr>
                <w:rFonts w:hint="eastAsia" w:ascii="仿宋" w:hAnsi="仿宋" w:eastAsia="仿宋" w:cs="仿宋"/>
                <w:color w:val="000000"/>
                <w:kern w:val="0"/>
                <w:sz w:val="21"/>
                <w:szCs w:val="21"/>
                <w:lang w:val="en-US" w:eastAsia="zh-CN"/>
              </w:rPr>
              <w:t>创业担保贷款贴息补助到位率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38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restart"/>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履职效益</w:t>
            </w: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1"/>
                <w:szCs w:val="21"/>
                <w:lang w:val="en-US" w:eastAsia="zh-CN"/>
              </w:rPr>
            </w:pPr>
            <w:r>
              <w:rPr>
                <w:rFonts w:hint="eastAsia" w:ascii="仿宋" w:hAnsi="仿宋" w:eastAsia="仿宋" w:cs="仿宋"/>
                <w:color w:val="000000"/>
                <w:sz w:val="21"/>
                <w:szCs w:val="21"/>
              </w:rPr>
              <w:t>保障</w:t>
            </w:r>
            <w:r>
              <w:rPr>
                <w:rFonts w:hint="eastAsia" w:ascii="仿宋" w:hAnsi="仿宋" w:eastAsia="仿宋" w:cs="仿宋"/>
                <w:color w:val="000000"/>
                <w:sz w:val="21"/>
                <w:szCs w:val="21"/>
                <w:lang w:val="en-US" w:eastAsia="zh-CN"/>
              </w:rPr>
              <w:t>农保中心</w:t>
            </w:r>
            <w:r>
              <w:rPr>
                <w:rFonts w:hint="eastAsia" w:ascii="仿宋" w:hAnsi="仿宋" w:eastAsia="仿宋" w:cs="仿宋"/>
                <w:color w:val="000000"/>
                <w:sz w:val="21"/>
                <w:szCs w:val="21"/>
              </w:rPr>
              <w:t>工作正常开展</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100%</w:t>
            </w:r>
          </w:p>
        </w:tc>
        <w:tc>
          <w:tcPr>
            <w:tcW w:w="2652"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38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1"/>
                <w:szCs w:val="21"/>
                <w:lang w:val="en-US" w:eastAsia="zh-CN"/>
              </w:rPr>
            </w:pPr>
            <w:r>
              <w:rPr>
                <w:rFonts w:hint="eastAsia" w:ascii="仿宋" w:hAnsi="仿宋" w:eastAsia="仿宋" w:cs="仿宋"/>
                <w:kern w:val="0"/>
                <w:sz w:val="21"/>
                <w:szCs w:val="21"/>
                <w:lang w:val="en-US" w:eastAsia="zh-CN"/>
              </w:rPr>
              <w:t>监察大队</w:t>
            </w:r>
            <w:r>
              <w:rPr>
                <w:rFonts w:hint="eastAsia" w:ascii="仿宋" w:hAnsi="仿宋" w:eastAsia="仿宋" w:cs="仿宋"/>
                <w:kern w:val="0"/>
                <w:sz w:val="21"/>
                <w:szCs w:val="21"/>
              </w:rPr>
              <w:t>自筹人员工资</w:t>
            </w:r>
            <w:r>
              <w:rPr>
                <w:rFonts w:hint="eastAsia" w:ascii="仿宋" w:hAnsi="仿宋" w:eastAsia="仿宋" w:cs="仿宋"/>
                <w:kern w:val="0"/>
                <w:sz w:val="21"/>
                <w:szCs w:val="21"/>
                <w:lang w:val="en-US" w:eastAsia="zh-CN"/>
              </w:rPr>
              <w:t>正常化发放</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100%</w:t>
            </w:r>
          </w:p>
        </w:tc>
        <w:tc>
          <w:tcPr>
            <w:tcW w:w="265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38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1"/>
                <w:szCs w:val="21"/>
                <w:lang w:val="en-US" w:eastAsia="zh-CN"/>
              </w:rPr>
            </w:pPr>
            <w:r>
              <w:rPr>
                <w:rFonts w:hint="eastAsia" w:ascii="仿宋" w:hAnsi="仿宋" w:eastAsia="仿宋" w:cs="仿宋"/>
                <w:kern w:val="0"/>
                <w:sz w:val="21"/>
                <w:szCs w:val="21"/>
                <w:lang w:val="en-US" w:eastAsia="zh-CN"/>
              </w:rPr>
              <w:t>完成</w:t>
            </w:r>
            <w:r>
              <w:rPr>
                <w:rFonts w:hint="eastAsia" w:ascii="仿宋" w:hAnsi="仿宋" w:eastAsia="仿宋" w:cs="仿宋"/>
                <w:kern w:val="0"/>
                <w:sz w:val="21"/>
                <w:szCs w:val="21"/>
              </w:rPr>
              <w:t>购置执法服装</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100%</w:t>
            </w:r>
          </w:p>
        </w:tc>
        <w:tc>
          <w:tcPr>
            <w:tcW w:w="265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38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1"/>
                <w:szCs w:val="21"/>
                <w:lang w:val="en-US" w:eastAsia="zh-CN"/>
              </w:rPr>
            </w:pPr>
            <w:r>
              <w:rPr>
                <w:rFonts w:hint="eastAsia" w:ascii="仿宋" w:hAnsi="仿宋" w:eastAsia="仿宋" w:cs="仿宋"/>
                <w:sz w:val="21"/>
                <w:szCs w:val="21"/>
              </w:rPr>
              <w:t>为我县建国前企业社保工人发放取暖费</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100%</w:t>
            </w:r>
          </w:p>
        </w:tc>
        <w:tc>
          <w:tcPr>
            <w:tcW w:w="2652"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38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rPr>
              <w:t>开展工伤认定、劳动仲裁、档案代理</w:t>
            </w:r>
            <w:r>
              <w:rPr>
                <w:rFonts w:hint="eastAsia" w:ascii="仿宋" w:hAnsi="仿宋" w:eastAsia="仿宋" w:cs="仿宋"/>
                <w:kern w:val="0"/>
                <w:sz w:val="21"/>
                <w:szCs w:val="21"/>
                <w:lang w:eastAsia="zh-CN"/>
              </w:rPr>
              <w:t>、</w:t>
            </w:r>
            <w:r>
              <w:rPr>
                <w:rFonts w:hint="eastAsia" w:ascii="仿宋" w:hAnsi="仿宋" w:eastAsia="仿宋" w:cs="仿宋"/>
                <w:kern w:val="0"/>
                <w:sz w:val="21"/>
                <w:szCs w:val="21"/>
                <w:lang w:val="en-US" w:eastAsia="zh-CN"/>
              </w:rPr>
              <w:t>职称评定</w:t>
            </w:r>
            <w:r>
              <w:rPr>
                <w:rFonts w:hint="eastAsia" w:ascii="仿宋" w:hAnsi="仿宋" w:eastAsia="仿宋" w:cs="仿宋"/>
                <w:kern w:val="0"/>
                <w:sz w:val="21"/>
                <w:szCs w:val="21"/>
              </w:rPr>
              <w:t>等工作经费。购置办公用品及日常开支，保障单位日常办公正常运转。</w:t>
            </w:r>
          </w:p>
          <w:p>
            <w:pPr>
              <w:widowControl/>
              <w:jc w:val="left"/>
              <w:textAlignment w:val="center"/>
              <w:rPr>
                <w:rFonts w:hint="eastAsia" w:ascii="仿宋" w:hAnsi="仿宋" w:eastAsia="仿宋" w:cs="仿宋"/>
                <w:color w:val="000000"/>
                <w:kern w:val="0"/>
                <w:sz w:val="21"/>
                <w:szCs w:val="21"/>
                <w:lang w:val="en-US" w:eastAsia="zh-CN"/>
              </w:rPr>
            </w:pP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100%</w:t>
            </w:r>
          </w:p>
        </w:tc>
        <w:tc>
          <w:tcPr>
            <w:tcW w:w="2652"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44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restart"/>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满意度</w:t>
            </w: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kern w:val="0"/>
                <w:sz w:val="21"/>
                <w:szCs w:val="21"/>
              </w:rPr>
              <w:t>事业单位招考提供经费保障，保证事业单位招考工作顺利开展。</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rPr>
              <w:t>完善各项就业创业政策，确保政策享受对象及时得到补贴补助资金扶持。</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27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kern w:val="0"/>
                <w:sz w:val="21"/>
                <w:szCs w:val="21"/>
              </w:rPr>
            </w:pPr>
            <w:r>
              <w:rPr>
                <w:rFonts w:hint="eastAsia" w:ascii="仿宋" w:hAnsi="仿宋" w:eastAsia="仿宋" w:cs="仿宋"/>
                <w:color w:val="000000"/>
                <w:kern w:val="0"/>
                <w:sz w:val="21"/>
                <w:szCs w:val="21"/>
                <w:lang w:val="en-US" w:eastAsia="zh-CN"/>
              </w:rPr>
              <w:t>创业担保贷款贴息补助保障个体户、小微企业享受创业担保贷款正常运转</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27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kern w:val="0"/>
                <w:sz w:val="21"/>
                <w:szCs w:val="21"/>
              </w:rPr>
            </w:pPr>
            <w:r>
              <w:rPr>
                <w:rFonts w:hint="eastAsia" w:ascii="仿宋" w:hAnsi="仿宋" w:eastAsia="仿宋" w:cs="仿宋"/>
                <w:color w:val="000000"/>
                <w:sz w:val="21"/>
                <w:szCs w:val="21"/>
              </w:rPr>
              <w:t>保障单位工作正常开展</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27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sz w:val="21"/>
                <w:szCs w:val="21"/>
              </w:rPr>
              <w:t>提高办公效率</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270" w:hRule="atLeast"/>
          <w:jc w:val="center"/>
        </w:trPr>
        <w:tc>
          <w:tcPr>
            <w:tcW w:w="403" w:type="pct"/>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kern w:val="0"/>
                <w:sz w:val="21"/>
                <w:szCs w:val="21"/>
              </w:rPr>
              <w:t>自筹人员工资</w:t>
            </w:r>
            <w:r>
              <w:rPr>
                <w:rFonts w:hint="eastAsia" w:ascii="仿宋" w:hAnsi="仿宋" w:eastAsia="仿宋" w:cs="仿宋"/>
                <w:kern w:val="0"/>
                <w:sz w:val="21"/>
                <w:szCs w:val="21"/>
                <w:lang w:val="en-US" w:eastAsia="zh-CN"/>
              </w:rPr>
              <w:t>正常化发放</w:t>
            </w:r>
            <w:r>
              <w:rPr>
                <w:rFonts w:hint="eastAsia" w:ascii="仿宋" w:hAnsi="仿宋" w:eastAsia="仿宋" w:cs="仿宋"/>
                <w:kern w:val="0"/>
                <w:sz w:val="21"/>
                <w:szCs w:val="21"/>
              </w:rPr>
              <w:t>、及日常办公经费</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保障</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270" w:hRule="atLeast"/>
          <w:jc w:val="center"/>
        </w:trPr>
        <w:tc>
          <w:tcPr>
            <w:tcW w:w="403" w:type="pct"/>
            <w:vMerge w:val="continue"/>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kern w:val="0"/>
                <w:sz w:val="21"/>
                <w:szCs w:val="21"/>
              </w:rPr>
              <w:t>购置执法服装</w:t>
            </w:r>
            <w:r>
              <w:rPr>
                <w:rFonts w:hint="eastAsia" w:ascii="仿宋" w:hAnsi="仿宋" w:eastAsia="仿宋" w:cs="仿宋"/>
                <w:kern w:val="0"/>
                <w:sz w:val="21"/>
                <w:szCs w:val="21"/>
                <w:lang w:val="en-US" w:eastAsia="zh-CN"/>
              </w:rPr>
              <w:t>完成度</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提高</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270" w:hRule="atLeast"/>
          <w:jc w:val="center"/>
        </w:trPr>
        <w:tc>
          <w:tcPr>
            <w:tcW w:w="403"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p>
        </w:tc>
        <w:tc>
          <w:tcPr>
            <w:tcW w:w="775" w:type="pc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经济效益</w:t>
            </w:r>
          </w:p>
        </w:tc>
        <w:tc>
          <w:tcPr>
            <w:tcW w:w="725"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270" w:hRule="atLeast"/>
          <w:jc w:val="center"/>
        </w:trPr>
        <w:tc>
          <w:tcPr>
            <w:tcW w:w="40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lang w:val="en-US" w:eastAsia="zh-CN"/>
              </w:rPr>
            </w:pPr>
            <w:r>
              <w:rPr>
                <w:rFonts w:hint="eastAsia" w:ascii="仿宋" w:hAnsi="仿宋" w:eastAsia="仿宋" w:cs="仿宋"/>
                <w:color w:val="000000"/>
                <w:kern w:val="0"/>
                <w:sz w:val="21"/>
                <w:szCs w:val="21"/>
              </w:rPr>
              <w:t>社会效益</w:t>
            </w:r>
          </w:p>
        </w:tc>
        <w:tc>
          <w:tcPr>
            <w:tcW w:w="725" w:type="pc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100%</w:t>
            </w:r>
          </w:p>
        </w:tc>
        <w:tc>
          <w:tcPr>
            <w:tcW w:w="26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402" w:hRule="atLeast"/>
          <w:jc w:val="center"/>
        </w:trPr>
        <w:tc>
          <w:tcPr>
            <w:tcW w:w="403" w:type="pct"/>
            <w:vMerge w:val="restar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效益指标</w:t>
            </w:r>
          </w:p>
        </w:tc>
        <w:tc>
          <w:tcPr>
            <w:tcW w:w="443" w:type="pct"/>
            <w:vMerge w:val="restart"/>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生态效益</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265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rPr>
              <w:t>可持续影响效益</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维护社会稳定、促进经济发展，促进就业；提高办公效率</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46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公众或服务对象满意度</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28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lang w:val="en-US" w:eastAsia="zh-CN"/>
              </w:rPr>
            </w:pPr>
            <w:r>
              <w:rPr>
                <w:rFonts w:hint="eastAsia" w:ascii="仿宋" w:hAnsi="仿宋" w:eastAsia="仿宋" w:cs="仿宋"/>
                <w:color w:val="000000"/>
                <w:kern w:val="0"/>
                <w:sz w:val="21"/>
                <w:szCs w:val="21"/>
              </w:rPr>
              <w:t>投诉案件处理满意率或评议满意度</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保障工作顺利进行，促进就业工作开展、促进经济发展</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66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restart"/>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rPr>
              <w:t>工作人员满意度</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≥95%</w:t>
            </w:r>
          </w:p>
        </w:tc>
        <w:tc>
          <w:tcPr>
            <w:tcW w:w="265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rPr>
            </w:pPr>
            <w:r>
              <w:rPr>
                <w:rFonts w:hint="eastAsia" w:ascii="仿宋" w:hAnsi="仿宋" w:eastAsia="仿宋" w:cs="仿宋"/>
                <w:color w:val="000000"/>
                <w:kern w:val="0"/>
                <w:sz w:val="21"/>
                <w:szCs w:val="21"/>
                <w:lang w:val="en-US" w:eastAsia="zh-CN"/>
              </w:rPr>
              <w:t>关联单位满意度</w:t>
            </w: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≥95%</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84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1"/>
                <w:szCs w:val="21"/>
                <w:lang w:val="en-US" w:eastAsia="zh-CN"/>
              </w:rPr>
            </w:pP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≥95%</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r>
        <w:tblPrEx>
          <w:tblCellMar>
            <w:top w:w="0" w:type="dxa"/>
            <w:left w:w="0" w:type="dxa"/>
            <w:bottom w:w="0" w:type="dxa"/>
            <w:right w:w="0" w:type="dxa"/>
          </w:tblCellMar>
        </w:tblPrEx>
        <w:trPr>
          <w:trHeight w:val="400" w:hRule="atLeast"/>
          <w:jc w:val="center"/>
        </w:trPr>
        <w:tc>
          <w:tcPr>
            <w:tcW w:w="40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p>
        </w:tc>
        <w:tc>
          <w:tcPr>
            <w:tcW w:w="443"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color w:val="000000"/>
                <w:sz w:val="21"/>
                <w:szCs w:val="21"/>
              </w:rPr>
            </w:pPr>
          </w:p>
        </w:tc>
        <w:tc>
          <w:tcPr>
            <w:tcW w:w="7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sz w:val="21"/>
                <w:szCs w:val="21"/>
                <w:lang w:val="en-US" w:eastAsia="zh-CN"/>
              </w:rPr>
            </w:pPr>
          </w:p>
        </w:tc>
        <w:tc>
          <w:tcPr>
            <w:tcW w:w="7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1"/>
                <w:szCs w:val="21"/>
              </w:rPr>
            </w:pPr>
            <w:r>
              <w:rPr>
                <w:rFonts w:hint="eastAsia" w:ascii="仿宋" w:hAnsi="仿宋" w:eastAsia="仿宋" w:cs="仿宋"/>
                <w:color w:val="000000"/>
                <w:sz w:val="21"/>
                <w:szCs w:val="21"/>
              </w:rPr>
              <w:t>≥95%</w:t>
            </w:r>
          </w:p>
        </w:tc>
        <w:tc>
          <w:tcPr>
            <w:tcW w:w="265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color w:val="000000"/>
                <w:sz w:val="21"/>
                <w:szCs w:val="21"/>
              </w:rPr>
            </w:pPr>
          </w:p>
        </w:tc>
      </w:tr>
    </w:tbl>
    <w:p>
      <w:pPr>
        <w:widowControl/>
        <w:spacing w:line="320" w:lineRule="exact"/>
        <w:jc w:val="both"/>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46F2243"/>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71E1A43"/>
    <w:rsid w:val="39B35D5B"/>
    <w:rsid w:val="3C2D6AB1"/>
    <w:rsid w:val="3C650EA2"/>
    <w:rsid w:val="3C882259"/>
    <w:rsid w:val="3D8D2DB2"/>
    <w:rsid w:val="3DBF3F38"/>
    <w:rsid w:val="40DC543A"/>
    <w:rsid w:val="40F95D7C"/>
    <w:rsid w:val="44661788"/>
    <w:rsid w:val="447B51CD"/>
    <w:rsid w:val="48792D39"/>
    <w:rsid w:val="499C14F2"/>
    <w:rsid w:val="4A69625F"/>
    <w:rsid w:val="4B870AC0"/>
    <w:rsid w:val="4C281AB1"/>
    <w:rsid w:val="4C2B4AF1"/>
    <w:rsid w:val="530504E8"/>
    <w:rsid w:val="53D53D55"/>
    <w:rsid w:val="54725B36"/>
    <w:rsid w:val="54FE107E"/>
    <w:rsid w:val="55163C24"/>
    <w:rsid w:val="5601198C"/>
    <w:rsid w:val="56104055"/>
    <w:rsid w:val="572C68E4"/>
    <w:rsid w:val="5CE85B58"/>
    <w:rsid w:val="5D731A92"/>
    <w:rsid w:val="5FC43B52"/>
    <w:rsid w:val="603E5DB0"/>
    <w:rsid w:val="61067965"/>
    <w:rsid w:val="62A47E73"/>
    <w:rsid w:val="62A85D16"/>
    <w:rsid w:val="642660CF"/>
    <w:rsid w:val="64D12C3C"/>
    <w:rsid w:val="6647282C"/>
    <w:rsid w:val="66AC044C"/>
    <w:rsid w:val="678B2E0B"/>
    <w:rsid w:val="6988452D"/>
    <w:rsid w:val="707D36D5"/>
    <w:rsid w:val="721C39A2"/>
    <w:rsid w:val="72B91FCA"/>
    <w:rsid w:val="755D3DB4"/>
    <w:rsid w:val="77A44894"/>
    <w:rsid w:val="78482E10"/>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后知后觉</cp:lastModifiedBy>
  <dcterms:modified xsi:type="dcterms:W3CDTF">2022-03-09T01:56:24Z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2BB3D6730ED14DADAED5BF6B7F50A499</vt:lpwstr>
  </property>
</Properties>
</file>