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建档立卡优秀务工人员奖补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新乡县人力资源和社会保障局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新乡县人力资源和社会保障局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根据新脱指(2017)72号文件精神，我县建档立卡60岁以下贫困劳动力务工时间在6个月以上，且年收入在2万元以上给予一次性奖励，奖励金按10%发放，最高不超过5000元。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根据新脱指(2017)72号文件精神，我县建档立卡60岁以下贫困劳动力务工时间在6个月以上，且年收入在2万元以上给予一次性奖励，奖励金按10%发放，最高不超过5000元。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指标1：享受一次性奖补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劳动脱贫人数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20人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指标1：享受一次性奖补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劳动脱贫人数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20人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劳动脱贫资金发放次数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3次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劳动脱贫资金发放次数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3次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人员核定准确率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人员核定准确率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资金拨付及时率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资金拨付及时率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新脱指(2017)72号文件，奖补标准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符合标准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新脱指(2017)72号文件，奖补标准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符合标准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激励更多贫困劳动力实现就业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18"/>
                      <w:szCs w:val="18"/>
                    </w:rPr>
                    <w:t>符合本年度要求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激励更多贫困劳动力实现就业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18"/>
                      <w:szCs w:val="18"/>
                    </w:rPr>
                    <w:t>符合本年度要求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指标1：扶贫政策对贫困人口的帮扶程度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18"/>
                      <w:szCs w:val="18"/>
                    </w:rPr>
                    <w:t>符合本年度要求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指标1：扶贫政策对贫困人口的帮扶程度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18"/>
                      <w:szCs w:val="18"/>
                    </w:rPr>
                    <w:t>符合本年度要求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激励更多贫困，通过劳动脱贫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18"/>
                      <w:szCs w:val="18"/>
                    </w:rPr>
                    <w:t>符合本年度要求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激励更多贫困，通过劳动脱贫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18"/>
                      <w:szCs w:val="18"/>
                    </w:rPr>
                    <w:t>符合本年度要求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bookmarkStart w:id="0" w:name="_GoBack" w:colFirst="3" w:colLast="4"/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指标1：受益贫困人口满意度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满意度≥95%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指标1：受益贫困人口满意度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满意度≥95%</w:t>
                  </w:r>
                </w:p>
              </w:tc>
            </w:tr>
            <w:bookmarkEnd w:id="0"/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210"/>
        <w:sectPr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67A43DD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E175DC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2E7743D6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6DE1847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3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后知后觉</cp:lastModifiedBy>
  <dcterms:modified xsi:type="dcterms:W3CDTF">2021-09-28T03:03:55Z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