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673"/>
        <w:gridCol w:w="745"/>
        <w:gridCol w:w="1509"/>
        <w:gridCol w:w="789"/>
        <w:gridCol w:w="4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b/>
                <w:color w:val="000000"/>
                <w:sz w:val="44"/>
                <w:szCs w:val="44"/>
              </w:rPr>
            </w:pPr>
            <w:bookmarkStart w:id="0" w:name="_GoBack"/>
            <w:r>
              <w:rPr>
                <w:rFonts w:hint="eastAsia" w:ascii="宋体" w:hAnsi="宋体" w:cs="宋体"/>
                <w:b/>
                <w:color w:val="000000"/>
                <w:kern w:val="0"/>
                <w:sz w:val="44"/>
                <w:szCs w:val="44"/>
              </w:rPr>
              <w:t>部门（单位）整体绩效目标申报表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8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中共新乡县委组织部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40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5" w:type="pct"/>
            <w:gridSpan w:val="4"/>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rPr>
                <w:rFonts w:hint="eastAsia" w:ascii="仿宋" w:hAnsi="仿宋" w:eastAsia="仿宋" w:cs="宋体"/>
                <w:color w:val="000000"/>
                <w:kern w:val="0"/>
                <w:sz w:val="18"/>
                <w:szCs w:val="18"/>
                <w:lang w:eastAsia="zh-CN"/>
              </w:rPr>
            </w:pPr>
            <w:r>
              <w:rPr>
                <w:rFonts w:hint="eastAsia" w:ascii="仿宋" w:hAnsi="仿宋" w:eastAsia="仿宋" w:cs="宋体"/>
                <w:color w:val="000000"/>
                <w:kern w:val="0"/>
                <w:sz w:val="18"/>
                <w:szCs w:val="18"/>
              </w:rPr>
              <w:t>目标1：</w:t>
            </w:r>
            <w:r>
              <w:rPr>
                <w:rFonts w:hint="eastAsia" w:ascii="仿宋" w:hAnsi="仿宋" w:eastAsia="仿宋" w:cs="宋体"/>
                <w:color w:val="000000"/>
                <w:kern w:val="0"/>
                <w:sz w:val="18"/>
                <w:szCs w:val="18"/>
                <w:lang w:eastAsia="zh-CN"/>
              </w:rPr>
              <w:t>拟定研究和指导全县党组织特别是党的基层组织建设</w:t>
            </w:r>
          </w:p>
          <w:p>
            <w:pPr>
              <w:rPr>
                <w:rFonts w:hint="eastAsia" w:ascii="仿宋" w:hAnsi="仿宋" w:eastAsia="仿宋" w:cs="宋体"/>
                <w:color w:val="000000"/>
                <w:kern w:val="0"/>
                <w:sz w:val="18"/>
                <w:szCs w:val="18"/>
                <w:lang w:eastAsia="zh-CN"/>
              </w:rPr>
            </w:pPr>
            <w:r>
              <w:rPr>
                <w:rFonts w:hint="eastAsia" w:ascii="仿宋" w:hAnsi="仿宋" w:eastAsia="仿宋" w:cs="宋体"/>
                <w:color w:val="000000"/>
                <w:kern w:val="0"/>
                <w:sz w:val="18"/>
                <w:szCs w:val="18"/>
              </w:rPr>
              <w:t>目标2：</w:t>
            </w:r>
            <w:r>
              <w:rPr>
                <w:rFonts w:hint="eastAsia" w:ascii="仿宋" w:hAnsi="仿宋" w:eastAsia="仿宋" w:cs="宋体"/>
                <w:color w:val="000000"/>
                <w:kern w:val="0"/>
                <w:sz w:val="18"/>
                <w:szCs w:val="18"/>
                <w:lang w:eastAsia="zh-CN"/>
              </w:rPr>
              <w:t>提出各乡镇和县直各单位及列入县委管理的领导班子和干部调整，配备意见和建议，负责全县干部考察和办理任免工资待遇离退休等工作，指导领导班子思想作风建设。</w:t>
            </w:r>
          </w:p>
          <w:p>
            <w:pPr>
              <w:rPr>
                <w:rFonts w:hint="eastAsia" w:ascii="仿宋" w:hAnsi="仿宋" w:eastAsia="仿宋" w:cs="宋体"/>
                <w:color w:val="000000"/>
                <w:kern w:val="0"/>
                <w:sz w:val="18"/>
                <w:szCs w:val="18"/>
              </w:rPr>
            </w:pPr>
            <w:r>
              <w:rPr>
                <w:rFonts w:hint="eastAsia" w:ascii="仿宋" w:hAnsi="仿宋" w:eastAsia="仿宋" w:cs="宋体"/>
                <w:color w:val="000000"/>
                <w:kern w:val="0"/>
                <w:sz w:val="18"/>
                <w:szCs w:val="18"/>
              </w:rPr>
              <w:t>目标3：研究指导全县党的组织制度和干部人事制度的改革，制定或参与制定全县组织和干部人事工作的有关政策和制度。</w:t>
            </w:r>
          </w:p>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rPr>
              <w:t>目标</w:t>
            </w:r>
            <w:r>
              <w:rPr>
                <w:rFonts w:hint="eastAsia" w:ascii="仿宋" w:hAnsi="仿宋" w:eastAsia="仿宋" w:cs="宋体"/>
                <w:color w:val="000000"/>
                <w:kern w:val="0"/>
                <w:sz w:val="18"/>
                <w:szCs w:val="18"/>
                <w:lang w:val="en-US" w:eastAsia="zh-CN"/>
              </w:rPr>
              <w:t>4：</w:t>
            </w:r>
            <w:r>
              <w:rPr>
                <w:rFonts w:hint="eastAsia" w:ascii="仿宋" w:hAnsi="仿宋" w:eastAsia="仿宋" w:cs="宋体"/>
                <w:color w:val="000000"/>
                <w:kern w:val="0"/>
                <w:sz w:val="18"/>
                <w:szCs w:val="18"/>
              </w:rPr>
              <w:t>全县干部教育工作，制定全县干部教育规划和实施意见；负责县委管理干部、组织部部管干部及后备干部的培训工作。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595" w:type="pct"/>
            <w:gridSpan w:val="4"/>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仿宋" w:hAnsi="仿宋" w:eastAsia="仿宋" w:cs="仿宋"/>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595" w:type="pct"/>
            <w:gridSpan w:val="4"/>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仿宋" w:hAnsi="仿宋" w:eastAsia="仿宋" w:cs="仿宋"/>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595" w:type="pct"/>
            <w:gridSpan w:val="4"/>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left"/>
              <w:rPr>
                <w:rFonts w:ascii="仿宋" w:hAnsi="仿宋" w:eastAsia="仿宋" w:cs="仿宋"/>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404" w:type="pct"/>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eastAsia="zh-CN"/>
              </w:rPr>
              <w:t>拟定研究和指导全县党组织特别是党的基层组织建设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仿宋" w:hAnsi="仿宋" w:eastAsia="仿宋" w:cs="宋体"/>
                <w:color w:val="000000"/>
                <w:kern w:val="0"/>
                <w:sz w:val="18"/>
                <w:szCs w:val="18"/>
                <w:lang w:eastAsia="zh-CN"/>
              </w:rPr>
            </w:pPr>
            <w:r>
              <w:rPr>
                <w:rFonts w:hint="eastAsia" w:ascii="仿宋" w:hAnsi="仿宋" w:eastAsia="仿宋" w:cs="宋体"/>
                <w:color w:val="000000"/>
                <w:kern w:val="0"/>
                <w:sz w:val="18"/>
                <w:szCs w:val="18"/>
                <w:lang w:eastAsia="zh-CN"/>
              </w:rPr>
              <w:t>提出各乡镇和县直各单位及列入县委管理的领导班子和干部调整，配备意见和建议，负责全县干部考察和办理任免工资待遇离退休等工作，指导领导班子思想作风建设。</w:t>
            </w:r>
          </w:p>
          <w:p>
            <w:pPr>
              <w:widowControl/>
              <w:jc w:val="center"/>
              <w:textAlignment w:val="center"/>
              <w:rPr>
                <w:rFonts w:ascii="仿宋" w:hAnsi="仿宋" w:eastAsia="仿宋" w:cs="仿宋"/>
                <w:b/>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rPr>
              <w:t>研究指导全县党的组织制度和干部人事制度的改革，制定或参与制定全县组织和干部人事工作的有关政策和制度。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8"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rPr>
              <w:t>全县干部教育工作，制定全县干部教育规划和实施意见；负责县委管理干部、组织部部管干部及后备干部的培训工作。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40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324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324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324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324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3038.5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rPr>
        <w:tc>
          <w:tcPr>
            <w:tcW w:w="40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eastAsia="宋体"/>
                <w:lang w:val="en-US" w:eastAsia="zh-CN"/>
              </w:rPr>
            </w:pPr>
            <w:r>
              <w:rPr>
                <w:rFonts w:hint="eastAsia"/>
                <w:lang w:val="en-US" w:eastAsia="zh-CN"/>
              </w:rPr>
              <w:t>真实</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0" w:hRule="atLeast"/>
        </w:trPr>
        <w:tc>
          <w:tcPr>
            <w:tcW w:w="404" w:type="pct"/>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5" w:type="pct"/>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3" w:type="pct"/>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公开</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404" w:type="pct"/>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0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40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40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color w:val="000000"/>
                <w:sz w:val="20"/>
                <w:szCs w:val="20"/>
              </w:rPr>
            </w:pPr>
          </w:p>
        </w:tc>
        <w:tc>
          <w:tcPr>
            <w:tcW w:w="2769"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仿宋" w:hAnsi="仿宋" w:eastAsia="仿宋" w:cs="仿宋"/>
                <w:color w:val="000000"/>
                <w:sz w:val="20"/>
                <w:szCs w:val="20"/>
              </w:rPr>
            </w:pP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263B0"/>
    <w:rsid w:val="31826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宋体"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2022-03-14T07:41:00Z</dcterms:created>
  <dc:creator>xzf</dc:creator>
  <cp:lastModifiedBy>xzf</cp:lastModifiedBy>
  <dcterms:modified xsi:type="dcterms:W3CDTF">2022-03-14T07:42:03Z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