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autofit"/>
        <w:tblCellMar>
          <w:top w:w="0" w:type="dxa"/>
          <w:left w:w="0" w:type="dxa"/>
          <w:bottom w:w="0" w:type="dxa"/>
          <w:right w:w="0" w:type="dxa"/>
        </w:tblCellMar>
      </w:tblPr>
      <w:tblGrid>
        <w:gridCol w:w="852"/>
        <w:gridCol w:w="940"/>
        <w:gridCol w:w="1899"/>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（2021年度）</w:t>
            </w:r>
          </w:p>
        </w:tc>
      </w:tr>
      <w:tr>
        <w:tblPrEx>
          <w:tblCellMar>
            <w:top w:w="0" w:type="dxa"/>
            <w:left w:w="0" w:type="dxa"/>
            <w:bottom w:w="0" w:type="dxa"/>
            <w:right w:w="0" w:type="dxa"/>
          </w:tblCellMar>
        </w:tblPrEx>
        <w:trPr>
          <w:trHeight w:val="450" w:hRule="atLeast"/>
        </w:trPr>
        <w:tc>
          <w:tcPr>
            <w:tcW w:w="85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kern w:val="0"/>
                <w:sz w:val="24"/>
              </w:rPr>
              <w:t>中共新乡县委编办</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4"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目标1：按照省市安排，持续推进机构改革“后半篇文章”工作，持续抓好向基层放权赋权、乡镇综合行政执法等重点改革事项。</w:t>
            </w:r>
          </w:p>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目标2：稳妥推进事业单位改革，完善事业单位管理制度。做好2021年事业单位公开招聘编制审核工作，为全县事业单位人才引进提供机构编制保障。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目标3：做好县直事业单位法人登记管理、监督检查工作和县直党政群机关统一社会信用代码赋码管理工作，继续做好全县机构编制电子政务和信息化建设工作。</w:t>
            </w:r>
          </w:p>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目标4：协调县委各部门之间、县政府各部门之间的职能配置及调整，协调县直部门之间以及县直部门与乡镇之间的职责分工。</w:t>
            </w:r>
          </w:p>
          <w:p>
            <w:r>
              <w:rPr>
                <w:rFonts w:hint="eastAsia" w:ascii="仿宋" w:hAnsi="仿宋" w:eastAsia="仿宋" w:cs="仿宋"/>
                <w:color w:val="000000"/>
                <w:kern w:val="0"/>
                <w:sz w:val="22"/>
                <w:szCs w:val="22"/>
              </w:rPr>
              <w:t>目标5：拟订全县事业单位管理体制改革和机构改革方案，经批准后组织实施；负责县事业单位机构改革方案的审核和机构编制管理工作；配合市委编办做好全县副科级及以上事业单位机构设置和调整事宜。</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4"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4"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4"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仿宋"/>
                <w:kern w:val="0"/>
                <w:sz w:val="24"/>
              </w:rPr>
              <w:t>政务和公益域名注册管理</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仿宋"/>
                <w:kern w:val="0"/>
                <w:sz w:val="24"/>
              </w:rPr>
              <w:t>文案制作</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仿宋"/>
                <w:kern w:val="0"/>
                <w:sz w:val="24"/>
              </w:rPr>
              <w:t>办公用房改造和电子政务建设</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193.18</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1、资金来源：（1）财政性资金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193.18</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（2）其他资金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2、资金结构：（1）基本支出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183.18</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（2）项目支出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10</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相关</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科学</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220" w:firstLineChars="100"/>
              <w:rPr>
                <w:rFonts w:ascii="仿宋" w:hAnsi="仿宋" w:eastAsia="仿宋" w:cs="仿宋"/>
                <w:color w:val="000000"/>
                <w:sz w:val="22"/>
                <w:szCs w:val="22"/>
              </w:rPr>
            </w:pPr>
            <w:r>
              <w:rPr>
                <w:rFonts w:hint="eastAsia" w:ascii="仿宋" w:hAnsi="仿宋" w:eastAsia="仿宋" w:cs="仿宋"/>
                <w:color w:val="000000"/>
                <w:sz w:val="22"/>
                <w:szCs w:val="22"/>
              </w:rPr>
              <w:t>合理</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完整</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48"/>
                <w:szCs w:val="48"/>
              </w:rPr>
            </w:pPr>
            <w:r>
              <w:rPr>
                <w:rFonts w:hint="eastAsia" w:ascii="仿宋" w:hAnsi="仿宋" w:eastAsia="仿宋" w:cs="仿宋"/>
                <w:color w:val="000000"/>
                <w:sz w:val="48"/>
                <w:szCs w:val="48"/>
              </w:rPr>
              <w:t>∕</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真实</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5"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合规</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健全</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及时公开</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规范</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重点工作3计划完成率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年度工作目标3实现率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1"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firstLineChars="200"/>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可持续效益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0" w:firstLineChars="0"/>
      </w:pPr>
    </w:p>
    <w:p>
      <w:bookmarkStart w:id="0" w:name="_GoBack"/>
      <w:bookmarkEnd w:id="0"/>
    </w:p>
    <w:sectPr>
      <w:pgSz w:w="11906" w:h="16838"/>
      <w:pgMar w:top="720" w:right="720" w:bottom="720" w:left="720" w:header="851" w:footer="22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E92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2022-03-11T07:49:53Z</dcterms:created>
  <dc:creator>Administrator</dc:creator>
  <cp:lastModifiedBy>Administrator</cp:lastModifiedBy>
  <dcterms:modified xsi:type="dcterms:W3CDTF">2022-03-11T07:50:21Z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E4708602C7B34D5E829537BBC2FEA414</vt:lpwstr>
  </property>
</Properties>
</file>