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1367"/>
        <w:gridCol w:w="4015"/>
        <w:gridCol w:w="23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0" w:type="auto"/>
            <w:gridSpan w:val="4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44"/>
                <w:szCs w:val="44"/>
              </w:rPr>
            </w:pPr>
          </w:p>
          <w:p>
            <w:pPr>
              <w:pStyle w:val="2"/>
              <w:ind w:firstLine="210"/>
            </w:pPr>
          </w:p>
          <w:p>
            <w:pPr>
              <w:pStyle w:val="2"/>
              <w:ind w:firstLine="210"/>
            </w:pPr>
          </w:p>
          <w:p>
            <w:pPr>
              <w:pStyle w:val="2"/>
              <w:ind w:firstLine="210"/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44"/>
                <w:szCs w:val="4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44"/>
                <w:szCs w:val="44"/>
              </w:rPr>
              <w:t>共青团新乡县委整体绩效目标申报表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0" w:type="auto"/>
            <w:gridSpan w:val="4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 xml:space="preserve">（  </w: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>2021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gridSpan w:val="2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部门（单位）名称</w:t>
            </w:r>
          </w:p>
        </w:tc>
        <w:tc>
          <w:tcPr>
            <w:tcW w:w="0" w:type="auto"/>
            <w:gridSpan w:val="2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共青团新乡县委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年度履职目标</w:t>
            </w:r>
          </w:p>
        </w:tc>
        <w:tc>
          <w:tcPr>
            <w:tcW w:w="0" w:type="auto"/>
            <w:gridSpan w:val="3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目标1:领导全县共青团工作。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目标2:领导全县少先队工作，对全县各青年团组织实施指导和管理。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目标3:参与制订我县青少年发展规划和青少年工作、方针、政策，对青少年活动阵地、青少年服务机构等进行规划和管理。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目标4:在全县经济建设中，组织和带领全县广大团员青年发挥生力军和突击队的作用。目标5:按照《团章》规定，抓好团组织自身建设;建设好各级团组织，发展团员队伍，管理团的干部，向党组织推荐优秀团员做党员发展对象。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目标6:协调政府和教育部门做好中小学生的思想工作，维护学校稳定和社会安定团结。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3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3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3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年度主要任务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任务名称</w:t>
            </w:r>
          </w:p>
        </w:tc>
        <w:tc>
          <w:tcPr>
            <w:tcW w:w="0" w:type="auto"/>
            <w:gridSpan w:val="2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主要内容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任务1</w:t>
            </w:r>
          </w:p>
        </w:tc>
        <w:tc>
          <w:tcPr>
            <w:tcW w:w="0" w:type="auto"/>
            <w:gridSpan w:val="2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强化青少年思想引领工作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任务2</w:t>
            </w:r>
          </w:p>
        </w:tc>
        <w:tc>
          <w:tcPr>
            <w:tcW w:w="0" w:type="auto"/>
            <w:gridSpan w:val="2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加强团组织基层建设基石工程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任务3</w:t>
            </w:r>
          </w:p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扎实开展乡村振兴工作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预算情况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年度部门预算总额（万元）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2"/>
                <w:szCs w:val="22"/>
              </w:rPr>
              <w:t>9</w:t>
            </w:r>
            <w:r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  <w:t>6.88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Style w:val="8"/>
                <w:rFonts w:hint="default" w:ascii="仿宋" w:hAnsi="仿宋" w:eastAsia="仿宋" w:cs="仿宋"/>
              </w:rPr>
              <w:t>1、资金来源：（1）财政性资金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2"/>
                <w:szCs w:val="22"/>
              </w:rPr>
              <w:t>9</w:t>
            </w:r>
            <w:r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  <w:t>6.88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Style w:val="8"/>
                <w:rFonts w:hint="default" w:ascii="仿宋" w:hAnsi="仿宋" w:eastAsia="仿宋" w:cs="仿宋"/>
              </w:rPr>
              <w:t>（2）其他资金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2"/>
                <w:szCs w:val="22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Style w:val="8"/>
                <w:rFonts w:hint="default" w:ascii="仿宋" w:hAnsi="仿宋" w:eastAsia="仿宋" w:cs="仿宋"/>
              </w:rPr>
              <w:t>2、资金结构：（1）基本支出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2"/>
                <w:szCs w:val="22"/>
              </w:rPr>
              <w:t>8</w:t>
            </w:r>
            <w:r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  <w:t>8.88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Style w:val="8"/>
                <w:rFonts w:hint="default" w:ascii="仿宋" w:hAnsi="仿宋" w:eastAsia="仿宋" w:cs="仿宋"/>
              </w:rPr>
              <w:t>（2）项目支出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2"/>
                <w:szCs w:val="22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0"/>
                <w:szCs w:val="20"/>
              </w:rPr>
              <w:t>指标值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0" w:type="auto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投入管理指标</w:t>
            </w:r>
          </w:p>
        </w:tc>
        <w:tc>
          <w:tcPr>
            <w:tcW w:w="0" w:type="auto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工作目标管理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年度履职目标相关性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相关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工作任务科学性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绩效指标合理性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合理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预算和财务管理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预算编制完整性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完整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专项资金细化率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&gt;90%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预算执行率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&gt;90%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预算调整率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&lt;10%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结转结余率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≤10%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“三公经费”控制率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政府采购执行率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决算真实性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0" w:type="auto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投入管理指标</w:t>
            </w:r>
          </w:p>
        </w:tc>
        <w:tc>
          <w:tcPr>
            <w:tcW w:w="0" w:type="auto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预算和财务管理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资金使用合规性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合规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管理制度健全性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健全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预决算信息公开性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及时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资产管理规范性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绩效管理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绩效监控完成率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绩效自评完成率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部门评价完成率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评价结果应用率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0" w:type="auto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重点工作任务完成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2"/>
                <w:szCs w:val="22"/>
              </w:rPr>
              <w:t>强化青少年思想引领工作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color w:val="000000"/>
                <w:sz w:val="20"/>
                <w:szCs w:val="20"/>
              </w:rPr>
              <w:t>95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2"/>
                <w:szCs w:val="22"/>
              </w:rPr>
              <w:t>加强团组织基层建设基石工程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color w:val="000000"/>
                <w:sz w:val="20"/>
                <w:szCs w:val="20"/>
              </w:rPr>
              <w:t>95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2"/>
                <w:szCs w:val="22"/>
              </w:rPr>
              <w:t>扎实开展乡村振兴工作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color w:val="000000"/>
                <w:sz w:val="20"/>
                <w:szCs w:val="20"/>
              </w:rPr>
              <w:t>95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1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履职目标实现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4"/>
              </w:rPr>
              <w:t>目标1：领导全县共青团工作。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color w:val="000000"/>
                <w:sz w:val="20"/>
                <w:szCs w:val="20"/>
              </w:rPr>
              <w:t>95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4"/>
              </w:rPr>
              <w:t>目标2：领导全县少先队工作，对全县各青年团组织实施指导和管理。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color w:val="000000"/>
                <w:sz w:val="20"/>
                <w:szCs w:val="20"/>
              </w:rPr>
              <w:t>95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4"/>
              </w:rPr>
              <w:t>目标3：参与制订我县青少年发展规划和青少年工作、方针、政策，对青少年活动阵地、青少年服务机构等进行规划和管理。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color w:val="000000"/>
                <w:sz w:val="20"/>
                <w:szCs w:val="20"/>
              </w:rPr>
              <w:t>95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4"/>
              </w:rPr>
              <w:t>目标4：在全县经济建设中，组织和带领全县广大团员青年发挥生力军和突击队的作用。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color w:val="000000"/>
                <w:sz w:val="20"/>
                <w:szCs w:val="20"/>
              </w:rPr>
              <w:t>95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3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4"/>
              </w:rPr>
              <w:t>目标5：按照《团章》规定，抓好团组织自身建设;建设好各级团组织，发展团员队伍，管理团的干部，向党组织推荐优秀团员做党员发展对象。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color w:val="000000"/>
                <w:sz w:val="20"/>
                <w:szCs w:val="20"/>
              </w:rPr>
              <w:t>95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9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4"/>
              </w:rPr>
              <w:t>目标6：协调政府和教育部门做好中小学生的思想工作，维护学校稳定和社会安定团结。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color w:val="000000"/>
                <w:sz w:val="20"/>
                <w:szCs w:val="20"/>
              </w:rPr>
              <w:t>95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6" w:hRule="atLeast"/>
        </w:trPr>
        <w:tc>
          <w:tcPr>
            <w:tcW w:w="0" w:type="auto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履职效益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>保证团委机关和青少年活动中心工作正常开展，发挥青少年活动中心校外活动阵地职能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1" w:hRule="atLeast"/>
        </w:trPr>
        <w:tc>
          <w:tcPr>
            <w:tcW w:w="0" w:type="auto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工作人员满意度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≥95%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DF156F"/>
    <w:rsid w:val="0FDF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ourier New" w:hAnsi="Courier New" w:eastAsiaTheme="minorEastAsia" w:cs="Courier New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8">
    <w:name w:val="font0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2022-03-14T01:52:00Z</dcterms:created>
  <dc:creator>xzf</dc:creator>
  <cp:lastModifiedBy>xzf</cp:lastModifiedBy>
  <dcterms:modified xsi:type="dcterms:W3CDTF">2022-03-14T01:52:45Z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