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5000" w:type="pct"/>
        <w:tblInd w:w="0" w:type="dxa"/>
        <w:tblLayout w:type="autofit"/>
        <w:tblCellMar>
          <w:top w:w="0" w:type="dxa"/>
          <w:left w:w="0" w:type="dxa"/>
          <w:bottom w:w="0" w:type="dxa"/>
          <w:right w:w="0" w:type="dxa"/>
        </w:tblCellMar>
      </w:tblPr>
      <w:tblGrid>
        <w:gridCol w:w="387"/>
        <w:gridCol w:w="427"/>
        <w:gridCol w:w="1648"/>
        <w:gridCol w:w="877"/>
        <w:gridCol w:w="4997"/>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2021 年度）</w:t>
            </w:r>
          </w:p>
        </w:tc>
      </w:tr>
      <w:tr>
        <w:tblPrEx>
          <w:tblCellMar>
            <w:top w:w="0" w:type="dxa"/>
            <w:left w:w="0" w:type="dxa"/>
            <w:bottom w:w="0" w:type="dxa"/>
            <w:right w:w="0" w:type="dxa"/>
          </w:tblCellMar>
        </w:tblPrEx>
        <w:trPr>
          <w:trHeight w:val="450" w:hRule="atLeast"/>
        </w:trPr>
        <w:tc>
          <w:tcPr>
            <w:tcW w:w="48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519"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eastAsia="仿宋" w:cs="黑体"/>
                <w:color w:val="000000"/>
                <w:szCs w:val="21"/>
              </w:rPr>
              <w:t>新乡县政务服务和大数据管理局</w:t>
            </w:r>
          </w:p>
        </w:tc>
      </w:tr>
      <w:tr>
        <w:tblPrEx>
          <w:tblCellMar>
            <w:top w:w="0" w:type="dxa"/>
            <w:left w:w="0" w:type="dxa"/>
            <w:bottom w:w="0" w:type="dxa"/>
            <w:right w:w="0" w:type="dxa"/>
          </w:tblCellMar>
        </w:tblPrEx>
        <w:trPr>
          <w:trHeight w:val="45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771"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textAlignment w:val="center"/>
              <w:rPr>
                <w:rFonts w:ascii="仿宋" w:eastAsia="仿宋" w:cs="宋体"/>
                <w:color w:val="000000"/>
                <w:kern w:val="0"/>
                <w:sz w:val="18"/>
                <w:szCs w:val="18"/>
              </w:rPr>
            </w:pPr>
            <w:r>
              <w:rPr>
                <w:rFonts w:hint="eastAsia" w:ascii="仿宋" w:eastAsia="仿宋" w:cs="仿宋"/>
                <w:color w:val="000000"/>
                <w:kern w:val="0"/>
                <w:sz w:val="22"/>
                <w:szCs w:val="22"/>
              </w:rPr>
              <w:t>目标1：</w:t>
            </w:r>
            <w:r>
              <w:rPr>
                <w:rFonts w:hint="eastAsia" w:ascii="仿宋" w:eastAsia="仿宋" w:cs="宋体"/>
                <w:color w:val="000000"/>
                <w:kern w:val="0"/>
                <w:sz w:val="18"/>
                <w:szCs w:val="18"/>
              </w:rPr>
              <w:t>保障在职人员的工资、津补贴及时发放及单位的正常办公；</w:t>
            </w:r>
            <w:r>
              <w:rPr>
                <w:rFonts w:hint="eastAsia" w:ascii="仿宋" w:eastAsia="仿宋" w:cs="仿宋"/>
                <w:color w:val="000000"/>
                <w:kern w:val="0"/>
                <w:sz w:val="22"/>
                <w:szCs w:val="22"/>
              </w:rPr>
              <w:br w:type="textWrapping"/>
            </w:r>
            <w:r>
              <w:rPr>
                <w:rFonts w:hint="eastAsia" w:ascii="仿宋" w:eastAsia="仿宋" w:cs="仿宋"/>
                <w:color w:val="000000"/>
                <w:kern w:val="0"/>
                <w:sz w:val="22"/>
                <w:szCs w:val="22"/>
              </w:rPr>
              <w:t>目标2：</w:t>
            </w:r>
            <w:r>
              <w:rPr>
                <w:rFonts w:hint="eastAsia" w:ascii="仿宋" w:eastAsia="仿宋" w:cs="宋体"/>
                <w:color w:val="000000"/>
                <w:kern w:val="0"/>
                <w:sz w:val="18"/>
                <w:szCs w:val="18"/>
              </w:rPr>
              <w:t>负责全县行政审批制度改革、审批服务便民化相关工作</w:t>
            </w:r>
            <w:r>
              <w:rPr>
                <w:rFonts w:hint="eastAsia" w:ascii="仿宋_GB2312" w:hAnsi="仿宋_GB2312"/>
                <w:sz w:val="32"/>
                <w:szCs w:val="32"/>
              </w:rPr>
              <w:t>，</w:t>
            </w:r>
            <w:r>
              <w:rPr>
                <w:rFonts w:hint="eastAsia" w:ascii="仿宋" w:eastAsia="仿宋" w:cs="宋体"/>
                <w:color w:val="000000"/>
                <w:kern w:val="0"/>
                <w:sz w:val="18"/>
                <w:szCs w:val="18"/>
              </w:rPr>
              <w:t>电子政务深入推进，政务服务水平全面提升。</w:t>
            </w:r>
          </w:p>
          <w:p>
            <w:pPr>
              <w:widowControl/>
              <w:jc w:val="left"/>
              <w:textAlignment w:val="center"/>
              <w:rPr>
                <w:rFonts w:ascii="仿宋" w:hAnsi="仿宋" w:eastAsia="仿宋" w:cs="仿宋"/>
                <w:color w:val="000000"/>
                <w:sz w:val="22"/>
                <w:szCs w:val="22"/>
              </w:rPr>
            </w:pPr>
            <w:r>
              <w:rPr>
                <w:rFonts w:hint="eastAsia" w:ascii="仿宋" w:eastAsia="仿宋" w:cs="仿宋"/>
                <w:color w:val="000000"/>
                <w:kern w:val="0"/>
                <w:sz w:val="22"/>
                <w:szCs w:val="22"/>
              </w:rPr>
              <w:t>目标3：</w:t>
            </w:r>
            <w:r>
              <w:rPr>
                <w:rFonts w:hint="eastAsia" w:ascii="仿宋" w:eastAsia="仿宋" w:cs="宋体"/>
                <w:color w:val="000000"/>
                <w:kern w:val="0"/>
                <w:sz w:val="18"/>
                <w:szCs w:val="18"/>
              </w:rPr>
              <w:t>政务服务大厅窗口正常运行及人员规范管理</w:t>
            </w:r>
            <w:r>
              <w:rPr>
                <w:rFonts w:hint="eastAsia" w:ascii="仿宋" w:hAnsi="仿宋" w:eastAsia="仿宋" w:cs="仿宋"/>
                <w:color w:val="000000"/>
                <w:kern w:val="0"/>
                <w:sz w:val="22"/>
                <w:szCs w:val="22"/>
              </w:rPr>
              <w:t>：</w:t>
            </w:r>
          </w:p>
        </w:tc>
      </w:tr>
      <w:tr>
        <w:tblPrEx>
          <w:tblCellMar>
            <w:top w:w="0" w:type="dxa"/>
            <w:left w:w="0" w:type="dxa"/>
            <w:bottom w:w="0" w:type="dxa"/>
            <w:right w:w="0" w:type="dxa"/>
          </w:tblCellMar>
        </w:tblPrEx>
        <w:trPr>
          <w:trHeight w:val="45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71"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71"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771"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228"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519"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519"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eastAsia="仿宋" w:cs="宋体"/>
                <w:color w:val="000000"/>
                <w:kern w:val="0"/>
                <w:sz w:val="18"/>
                <w:szCs w:val="18"/>
              </w:rPr>
              <w:t>通过预算执行，保障在职人员的工资、津补贴及时发放及单位的正常办公；</w:t>
            </w:r>
          </w:p>
        </w:tc>
      </w:tr>
      <w:tr>
        <w:tblPrEx>
          <w:tblCellMar>
            <w:top w:w="0" w:type="dxa"/>
            <w:left w:w="0" w:type="dxa"/>
            <w:bottom w:w="0" w:type="dxa"/>
            <w:right w:w="0" w:type="dxa"/>
          </w:tblCellMar>
        </w:tblPrEx>
        <w:trPr>
          <w:trHeight w:val="34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519"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eastAsia="仿宋" w:cs="宋体"/>
                <w:color w:val="000000"/>
                <w:kern w:val="0"/>
                <w:sz w:val="18"/>
                <w:szCs w:val="18"/>
              </w:rPr>
              <w:t>高效开展“放管服”改革工作，不断深化行政审批制度改革。完成“两集中、两到位”，加强大厅窗口规范化管理，推进政务服务、政务公开；</w:t>
            </w:r>
          </w:p>
        </w:tc>
      </w:tr>
      <w:tr>
        <w:tblPrEx>
          <w:tblCellMar>
            <w:top w:w="0" w:type="dxa"/>
            <w:left w:w="0" w:type="dxa"/>
            <w:bottom w:w="0" w:type="dxa"/>
            <w:right w:w="0" w:type="dxa"/>
          </w:tblCellMar>
        </w:tblPrEx>
        <w:trPr>
          <w:trHeight w:val="42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519"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b/>
                <w:color w:val="000000"/>
                <w:sz w:val="22"/>
                <w:szCs w:val="22"/>
              </w:rPr>
            </w:pPr>
            <w:r>
              <w:rPr>
                <w:rFonts w:hint="eastAsia" w:ascii="仿宋" w:eastAsia="仿宋" w:cs="宋体"/>
                <w:color w:val="000000"/>
                <w:kern w:val="0"/>
                <w:sz w:val="18"/>
                <w:szCs w:val="18"/>
              </w:rPr>
              <w:t>统筹推进全县政务服务和政务数据管理体系建设，指导乡镇、各部门政务服务和政务数据管理机构开展工作。组织协调全县政务服务环境优化和评价工作，负责县级政务服务质量、窗口工作人员的监督、管理、考核。</w:t>
            </w:r>
          </w:p>
        </w:tc>
      </w:tr>
      <w:tr>
        <w:tblPrEx>
          <w:tblCellMar>
            <w:top w:w="0" w:type="dxa"/>
            <w:left w:w="0" w:type="dxa"/>
            <w:bottom w:w="0" w:type="dxa"/>
            <w:right w:w="0" w:type="dxa"/>
          </w:tblCellMar>
        </w:tblPrEx>
        <w:trPr>
          <w:trHeight w:val="44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23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53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271.69</w:t>
            </w:r>
          </w:p>
        </w:tc>
      </w:tr>
      <w:tr>
        <w:tblPrEx>
          <w:tblCellMar>
            <w:top w:w="0" w:type="dxa"/>
            <w:left w:w="0" w:type="dxa"/>
            <w:bottom w:w="0" w:type="dxa"/>
            <w:right w:w="0" w:type="dxa"/>
          </w:tblCellMar>
        </w:tblPrEx>
        <w:trPr>
          <w:trHeight w:val="4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3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1、资金来源：（1）财政性资金</w:t>
            </w:r>
          </w:p>
        </w:tc>
        <w:tc>
          <w:tcPr>
            <w:tcW w:w="353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271.69</w:t>
            </w:r>
          </w:p>
        </w:tc>
      </w:tr>
      <w:tr>
        <w:tblPrEx>
          <w:tblCellMar>
            <w:top w:w="0" w:type="dxa"/>
            <w:left w:w="0" w:type="dxa"/>
            <w:bottom w:w="0" w:type="dxa"/>
            <w:right w:w="0" w:type="dxa"/>
          </w:tblCellMar>
        </w:tblPrEx>
        <w:trPr>
          <w:trHeight w:val="3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3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（2）其他资金</w:t>
            </w:r>
          </w:p>
        </w:tc>
        <w:tc>
          <w:tcPr>
            <w:tcW w:w="353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3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2、资金结构：（1）基本支出</w:t>
            </w:r>
          </w:p>
        </w:tc>
        <w:tc>
          <w:tcPr>
            <w:tcW w:w="353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257.74</w:t>
            </w:r>
          </w:p>
        </w:tc>
      </w:tr>
      <w:tr>
        <w:tblPrEx>
          <w:tblCellMar>
            <w:top w:w="0" w:type="dxa"/>
            <w:left w:w="0" w:type="dxa"/>
            <w:bottom w:w="0" w:type="dxa"/>
            <w:right w:w="0" w:type="dxa"/>
          </w:tblCellMar>
        </w:tblPrEx>
        <w:trPr>
          <w:trHeight w:val="44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23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hint="default" w:ascii="仿宋" w:hAnsi="仿宋" w:eastAsia="仿宋" w:cs="仿宋"/>
              </w:rPr>
              <w:t>（2）项目支出</w:t>
            </w:r>
          </w:p>
        </w:tc>
        <w:tc>
          <w:tcPr>
            <w:tcW w:w="353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仿宋"/>
                <w:b/>
                <w:color w:val="000000"/>
                <w:sz w:val="22"/>
                <w:szCs w:val="22"/>
              </w:rPr>
              <w:t>13.95</w:t>
            </w:r>
          </w:p>
        </w:tc>
      </w:tr>
      <w:tr>
        <w:tblPrEx>
          <w:tblCellMar>
            <w:top w:w="0" w:type="dxa"/>
            <w:left w:w="0" w:type="dxa"/>
            <w:bottom w:w="0" w:type="dxa"/>
            <w:right w:w="0" w:type="dxa"/>
          </w:tblCellMar>
        </w:tblPrEx>
        <w:trPr>
          <w:trHeight w:val="540" w:hRule="atLeast"/>
        </w:trPr>
        <w:tc>
          <w:tcPr>
            <w:tcW w:w="2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2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相关</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科学</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eastAsia="仿宋" w:cs="仿宋"/>
                <w:color w:val="000000"/>
                <w:sz w:val="22"/>
                <w:szCs w:val="22"/>
              </w:rPr>
            </w:pPr>
            <w:r>
              <w:rPr>
                <w:rFonts w:hint="eastAsia" w:ascii="仿宋" w:eastAsia="仿宋" w:cs="仿宋"/>
                <w:color w:val="000000"/>
                <w:sz w:val="22"/>
                <w:szCs w:val="22"/>
              </w:rPr>
              <w:t>合理</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完整</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10%以下</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10%以下</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宋体"/>
                <w:color w:val="000000"/>
                <w:kern w:val="0"/>
                <w:sz w:val="18"/>
                <w:szCs w:val="18"/>
              </w:rPr>
              <w:t>/</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宋体"/>
                <w:color w:val="000000"/>
                <w:kern w:val="0"/>
                <w:sz w:val="18"/>
                <w:szCs w:val="18"/>
              </w:rPr>
              <w:t>/</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真实</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228"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251"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87"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520"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合规</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健全</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100%公开</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规范</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228"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0"/>
              </w:tabs>
              <w:spacing w:line="560" w:lineRule="exact"/>
              <w:ind w:left="420" w:leftChars="200"/>
              <w:jc w:val="left"/>
              <w:rPr>
                <w:rFonts w:ascii="仿宋" w:eastAsia="仿宋" w:cs="宋体"/>
                <w:color w:val="000000"/>
                <w:kern w:val="0"/>
                <w:sz w:val="18"/>
                <w:szCs w:val="18"/>
              </w:rPr>
            </w:pPr>
            <w:r>
              <w:rPr>
                <w:rFonts w:hint="eastAsia" w:ascii="仿宋" w:eastAsia="仿宋" w:cs="宋体"/>
                <w:color w:val="000000"/>
                <w:kern w:val="0"/>
                <w:sz w:val="18"/>
                <w:szCs w:val="18"/>
              </w:rPr>
              <w:t>1、通过预算执行，保障单位在职人员基本工资和津补贴及时足额发放，保证单位的正常运行和完成日常工作。2、持续深化“放管服”改革，开展“减证便民”行动，进一步压减行政审批事项、减少审批环节，加快推广容缺办理、联合审查、联合验收等模式，优化办事流程，全面推行并联审批。实施政务服务“好差评”制度，提高行政效能和群众满意度，整体评价关联率达到20%，保持全市排名靠前。加快推进“数字政府”建设，与市级部门做好政务云的对接，积极推动“大数据中心”建设。完成县营商办安排部署的优化营商环境目标任务。3、抓好大厅管理，加大窗口巡查考核力度，实行精细化管理，不断提高行政效能与服务效率。进一步完善管理制度，全面落实各项考核制度和运行管理机制，确保服务行为、项目管理、审批运行、绩效考核、责任追究等有章可循。</w:t>
            </w:r>
          </w:p>
          <w:p>
            <w:pPr>
              <w:widowControl/>
              <w:jc w:val="left"/>
              <w:textAlignment w:val="center"/>
              <w:rPr>
                <w:rFonts w:ascii="仿宋" w:hAnsi="仿宋" w:eastAsia="仿宋" w:cs="仿宋"/>
                <w:color w:val="000000"/>
                <w:sz w:val="20"/>
                <w:szCs w:val="20"/>
              </w:rPr>
            </w:pPr>
          </w:p>
        </w:tc>
      </w:tr>
      <w:tr>
        <w:tblPrEx>
          <w:tblCellMar>
            <w:top w:w="0" w:type="dxa"/>
            <w:left w:w="0" w:type="dxa"/>
            <w:bottom w:w="0" w:type="dxa"/>
            <w:right w:w="0" w:type="dxa"/>
          </w:tblCellMar>
        </w:tblPrEx>
        <w:trPr>
          <w:trHeight w:val="54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重点工作3计划完成率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abs>
                <w:tab w:val="left" w:pos="0"/>
              </w:tabs>
              <w:spacing w:line="560" w:lineRule="exact"/>
              <w:ind w:left="420" w:leftChars="200"/>
              <w:jc w:val="left"/>
              <w:rPr>
                <w:rFonts w:ascii="仿宋" w:eastAsia="仿宋" w:cs="宋体"/>
                <w:color w:val="000000"/>
                <w:kern w:val="0"/>
                <w:sz w:val="18"/>
                <w:szCs w:val="18"/>
              </w:rPr>
            </w:pPr>
            <w:r>
              <w:rPr>
                <w:rFonts w:hint="eastAsia" w:ascii="仿宋" w:eastAsia="仿宋" w:cs="宋体"/>
                <w:color w:val="000000"/>
                <w:kern w:val="0"/>
                <w:sz w:val="18"/>
                <w:szCs w:val="18"/>
              </w:rPr>
              <w:t>1、通过预算执行，100%保障单位在职人员基本工资和津补贴及时足额发放，保证单位的正常运行和完成日常工作。2、持续深化“放管服”改革，开展“减证便民”行动，进一步压减行政审批事项、减少审批环节，加快推广容缺办理、联合审查、联合验收等模式，优化办事流程，全面推行并联审批。实施政务服务“好差评”制度，提高行政效能和群众满意度，整体评价关联率达到20%，保持全市排名靠前。加快推进“数字政府”建设，与市级部门做好政务云的对接，积极推动“大数据中心”建设。完成县营商办安排部署的优化营商环境目标任务。3、抓好大厅管理，加大窗口巡查考核力度，实行精细化管理，不断提高行政效能与服务效率。</w:t>
            </w:r>
          </w:p>
          <w:p>
            <w:pPr>
              <w:widowControl/>
              <w:jc w:val="left"/>
              <w:textAlignment w:val="center"/>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100%</w:t>
            </w: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宋体"/>
                <w:color w:val="000000"/>
                <w:kern w:val="0"/>
                <w:sz w:val="18"/>
                <w:szCs w:val="18"/>
              </w:rPr>
              <w:t>/</w:t>
            </w:r>
          </w:p>
        </w:tc>
        <w:tc>
          <w:tcPr>
            <w:tcW w:w="30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宋体"/>
                <w:color w:val="000000"/>
                <w:kern w:val="0"/>
                <w:sz w:val="18"/>
                <w:szCs w:val="18"/>
              </w:rPr>
              <w:t>/</w:t>
            </w: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eastAsia="仿宋" w:cs="宋体"/>
                <w:color w:val="000000"/>
                <w:kern w:val="0"/>
                <w:sz w:val="18"/>
                <w:szCs w:val="18"/>
              </w:rPr>
              <w:t>/</w:t>
            </w: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90%以上</w:t>
            </w:r>
          </w:p>
        </w:tc>
        <w:tc>
          <w:tcPr>
            <w:tcW w:w="3012"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eastAsia="仿宋" w:cs="仿宋"/>
                <w:color w:val="000000"/>
                <w:sz w:val="20"/>
                <w:szCs w:val="20"/>
              </w:rPr>
            </w:pPr>
            <w:r>
              <w:rPr>
                <w:rFonts w:hint="eastAsia" w:ascii="仿宋" w:eastAsia="仿宋" w:cs="仿宋"/>
                <w:color w:val="000000"/>
                <w:sz w:val="20"/>
                <w:szCs w:val="20"/>
              </w:rPr>
              <w:t>90%以上</w:t>
            </w: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8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52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3012"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420489"/>
    <w:rsid w:val="66420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2022-03-14T01:39:00Z</dcterms:created>
  <dc:creator>xzf</dc:creator>
  <cp:lastModifiedBy>xzf</cp:lastModifiedBy>
  <dcterms:modified xsi:type="dcterms:W3CDTF">2022-03-14T01:40:13Z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