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-295910</wp:posOffset>
            </wp:positionH>
            <wp:positionV relativeFrom="paragraph">
              <wp:posOffset>29210</wp:posOffset>
            </wp:positionV>
            <wp:extent cx="6089015" cy="8480425"/>
            <wp:effectExtent l="0" t="0" r="6985" b="15875"/>
            <wp:wrapTight wrapText="bothSides">
              <wp:wrapPolygon>
                <wp:start x="0" y="0"/>
                <wp:lineTo x="0" y="21543"/>
                <wp:lineTo x="21557" y="21543"/>
                <wp:lineTo x="21557" y="0"/>
                <wp:lineTo x="0" y="0"/>
              </wp:wrapPolygon>
            </wp:wrapTight>
            <wp:docPr id="1" name="图片 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
                    <pic:cNvPicPr>
                      <a:picLocks noChangeAspect="1"/>
                    </pic:cNvPicPr>
                  </pic:nvPicPr>
                  <pic:blipFill>
                    <a:blip r:embed="rId7"/>
                    <a:stretch>
                      <a:fillRect/>
                    </a:stretch>
                  </pic:blipFill>
                  <pic:spPr>
                    <a:xfrm>
                      <a:off x="0" y="0"/>
                      <a:ext cx="6089015" cy="8480425"/>
                    </a:xfrm>
                    <a:prstGeom prst="rect">
                      <a:avLst/>
                    </a:prstGeom>
                  </pic:spPr>
                </pic:pic>
              </a:graphicData>
            </a:graphic>
          </wp:anchor>
        </w:drawing>
      </w:r>
      <w:r>
        <w:rPr>
          <w:rFonts w:hint="eastAsia" w:eastAsiaTheme="minorEastAsia"/>
          <w:lang w:eastAsia="zh-CN"/>
        </w:rPr>
        <w:br w:type="page"/>
      </w:r>
    </w:p>
    <w:p>
      <w:pPr>
        <w:rPr>
          <w:rFonts w:hint="eastAsia" w:eastAsiaTheme="minorEastAsia"/>
          <w:lang w:eastAsia="zh-CN"/>
        </w:r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-257810</wp:posOffset>
            </wp:positionH>
            <wp:positionV relativeFrom="paragraph">
              <wp:posOffset>41275</wp:posOffset>
            </wp:positionV>
            <wp:extent cx="6143625" cy="8472805"/>
            <wp:effectExtent l="0" t="0" r="9525" b="4445"/>
            <wp:wrapTight wrapText="bothSides">
              <wp:wrapPolygon>
                <wp:start x="0" y="0"/>
                <wp:lineTo x="0" y="21563"/>
                <wp:lineTo x="21567" y="21563"/>
                <wp:lineTo x="21567" y="0"/>
                <wp:lineTo x="0" y="0"/>
              </wp:wrapPolygon>
            </wp:wrapTight>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8"/>
                    <a:stretch>
                      <a:fillRect/>
                    </a:stretch>
                  </pic:blipFill>
                  <pic:spPr>
                    <a:xfrm>
                      <a:off x="0" y="0"/>
                      <a:ext cx="6143625" cy="8472805"/>
                    </a:xfrm>
                    <a:prstGeom prst="rect">
                      <a:avLst/>
                    </a:prstGeom>
                  </pic:spPr>
                </pic:pic>
              </a:graphicData>
            </a:graphic>
          </wp:anchor>
        </w:drawing>
      </w:r>
      <w:r>
        <w:rPr>
          <w:rFonts w:hint="eastAsia" w:eastAsiaTheme="minorEastAsia"/>
          <w:lang w:eastAsia="zh-CN"/>
        </w:rPr>
        <w:br w:type="page"/>
      </w:r>
    </w:p>
    <w:p>
      <w:pPr>
        <w:rPr>
          <w:rFonts w:hint="eastAsia" w:eastAsiaTheme="minorEastAsia"/>
          <w:lang w:eastAsia="zh-CN"/>
        </w:rPr>
      </w:pPr>
      <w:r>
        <w:rPr>
          <w:rFonts w:hint="eastAsia" w:eastAsiaTheme="minorEastAsia"/>
          <w:lang w:eastAsia="zh-CN"/>
        </w:rPr>
        <w:drawing>
          <wp:anchor distT="0" distB="0" distL="114300" distR="114300" simplePos="0" relativeHeight="251714560" behindDoc="1" locked="0" layoutInCell="1" allowOverlap="1">
            <wp:simplePos x="0" y="0"/>
            <wp:positionH relativeFrom="column">
              <wp:posOffset>-295275</wp:posOffset>
            </wp:positionH>
            <wp:positionV relativeFrom="paragraph">
              <wp:posOffset>28575</wp:posOffset>
            </wp:positionV>
            <wp:extent cx="6210300" cy="8448675"/>
            <wp:effectExtent l="0" t="0" r="0" b="0"/>
            <wp:wrapTight wrapText="bothSides">
              <wp:wrapPolygon>
                <wp:start x="0" y="0"/>
                <wp:lineTo x="0" y="21576"/>
                <wp:lineTo x="21534" y="21576"/>
                <wp:lineTo x="21534" y="0"/>
                <wp:lineTo x="0" y="0"/>
              </wp:wrapPolygon>
            </wp:wrapTight>
            <wp:docPr id="67" name="图片 6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2"/>
                    <pic:cNvPicPr>
                      <a:picLocks noChangeAspect="1"/>
                    </pic:cNvPicPr>
                  </pic:nvPicPr>
                  <pic:blipFill>
                    <a:blip r:embed="rId9"/>
                    <a:stretch>
                      <a:fillRect/>
                    </a:stretch>
                  </pic:blipFill>
                  <pic:spPr>
                    <a:xfrm>
                      <a:off x="0" y="0"/>
                      <a:ext cx="6210300" cy="8448675"/>
                    </a:xfrm>
                    <a:prstGeom prst="rect">
                      <a:avLst/>
                    </a:prstGeom>
                  </pic:spPr>
                </pic:pic>
              </a:graphicData>
            </a:graphic>
          </wp:anchor>
        </w:drawing>
      </w:r>
      <w:r>
        <w:rPr>
          <w:rFonts w:hint="eastAsia" w:eastAsiaTheme="minorEastAsia"/>
          <w:lang w:eastAsia="zh-CN"/>
        </w:rPr>
        <w:br w:type="page"/>
      </w:r>
    </w:p>
    <w:p>
      <w:pPr>
        <w:rPr>
          <w:rFonts w:hint="eastAsia" w:eastAsiaTheme="minorEastAsia"/>
          <w:lang w:eastAsia="zh-CN"/>
        </w:r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-248285</wp:posOffset>
            </wp:positionH>
            <wp:positionV relativeFrom="paragraph">
              <wp:posOffset>40005</wp:posOffset>
            </wp:positionV>
            <wp:extent cx="6099175" cy="8476615"/>
            <wp:effectExtent l="0" t="0" r="15875" b="38735"/>
            <wp:wrapTight wrapText="bothSides">
              <wp:wrapPolygon>
                <wp:start x="0" y="0"/>
                <wp:lineTo x="0" y="21553"/>
                <wp:lineTo x="21521" y="21553"/>
                <wp:lineTo x="21521" y="0"/>
                <wp:lineTo x="0" y="0"/>
              </wp:wrapPolygon>
            </wp:wrapTight>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10"/>
                    <a:stretch>
                      <a:fillRect/>
                    </a:stretch>
                  </pic:blipFill>
                  <pic:spPr>
                    <a:xfrm>
                      <a:off x="0" y="0"/>
                      <a:ext cx="6099175" cy="8476615"/>
                    </a:xfrm>
                    <a:prstGeom prst="rect">
                      <a:avLst/>
                    </a:prstGeom>
                  </pic:spPr>
                </pic:pic>
              </a:graphicData>
            </a:graphic>
          </wp:anchor>
        </w:drawing>
      </w:r>
      <w:r>
        <w:rPr>
          <w:rFonts w:hint="eastAsia" w:eastAsiaTheme="minorEastAsia"/>
          <w:lang w:eastAsia="zh-CN"/>
        </w:rPr>
        <w:br w:type="page"/>
      </w:r>
    </w:p>
    <w:p>
      <w:pPr>
        <w:rPr>
          <w:rFonts w:hint="eastAsia" w:eastAsiaTheme="minorEastAsia"/>
          <w:lang w:eastAsia="zh-CN"/>
        </w:r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-196215</wp:posOffset>
            </wp:positionH>
            <wp:positionV relativeFrom="paragraph">
              <wp:posOffset>38100</wp:posOffset>
            </wp:positionV>
            <wp:extent cx="6008370" cy="8653780"/>
            <wp:effectExtent l="0" t="0" r="11430" b="0"/>
            <wp:wrapTight wrapText="bothSides">
              <wp:wrapPolygon>
                <wp:start x="0" y="0"/>
                <wp:lineTo x="0" y="21540"/>
                <wp:lineTo x="21504" y="21540"/>
                <wp:lineTo x="21504" y="0"/>
                <wp:lineTo x="0" y="0"/>
              </wp:wrapPolygon>
            </wp:wrapTight>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11"/>
                    <a:stretch>
                      <a:fillRect/>
                    </a:stretch>
                  </pic:blipFill>
                  <pic:spPr>
                    <a:xfrm>
                      <a:off x="0" y="0"/>
                      <a:ext cx="6008370" cy="8653780"/>
                    </a:xfrm>
                    <a:prstGeom prst="rect">
                      <a:avLst/>
                    </a:prstGeom>
                  </pic:spPr>
                </pic:pic>
              </a:graphicData>
            </a:graphic>
          </wp:anchor>
        </w:drawing>
      </w:r>
      <w:r>
        <w:rPr>
          <w:rFonts w:hint="eastAsia" w:eastAsiaTheme="minorEastAsia"/>
          <w:lang w:eastAsia="zh-CN"/>
        </w:rPr>
        <w:br w:type="page"/>
      </w:r>
    </w:p>
    <w:p>
      <w:pPr>
        <w:rPr>
          <w:rFonts w:hint="eastAsia" w:eastAsiaTheme="minorEastAsia"/>
          <w:lang w:eastAsia="zh-CN"/>
        </w:rPr>
      </w:pP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-209550</wp:posOffset>
            </wp:positionH>
            <wp:positionV relativeFrom="paragraph">
              <wp:posOffset>61595</wp:posOffset>
            </wp:positionV>
            <wp:extent cx="6035040" cy="8725535"/>
            <wp:effectExtent l="0" t="0" r="3810" b="0"/>
            <wp:wrapTight wrapText="bothSides">
              <wp:wrapPolygon>
                <wp:start x="0" y="0"/>
                <wp:lineTo x="0" y="21551"/>
                <wp:lineTo x="21545" y="21551"/>
                <wp:lineTo x="21545" y="0"/>
                <wp:lineTo x="0" y="0"/>
              </wp:wrapPolygon>
            </wp:wrapTight>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12"/>
                    <a:stretch>
                      <a:fillRect/>
                    </a:stretch>
                  </pic:blipFill>
                  <pic:spPr>
                    <a:xfrm>
                      <a:off x="0" y="0"/>
                      <a:ext cx="6035040" cy="8725535"/>
                    </a:xfrm>
                    <a:prstGeom prst="rect">
                      <a:avLst/>
                    </a:prstGeom>
                  </pic:spPr>
                </pic:pic>
              </a:graphicData>
            </a:graphic>
          </wp:anchor>
        </w:drawing>
      </w:r>
      <w:r>
        <w:rPr>
          <w:rFonts w:hint="eastAsia" w:eastAsiaTheme="minorEastAsia"/>
          <w:lang w:eastAsia="zh-CN"/>
        </w:rPr>
        <w:br w:type="page"/>
      </w:r>
    </w:p>
    <w:p>
      <w:pPr>
        <w:widowControl/>
        <w:spacing w:before="100" w:beforeAutospacing="1" w:after="100" w:afterAutospacing="1"/>
        <w:jc w:val="center"/>
        <w:outlineLvl w:val="0"/>
        <w:rPr>
          <w:rFonts w:hint="eastAsia" w:ascii="黑体" w:hAnsi="黑体" w:eastAsia="黑体" w:cs="Times New Roman"/>
          <w:snapToGrid w:val="0"/>
          <w:kern w:val="0"/>
          <w:sz w:val="30"/>
          <w:szCs w:val="30"/>
          <w:lang w:val="en-US" w:eastAsia="zh-CN" w:bidi="ar-SA"/>
        </w:rPr>
      </w:pPr>
      <w:r>
        <w:rPr>
          <w:rFonts w:hint="eastAsia" w:ascii="黑体" w:hAnsi="黑体" w:eastAsia="黑体" w:cs="Times New Roman"/>
          <w:snapToGrid w:val="0"/>
          <w:kern w:val="0"/>
          <w:sz w:val="30"/>
          <w:szCs w:val="30"/>
          <w:lang w:val="en-US" w:eastAsia="zh-CN" w:bidi="ar-SA"/>
        </w:rPr>
        <w:t>一、建设项目基本情况</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35"/>
        <w:gridCol w:w="2284"/>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建设项目名称</w:t>
            </w:r>
          </w:p>
        </w:tc>
        <w:tc>
          <w:tcPr>
            <w:tcW w:w="7135"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eastAsia="zh-CN"/>
              </w:rPr>
              <w:t>新乡市恒能再生资源回收有限公司</w:t>
            </w:r>
            <w:r>
              <w:rPr>
                <w:rFonts w:hint="default" w:ascii="Times New Roman" w:hAnsi="Times New Roman" w:eastAsia="宋体" w:cs="Times New Roman"/>
                <w:szCs w:val="21"/>
              </w:rPr>
              <w:t>年回收处理10000吨锂电池极片项目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项目代码</w:t>
            </w:r>
          </w:p>
        </w:tc>
        <w:tc>
          <w:tcPr>
            <w:tcW w:w="7135"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2112-410721-04-01-623263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建设单位联系人</w:t>
            </w:r>
          </w:p>
        </w:tc>
        <w:tc>
          <w:tcPr>
            <w:tcW w:w="2284" w:type="dxa"/>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崔培根</w:t>
            </w:r>
          </w:p>
        </w:tc>
        <w:tc>
          <w:tcPr>
            <w:tcW w:w="2212" w:type="dxa"/>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联系方式</w:t>
            </w:r>
          </w:p>
        </w:tc>
        <w:tc>
          <w:tcPr>
            <w:tcW w:w="2639" w:type="dxa"/>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13803734963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建设单位法人</w:t>
            </w:r>
          </w:p>
        </w:tc>
        <w:tc>
          <w:tcPr>
            <w:tcW w:w="7135" w:type="dxa"/>
            <w:gridSpan w:val="3"/>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kern w:val="2"/>
                <w:sz w:val="21"/>
                <w:szCs w:val="20"/>
                <w:lang w:val="en-US" w:eastAsia="zh-CN" w:bidi="ar-SA"/>
              </w:rPr>
              <w:t>崔培根（身份证号：410711198104231015）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建设地点</w:t>
            </w:r>
          </w:p>
        </w:tc>
        <w:tc>
          <w:tcPr>
            <w:tcW w:w="7135" w:type="dxa"/>
            <w:gridSpan w:val="3"/>
            <w:noWrap w:val="0"/>
            <w:vAlign w:val="center"/>
          </w:tcPr>
          <w:p>
            <w:pPr>
              <w:keepNext w:val="0"/>
              <w:keepLines w:val="0"/>
              <w:suppressLineNumbers w:val="0"/>
              <w:adjustRightInd w:val="0"/>
              <w:snapToGrid w:val="0"/>
              <w:spacing w:before="0" w:beforeAutospacing="0" w:after="0" w:afterAutospacing="0"/>
              <w:ind w:left="0" w:right="0" w:firstLine="210" w:firstLineChars="10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u w:val="single"/>
              </w:rPr>
              <w:t xml:space="preserve">河南 </w:t>
            </w:r>
            <w:r>
              <w:rPr>
                <w:rFonts w:hint="default" w:ascii="Times New Roman" w:hAnsi="Times New Roman" w:eastAsia="宋体" w:cs="Times New Roman"/>
                <w:szCs w:val="21"/>
              </w:rPr>
              <w:t>省</w:t>
            </w:r>
            <w:r>
              <w:rPr>
                <w:rFonts w:hint="default" w:ascii="Times New Roman" w:hAnsi="Times New Roman" w:eastAsia="宋体" w:cs="Times New Roman"/>
                <w:szCs w:val="21"/>
                <w:u w:val="single"/>
              </w:rPr>
              <w:t xml:space="preserve"> 新乡 </w:t>
            </w:r>
            <w:r>
              <w:rPr>
                <w:rFonts w:hint="default" w:ascii="Times New Roman" w:hAnsi="Times New Roman" w:eastAsia="宋体" w:cs="Times New Roman"/>
                <w:szCs w:val="21"/>
              </w:rPr>
              <w:t>市</w:t>
            </w:r>
            <w:r>
              <w:rPr>
                <w:rFonts w:hint="default" w:ascii="Times New Roman" w:hAnsi="Times New Roman" w:eastAsia="宋体" w:cs="Times New Roman"/>
                <w:szCs w:val="21"/>
                <w:u w:val="single"/>
              </w:rPr>
              <w:t xml:space="preserve"> </w:t>
            </w:r>
            <w:r>
              <w:rPr>
                <w:rFonts w:hint="default" w:ascii="Times New Roman" w:hAnsi="Times New Roman" w:eastAsia="宋体" w:cs="Times New Roman"/>
                <w:szCs w:val="21"/>
                <w:u w:val="single"/>
                <w:lang w:eastAsia="zh-CN"/>
              </w:rPr>
              <w:t>新乡</w:t>
            </w:r>
            <w:r>
              <w:rPr>
                <w:rFonts w:hint="default" w:ascii="Times New Roman" w:hAnsi="Times New Roman" w:eastAsia="宋体" w:cs="Times New Roman"/>
                <w:szCs w:val="21"/>
                <w:u w:val="single"/>
              </w:rPr>
              <w:t xml:space="preserve"> </w:t>
            </w:r>
            <w:r>
              <w:rPr>
                <w:rFonts w:hint="default" w:ascii="Times New Roman" w:hAnsi="Times New Roman" w:eastAsia="宋体" w:cs="Times New Roman"/>
                <w:szCs w:val="21"/>
              </w:rPr>
              <w:t>县</w:t>
            </w:r>
            <w:r>
              <w:rPr>
                <w:rFonts w:hint="default" w:ascii="Times New Roman" w:hAnsi="Times New Roman" w:eastAsia="宋体" w:cs="Times New Roman"/>
                <w:szCs w:val="21"/>
                <w:u w:val="single"/>
              </w:rPr>
              <w:t xml:space="preserve"> </w:t>
            </w:r>
            <w:r>
              <w:rPr>
                <w:rFonts w:hint="default" w:ascii="Times New Roman" w:hAnsi="Times New Roman" w:eastAsia="宋体" w:cs="Times New Roman"/>
                <w:szCs w:val="21"/>
                <w:u w:val="single"/>
                <w:lang w:eastAsia="zh-CN"/>
              </w:rPr>
              <w:t>合河</w:t>
            </w:r>
            <w:r>
              <w:rPr>
                <w:rFonts w:hint="default" w:ascii="Times New Roman" w:hAnsi="Times New Roman" w:eastAsia="宋体" w:cs="Times New Roman"/>
                <w:szCs w:val="21"/>
                <w:u w:val="single"/>
              </w:rPr>
              <w:t xml:space="preserve"> </w:t>
            </w:r>
            <w:r>
              <w:rPr>
                <w:rFonts w:hint="default" w:ascii="Times New Roman" w:hAnsi="Times New Roman" w:eastAsia="宋体" w:cs="Times New Roman"/>
                <w:szCs w:val="21"/>
                <w:u w:val="none"/>
                <w:lang w:eastAsia="zh-CN"/>
              </w:rPr>
              <w:t>乡</w:t>
            </w:r>
            <w:r>
              <w:rPr>
                <w:rFonts w:hint="default" w:ascii="Times New Roman" w:hAnsi="Times New Roman" w:eastAsia="宋体" w:cs="Times New Roman"/>
                <w:szCs w:val="21"/>
                <w:u w:val="single"/>
                <w:lang w:val="en-US" w:eastAsia="zh-CN"/>
              </w:rPr>
              <w:t xml:space="preserve"> </w:t>
            </w:r>
            <w:r>
              <w:rPr>
                <w:rFonts w:hint="default" w:ascii="Times New Roman" w:hAnsi="Times New Roman" w:eastAsia="宋体" w:cs="Times New Roman"/>
                <w:szCs w:val="21"/>
                <w:u w:val="single"/>
                <w:lang w:eastAsia="zh-CN"/>
              </w:rPr>
              <w:t>范岭村工业区工农路</w:t>
            </w:r>
            <w:r>
              <w:rPr>
                <w:rFonts w:hint="default" w:ascii="Times New Roman" w:hAnsi="Times New Roman" w:eastAsia="宋体" w:cs="Times New Roman"/>
                <w:szCs w:val="21"/>
                <w:u w:val="single"/>
                <w:lang w:val="en-US" w:eastAsia="zh-CN"/>
              </w:rPr>
              <w:t>19号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地理坐标</w:t>
            </w:r>
          </w:p>
        </w:tc>
        <w:tc>
          <w:tcPr>
            <w:tcW w:w="7135"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highlight w:val="none"/>
              </w:rPr>
              <w:t>（</w:t>
            </w:r>
            <w:r>
              <w:rPr>
                <w:rFonts w:hint="default" w:ascii="Times New Roman" w:hAnsi="Times New Roman" w:eastAsia="宋体" w:cs="Times New Roman"/>
                <w:szCs w:val="21"/>
                <w:highlight w:val="none"/>
                <w:u w:val="single"/>
              </w:rPr>
              <w:t xml:space="preserve"> </w:t>
            </w:r>
            <w:r>
              <w:rPr>
                <w:rFonts w:hint="default" w:ascii="Times New Roman" w:hAnsi="Times New Roman" w:eastAsia="宋体" w:cs="Times New Roman"/>
                <w:szCs w:val="21"/>
                <w:highlight w:val="none"/>
                <w:u w:val="single"/>
                <w:lang w:val="en-US" w:eastAsia="zh-CN"/>
              </w:rPr>
              <w:t>113</w:t>
            </w:r>
            <w:r>
              <w:rPr>
                <w:rFonts w:hint="default" w:ascii="Times New Roman" w:hAnsi="Times New Roman" w:eastAsia="宋体" w:cs="Times New Roman"/>
                <w:szCs w:val="21"/>
                <w:highlight w:val="none"/>
                <w:u w:val="single"/>
              </w:rPr>
              <w:t xml:space="preserve"> </w:t>
            </w:r>
            <w:r>
              <w:rPr>
                <w:rFonts w:hint="default" w:ascii="Times New Roman" w:hAnsi="Times New Roman" w:eastAsia="宋体" w:cs="Times New Roman"/>
                <w:szCs w:val="21"/>
                <w:highlight w:val="none"/>
              </w:rPr>
              <w:t xml:space="preserve">度 </w:t>
            </w:r>
            <w:r>
              <w:rPr>
                <w:rFonts w:hint="default" w:ascii="Times New Roman" w:hAnsi="Times New Roman" w:eastAsia="宋体" w:cs="Times New Roman"/>
                <w:szCs w:val="21"/>
                <w:highlight w:val="none"/>
                <w:u w:val="single"/>
                <w:lang w:val="en-US" w:eastAsia="zh-CN"/>
              </w:rPr>
              <w:t>74</w:t>
            </w:r>
            <w:r>
              <w:rPr>
                <w:rFonts w:hint="default" w:ascii="Times New Roman" w:hAnsi="Times New Roman" w:eastAsia="宋体" w:cs="Times New Roman"/>
                <w:szCs w:val="21"/>
                <w:highlight w:val="none"/>
                <w:u w:val="single"/>
              </w:rPr>
              <w:t xml:space="preserve"> </w:t>
            </w:r>
            <w:r>
              <w:rPr>
                <w:rFonts w:hint="default" w:ascii="Times New Roman" w:hAnsi="Times New Roman" w:eastAsia="宋体" w:cs="Times New Roman"/>
                <w:szCs w:val="21"/>
                <w:highlight w:val="none"/>
              </w:rPr>
              <w:t>分</w:t>
            </w:r>
            <w:r>
              <w:rPr>
                <w:rFonts w:hint="default" w:ascii="Times New Roman" w:hAnsi="Times New Roman" w:eastAsia="宋体" w:cs="Times New Roman"/>
                <w:szCs w:val="21"/>
                <w:highlight w:val="none"/>
                <w:u w:val="single"/>
                <w:lang w:val="en-US" w:eastAsia="zh-CN"/>
              </w:rPr>
              <w:t>73</w:t>
            </w:r>
            <w:r>
              <w:rPr>
                <w:rFonts w:hint="default" w:ascii="Times New Roman" w:hAnsi="Times New Roman" w:eastAsia="宋体" w:cs="Times New Roman"/>
                <w:szCs w:val="21"/>
                <w:highlight w:val="none"/>
              </w:rPr>
              <w:t>秒</w:t>
            </w:r>
            <w:r>
              <w:rPr>
                <w:rFonts w:hint="default" w:ascii="Times New Roman" w:hAnsi="Times New Roman" w:eastAsia="宋体" w:cs="Times New Roman"/>
                <w:szCs w:val="21"/>
                <w:highlight w:val="none"/>
                <w:u w:val="none"/>
              </w:rPr>
              <w:t>，</w:t>
            </w:r>
            <w:r>
              <w:rPr>
                <w:rFonts w:hint="default" w:ascii="Times New Roman" w:hAnsi="Times New Roman" w:eastAsia="宋体" w:cs="Times New Roman"/>
                <w:szCs w:val="21"/>
                <w:highlight w:val="none"/>
                <w:u w:val="single"/>
              </w:rPr>
              <w:t xml:space="preserve"> 35 </w:t>
            </w:r>
            <w:r>
              <w:rPr>
                <w:rFonts w:hint="default" w:ascii="Times New Roman" w:hAnsi="Times New Roman" w:eastAsia="宋体" w:cs="Times New Roman"/>
                <w:szCs w:val="21"/>
                <w:highlight w:val="none"/>
              </w:rPr>
              <w:t>度</w:t>
            </w:r>
            <w:r>
              <w:rPr>
                <w:rFonts w:hint="default" w:ascii="Times New Roman" w:hAnsi="Times New Roman" w:eastAsia="宋体" w:cs="Times New Roman"/>
                <w:szCs w:val="21"/>
                <w:highlight w:val="none"/>
                <w:u w:val="single"/>
                <w:lang w:val="en-US" w:eastAsia="zh-CN"/>
              </w:rPr>
              <w:t>34</w:t>
            </w:r>
            <w:r>
              <w:rPr>
                <w:rFonts w:hint="default" w:ascii="Times New Roman" w:hAnsi="Times New Roman" w:eastAsia="宋体" w:cs="Times New Roman"/>
                <w:szCs w:val="21"/>
                <w:highlight w:val="none"/>
                <w:u w:val="single"/>
              </w:rPr>
              <w:t xml:space="preserve"> </w:t>
            </w:r>
            <w:r>
              <w:rPr>
                <w:rFonts w:hint="default" w:ascii="Times New Roman" w:hAnsi="Times New Roman" w:eastAsia="宋体" w:cs="Times New Roman"/>
                <w:szCs w:val="21"/>
                <w:highlight w:val="none"/>
              </w:rPr>
              <w:t>分</w:t>
            </w:r>
            <w:r>
              <w:rPr>
                <w:rFonts w:hint="default" w:ascii="Times New Roman" w:hAnsi="Times New Roman" w:eastAsia="宋体" w:cs="Times New Roman"/>
                <w:szCs w:val="21"/>
                <w:highlight w:val="none"/>
                <w:u w:val="single"/>
              </w:rPr>
              <w:t>33.24</w:t>
            </w:r>
            <w:r>
              <w:rPr>
                <w:rFonts w:hint="default" w:ascii="Times New Roman" w:hAnsi="Times New Roman" w:eastAsia="宋体" w:cs="Times New Roman"/>
                <w:szCs w:val="21"/>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国民经济</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行业类别</w:t>
            </w:r>
          </w:p>
        </w:tc>
        <w:tc>
          <w:tcPr>
            <w:tcW w:w="228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kern w:val="2"/>
                <w:sz w:val="21"/>
                <w:szCs w:val="21"/>
                <w:lang w:val="en-US" w:eastAsia="zh-CN" w:bidi="ar"/>
              </w:rPr>
              <w:t>C4210 金属废料和碎屑加工处理</w:t>
            </w:r>
          </w:p>
        </w:tc>
        <w:tc>
          <w:tcPr>
            <w:tcW w:w="221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bookmarkStart w:id="0" w:name="_Hlk49843745"/>
            <w:r>
              <w:rPr>
                <w:rFonts w:hint="default" w:ascii="Times New Roman" w:hAnsi="Times New Roman" w:eastAsia="宋体" w:cs="Times New Roman"/>
                <w:szCs w:val="21"/>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行业类别</w:t>
            </w:r>
            <w:bookmarkEnd w:id="0"/>
          </w:p>
        </w:tc>
        <w:tc>
          <w:tcPr>
            <w:tcW w:w="2639" w:type="dxa"/>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kern w:val="2"/>
                <w:sz w:val="21"/>
                <w:szCs w:val="21"/>
                <w:lang w:val="en-US" w:eastAsia="zh-CN" w:bidi="ar"/>
              </w:rPr>
              <w:t>三十九、废弃资源综合利用业，85、金属废料和碎屑加工处理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建设性质</w:t>
            </w:r>
          </w:p>
        </w:tc>
        <w:tc>
          <w:tcPr>
            <w:tcW w:w="2284"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新建（迁建）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r>
              <w:rPr>
                <w:rFonts w:hint="default" w:ascii="Times New Roman" w:hAnsi="Times New Roman" w:eastAsia="宋体" w:cs="Times New Roman"/>
                <w:szCs w:val="21"/>
              </w:rPr>
              <w:t>□改建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r>
              <w:rPr>
                <w:rFonts w:hint="default" w:ascii="Times New Roman" w:hAnsi="Times New Roman" w:eastAsia="宋体" w:cs="Times New Roman"/>
                <w:szCs w:val="21"/>
              </w:rPr>
              <w:t>□扩建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r>
              <w:rPr>
                <w:rFonts w:hint="default" w:ascii="Times New Roman" w:hAnsi="Times New Roman" w:eastAsia="宋体" w:cs="Times New Roman"/>
                <w:szCs w:val="21"/>
              </w:rPr>
              <w:t>□技术改造</w:t>
            </w:r>
          </w:p>
        </w:tc>
        <w:tc>
          <w:tcPr>
            <w:tcW w:w="221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申报情形</w:t>
            </w:r>
          </w:p>
        </w:tc>
        <w:tc>
          <w:tcPr>
            <w:tcW w:w="2639"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 xml:space="preserve">首次申报项目             </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r>
              <w:rPr>
                <w:rFonts w:hint="default" w:ascii="Times New Roman" w:hAnsi="Times New Roman" w:eastAsia="宋体" w:cs="Times New Roman"/>
                <w:szCs w:val="21"/>
              </w:rPr>
              <w:t>□不予批准后再次申报项目</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r>
              <w:rPr>
                <w:rFonts w:hint="default" w:ascii="Times New Roman" w:hAnsi="Times New Roman" w:eastAsia="宋体" w:cs="Times New Roman"/>
                <w:szCs w:val="21"/>
              </w:rPr>
              <w:t xml:space="preserve">□超五年重新审核项目     </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r>
              <w:rPr>
                <w:rFonts w:hint="default" w:ascii="Times New Roman" w:hAnsi="Times New Roman" w:eastAsia="宋体" w:cs="Times New Roman"/>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备案）部门（选填）</w:t>
            </w:r>
          </w:p>
        </w:tc>
        <w:tc>
          <w:tcPr>
            <w:tcW w:w="228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lang w:eastAsia="zh-CN"/>
              </w:rPr>
              <w:t>新乡</w:t>
            </w:r>
            <w:r>
              <w:rPr>
                <w:rFonts w:hint="default" w:ascii="Times New Roman" w:hAnsi="Times New Roman" w:eastAsia="宋体" w:cs="Times New Roman"/>
                <w:szCs w:val="21"/>
              </w:rPr>
              <w:t>县发展和改革委员会</w:t>
            </w:r>
          </w:p>
        </w:tc>
        <w:tc>
          <w:tcPr>
            <w:tcW w:w="221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备案）文号（选填）</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总投资（万元）</w:t>
            </w:r>
          </w:p>
        </w:tc>
        <w:tc>
          <w:tcPr>
            <w:tcW w:w="228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500</w:t>
            </w:r>
          </w:p>
        </w:tc>
        <w:tc>
          <w:tcPr>
            <w:tcW w:w="221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环保投资（万元）</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环保投资占比（%）</w:t>
            </w:r>
          </w:p>
        </w:tc>
        <w:tc>
          <w:tcPr>
            <w:tcW w:w="228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221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施工工期</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2022.3-2022.7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5"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是否开工建设</w:t>
            </w:r>
          </w:p>
        </w:tc>
        <w:tc>
          <w:tcPr>
            <w:tcW w:w="2284" w:type="dxa"/>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lang w:eastAsia="zh-CN"/>
              </w:rPr>
              <w:t>☑</w:t>
            </w:r>
            <w:r>
              <w:rPr>
                <w:rFonts w:hint="default" w:ascii="Times New Roman" w:hAnsi="Times New Roman" w:eastAsia="宋体" w:cs="Times New Roman"/>
                <w:szCs w:val="21"/>
              </w:rPr>
              <w:t>否</w:t>
            </w: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□是：</w:t>
            </w:r>
            <w:r>
              <w:rPr>
                <w:rFonts w:hint="default" w:ascii="Times New Roman" w:hAnsi="Times New Roman" w:eastAsia="宋体" w:cs="Times New Roman"/>
                <w:szCs w:val="21"/>
                <w:u w:val="single"/>
              </w:rPr>
              <w:t xml:space="preserve">             </w:t>
            </w:r>
          </w:p>
        </w:tc>
        <w:tc>
          <w:tcPr>
            <w:tcW w:w="2212"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pacing w:val="-6"/>
                <w:szCs w:val="21"/>
              </w:rPr>
            </w:pPr>
            <w:r>
              <w:rPr>
                <w:rFonts w:hint="default" w:ascii="Times New Roman" w:hAnsi="Times New Roman" w:eastAsia="宋体" w:cs="Times New Roman"/>
                <w:spacing w:val="-6"/>
                <w:szCs w:val="21"/>
              </w:rPr>
              <w:t>用地（用海）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pacing w:val="-6"/>
                <w:szCs w:val="21"/>
              </w:rPr>
              <w:t>面积（m</w:t>
            </w:r>
            <w:r>
              <w:rPr>
                <w:rFonts w:hint="default" w:ascii="Times New Roman" w:hAnsi="Times New Roman" w:eastAsia="宋体" w:cs="Times New Roman"/>
                <w:spacing w:val="-6"/>
                <w:szCs w:val="21"/>
                <w:vertAlign w:val="superscript"/>
              </w:rPr>
              <w:t>2</w:t>
            </w:r>
            <w:r>
              <w:rPr>
                <w:rFonts w:hint="default" w:ascii="Times New Roman" w:hAnsi="Times New Roman" w:eastAsia="宋体" w:cs="Times New Roman"/>
                <w:spacing w:val="-6"/>
                <w:szCs w:val="21"/>
              </w:rPr>
              <w:t>）</w:t>
            </w:r>
          </w:p>
        </w:tc>
        <w:tc>
          <w:tcPr>
            <w:tcW w:w="263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35"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专项评价设置情况</w:t>
            </w:r>
          </w:p>
        </w:tc>
        <w:tc>
          <w:tcPr>
            <w:tcW w:w="7135"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35"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szCs w:val="21"/>
              </w:rPr>
              <w:t>规划情况</w:t>
            </w:r>
          </w:p>
        </w:tc>
        <w:tc>
          <w:tcPr>
            <w:tcW w:w="7135"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3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规划环境影响</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szCs w:val="21"/>
              </w:rPr>
              <w:t>评价情况</w:t>
            </w:r>
          </w:p>
        </w:tc>
        <w:tc>
          <w:tcPr>
            <w:tcW w:w="7135"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35"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规划及规划环境</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影响评价符合性分析</w:t>
            </w:r>
          </w:p>
        </w:tc>
        <w:tc>
          <w:tcPr>
            <w:tcW w:w="7135"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26" w:hRule="atLeast"/>
          <w:jc w:val="center"/>
        </w:trPr>
        <w:tc>
          <w:tcPr>
            <w:tcW w:w="1735"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FF0000"/>
                <w:kern w:val="0"/>
                <w:szCs w:val="21"/>
              </w:rPr>
            </w:pPr>
            <w:r>
              <w:rPr>
                <w:rFonts w:hint="default" w:ascii="Times New Roman" w:hAnsi="Times New Roman" w:eastAsia="宋体" w:cs="Times New Roman"/>
                <w:color w:val="auto"/>
                <w:kern w:val="0"/>
                <w:szCs w:val="21"/>
              </w:rPr>
              <w:t>其他符合性分析</w:t>
            </w:r>
          </w:p>
        </w:tc>
        <w:tc>
          <w:tcPr>
            <w:tcW w:w="7135" w:type="dxa"/>
            <w:gridSpan w:val="3"/>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2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w:t>
            </w:r>
            <w:r>
              <w:rPr>
                <w:rFonts w:hint="default" w:ascii="Times New Roman" w:hAnsi="Times New Roman" w:eastAsia="宋体" w:cs="Times New Roman"/>
                <w:b/>
                <w:bCs/>
                <w:color w:val="auto"/>
                <w:kern w:val="0"/>
                <w:szCs w:val="21"/>
              </w:rPr>
              <w:t>与《产业结构调整指导目录（2019年本）》的相符性分析</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jc w:val="both"/>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kern w:val="0"/>
                <w:szCs w:val="21"/>
              </w:rPr>
              <w:t>经查阅《产业结构调整指导目录（2019年本）》，本项目属于《产业结构调整指导目录（2019年本）》规定的鼓励类</w:t>
            </w:r>
            <w:r>
              <w:rPr>
                <w:rFonts w:hint="default" w:ascii="Times New Roman" w:hAnsi="Times New Roman" w:cs="Times New Roman"/>
                <w:color w:val="auto"/>
                <w:kern w:val="0"/>
                <w:szCs w:val="21"/>
                <w:lang w:eastAsia="zh-CN"/>
              </w:rPr>
              <w:t>第</w:t>
            </w:r>
            <w:r>
              <w:rPr>
                <w:rFonts w:hint="default" w:ascii="Times New Roman" w:hAnsi="Times New Roman" w:cs="Times New Roman"/>
                <w:color w:val="auto"/>
                <w:kern w:val="0"/>
                <w:szCs w:val="21"/>
                <w:lang w:val="en-US" w:eastAsia="zh-CN"/>
              </w:rPr>
              <w:t>9条第3款</w:t>
            </w:r>
            <w:r>
              <w:rPr>
                <w:rFonts w:hint="default" w:ascii="Times New Roman" w:hAnsi="Times New Roman" w:cs="Times New Roman"/>
                <w:color w:val="auto"/>
                <w:kern w:val="0"/>
                <w:szCs w:val="21"/>
              </w:rPr>
              <w:t>，符合国家相关产业政策。项目已取得备案证明（见附件2），项目代码为：</w:t>
            </w:r>
            <w:r>
              <w:rPr>
                <w:rFonts w:hint="eastAsia" w:cs="Times New Roman"/>
                <w:szCs w:val="21"/>
                <w:lang w:val="en-US" w:eastAsia="zh-CN"/>
              </w:rPr>
              <w:t>2112-410721-04-01-623263</w:t>
            </w:r>
            <w:r>
              <w:rPr>
                <w:rFonts w:hint="default" w:ascii="Times New Roman" w:hAnsi="Times New Roman" w:cs="Times New Roman"/>
                <w:color w:val="auto"/>
                <w:kern w:val="0"/>
                <w:szCs w:val="21"/>
                <w:lang w:eastAsia="zh-CN"/>
              </w:rPr>
              <w:t>。</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2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r>
              <w:rPr>
                <w:rFonts w:hint="default" w:ascii="Times New Roman" w:hAnsi="Times New Roman" w:eastAsia="宋体" w:cs="Times New Roman"/>
                <w:b/>
                <w:bCs/>
                <w:color w:val="auto"/>
                <w:kern w:val="0"/>
                <w:szCs w:val="21"/>
                <w:lang w:eastAsia="zh-CN"/>
              </w:rPr>
              <w:t>与备案</w:t>
            </w:r>
            <w:r>
              <w:rPr>
                <w:rFonts w:hint="default" w:ascii="Times New Roman" w:hAnsi="Times New Roman" w:eastAsia="宋体" w:cs="Times New Roman"/>
                <w:b/>
                <w:bCs/>
                <w:color w:val="auto"/>
                <w:kern w:val="0"/>
                <w:szCs w:val="21"/>
              </w:rPr>
              <w:t>相符性分析</w:t>
            </w:r>
          </w:p>
          <w:p>
            <w:pPr>
              <w:pStyle w:val="7"/>
              <w:keepNext w:val="0"/>
              <w:keepLines w:val="0"/>
              <w:pageBreakBefore w:val="0"/>
              <w:suppressLineNumbers w:val="0"/>
              <w:kinsoku/>
              <w:wordWrap/>
              <w:overflowPunct/>
              <w:topLinePunct w:val="0"/>
              <w:bidi w:val="0"/>
              <w:snapToGrid w:val="0"/>
              <w:spacing w:before="0" w:beforeAutospacing="0" w:after="0" w:afterAutospacing="0" w:line="520" w:lineRule="exact"/>
              <w:ind w:left="0" w:firstLine="42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表1  项目备案一致性分析表</w:t>
            </w:r>
          </w:p>
          <w:tbl>
            <w:tblPr>
              <w:tblStyle w:val="12"/>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222"/>
              <w:gridCol w:w="2458"/>
              <w:gridCol w:w="2430"/>
              <w:gridCol w:w="809"/>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9" w:hRule="atLeast"/>
                <w:jc w:val="center"/>
              </w:trPr>
              <w:tc>
                <w:tcPr>
                  <w:tcW w:w="883"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内容</w:t>
                  </w:r>
                </w:p>
              </w:tc>
              <w:tc>
                <w:tcPr>
                  <w:tcW w:w="1776"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备案</w:t>
                  </w:r>
                </w:p>
              </w:tc>
              <w:tc>
                <w:tcPr>
                  <w:tcW w:w="1756"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项目</w:t>
                  </w:r>
                </w:p>
              </w:tc>
              <w:tc>
                <w:tcPr>
                  <w:tcW w:w="584"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一致性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9" w:hRule="atLeast"/>
                <w:jc w:val="center"/>
              </w:trPr>
              <w:tc>
                <w:tcPr>
                  <w:tcW w:w="883"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yellow"/>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项目代码</w:t>
                  </w:r>
                </w:p>
              </w:tc>
              <w:tc>
                <w:tcPr>
                  <w:tcW w:w="1776"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yellow"/>
                      <w:lang w:val="en-US" w:eastAsia="zh-CN" w:bidi="ar-SA"/>
                    </w:rPr>
                  </w:pPr>
                  <w:r>
                    <w:rPr>
                      <w:rFonts w:hint="eastAsia" w:ascii="Times New Roman" w:hAnsi="Times New Roman" w:eastAsia="宋体" w:cs="Times New Roman"/>
                      <w:szCs w:val="21"/>
                      <w:lang w:val="en-US" w:eastAsia="zh-CN"/>
                    </w:rPr>
                    <w:t>2112-410721-04-01-623263</w:t>
                  </w:r>
                </w:p>
              </w:tc>
              <w:tc>
                <w:tcPr>
                  <w:tcW w:w="1756"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szCs w:val="21"/>
                      <w:lang w:val="en-US" w:eastAsia="zh-CN"/>
                    </w:rPr>
                    <w:t>2112-410721-04-01-623263</w:t>
                  </w:r>
                </w:p>
              </w:tc>
              <w:tc>
                <w:tcPr>
                  <w:tcW w:w="584"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一致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120" w:hRule="atLeast"/>
                <w:jc w:val="center"/>
              </w:trPr>
              <w:tc>
                <w:tcPr>
                  <w:tcW w:w="883"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项目名称</w:t>
                  </w:r>
                </w:p>
              </w:tc>
              <w:tc>
                <w:tcPr>
                  <w:tcW w:w="1776"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szCs w:val="21"/>
                      <w:lang w:eastAsia="zh-CN"/>
                    </w:rPr>
                    <w:t>新乡市恒能再生资源回收有限公司</w:t>
                  </w:r>
                  <w:r>
                    <w:rPr>
                      <w:rFonts w:hint="default" w:ascii="Times New Roman" w:hAnsi="Times New Roman" w:eastAsia="宋体" w:cs="Times New Roman"/>
                      <w:szCs w:val="21"/>
                    </w:rPr>
                    <w:t>年回收处理10000吨锂电池极片项目</w:t>
                  </w:r>
                </w:p>
              </w:tc>
              <w:tc>
                <w:tcPr>
                  <w:tcW w:w="1756"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szCs w:val="21"/>
                      <w:lang w:eastAsia="zh-CN"/>
                    </w:rPr>
                    <w:t>新乡市恒能再生资源回收有限公司</w:t>
                  </w:r>
                  <w:r>
                    <w:rPr>
                      <w:rFonts w:hint="default" w:ascii="Times New Roman" w:hAnsi="Times New Roman" w:eastAsia="宋体" w:cs="Times New Roman"/>
                      <w:szCs w:val="21"/>
                    </w:rPr>
                    <w:t>年回收处理10000吨锂电池极片项目</w:t>
                  </w:r>
                </w:p>
              </w:tc>
              <w:tc>
                <w:tcPr>
                  <w:tcW w:w="584"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一致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9" w:hRule="atLeast"/>
                <w:jc w:val="center"/>
              </w:trPr>
              <w:tc>
                <w:tcPr>
                  <w:tcW w:w="883"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建设地点</w:t>
                  </w:r>
                </w:p>
              </w:tc>
              <w:tc>
                <w:tcPr>
                  <w:tcW w:w="1776"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河南省新乡市新乡县合河乡范岭村工业区工农路19号</w:t>
                  </w:r>
                </w:p>
              </w:tc>
              <w:tc>
                <w:tcPr>
                  <w:tcW w:w="1756"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河南省新乡市新乡县合河乡范岭村工业区工农路19号</w:t>
                  </w:r>
                </w:p>
              </w:tc>
              <w:tc>
                <w:tcPr>
                  <w:tcW w:w="584"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一致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9" w:hRule="atLeast"/>
                <w:jc w:val="center"/>
              </w:trPr>
              <w:tc>
                <w:tcPr>
                  <w:tcW w:w="883"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建设性质</w:t>
                  </w:r>
                </w:p>
              </w:tc>
              <w:tc>
                <w:tcPr>
                  <w:tcW w:w="1776"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新建</w:t>
                  </w:r>
                </w:p>
              </w:tc>
              <w:tc>
                <w:tcPr>
                  <w:tcW w:w="1756"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新建</w:t>
                  </w:r>
                </w:p>
              </w:tc>
              <w:tc>
                <w:tcPr>
                  <w:tcW w:w="584"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一致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9" w:hRule="atLeast"/>
                <w:jc w:val="center"/>
              </w:trPr>
              <w:tc>
                <w:tcPr>
                  <w:tcW w:w="883"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建设规模及内容</w:t>
                  </w:r>
                </w:p>
              </w:tc>
              <w:tc>
                <w:tcPr>
                  <w:tcW w:w="1776" w:type="pct"/>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年回收处理10000吨锂电池极片项目</w:t>
                  </w:r>
                </w:p>
              </w:tc>
              <w:tc>
                <w:tcPr>
                  <w:tcW w:w="1756" w:type="pct"/>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年回收处理10000吨锂电池极片项目</w:t>
                  </w:r>
                </w:p>
              </w:tc>
              <w:tc>
                <w:tcPr>
                  <w:tcW w:w="584"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一致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9" w:hRule="atLeast"/>
                <w:jc w:val="center"/>
              </w:trPr>
              <w:tc>
                <w:tcPr>
                  <w:tcW w:w="883"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总投资</w:t>
                  </w:r>
                </w:p>
              </w:tc>
              <w:tc>
                <w:tcPr>
                  <w:tcW w:w="1776"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500万元</w:t>
                  </w:r>
                </w:p>
              </w:tc>
              <w:tc>
                <w:tcPr>
                  <w:tcW w:w="1756"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500万元</w:t>
                  </w:r>
                </w:p>
              </w:tc>
              <w:tc>
                <w:tcPr>
                  <w:tcW w:w="584"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一致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9" w:hRule="atLeast"/>
                <w:jc w:val="center"/>
              </w:trPr>
              <w:tc>
                <w:tcPr>
                  <w:tcW w:w="883"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主要工艺</w:t>
                  </w:r>
                </w:p>
              </w:tc>
              <w:tc>
                <w:tcPr>
                  <w:tcW w:w="1776"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kern w:val="2"/>
                      <w:sz w:val="21"/>
                      <w:szCs w:val="21"/>
                      <w:lang w:val="en-US" w:eastAsia="zh-CN" w:bidi="ar-SA"/>
                    </w:rPr>
                    <w:t>锂电</w:t>
                  </w:r>
                  <w:r>
                    <w:rPr>
                      <w:rFonts w:hint="eastAsia" w:ascii="Times New Roman" w:hAnsi="Times New Roman" w:cs="Times New Roman" w:eastAsiaTheme="minorEastAsia"/>
                      <w:b w:val="0"/>
                      <w:bCs w:val="0"/>
                      <w:color w:val="auto"/>
                      <w:kern w:val="2"/>
                      <w:sz w:val="21"/>
                      <w:szCs w:val="21"/>
                      <w:lang w:val="en-US" w:eastAsia="zh-CN" w:bidi="ar-SA"/>
                    </w:rPr>
                    <w:t>极</w:t>
                  </w:r>
                  <w:r>
                    <w:rPr>
                      <w:rFonts w:hint="default" w:ascii="Times New Roman" w:hAnsi="Times New Roman" w:cs="Times New Roman" w:eastAsiaTheme="minorEastAsia"/>
                      <w:b w:val="0"/>
                      <w:bCs w:val="0"/>
                      <w:color w:val="auto"/>
                      <w:kern w:val="2"/>
                      <w:sz w:val="21"/>
                      <w:szCs w:val="21"/>
                      <w:lang w:val="en-US" w:eastAsia="zh-CN" w:bidi="ar-SA"/>
                    </w:rPr>
                    <w:t>片-撕碎机-一次破碎机-气流分选-搅拌机-筛分-磁选-二次破碎-气流分选-筛分-成品</w:t>
                  </w:r>
                </w:p>
              </w:tc>
              <w:tc>
                <w:tcPr>
                  <w:tcW w:w="1756"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kern w:val="2"/>
                      <w:sz w:val="21"/>
                      <w:szCs w:val="21"/>
                      <w:lang w:val="en-US" w:eastAsia="zh-CN" w:bidi="ar-SA"/>
                    </w:rPr>
                    <w:t>锂电</w:t>
                  </w:r>
                  <w:r>
                    <w:rPr>
                      <w:rFonts w:hint="eastAsia" w:ascii="Times New Roman" w:hAnsi="Times New Roman" w:cs="Times New Roman" w:eastAsiaTheme="minorEastAsia"/>
                      <w:b w:val="0"/>
                      <w:bCs w:val="0"/>
                      <w:color w:val="auto"/>
                      <w:kern w:val="2"/>
                      <w:sz w:val="21"/>
                      <w:szCs w:val="21"/>
                      <w:lang w:val="en-US" w:eastAsia="zh-CN" w:bidi="ar-SA"/>
                    </w:rPr>
                    <w:t>极</w:t>
                  </w:r>
                  <w:r>
                    <w:rPr>
                      <w:rFonts w:hint="default" w:ascii="Times New Roman" w:hAnsi="Times New Roman" w:cs="Times New Roman" w:eastAsiaTheme="minorEastAsia"/>
                      <w:b w:val="0"/>
                      <w:bCs w:val="0"/>
                      <w:color w:val="auto"/>
                      <w:kern w:val="2"/>
                      <w:sz w:val="21"/>
                      <w:szCs w:val="21"/>
                      <w:lang w:val="en-US" w:eastAsia="zh-CN" w:bidi="ar-SA"/>
                    </w:rPr>
                    <w:t>片-撕碎机-一次破碎机-气流分选-搅拌机-筛分-磁选-二次破碎-气流分选-筛分-成品</w:t>
                  </w:r>
                </w:p>
              </w:tc>
              <w:tc>
                <w:tcPr>
                  <w:tcW w:w="584" w:type="pct"/>
                  <w:tcBorders>
                    <w:tl2br w:val="nil"/>
                    <w:tr2bl w:val="nil"/>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一致</w:t>
                  </w:r>
                </w:p>
              </w:tc>
            </w:tr>
          </w:tbl>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2" w:firstLineChars="200"/>
              <w:textAlignment w:val="auto"/>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3</w:t>
            </w:r>
            <w:r>
              <w:rPr>
                <w:rFonts w:hint="default" w:ascii="Times New Roman" w:hAnsi="Times New Roman" w:cs="Times New Roman"/>
                <w:b/>
                <w:bCs/>
                <w:color w:val="auto"/>
                <w:lang w:val="en-US" w:eastAsia="zh-CN"/>
              </w:rPr>
              <w:t>、本项目与《新乡市环境污染防治攻坚战三年行动实施方案（2018-2020年）》（以下简称《实施方案》）对比分析</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jc w:val="center"/>
              <w:textAlignment w:val="auto"/>
              <w:rPr>
                <w:rFonts w:hint="default" w:ascii="Times New Roman" w:hAnsi="Times New Roman" w:eastAsia="黑体" w:cs="Times New Roman"/>
                <w:b/>
                <w:bCs/>
                <w:color w:val="auto"/>
                <w:szCs w:val="24"/>
                <w:lang w:val="en-US" w:eastAsia="zh-CN"/>
              </w:rPr>
            </w:pPr>
            <w:r>
              <w:rPr>
                <w:rFonts w:hint="default" w:ascii="Times New Roman" w:hAnsi="Times New Roman" w:cs="Times New Roman"/>
                <w:b/>
                <w:bCs/>
                <w:color w:val="auto"/>
                <w:lang w:val="en-US" w:eastAsia="zh-CN"/>
              </w:rPr>
              <w:t>表</w:t>
            </w:r>
            <w:r>
              <w:rPr>
                <w:rFonts w:hint="eastAsia" w:ascii="Times New Roman" w:hAnsi="Times New Roman" w:cs="Times New Roman"/>
                <w:b/>
                <w:bCs/>
                <w:color w:val="auto"/>
                <w:lang w:val="en-US" w:eastAsia="zh-CN"/>
              </w:rPr>
              <w:t>2</w:t>
            </w:r>
            <w:r>
              <w:rPr>
                <w:rFonts w:hint="default" w:ascii="Times New Roman" w:hAnsi="Times New Roman" w:cs="Times New Roman"/>
                <w:b/>
                <w:bCs/>
                <w:color w:val="auto"/>
                <w:lang w:val="en-US" w:eastAsia="zh-CN"/>
              </w:rPr>
              <w:t xml:space="preserve">  与《实施方案》对比分析</w:t>
            </w:r>
          </w:p>
          <w:tbl>
            <w:tblPr>
              <w:tblStyle w:val="12"/>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51"/>
              <w:gridCol w:w="2219"/>
              <w:gridCol w:w="10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51" w:type="dxa"/>
                  <w:tcBorders>
                    <w:tl2br w:val="nil"/>
                    <w:tr2bl w:val="nil"/>
                  </w:tcBorders>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与本项目相关条文</w:t>
                  </w:r>
                </w:p>
              </w:tc>
              <w:tc>
                <w:tcPr>
                  <w:tcW w:w="2219" w:type="dxa"/>
                  <w:tcBorders>
                    <w:tl2br w:val="nil"/>
                    <w:tr2bl w:val="nil"/>
                  </w:tcBorders>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本项目情况</w:t>
                  </w:r>
                </w:p>
              </w:tc>
              <w:tc>
                <w:tcPr>
                  <w:tcW w:w="1094" w:type="dxa"/>
                  <w:tcBorders>
                    <w:tl2br w:val="nil"/>
                    <w:tr2bl w:val="nil"/>
                  </w:tcBorders>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对比结果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51" w:type="dxa"/>
                  <w:tcBorders>
                    <w:tl2br w:val="nil"/>
                    <w:tr2bl w:val="nil"/>
                  </w:tcBorders>
                  <w:noWrap w:val="0"/>
                  <w:vAlign w:val="top"/>
                </w:tcPr>
                <w:p>
                  <w:pPr>
                    <w:pStyle w:val="11"/>
                    <w:keepNext w:val="0"/>
                    <w:keepLines w:val="0"/>
                    <w:suppressLineNumbers w:val="0"/>
                    <w:ind w:left="0" w:right="0"/>
                    <w:jc w:val="both"/>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坚决打赢蓝天保卫战第9条：严格环境准入门槛。禁止火电、焦化、铸造、传统煤化工（甲醇、合成氨）、电解铝、水泥和平板玻璃等行业新建、扩建单纯新增产能（搬迁升级改造项目除外）以及耐火材料、陶瓷等行业新建、扩建。禁止建设生产和使用高VOCs含量的溶剂型涂料、油墨、胶黏剂项目。其他新、改、扩建排放VOCs的项目，应从源头加强控制，使用低（无）VOCs含量的原辅材料，配套安装高效收集、治理设施，其中新建涉VOCs排放的工业企业要入园区，实行区域内 VOCs排放总量倍量消减替代。新、改、扩建涉及大宗物料运输的建设项目，原则上不得采用公路运输。严格控制新建燃煤项目建设。除背压热电联产外，全市不再核准“十三五”期间新开工建设的燃煤发电项目。</w:t>
                  </w:r>
                </w:p>
              </w:tc>
              <w:tc>
                <w:tcPr>
                  <w:tcW w:w="2219" w:type="dxa"/>
                  <w:tcBorders>
                    <w:tl2br w:val="nil"/>
                    <w:tr2bl w:val="nil"/>
                  </w:tcBorders>
                  <w:noWrap w:val="0"/>
                  <w:vAlign w:val="center"/>
                </w:tcPr>
                <w:p>
                  <w:pPr>
                    <w:pStyle w:val="11"/>
                    <w:keepNext w:val="0"/>
                    <w:keepLines w:val="0"/>
                    <w:suppressLineNumbers w:val="0"/>
                    <w:ind w:left="0" w:right="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本项目属于</w:t>
                  </w:r>
                  <w:r>
                    <w:rPr>
                      <w:rFonts w:hint="default" w:ascii="Times New Roman" w:hAnsi="Times New Roman" w:cs="Times New Roman"/>
                      <w:color w:val="auto"/>
                      <w:kern w:val="0"/>
                      <w:sz w:val="21"/>
                      <w:szCs w:val="21"/>
                    </w:rPr>
                    <w:t>废弃资源综合利用业</w:t>
                  </w:r>
                  <w:r>
                    <w:rPr>
                      <w:rFonts w:hint="default" w:ascii="Times New Roman" w:hAnsi="Times New Roman" w:cs="Times New Roman"/>
                      <w:snapToGrid w:val="0"/>
                      <w:sz w:val="21"/>
                      <w:szCs w:val="21"/>
                    </w:rPr>
                    <w:t>，不属于以上禁止新建的项目，不属于燃煤项目，项目能够满足环境准入门槛。</w:t>
                  </w:r>
                </w:p>
              </w:tc>
              <w:tc>
                <w:tcPr>
                  <w:tcW w:w="1094" w:type="dxa"/>
                  <w:tcBorders>
                    <w:tl2br w:val="nil"/>
                    <w:tr2bl w:val="nil"/>
                  </w:tcBorders>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符合要求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51" w:type="dxa"/>
                  <w:tcBorders>
                    <w:tl2br w:val="nil"/>
                    <w:tr2bl w:val="nil"/>
                  </w:tcBorders>
                  <w:noWrap w:val="0"/>
                  <w:vAlign w:val="top"/>
                </w:tcPr>
                <w:p>
                  <w:pPr>
                    <w:pStyle w:val="11"/>
                    <w:keepNext w:val="0"/>
                    <w:keepLines w:val="0"/>
                    <w:suppressLineNumbers w:val="0"/>
                    <w:spacing w:before="0" w:beforeAutospacing="0" w:after="0" w:afterAutospacing="0"/>
                    <w:ind w:left="0" w:right="0"/>
                    <w:jc w:val="both"/>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坚决打赢蓝天保卫战第20条：加快工业源VOCs治理。坚持源头减排、过程控制、末端治理和强化管理相结合的综合防治原则，深入开展工业VOCs治理。对VOCs废气末端处理工艺进行提升改造，鼓励企业采用多种技术组合工艺，提高VOCs治理效果。低温等离子体技术、光催化技术仅适用于处理低浓度有机废气或恶臭气体，采用活性炭吸附技术应配备脱附工艺。</w:t>
                  </w:r>
                </w:p>
              </w:tc>
              <w:tc>
                <w:tcPr>
                  <w:tcW w:w="2219" w:type="dxa"/>
                  <w:tcBorders>
                    <w:tl2br w:val="nil"/>
                    <w:tr2bl w:val="nil"/>
                  </w:tcBorders>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项目生产过程不涉及</w:t>
                  </w:r>
                  <w:r>
                    <w:rPr>
                      <w:rFonts w:hint="default" w:ascii="Times New Roman" w:hAnsi="Times New Roman" w:cs="Times New Roman"/>
                      <w:snapToGrid w:val="0"/>
                      <w:sz w:val="21"/>
                      <w:szCs w:val="21"/>
                      <w:lang w:val="en-US" w:eastAsia="zh-CN"/>
                    </w:rPr>
                    <w:t>VOCs</w:t>
                  </w:r>
                  <w:r>
                    <w:rPr>
                      <w:rFonts w:hint="default" w:ascii="Times New Roman" w:hAnsi="Times New Roman" w:cs="Times New Roman"/>
                      <w:snapToGrid w:val="0"/>
                      <w:sz w:val="21"/>
                      <w:szCs w:val="21"/>
                    </w:rPr>
                    <w:t>废气排放。</w:t>
                  </w:r>
                </w:p>
              </w:tc>
              <w:tc>
                <w:tcPr>
                  <w:tcW w:w="1094" w:type="dxa"/>
                  <w:tcBorders>
                    <w:tl2br w:val="nil"/>
                    <w:tr2bl w:val="nil"/>
                  </w:tcBorders>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符合要求</w:t>
                  </w:r>
                </w:p>
              </w:tc>
            </w:tr>
          </w:tbl>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由上表可知，本项目符合《实施方案》相关要求。</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2" w:firstLineChars="200"/>
              <w:textAlignment w:val="auto"/>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4</w:t>
            </w:r>
            <w:r>
              <w:rPr>
                <w:rFonts w:hint="default" w:ascii="Times New Roman" w:hAnsi="Times New Roman" w:cs="Times New Roman"/>
                <w:b/>
                <w:bCs/>
                <w:color w:val="auto"/>
                <w:lang w:val="en-US" w:eastAsia="zh-CN"/>
              </w:rPr>
              <w:t>、本项目与《河南省2020-2021年秋冬季大气污染物综合治理攻坚行动方案》（简称《2020-2021秋冬季攻坚方案》）对比分析</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w:t>
            </w:r>
            <w:r>
              <w:rPr>
                <w:rFonts w:hint="eastAsia" w:ascii="Times New Roman" w:hAnsi="Times New Roman" w:cs="Times New Roman"/>
                <w:b/>
                <w:bCs/>
                <w:color w:val="auto"/>
                <w:lang w:val="en-US" w:eastAsia="zh-CN"/>
              </w:rPr>
              <w:t>3</w:t>
            </w:r>
            <w:r>
              <w:rPr>
                <w:rFonts w:hint="default" w:ascii="Times New Roman" w:hAnsi="Times New Roman" w:cs="Times New Roman"/>
                <w:b/>
                <w:bCs/>
                <w:color w:val="auto"/>
                <w:lang w:val="en-US" w:eastAsia="zh-CN"/>
              </w:rPr>
              <w:t xml:space="preserve">  与《2020-2021秋冬季攻坚方案》对比分析</w:t>
            </w:r>
          </w:p>
          <w:tbl>
            <w:tblPr>
              <w:tblStyle w:val="12"/>
              <w:tblW w:w="69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6"/>
              <w:gridCol w:w="3460"/>
              <w:gridCol w:w="1732"/>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6"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与本项目相关条文</w:t>
                  </w:r>
                </w:p>
              </w:tc>
              <w:tc>
                <w:tcPr>
                  <w:tcW w:w="173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本项目情况文</w:t>
                  </w:r>
                </w:p>
              </w:tc>
              <w:tc>
                <w:tcPr>
                  <w:tcW w:w="86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对比结果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严格行业准入</w:t>
                  </w:r>
                </w:p>
              </w:tc>
              <w:tc>
                <w:tcPr>
                  <w:tcW w:w="3460"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面落实生态保护红线、环境质量底线、资源利用上线和生态环境准入清单“三线一单”要求，对国家和我省明确要求淘汰的产业、装备和工艺，坚决避免出现边淘汰边建设的现象，巩固落后产能淘汰工作成效，推进高质量发展。全省原则上禁止新增钢铁、电解铝、水泥、平板玻璃、传统煤化工（甲醇、合成氨）、焦化、铸造、铝用炭素、砖瓦窑、耐火材料等行业产能，原则上禁止新建燃料类煤气发生炉和35蒸吨/时及以下燃煤锅炉。</w:t>
                  </w:r>
                </w:p>
              </w:tc>
              <w:tc>
                <w:tcPr>
                  <w:tcW w:w="1732"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本项目属于废弃资源综合利用业，</w:t>
                  </w:r>
                  <w:r>
                    <w:rPr>
                      <w:rFonts w:hint="default" w:ascii="Times New Roman" w:hAnsi="Times New Roman" w:eastAsia="宋体" w:cs="Times New Roman"/>
                      <w:color w:val="auto"/>
                      <w:sz w:val="21"/>
                      <w:szCs w:val="21"/>
                    </w:rPr>
                    <w:t>不属于禁止类项目。</w:t>
                  </w:r>
                </w:p>
              </w:tc>
              <w:tc>
                <w:tcPr>
                  <w:tcW w:w="86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6" w:type="dxa"/>
                  <w:tcBorders>
                    <w:tl2br w:val="nil"/>
                    <w:tr2bl w:val="nil"/>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持续推进挥发性有机物（VOCs）治理攻坚</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tc>
              <w:tc>
                <w:tcPr>
                  <w:tcW w:w="3460" w:type="dxa"/>
                  <w:tcBorders>
                    <w:tl2br w:val="nil"/>
                    <w:tr2bl w:val="nil"/>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 xml:space="preserve">落实《2020 年挥发性有机物治理攻坚方案》及《河南省重点行 </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业挥发性有机物控制技术指南》《河南省工业涂装工序挥发性有机物排放标准》《河南省印刷工业挥发性有机物排放标准》，持续推进 VOCs 治理攻坚各项任务措施，完成重点治理工程建设，做到“夏病冬治”。2020 年 10 月份，各地要组织开展一次工业涂装工序、印刷工业挥发性有机物排放标准专项执法检查。</w:t>
                  </w:r>
                </w:p>
              </w:tc>
              <w:tc>
                <w:tcPr>
                  <w:tcW w:w="1732"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line="216" w:lineRule="auto"/>
                    <w:ind w:left="0" w:right="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本项目不涉及VOCs的排放。</w:t>
                  </w:r>
                </w:p>
              </w:tc>
              <w:tc>
                <w:tcPr>
                  <w:tcW w:w="86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pStyle w:val="7"/>
              <w:keepNext w:val="0"/>
              <w:keepLines w:val="0"/>
              <w:pageBreakBefore w:val="0"/>
              <w:suppressLineNumbers w:val="0"/>
              <w:kinsoku/>
              <w:wordWrap/>
              <w:overflowPunct/>
              <w:topLinePunct w:val="0"/>
              <w:autoSpaceDE/>
              <w:autoSpaceDN/>
              <w:bidi w:val="0"/>
              <w:spacing w:before="0" w:beforeAutospacing="0" w:after="0" w:afterAutospacing="0" w:line="520" w:lineRule="exact"/>
              <w:ind w:left="0" w:firstLine="42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由上表可知，本项目符合《2020-2021秋冬季攻坚方案》相关要求。</w:t>
            </w:r>
          </w:p>
          <w:p>
            <w:pPr>
              <w:pStyle w:val="4"/>
              <w:keepNext w:val="0"/>
              <w:keepLines w:val="0"/>
              <w:pageBreakBefore w:val="0"/>
              <w:suppressLineNumbers w:val="0"/>
              <w:kinsoku/>
              <w:wordWrap/>
              <w:overflowPunct/>
              <w:topLinePunct w:val="0"/>
              <w:autoSpaceDE/>
              <w:autoSpaceDN/>
              <w:bidi w:val="0"/>
              <w:spacing w:before="0" w:beforeAutospacing="0" w:after="0" w:afterAutospacing="0" w:line="520" w:lineRule="exact"/>
              <w:ind w:left="0" w:right="0" w:firstLine="422" w:firstLineChars="200"/>
              <w:jc w:val="left"/>
              <w:textAlignment w:val="auto"/>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val="en-US" w:eastAsia="zh-CN"/>
              </w:rPr>
              <w:t>5</w:t>
            </w:r>
            <w:r>
              <w:rPr>
                <w:rFonts w:hint="default" w:ascii="Times New Roman" w:hAnsi="Times New Roman" w:cs="Times New Roman"/>
                <w:b/>
                <w:color w:val="auto"/>
                <w:sz w:val="21"/>
                <w:szCs w:val="21"/>
              </w:rPr>
              <w:t>、项目与《河南省污染防治攻坚领导小组办公室关于印发河南省2021年大气、水、土壤污染防治攻坚战及农村污染治理攻坚战实施方案的通知》的相符性</w:t>
            </w:r>
            <w:r>
              <w:rPr>
                <w:rFonts w:hint="default" w:ascii="Times New Roman" w:hAnsi="Times New Roman" w:cs="Times New Roman"/>
                <w:b/>
                <w:color w:val="auto"/>
                <w:sz w:val="21"/>
                <w:szCs w:val="21"/>
                <w:lang w:eastAsia="zh-CN"/>
              </w:rPr>
              <w:t>分析</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jc w:val="center"/>
              <w:textAlignment w:val="auto"/>
              <w:rPr>
                <w:rFonts w:hint="default" w:ascii="Times New Roman" w:hAnsi="Times New Roman" w:eastAsia="宋体" w:cs="Times New Roman"/>
                <w:b/>
                <w:bCs/>
                <w:kern w:val="21"/>
                <w:sz w:val="21"/>
                <w:szCs w:val="21"/>
              </w:rPr>
            </w:pPr>
            <w:r>
              <w:rPr>
                <w:rFonts w:hint="default" w:ascii="Times New Roman" w:hAnsi="Times New Roman" w:eastAsia="宋体" w:cs="Times New Roman"/>
                <w:b/>
                <w:bCs/>
                <w:kern w:val="21"/>
                <w:sz w:val="21"/>
                <w:szCs w:val="21"/>
              </w:rPr>
              <w:t>表</w:t>
            </w:r>
            <w:r>
              <w:rPr>
                <w:rFonts w:hint="default" w:ascii="Times New Roman" w:hAnsi="Times New Roman" w:eastAsia="宋体" w:cs="Times New Roman"/>
                <w:b/>
                <w:bCs/>
                <w:kern w:val="21"/>
                <w:sz w:val="21"/>
                <w:szCs w:val="21"/>
                <w:lang w:val="en-US" w:eastAsia="zh-CN"/>
              </w:rPr>
              <w:t>4</w:t>
            </w:r>
            <w:r>
              <w:rPr>
                <w:rFonts w:hint="default" w:ascii="Times New Roman" w:hAnsi="Times New Roman" w:eastAsia="宋体" w:cs="Times New Roman"/>
                <w:b/>
                <w:bCs/>
                <w:kern w:val="21"/>
                <w:sz w:val="21"/>
                <w:szCs w:val="21"/>
              </w:rPr>
              <w:t xml:space="preserve">  本项目情况与实施方案要求对照一览表</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0" w:type="dxa"/>
                <w:bottom w:w="0" w:type="dxa"/>
                <w:right w:w="0" w:type="dxa"/>
              </w:tblCellMar>
            </w:tblPr>
            <w:tblGrid>
              <w:gridCol w:w="1175"/>
              <w:gridCol w:w="4149"/>
              <w:gridCol w:w="1003"/>
              <w:gridCol w:w="584"/>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397" w:hRule="atLeast"/>
                <w:jc w:val="center"/>
              </w:trPr>
              <w:tc>
                <w:tcPr>
                  <w:tcW w:w="1175"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类别</w:t>
                  </w:r>
                </w:p>
              </w:tc>
              <w:tc>
                <w:tcPr>
                  <w:tcW w:w="4149"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综合治理要求</w:t>
                  </w:r>
                </w:p>
              </w:tc>
              <w:tc>
                <w:tcPr>
                  <w:tcW w:w="1003"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项目情况</w:t>
                  </w:r>
                </w:p>
              </w:tc>
              <w:tc>
                <w:tcPr>
                  <w:tcW w:w="584"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符合性分析</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397" w:hRule="atLeast"/>
                <w:jc w:val="center"/>
              </w:trPr>
              <w:tc>
                <w:tcPr>
                  <w:tcW w:w="1175"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严格环境准入</w:t>
                  </w:r>
                </w:p>
              </w:tc>
              <w:tc>
                <w:tcPr>
                  <w:tcW w:w="4149"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落实“三线一单”（生态保护红线、环境质量底线、资源利用上线和生态环境准入清单）生态环境分区管控要求，从严从紧从实控制高耗能、高排放项目建设，全省原则上禁止新建、扩建单纯新增产能的钢铁、电解铝、水泥、平板玻璃、传统煤化工（甲醇、合成氨）、焦化、铸造、铝用炭素、耐火材料制品、砖瓦窑、铅锌冶炼（含再生铅）等高耗能、高排放和产能过剩的产业项目，严格项目备案审查，强化项目现场核查，保持违规新增产能项目露头就打的高压态势。完善生态环境准入清单，强化项目环评及“三同时”管理，国家、省绩效分级重点行业的新建、改建、扩建项目达到 B 级以上要求。</w:t>
                  </w:r>
                </w:p>
              </w:tc>
              <w:tc>
                <w:tcPr>
                  <w:tcW w:w="1003"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本项目为废弃资源综合利用业，不属于河南省禁止类项目。</w:t>
                  </w:r>
                </w:p>
              </w:tc>
              <w:tc>
                <w:tcPr>
                  <w:tcW w:w="584"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相符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397" w:hRule="atLeast"/>
                <w:jc w:val="center"/>
              </w:trPr>
              <w:tc>
                <w:tcPr>
                  <w:tcW w:w="1175"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开展工业企业全面达标行动</w:t>
                  </w:r>
                </w:p>
              </w:tc>
              <w:tc>
                <w:tcPr>
                  <w:tcW w:w="4149"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贯彻落实《排污许可管理条例》，按照源头预防、过程控制、清洁生产、损害赔偿、责任追究，实现固定污染源全过程管理。严格执行国家和我省大气污染物排放标准，持续推进电力、钢铁、水泥、铝工业、焦化、碳素、陶瓷、砖瓦窑、铸造、铁合金、耐材、玻璃、有色金属冶炼及压延、化工、包装印刷行业和其他涉及工业涂装、工业窑炉、锅炉等行业废气污染物全面达标排放，将烟气在线监测数据作为执法依据，加大超标处罚和联合惩戒力度，严厉打击各类大气环境违法行为。</w:t>
                  </w:r>
                </w:p>
              </w:tc>
              <w:tc>
                <w:tcPr>
                  <w:tcW w:w="1003"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项目产生的废气经处理后可满足排放标准要求。</w:t>
                  </w:r>
                </w:p>
              </w:tc>
              <w:tc>
                <w:tcPr>
                  <w:tcW w:w="584"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397" w:hRule="atLeast"/>
                <w:jc w:val="center"/>
              </w:trPr>
              <w:tc>
                <w:tcPr>
                  <w:tcW w:w="1175"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大力推进源头替代</w:t>
                  </w:r>
                </w:p>
              </w:tc>
              <w:tc>
                <w:tcPr>
                  <w:tcW w:w="4149"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通过使用水性、粉末、高固体分、无溶剂、辐射固化等低 VOCs 含量的涂料，水性、辐射固化、植物基等低 VOCs 含量的油墨，水基、热熔、无溶剂、辐射固化、改性、生物降解等低 VOCs 含量的胶粘剂，以及低 VOCs 含量、低反应活性的清洗剂等，替代溶剂型涂料、油墨、胶粘剂、清洗剂等，从源头减少 VOCs 产生。加强对全省低 VOCs 含量涂料、油墨、胶粘剂、清洗剂等产品生产销售环节监管，严厉打击劣质不合格产品。全省家具制造、制鞋、汽车整车制造、工程机械整机制造、包装印刷及含涂装工序企业，2021 年 5 月底前原辅材料达到重点行业绩效分级 B 级及以上或绩效引领指标要求，达不到要求的企业纳入包括夏季在内的错峰生产调控</w:t>
                  </w:r>
                </w:p>
              </w:tc>
              <w:tc>
                <w:tcPr>
                  <w:tcW w:w="1003"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本项目不涉及VOCs的排放。</w:t>
                  </w:r>
                </w:p>
              </w:tc>
              <w:tc>
                <w:tcPr>
                  <w:tcW w:w="584" w:type="dxa"/>
                  <w:tcBorders>
                    <w:tl2br w:val="nil"/>
                    <w:tr2bl w:val="nil"/>
                  </w:tcBorders>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相符</w:t>
                  </w:r>
                </w:p>
              </w:tc>
            </w:tr>
          </w:tbl>
          <w:p>
            <w:pPr>
              <w:pStyle w:val="4"/>
              <w:keepNext w:val="0"/>
              <w:keepLines w:val="0"/>
              <w:pageBreakBefore w:val="0"/>
              <w:suppressLineNumbers w:val="0"/>
              <w:kinsoku/>
              <w:wordWrap/>
              <w:overflowPunct/>
              <w:topLinePunct w:val="0"/>
              <w:autoSpaceDE/>
              <w:autoSpaceDN/>
              <w:bidi w:val="0"/>
              <w:adjustRightInd/>
              <w:spacing w:before="0" w:beforeAutospacing="0" w:after="0" w:afterAutospacing="0" w:line="520" w:lineRule="exact"/>
              <w:ind w:left="0" w:right="0" w:firstLine="420" w:firstLineChars="200"/>
              <w:jc w:val="left"/>
              <w:textAlignment w:val="auto"/>
              <w:rPr>
                <w:rFonts w:hint="default" w:ascii="Times New Roman" w:hAnsi="Times New Roman" w:cs="Times New Roman"/>
                <w:color w:val="FF0000"/>
                <w:lang w:val="en-US" w:eastAsia="zh-CN"/>
              </w:rPr>
            </w:pPr>
            <w:r>
              <w:rPr>
                <w:rFonts w:hint="default" w:ascii="Times New Roman" w:hAnsi="Times New Roman" w:cs="Times New Roman" w:eastAsiaTheme="minorEastAsia"/>
                <w:kern w:val="21"/>
                <w:sz w:val="21"/>
                <w:szCs w:val="21"/>
              </w:rPr>
              <w:t>本项目</w:t>
            </w:r>
            <w:r>
              <w:rPr>
                <w:rFonts w:hint="default" w:ascii="Times New Roman" w:hAnsi="Times New Roman" w:cs="Times New Roman" w:eastAsiaTheme="minorEastAsia"/>
                <w:color w:val="000000"/>
                <w:kern w:val="21"/>
                <w:sz w:val="21"/>
                <w:szCs w:val="21"/>
              </w:rPr>
              <w:t>符合《河南省污染防治攻坚领导小组办公室关于印发河南省2021年大气、水、土壤污染防治攻坚战及农村污染治理攻坚战实施方案的通知》要求。</w:t>
            </w:r>
          </w:p>
          <w:p>
            <w:pPr>
              <w:pStyle w:val="7"/>
              <w:keepNext w:val="0"/>
              <w:keepLines w:val="0"/>
              <w:pageBreakBefore w:val="0"/>
              <w:suppressLineNumbers w:val="0"/>
              <w:kinsoku/>
              <w:wordWrap/>
              <w:overflowPunct/>
              <w:topLinePunct w:val="0"/>
              <w:autoSpaceDE/>
              <w:autoSpaceDN/>
              <w:bidi w:val="0"/>
              <w:adjustRightInd/>
              <w:spacing w:before="0" w:beforeAutospacing="0" w:after="0" w:afterAutospacing="0" w:line="520" w:lineRule="exact"/>
              <w:ind w:left="0" w:firstLine="420"/>
              <w:textAlignment w:val="auto"/>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6</w:t>
            </w:r>
            <w:r>
              <w:rPr>
                <w:rFonts w:hint="default" w:ascii="Times New Roman" w:hAnsi="Times New Roman" w:cs="Times New Roman"/>
                <w:b/>
                <w:bCs/>
                <w:color w:val="auto"/>
                <w:lang w:val="en-US" w:eastAsia="zh-CN"/>
              </w:rPr>
              <w:t>、本项目与</w:t>
            </w:r>
            <w:r>
              <w:rPr>
                <w:rFonts w:hint="default" w:ascii="Times New Roman" w:hAnsi="Times New Roman" w:eastAsia="宋体" w:cs="Times New Roman"/>
                <w:b/>
                <w:bCs/>
                <w:color w:val="auto"/>
                <w:lang w:val="en-US" w:eastAsia="zh-CN"/>
              </w:rPr>
              <w:t>《新乡市 2021 年大气、水、土壤污染防治攻坚战及农业农村污染治理攻坚战实施方案的通知</w:t>
            </w:r>
            <w:r>
              <w:rPr>
                <w:rFonts w:hint="default" w:ascii="Times New Roman" w:hAnsi="Times New Roman" w:cs="Times New Roman"/>
                <w:b/>
                <w:bCs/>
                <w:color w:val="auto"/>
                <w:lang w:val="en-US" w:eastAsia="zh-CN"/>
              </w:rPr>
              <w:t>》（新环攻坚办〔2021〕90号）相关要求。（以下简称《通知》）的对比分析</w:t>
            </w:r>
          </w:p>
          <w:p>
            <w:pPr>
              <w:pStyle w:val="7"/>
              <w:keepNext w:val="0"/>
              <w:keepLines w:val="0"/>
              <w:pageBreakBefore w:val="0"/>
              <w:suppressLineNumbers w:val="0"/>
              <w:kinsoku/>
              <w:wordWrap/>
              <w:overflowPunct/>
              <w:topLinePunct w:val="0"/>
              <w:autoSpaceDE/>
              <w:autoSpaceDN/>
              <w:bidi w:val="0"/>
              <w:adjustRightInd/>
              <w:spacing w:before="0" w:beforeAutospacing="0" w:after="0" w:afterAutospacing="0" w:line="520" w:lineRule="exact"/>
              <w:ind w:left="0" w:firstLine="42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w:t>
            </w:r>
            <w:r>
              <w:rPr>
                <w:rFonts w:hint="eastAsia" w:ascii="Times New Roman" w:hAnsi="Times New Roman" w:cs="Times New Roman"/>
                <w:b/>
                <w:bCs/>
                <w:color w:val="auto"/>
                <w:lang w:val="en-US" w:eastAsia="zh-CN"/>
              </w:rPr>
              <w:t>5</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lang w:val="pt-BR" w:eastAsia="zh-CN"/>
              </w:rPr>
              <w:t>本项目与《</w:t>
            </w:r>
            <w:r>
              <w:rPr>
                <w:rFonts w:hint="default" w:ascii="Times New Roman" w:hAnsi="Times New Roman" w:cs="Times New Roman"/>
                <w:b/>
                <w:bCs/>
                <w:color w:val="auto"/>
                <w:lang w:val="en-US" w:eastAsia="zh-CN"/>
              </w:rPr>
              <w:t>通知</w:t>
            </w:r>
            <w:r>
              <w:rPr>
                <w:rFonts w:hint="default" w:ascii="Times New Roman" w:hAnsi="Times New Roman" w:cs="Times New Roman"/>
                <w:b/>
                <w:bCs/>
                <w:color w:val="auto"/>
                <w:lang w:val="pt-BR" w:eastAsia="zh-CN"/>
              </w:rPr>
              <w:t>》对比分析一览表</w:t>
            </w:r>
          </w:p>
          <w:tbl>
            <w:tblPr>
              <w:tblStyle w:val="1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3448"/>
              <w:gridCol w:w="1628"/>
              <w:gridCol w:w="7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1"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与本项目有关的内容</w:t>
                  </w:r>
                </w:p>
              </w:tc>
              <w:tc>
                <w:tcPr>
                  <w:tcW w:w="147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本项目情况</w:t>
                  </w:r>
                </w:p>
              </w:tc>
              <w:tc>
                <w:tcPr>
                  <w:tcW w:w="64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2" w:type="dxa"/>
                  <w:gridSpan w:val="4"/>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pt-BR"/>
                    </w:rPr>
                    <w:t>《</w:t>
                  </w:r>
                  <w:r>
                    <w:rPr>
                      <w:rFonts w:hint="default" w:ascii="Times New Roman" w:hAnsi="Times New Roman" w:eastAsia="宋体" w:cs="Times New Roman"/>
                      <w:bCs/>
                      <w:color w:val="auto"/>
                      <w:szCs w:val="21"/>
                    </w:rPr>
                    <w:t>新乡市202</w:t>
                  </w:r>
                  <w:r>
                    <w:rPr>
                      <w:rFonts w:hint="default" w:ascii="Times New Roman" w:hAnsi="Times New Roman" w:eastAsia="宋体" w:cs="Times New Roman"/>
                      <w:bCs/>
                      <w:color w:val="auto"/>
                      <w:szCs w:val="21"/>
                      <w:lang w:val="en-US" w:eastAsia="zh-CN"/>
                    </w:rPr>
                    <w:t>1</w:t>
                  </w:r>
                  <w:r>
                    <w:rPr>
                      <w:rFonts w:hint="default" w:ascii="Times New Roman" w:hAnsi="Times New Roman" w:eastAsia="宋体" w:cs="Times New Roman"/>
                      <w:bCs/>
                      <w:color w:val="auto"/>
                      <w:szCs w:val="21"/>
                    </w:rPr>
                    <w:t>年大气污染防治攻坚战实施方案</w:t>
                  </w:r>
                  <w:r>
                    <w:rPr>
                      <w:rFonts w:hint="default" w:ascii="Times New Roman" w:hAnsi="Times New Roman" w:eastAsia="宋体" w:cs="Times New Roman"/>
                      <w:bCs/>
                      <w:color w:val="auto"/>
                      <w:szCs w:val="21"/>
                      <w:lang w:val="pt-B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5"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2.严格环境准入。</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rPr>
                  </w:pPr>
                </w:p>
              </w:tc>
              <w:tc>
                <w:tcPr>
                  <w:tcW w:w="3126"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textAlignment w:val="baseline"/>
                    <w:rPr>
                      <w:rFonts w:hint="default" w:ascii="Times New Roman" w:hAnsi="Times New Roman" w:eastAsia="宋体" w:cs="Times New Roman"/>
                      <w:b/>
                      <w:color w:val="auto"/>
                      <w:szCs w:val="21"/>
                    </w:rPr>
                  </w:pPr>
                  <w:r>
                    <w:rPr>
                      <w:rFonts w:hint="default" w:ascii="Times New Roman" w:hAnsi="Times New Roman" w:eastAsia="宋体" w:cs="Times New Roman"/>
                      <w:color w:val="auto"/>
                      <w:kern w:val="0"/>
                      <w:szCs w:val="21"/>
                      <w:lang w:val="en-US" w:eastAsia="zh-CN"/>
                    </w:rPr>
                    <w:t>落实“三线一单”（生态保护红线、环境质量底线、资源利用上线和生态环境准入清单）生态环境分区管控要求，从严从紧从实控制高耗能、高排放项目建设，全市原则上禁止新建、扩建单纯新增产能的钢铁、电解铝、水泥、平板玻璃、传统煤化工（甲醇、合成氨）、焦化、铸造、铝用炭素、耐火材料制品、砖瓦窑、铅锌冶炼(含再生铅)等高耗能、高排放和产能过剩的产业项目，严格项目备案审查，强化项目现场核查，保持违规新增产能项目露头就打的高压态势。完善生态环境准入清单，强化项目环评及“三同时”管理，国家、省绩效分级重点行业的新建、改建、扩建项目达到B级以上要求。</w:t>
                  </w:r>
                </w:p>
              </w:tc>
              <w:tc>
                <w:tcPr>
                  <w:tcW w:w="1476" w:type="dxa"/>
                  <w:tcBorders>
                    <w:tl2br w:val="nil"/>
                    <w:tr2bl w:val="nil"/>
                  </w:tcBorders>
                  <w:noWrap w:val="0"/>
                  <w:vAlign w:val="center"/>
                </w:tcPr>
                <w:p>
                  <w:pPr>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auto"/>
                      <w:kern w:val="0"/>
                      <w:szCs w:val="21"/>
                    </w:rPr>
                  </w:pPr>
                  <w:r>
                    <w:rPr>
                      <w:rFonts w:hint="default" w:ascii="Times New Roman" w:hAnsi="Times New Roman" w:eastAsia="宋体" w:cs="Times New Roman"/>
                      <w:color w:val="000000"/>
                      <w:kern w:val="21"/>
                      <w:szCs w:val="21"/>
                    </w:rPr>
                    <w:t>本项目为</w:t>
                  </w:r>
                  <w:r>
                    <w:rPr>
                      <w:rFonts w:hint="default" w:ascii="Times New Roman" w:hAnsi="Times New Roman" w:eastAsia="宋体" w:cs="Times New Roman"/>
                      <w:color w:val="000000"/>
                      <w:kern w:val="0"/>
                      <w:szCs w:val="21"/>
                    </w:rPr>
                    <w:t>废弃资源综合利用业</w:t>
                  </w:r>
                  <w:r>
                    <w:rPr>
                      <w:rFonts w:hint="default" w:ascii="Times New Roman" w:hAnsi="Times New Roman" w:eastAsia="宋体" w:cs="Times New Roman"/>
                      <w:color w:val="000000"/>
                      <w:kern w:val="21"/>
                      <w:szCs w:val="21"/>
                    </w:rPr>
                    <w:t>，不属于河南省禁止类项目。</w:t>
                  </w:r>
                </w:p>
              </w:tc>
              <w:tc>
                <w:tcPr>
                  <w:tcW w:w="645"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5"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left"/>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18.加强扬尘综合治理</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3126"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left"/>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开展扬尘污染综合治理提升行动，推动扬尘污染防治常态化、规范化、标准化。市控尘办结合扬尘污染治理实际，分解下达各县（市）、区可吸入颗粒物（PM</w:t>
                  </w:r>
                  <w:r>
                    <w:rPr>
                      <w:rFonts w:hint="default" w:ascii="Times New Roman" w:hAnsi="Times New Roman" w:eastAsia="宋体" w:cs="Times New Roman"/>
                      <w:color w:val="auto"/>
                      <w:kern w:val="0"/>
                      <w:szCs w:val="21"/>
                      <w:vertAlign w:val="subscript"/>
                      <w:lang w:val="en-US" w:eastAsia="zh-CN"/>
                    </w:rPr>
                    <w:t>10</w:t>
                  </w:r>
                  <w:r>
                    <w:rPr>
                      <w:rFonts w:hint="default" w:ascii="Times New Roman" w:hAnsi="Times New Roman" w:eastAsia="宋体" w:cs="Times New Roman"/>
                      <w:color w:val="auto"/>
                      <w:kern w:val="0"/>
                      <w:szCs w:val="21"/>
                      <w:lang w:val="en-US" w:eastAsia="zh-CN"/>
                    </w:rPr>
                    <w:t xml:space="preserve">） </w:t>
                  </w:r>
                </w:p>
                <w:p>
                  <w:pPr>
                    <w:keepNext w:val="0"/>
                    <w:keepLines w:val="0"/>
                    <w:widowControl/>
                    <w:suppressLineNumbers w:val="0"/>
                    <w:adjustRightInd w:val="0"/>
                    <w:snapToGrid w:val="0"/>
                    <w:spacing w:before="0" w:beforeAutospacing="0" w:after="0" w:afterAutospacing="0"/>
                    <w:ind w:left="0" w:right="0"/>
                    <w:jc w:val="left"/>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 xml:space="preserve">年度目标值，强化调度督办，做好定期通报和年度考核工作。城 </w:t>
                  </w:r>
                </w:p>
                <w:p>
                  <w:pPr>
                    <w:keepNext w:val="0"/>
                    <w:keepLines w:val="0"/>
                    <w:widowControl/>
                    <w:suppressLineNumbers w:val="0"/>
                    <w:adjustRightInd w:val="0"/>
                    <w:snapToGrid w:val="0"/>
                    <w:spacing w:before="0" w:beforeAutospacing="0" w:after="0" w:afterAutospacing="0"/>
                    <w:ind w:left="0" w:right="0"/>
                    <w:jc w:val="left"/>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 xml:space="preserve">市管理、住房城乡建设、交通运输、自然资源、水利、商务部门 </w:t>
                  </w:r>
                </w:p>
                <w:p>
                  <w:pPr>
                    <w:keepNext w:val="0"/>
                    <w:keepLines w:val="0"/>
                    <w:widowControl/>
                    <w:suppressLineNumbers w:val="0"/>
                    <w:adjustRightInd w:val="0"/>
                    <w:snapToGrid w:val="0"/>
                    <w:spacing w:before="0" w:beforeAutospacing="0" w:after="0" w:afterAutospacing="0"/>
                    <w:ind w:left="0" w:right="0"/>
                    <w:jc w:val="left"/>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 xml:space="preserve">将落实《城市房屋建筑和市政基础设施工程及道路扬尘污染防治标准》要求、“六个百分之百”扬尘污染防治措施、“两个禁止” </w:t>
                  </w:r>
                </w:p>
                <w:p>
                  <w:pPr>
                    <w:keepNext w:val="0"/>
                    <w:keepLines w:val="0"/>
                    <w:widowControl/>
                    <w:suppressLineNumbers w:val="0"/>
                    <w:adjustRightInd w:val="0"/>
                    <w:snapToGrid w:val="0"/>
                    <w:spacing w:before="0" w:beforeAutospacing="0" w:after="0" w:afterAutospacing="0"/>
                    <w:ind w:left="0" w:right="0"/>
                    <w:jc w:val="left"/>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val="en-US" w:eastAsia="zh-CN"/>
                    </w:rPr>
                    <w:t>（禁止现场搅拌混凝土和现场配制砂浆）、渣土物料运输车辆管理纳入日常安全文明施工监督范围，组织做好重污染天气预警、大风天气条件下施工工地、道路扬尘管控，建立举报监督、明查暗访工作机制，将工程建设活动中未按规定采取控制措施、减少扬尘污染受到通报、约谈或行政处罚的列为不良行为。进一步扩大道路机械化清扫和洒水范围，强化道路清洗保洁作业，持续开展城市清洁行动，提升城市道路清洁质量。2021 年城市平均降尘量不得高于 8 吨/·平方公里，不断加严降尘量控制指标，实施网格化降尘量监测考核。持续推进城市建成区餐饮油烟治理，2021 年底前，全市大型餐饮服务单位全部实现在线监控，市级监控平台基本实现与所辖县（市、区）联网运行。</w:t>
                  </w:r>
                </w:p>
              </w:tc>
              <w:tc>
                <w:tcPr>
                  <w:tcW w:w="1476" w:type="dxa"/>
                  <w:tcBorders>
                    <w:tl2br w:val="nil"/>
                    <w:tr2bl w:val="nil"/>
                  </w:tcBorders>
                  <w:noWrap w:val="0"/>
                  <w:vAlign w:val="center"/>
                </w:tcPr>
                <w:p>
                  <w:pPr>
                    <w:keepNext w:val="0"/>
                    <w:keepLines w:val="0"/>
                    <w:suppressLineNumbers w:val="0"/>
                    <w:spacing w:before="0" w:beforeAutospacing="0" w:after="0" w:afterAutospacing="0"/>
                    <w:ind w:left="0" w:right="0"/>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项目</w:t>
                  </w:r>
                  <w:r>
                    <w:rPr>
                      <w:rFonts w:hint="default" w:ascii="Times New Roman" w:hAnsi="Times New Roman" w:eastAsia="宋体" w:cs="Times New Roman"/>
                      <w:color w:val="auto"/>
                      <w:szCs w:val="21"/>
                      <w:lang w:eastAsia="zh-CN"/>
                    </w:rPr>
                    <w:t>施工做到</w:t>
                  </w:r>
                  <w:r>
                    <w:rPr>
                      <w:rFonts w:hint="default" w:ascii="Times New Roman" w:hAnsi="Times New Roman" w:eastAsia="宋体" w:cs="Times New Roman"/>
                      <w:color w:val="auto"/>
                      <w:kern w:val="0"/>
                      <w:szCs w:val="21"/>
                      <w:lang w:val="en-US" w:eastAsia="zh-CN"/>
                    </w:rPr>
                    <w:t>“六个百分之百”扬尘污染防治措施、“两个禁止”措施</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厂区道路硬化，并对厂区道路定期洒水清扫；裸露土地绿化到位</w:t>
                  </w:r>
                  <w:r>
                    <w:rPr>
                      <w:rFonts w:hint="eastAsia" w:ascii="Times New Roman" w:hAnsi="Times New Roman" w:eastAsia="宋体" w:cs="Times New Roman"/>
                      <w:color w:val="auto"/>
                      <w:szCs w:val="21"/>
                      <w:lang w:eastAsia="zh-CN"/>
                    </w:rPr>
                    <w:t>。</w:t>
                  </w:r>
                </w:p>
              </w:tc>
              <w:tc>
                <w:tcPr>
                  <w:tcW w:w="64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5" w:type="dxa"/>
                  <w:tcBorders>
                    <w:tl2br w:val="nil"/>
                    <w:tr2bl w:val="nil"/>
                  </w:tcBorders>
                  <w:noWrap w:val="0"/>
                  <w:vAlign w:val="center"/>
                </w:tcPr>
                <w:p>
                  <w:pPr>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23.开展工业企业全面达标行动。</w:t>
                  </w:r>
                </w:p>
                <w:p>
                  <w:pPr>
                    <w:keepNext w:val="0"/>
                    <w:keepLines w:val="0"/>
                    <w:suppressLineNumbers w:val="0"/>
                    <w:adjustRightInd w:val="0"/>
                    <w:snapToGrid w:val="0"/>
                    <w:spacing w:before="0" w:beforeAutospacing="0" w:after="0" w:afterAutospacing="0"/>
                    <w:ind w:left="0" w:right="0"/>
                    <w:jc w:val="left"/>
                    <w:textAlignment w:val="baseline"/>
                    <w:rPr>
                      <w:rFonts w:hint="default" w:ascii="Times New Roman" w:hAnsi="Times New Roman" w:eastAsia="宋体" w:cs="Times New Roman"/>
                      <w:bCs/>
                      <w:color w:val="auto"/>
                      <w:kern w:val="0"/>
                      <w:szCs w:val="21"/>
                    </w:rPr>
                  </w:pPr>
                </w:p>
              </w:tc>
              <w:tc>
                <w:tcPr>
                  <w:tcW w:w="3126" w:type="dxa"/>
                  <w:tcBorders>
                    <w:tl2br w:val="nil"/>
                    <w:tr2bl w:val="nil"/>
                  </w:tcBorders>
                  <w:noWrap w:val="0"/>
                  <w:vAlign w:val="center"/>
                </w:tcPr>
                <w:p>
                  <w:pPr>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 xml:space="preserve">贯彻落实《排污许可管理 </w:t>
                  </w:r>
                </w:p>
                <w:p>
                  <w:pPr>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 xml:space="preserve">条例》，按照源头预防、过程控制、清洁生产、损害赔偿、责任 </w:t>
                  </w:r>
                </w:p>
                <w:p>
                  <w:pPr>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 xml:space="preserve">追究，实现固定污染源全过程管理。严格执行国家和河南省大气 </w:t>
                  </w:r>
                </w:p>
                <w:p>
                  <w:pPr>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 xml:space="preserve">污染物排放标准，持续推进电力、水泥、铝工业、碳素、陶瓷、砖瓦窑、铸造、铁合金、耐材、玻璃、有色金属冶炼及压延、化 </w:t>
                  </w:r>
                </w:p>
                <w:p>
                  <w:pPr>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 xml:space="preserve">工、包装印刷行业和其他涉及工业涂装、工业窑炉、锅炉等行业 </w:t>
                  </w:r>
                </w:p>
                <w:p>
                  <w:pPr>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 xml:space="preserve">废气污染物全面达标排放，将烟气在线监测数据作为执法依据， </w:t>
                  </w:r>
                </w:p>
                <w:p>
                  <w:pPr>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 xml:space="preserve">加大超标处罚和联合惩戒力度，严厉打击各类大气环境违法行 </w:t>
                  </w:r>
                </w:p>
                <w:p>
                  <w:pPr>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 xml:space="preserve">为。开展重点行业企业废气污染物达标排放执法检查，对不能稳 </w:t>
                  </w:r>
                </w:p>
                <w:p>
                  <w:pPr>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定达标排放、不满足无组织控制要求的企业，依法实施停产治理。</w:t>
                  </w:r>
                </w:p>
              </w:tc>
              <w:tc>
                <w:tcPr>
                  <w:tcW w:w="1476" w:type="dxa"/>
                  <w:tcBorders>
                    <w:tl2br w:val="nil"/>
                    <w:tr2bl w:val="nil"/>
                  </w:tcBorders>
                  <w:noWrap w:val="0"/>
                  <w:vAlign w:val="center"/>
                </w:tcPr>
                <w:p>
                  <w:pPr>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21"/>
                      <w:szCs w:val="21"/>
                    </w:rPr>
                    <w:t>项目产生的废气经处理后可满足排放标准要求。</w:t>
                  </w:r>
                </w:p>
              </w:tc>
              <w:tc>
                <w:tcPr>
                  <w:tcW w:w="645"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5" w:type="dxa"/>
                  <w:tcBorders>
                    <w:tl2br w:val="nil"/>
                    <w:tr2bl w:val="nil"/>
                  </w:tcBorders>
                  <w:noWrap w:val="0"/>
                  <w:vAlign w:val="center"/>
                </w:tcPr>
                <w:p>
                  <w:pPr>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35.加强应急运输响应。</w:t>
                  </w:r>
                </w:p>
              </w:tc>
              <w:tc>
                <w:tcPr>
                  <w:tcW w:w="3126" w:type="dxa"/>
                  <w:tcBorders>
                    <w:tl2br w:val="nil"/>
                    <w:tr2bl w:val="nil"/>
                  </w:tcBorders>
                  <w:noWrap w:val="0"/>
                  <w:vAlign w:val="center"/>
                </w:tcPr>
                <w:p>
                  <w:pPr>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强化重污染天气运输环节源头管控，督促指导建材、煤炭、矿石采选、砂石骨料等涉及大宗物料运输的重点用车企业实施应急运输响应，制定应急运输响应方案，合理安排运力，提前做好生产物资储备，重污染天气橙色以上预警期间，减少或停止货物公路运输及非道路移动机械使用。相关部门通过厂区门禁系统数据和视频监控等方式，监督重点企业应急运输响应执行情况。</w:t>
                  </w:r>
                </w:p>
              </w:tc>
              <w:tc>
                <w:tcPr>
                  <w:tcW w:w="1476" w:type="dxa"/>
                  <w:tcBorders>
                    <w:tl2br w:val="nil"/>
                    <w:tr2bl w:val="nil"/>
                  </w:tcBorders>
                  <w:noWrap w:val="0"/>
                  <w:vAlign w:val="center"/>
                </w:tcPr>
                <w:p>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本项目按照要求制定应急运输响应方案；橙色及以上预警期间，实施应急运输响应；安装厂区门禁系统和视频监控，不使用国Ⅳ及以下柴油货车运输物料。</w:t>
                  </w:r>
                </w:p>
              </w:tc>
              <w:tc>
                <w:tcPr>
                  <w:tcW w:w="645"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5"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left"/>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36.实施重点行业错峰生产</w:t>
                  </w:r>
                </w:p>
                <w:p>
                  <w:pPr>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auto"/>
                      <w:kern w:val="0"/>
                      <w:szCs w:val="21"/>
                      <w:lang w:val="en-US" w:eastAsia="zh-CN"/>
                    </w:rPr>
                  </w:pPr>
                </w:p>
              </w:tc>
              <w:tc>
                <w:tcPr>
                  <w:tcW w:w="3126"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left"/>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 xml:space="preserve">制定错峰生产方案，加强臭氧污染天气下的挥发性有机物排放管控措施，减少采暖期大气污染物排放。对石化、化工、制药、农药、工业涂装、包装印刷等行 </w:t>
                  </w:r>
                </w:p>
                <w:p>
                  <w:pPr>
                    <w:keepNext w:val="0"/>
                    <w:keepLines w:val="0"/>
                    <w:widowControl/>
                    <w:suppressLineNumbers w:val="0"/>
                    <w:adjustRightInd w:val="0"/>
                    <w:snapToGrid w:val="0"/>
                    <w:spacing w:before="0" w:beforeAutospacing="0" w:after="0" w:afterAutospacing="0"/>
                    <w:ind w:left="0" w:right="0"/>
                    <w:jc w:val="left"/>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 xml:space="preserve">业，采取调整生产负荷方式分阶段或时段实施错峰生产调控。对 </w:t>
                  </w:r>
                </w:p>
                <w:p>
                  <w:pPr>
                    <w:keepNext w:val="0"/>
                    <w:keepLines w:val="0"/>
                    <w:widowControl/>
                    <w:suppressLineNumbers w:val="0"/>
                    <w:adjustRightInd w:val="0"/>
                    <w:snapToGrid w:val="0"/>
                    <w:spacing w:before="0" w:beforeAutospacing="0" w:after="0" w:afterAutospacing="0"/>
                    <w:ind w:left="0" w:right="0"/>
                    <w:jc w:val="left"/>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水泥、耐材、陶瓷、砖瓦窑等生产工序不可中断或短时间难以完成停产的行业，结合生产特点和对空气质量的影响，实施错峰生产调控。结合当地工业企业布局、生产特点和对环境空气质量影响，研究制定差别化的错峰生产调控措施。</w:t>
                  </w:r>
                </w:p>
              </w:tc>
              <w:tc>
                <w:tcPr>
                  <w:tcW w:w="1476" w:type="dxa"/>
                  <w:tcBorders>
                    <w:tl2br w:val="nil"/>
                    <w:tr2bl w:val="nil"/>
                  </w:tcBorders>
                  <w:noWrap w:val="0"/>
                  <w:vAlign w:val="center"/>
                </w:tcPr>
                <w:p>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本项目建成后按照相关要求调整生产计划，实施秋冬季生产调控</w:t>
                  </w:r>
                </w:p>
              </w:tc>
              <w:tc>
                <w:tcPr>
                  <w:tcW w:w="645"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5"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textAlignment w:val="baseline"/>
                    <w:rPr>
                      <w:rFonts w:hint="default" w:ascii="Times New Roman" w:hAnsi="Times New Roman" w:eastAsia="宋体" w:cs="Times New Roman"/>
                      <w:bCs/>
                      <w:color w:val="auto"/>
                      <w:kern w:val="0"/>
                      <w:szCs w:val="21"/>
                    </w:rPr>
                  </w:pPr>
                  <w:r>
                    <w:rPr>
                      <w:rFonts w:hint="default" w:ascii="Times New Roman" w:hAnsi="Times New Roman" w:eastAsia="宋体" w:cs="Times New Roman"/>
                      <w:color w:val="auto"/>
                      <w:kern w:val="0"/>
                      <w:szCs w:val="21"/>
                      <w:lang w:val="en-US" w:eastAsia="zh-CN"/>
                    </w:rPr>
                    <w:t>40.强化监测监控数据质量控制。</w:t>
                  </w:r>
                </w:p>
              </w:tc>
              <w:tc>
                <w:tcPr>
                  <w:tcW w:w="3126" w:type="dxa"/>
                  <w:tcBorders>
                    <w:tl2br w:val="nil"/>
                    <w:tr2bl w:val="nil"/>
                  </w:tcBorders>
                  <w:noWrap w:val="0"/>
                  <w:vAlign w:val="center"/>
                </w:tcPr>
                <w:p>
                  <w:pPr>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 xml:space="preserve">进一步加强污染源在线监控和空气质量自动监测质量检查，强力打击企业数据造假行为。 </w:t>
                  </w:r>
                </w:p>
                <w:p>
                  <w:pPr>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监督指导第三方监测机构严格执行国家和地方的法律法规、标准和技术规范，保证监测结果真实、合法合规、证据链完整和量值可溯源性。市场监管、生态环境部门强化污染源和环境监测质量抽查工作，对存在不规范或违法违规行为的监测机构和相关人员，视情形给予告诫、责令改正、责令整改、罚款或撤销资质证书等处理，并公开通报，涉嫌违法犯罪的移交司法机关予以处理。</w:t>
                  </w:r>
                </w:p>
              </w:tc>
              <w:tc>
                <w:tcPr>
                  <w:tcW w:w="1476" w:type="dxa"/>
                  <w:tcBorders>
                    <w:tl2br w:val="nil"/>
                    <w:tr2bl w:val="nil"/>
                  </w:tcBorders>
                  <w:noWrap w:val="0"/>
                  <w:vAlign w:val="center"/>
                </w:tcPr>
                <w:p>
                  <w:pPr>
                    <w:keepNext w:val="0"/>
                    <w:keepLines w:val="0"/>
                    <w:widowControl/>
                    <w:suppressLineNumbers w:val="0"/>
                    <w:snapToGrid w:val="0"/>
                    <w:spacing w:before="0" w:beforeAutospacing="0" w:after="0" w:afterAutospacing="0"/>
                    <w:ind w:left="0" w:right="0"/>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企业应按照相关环保政策文件要求安装视频、污染源在线监测、TSP自动监测等监控设施。</w:t>
                  </w:r>
                </w:p>
              </w:tc>
              <w:tc>
                <w:tcPr>
                  <w:tcW w:w="645"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2" w:type="dxa"/>
                  <w:gridSpan w:val="4"/>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pt-BR"/>
                    </w:rPr>
                    <w:t>《</w:t>
                  </w:r>
                  <w:r>
                    <w:rPr>
                      <w:rFonts w:hint="default" w:ascii="Times New Roman" w:hAnsi="Times New Roman" w:eastAsia="宋体" w:cs="Times New Roman"/>
                      <w:bCs/>
                      <w:color w:val="auto"/>
                      <w:szCs w:val="21"/>
                      <w:lang w:val="en-US" w:eastAsia="zh-CN"/>
                    </w:rPr>
                    <w:t>新乡市 2021 年水污染防治攻坚战实施方案</w:t>
                  </w:r>
                  <w:r>
                    <w:rPr>
                      <w:rFonts w:hint="default" w:ascii="Times New Roman" w:hAnsi="Times New Roman" w:eastAsia="宋体" w:cs="Times New Roman"/>
                      <w:bCs/>
                      <w:color w:val="auto"/>
                      <w:szCs w:val="21"/>
                      <w:lang w:val="pt-B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02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val="en-US" w:eastAsia="zh-CN"/>
                    </w:rPr>
                    <w:t>3.加快实施产业结构调整。</w:t>
                  </w:r>
                </w:p>
              </w:tc>
              <w:tc>
                <w:tcPr>
                  <w:tcW w:w="3126"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 xml:space="preserve">持续做好化工、纺织印染、造纸、 </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 xml:space="preserve">皮革、农副食品加工等行业绿色化改造。制定并实施年度落后产 </w:t>
                  </w:r>
                </w:p>
                <w:p>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lang w:val="en-US" w:eastAsia="zh-CN"/>
                    </w:rPr>
                    <w:t>能淘汰方案，按计划推进城市建成区内污染较重企业的搬迁改造或依法关闭工作。对重点行业企业依法实施强制性清洁生产审核。持续开展涉水“散乱污”企业排查整治，淘汰一批、整合一批、提升一批，促进涉水企业产业结构转型升级。</w:t>
                  </w:r>
                </w:p>
              </w:tc>
              <w:tc>
                <w:tcPr>
                  <w:tcW w:w="1476"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本项目生活污水经化粪池处理后定期清运</w:t>
                  </w:r>
                </w:p>
              </w:tc>
              <w:tc>
                <w:tcPr>
                  <w:tcW w:w="64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4.严格环境准入。</w:t>
                  </w:r>
                </w:p>
              </w:tc>
              <w:tc>
                <w:tcPr>
                  <w:tcW w:w="3126"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深化“放、管、服”改革，强化项目事中、事后监管，提升服务水平。推进“三线一单”生态环境分区管控要求落地应用，严控新建高耗水、高排放工业项目。把好项目环境准入关。</w:t>
                  </w:r>
                </w:p>
              </w:tc>
              <w:tc>
                <w:tcPr>
                  <w:tcW w:w="1476"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eastAsia="zh-CN"/>
                    </w:rPr>
                    <w:t>本项目不属于</w:t>
                  </w:r>
                  <w:r>
                    <w:rPr>
                      <w:rFonts w:hint="default" w:ascii="Times New Roman" w:hAnsi="Times New Roman" w:eastAsia="宋体" w:cs="Times New Roman"/>
                      <w:bCs/>
                      <w:color w:val="auto"/>
                      <w:szCs w:val="21"/>
                      <w:lang w:val="en-US" w:eastAsia="zh-CN"/>
                    </w:rPr>
                    <w:t>高耗水、高排放工业项目。</w:t>
                  </w:r>
                </w:p>
              </w:tc>
              <w:tc>
                <w:tcPr>
                  <w:tcW w:w="64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2" w:type="dxa"/>
                  <w:gridSpan w:val="4"/>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FF0000"/>
                      <w:szCs w:val="21"/>
                    </w:rPr>
                  </w:pPr>
                  <w:r>
                    <w:rPr>
                      <w:rFonts w:hint="default" w:ascii="Times New Roman" w:hAnsi="Times New Roman" w:eastAsia="宋体" w:cs="Times New Roman"/>
                      <w:bCs/>
                      <w:color w:val="auto"/>
                      <w:szCs w:val="21"/>
                      <w:lang w:val="pt-BR"/>
                    </w:rPr>
                    <w:t>《</w:t>
                  </w:r>
                  <w:r>
                    <w:rPr>
                      <w:rFonts w:hint="default" w:ascii="Times New Roman" w:hAnsi="Times New Roman" w:eastAsia="宋体" w:cs="Times New Roman"/>
                      <w:color w:val="auto"/>
                      <w:szCs w:val="21"/>
                      <w:lang w:val="en-US" w:eastAsia="zh-CN"/>
                    </w:rPr>
                    <w:t>新乡市 2021 年土壤污染防治攻坚战实施方案</w:t>
                  </w:r>
                  <w:r>
                    <w:rPr>
                      <w:rFonts w:hint="default" w:ascii="Times New Roman" w:hAnsi="Times New Roman" w:eastAsia="宋体" w:cs="Times New Roman"/>
                      <w:color w:val="auto"/>
                      <w:szCs w:val="21"/>
                      <w:lang w:val="pt-B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7.严格建设项目环境准入。</w:t>
                  </w:r>
                </w:p>
              </w:tc>
              <w:tc>
                <w:tcPr>
                  <w:tcW w:w="3126"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 xml:space="preserve">推进“三线一单”生态环境分区管控要求落地应用，严控不符合土壤环境管控要求的项目落地； </w:t>
                  </w: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把好建设项目环境准入关，对可能造成土壤污染的建设项目依法开展环境影响评价，并强化土壤环评相关内容，提出有效的防范措施。</w:t>
                  </w:r>
                </w:p>
              </w:tc>
              <w:tc>
                <w:tcPr>
                  <w:tcW w:w="1476"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本项目厂址符合工业用地</w:t>
                  </w:r>
                </w:p>
              </w:tc>
              <w:tc>
                <w:tcPr>
                  <w:tcW w:w="64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9.强化重点监管单位监管。</w:t>
                  </w:r>
                </w:p>
              </w:tc>
              <w:tc>
                <w:tcPr>
                  <w:tcW w:w="3126"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及时完成土壤污染重点监管单位名录更新工作并向社会公开。督促土壤污染重点监管单位全面落实土壤污染防治义务，依法纳入排污许可管理。2021 年年底前，土壤污染重点监管单位自行监测率达到 100%，全部完成 1 次土壤和地下水污染隐患排查，对存在问题制定整改方案并实施整改整治。对新纳入的土壤污染重点监管单位年度内开展一次周边土壤环境监测。结合近几年土壤污染重点监管单位周边监测有关情况，科学确定土壤污染重点监管单位周边土壤监测频次，鼓励探索建立精细化土壤污染重点监管单位周边土壤监测制度。</w:t>
                  </w:r>
                </w:p>
              </w:tc>
              <w:tc>
                <w:tcPr>
                  <w:tcW w:w="1476"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土壤污染若属于重点监管单位，将按照市生态环境局的要求将土壤污染防治相关责任和义务纳入土壤污染重点监管单位排污许可证中，并建立土壤污染隐患排查制度，形成污染隐患排查报告，并报所在地县级生态环境主管部门备案。</w:t>
                  </w:r>
                </w:p>
              </w:tc>
              <w:tc>
                <w:tcPr>
                  <w:tcW w:w="64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5"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28.加强生态环境执法与应急处置。</w:t>
                  </w:r>
                </w:p>
              </w:tc>
              <w:tc>
                <w:tcPr>
                  <w:tcW w:w="3126"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依法将土壤生态环境保护相关工作纳入日常执法内容，严厉打击固体废物特别是危险废物非法倾倒或填埋，以及利用渗井、渗坑、裂隙、溶洞等逃避监管的方式向地下排放污染物等行为；配合开展污染土壤、地下水生态环境损害赔偿调查，落实生态环境损害赔偿制度。提升突发环境事件土壤生态环境保护应急处置能力，各相关单位制定的突发环境事件应急预案应当包括防止土壤和地下水环境污染内容。加强土壤生态环境执法，提升执法装备水平，鼓励配备便携式污染检测仪器、无人机、探地雷达等设备。组织开展监管执法工作培训。鼓励各地设立土壤生态环境监管技术支撑团队。</w:t>
                  </w:r>
                </w:p>
              </w:tc>
              <w:tc>
                <w:tcPr>
                  <w:tcW w:w="1476"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本项目生活垃圾集中收集后由环卫部门统一清运；除尘器回收粉尘</w:t>
                  </w:r>
                  <w:r>
                    <w:rPr>
                      <w:rFonts w:hint="default" w:ascii="Times New Roman" w:hAnsi="Times New Roman" w:eastAsia="宋体" w:cs="Times New Roman"/>
                      <w:color w:val="auto"/>
                      <w:szCs w:val="21"/>
                      <w:lang w:eastAsia="zh-CN"/>
                    </w:rPr>
                    <w:t>定期清运</w:t>
                  </w:r>
                  <w:r>
                    <w:rPr>
                      <w:rFonts w:hint="default" w:ascii="Times New Roman" w:hAnsi="Times New Roman" w:eastAsia="宋体" w:cs="Times New Roman"/>
                      <w:color w:val="auto"/>
                      <w:szCs w:val="21"/>
                    </w:rPr>
                    <w:t>，固废处理实现资源化利用。</w:t>
                  </w:r>
                </w:p>
              </w:tc>
              <w:tc>
                <w:tcPr>
                  <w:tcW w:w="64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bl>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由上表可知，本项目符</w:t>
            </w:r>
            <w:r>
              <w:rPr>
                <w:rFonts w:hint="default" w:ascii="Times New Roman" w:hAnsi="Times New Roman" w:eastAsia="宋体" w:cs="Times New Roman"/>
                <w:color w:val="auto"/>
                <w:lang w:val="en-US" w:eastAsia="zh-CN"/>
              </w:rPr>
              <w:t>合《新乡市 2021 年大气、水、土壤污染防治攻坚战及农业农村污染治理攻坚战实施方案的通知</w:t>
            </w:r>
            <w:r>
              <w:rPr>
                <w:rFonts w:hint="default" w:ascii="Times New Roman" w:hAnsi="Times New Roman" w:cs="Times New Roman"/>
                <w:color w:val="auto"/>
                <w:lang w:val="en-US" w:eastAsia="zh-CN"/>
              </w:rPr>
              <w:t>》（新环攻坚办〔2021〕90号）相关要求。</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2" w:firstLineChars="200"/>
              <w:textAlignment w:val="auto"/>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7</w:t>
            </w:r>
            <w:r>
              <w:rPr>
                <w:rFonts w:hint="default" w:ascii="Times New Roman" w:hAnsi="Times New Roman" w:cs="Times New Roman"/>
                <w:b/>
                <w:bCs/>
                <w:color w:val="auto"/>
                <w:lang w:val="en-US" w:eastAsia="zh-CN"/>
              </w:rPr>
              <w:t>、本项目与《新乡市生态环境局关于安装工业企业视频监控系统的通知》（以下简称《通知》）的对比分析</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2" w:firstLineChars="200"/>
              <w:jc w:val="center"/>
              <w:textAlignment w:val="auto"/>
              <w:rPr>
                <w:rFonts w:hint="default" w:ascii="Times New Roman" w:hAnsi="Times New Roman" w:cs="Times New Roman"/>
                <w:b/>
                <w:bCs/>
                <w:color w:val="auto"/>
                <w:szCs w:val="24"/>
                <w:lang w:val="en-US" w:eastAsia="zh-CN"/>
              </w:rPr>
            </w:pPr>
            <w:r>
              <w:rPr>
                <w:rFonts w:hint="default" w:ascii="Times New Roman" w:hAnsi="Times New Roman" w:cs="Times New Roman"/>
                <w:b/>
                <w:bCs/>
                <w:color w:val="auto"/>
                <w:lang w:val="en-US" w:eastAsia="zh-CN"/>
              </w:rPr>
              <w:t>表</w:t>
            </w:r>
            <w:r>
              <w:rPr>
                <w:rFonts w:hint="eastAsia" w:ascii="Times New Roman" w:hAnsi="Times New Roman" w:cs="Times New Roman"/>
                <w:b/>
                <w:bCs/>
                <w:color w:val="auto"/>
                <w:lang w:val="en-US" w:eastAsia="zh-CN"/>
              </w:rPr>
              <w:t>6</w:t>
            </w:r>
            <w:r>
              <w:rPr>
                <w:rFonts w:hint="default" w:ascii="Times New Roman" w:hAnsi="Times New Roman" w:cs="Times New Roman"/>
                <w:b/>
                <w:bCs/>
                <w:color w:val="auto"/>
                <w:lang w:val="en-US" w:eastAsia="zh-CN"/>
              </w:rPr>
              <w:t xml:space="preserve">  与《通知》对比分析一览表</w:t>
            </w:r>
          </w:p>
          <w:tbl>
            <w:tblPr>
              <w:tblStyle w:val="1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41"/>
              <w:gridCol w:w="2659"/>
              <w:gridCol w:w="7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《通知》中与本项目有关的内容</w:t>
                  </w:r>
                </w:p>
              </w:tc>
              <w:tc>
                <w:tcPr>
                  <w:tcW w:w="2411"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本项目情况</w:t>
                  </w:r>
                </w:p>
              </w:tc>
              <w:tc>
                <w:tcPr>
                  <w:tcW w:w="652"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9" w:type="dxa"/>
                  <w:tcBorders>
                    <w:tl2br w:val="nil"/>
                    <w:tr2bl w:val="nil"/>
                  </w:tcBorders>
                  <w:noWrap w:val="0"/>
                  <w:vAlign w:val="center"/>
                </w:tcPr>
                <w:p>
                  <w:pPr>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auto"/>
                      <w:kern w:val="0"/>
                      <w:szCs w:val="21"/>
                    </w:rPr>
                  </w:pPr>
                  <w:r>
                    <w:rPr>
                      <w:rFonts w:hint="default" w:ascii="Times New Roman" w:hAnsi="Times New Roman" w:eastAsia="宋体" w:cs="Times New Roman"/>
                      <w:bCs/>
                      <w:color w:val="auto"/>
                      <w:kern w:val="0"/>
                      <w:szCs w:val="21"/>
                    </w:rPr>
                    <w:t>2020年10月底前，新乡市辖区内工业企业要完成主要污染物排放口、监测取样处等重点部位视频监控设施建设，并与市局联网共享，视频监控数据保存三个月</w:t>
                  </w:r>
                  <w:r>
                    <w:rPr>
                      <w:rFonts w:hint="default" w:ascii="Times New Roman" w:hAnsi="Times New Roman" w:eastAsia="宋体" w:cs="Times New Roman"/>
                      <w:color w:val="auto"/>
                      <w:kern w:val="0"/>
                      <w:szCs w:val="21"/>
                    </w:rPr>
                    <w:t>。</w:t>
                  </w:r>
                </w:p>
              </w:tc>
              <w:tc>
                <w:tcPr>
                  <w:tcW w:w="2411" w:type="dxa"/>
                  <w:tcBorders>
                    <w:tl2br w:val="nil"/>
                    <w:tr2bl w:val="nil"/>
                  </w:tcBorders>
                  <w:noWrap w:val="0"/>
                  <w:vAlign w:val="center"/>
                </w:tcPr>
                <w:p>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本项目建成后</w:t>
                  </w:r>
                  <w:r>
                    <w:rPr>
                      <w:rFonts w:hint="default" w:ascii="Times New Roman" w:hAnsi="Times New Roman" w:eastAsia="宋体" w:cs="Times New Roman"/>
                      <w:bCs/>
                      <w:color w:val="auto"/>
                      <w:kern w:val="0"/>
                      <w:szCs w:val="21"/>
                    </w:rPr>
                    <w:t>在主要污染物排放口、监测取样处等重点部位处安装视频监控，并与市局联网共享，视频监控数据保存三个月</w:t>
                  </w:r>
                  <w:r>
                    <w:rPr>
                      <w:rFonts w:hint="default" w:ascii="Times New Roman" w:hAnsi="Times New Roman" w:eastAsia="宋体" w:cs="Times New Roman"/>
                      <w:color w:val="auto"/>
                      <w:kern w:val="0"/>
                      <w:szCs w:val="21"/>
                    </w:rPr>
                    <w:t>。</w:t>
                  </w:r>
                </w:p>
              </w:tc>
              <w:tc>
                <w:tcPr>
                  <w:tcW w:w="652"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09" w:type="dxa"/>
                  <w:tcBorders>
                    <w:tl2br w:val="nil"/>
                    <w:tr2bl w:val="nil"/>
                  </w:tcBorders>
                  <w:noWrap w:val="0"/>
                  <w:vAlign w:val="center"/>
                </w:tcPr>
                <w:p>
                  <w:pPr>
                    <w:keepNext w:val="0"/>
                    <w:keepLines w:val="0"/>
                    <w:suppressLineNumbers w:val="0"/>
                    <w:snapToGrid w:val="0"/>
                    <w:spacing w:before="0" w:beforeAutospacing="0" w:after="0" w:afterAutospacing="0"/>
                    <w:ind w:left="0" w:right="0"/>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部分行业视频监控部位除满足上述要求外，需按照以下要求，完善视频设施建设：1、含破碎工序的非碎石企业视频监控部位安装要求（1）需在厂区所有的进出口安装高空摄像头；（2）所有料库内部安装球机摄像头；（3）破碎工段能够观察破碎机工作状态，进料口位置安装枪机摄像头</w:t>
                  </w:r>
                </w:p>
              </w:tc>
              <w:tc>
                <w:tcPr>
                  <w:tcW w:w="2411" w:type="dxa"/>
                  <w:tcBorders>
                    <w:tl2br w:val="nil"/>
                    <w:tr2bl w:val="nil"/>
                  </w:tcBorders>
                  <w:noWrap w:val="0"/>
                  <w:vAlign w:val="center"/>
                </w:tcPr>
                <w:p>
                  <w:pPr>
                    <w:keepNext w:val="0"/>
                    <w:keepLines w:val="0"/>
                    <w:suppressLineNumbers w:val="0"/>
                    <w:snapToGrid w:val="0"/>
                    <w:spacing w:before="0" w:beforeAutospacing="0" w:after="0" w:afterAutospacing="0"/>
                    <w:ind w:left="0" w:right="0"/>
                    <w:rPr>
                      <w:rFonts w:hint="default" w:ascii="Times New Roman" w:hAnsi="Times New Roman" w:eastAsia="宋体" w:cs="Times New Roman"/>
                      <w:bCs/>
                      <w:color w:val="auto"/>
                      <w:kern w:val="0"/>
                      <w:szCs w:val="21"/>
                    </w:rPr>
                  </w:pPr>
                  <w:r>
                    <w:rPr>
                      <w:rFonts w:hint="default" w:ascii="Times New Roman" w:hAnsi="Times New Roman" w:eastAsia="宋体" w:cs="Times New Roman"/>
                      <w:color w:val="auto"/>
                      <w:kern w:val="0"/>
                      <w:szCs w:val="21"/>
                    </w:rPr>
                    <w:t>本项目建成后</w:t>
                  </w:r>
                  <w:r>
                    <w:rPr>
                      <w:rFonts w:hint="default" w:ascii="Times New Roman" w:hAnsi="Times New Roman" w:eastAsia="宋体" w:cs="Times New Roman"/>
                      <w:bCs/>
                      <w:color w:val="auto"/>
                      <w:kern w:val="0"/>
                      <w:szCs w:val="21"/>
                    </w:rPr>
                    <w:t>需在厂区所有的进出口安装高空摄像头，所有料库内部安装球机摄像头，进料口位置安装枪机摄像头。</w:t>
                  </w:r>
                </w:p>
              </w:tc>
              <w:tc>
                <w:tcPr>
                  <w:tcW w:w="652"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符合</w:t>
                  </w:r>
                </w:p>
              </w:tc>
            </w:tr>
          </w:tbl>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由上表可知，本项目满足《通知》的相关要求。</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2" w:firstLineChars="200"/>
              <w:textAlignment w:val="auto"/>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8</w:t>
            </w:r>
            <w:r>
              <w:rPr>
                <w:rFonts w:hint="default" w:ascii="Times New Roman" w:hAnsi="Times New Roman" w:cs="Times New Roman"/>
                <w:b/>
                <w:bCs/>
                <w:color w:val="auto"/>
                <w:lang w:val="en-US" w:eastAsia="zh-CN"/>
              </w:rPr>
              <w:t>、本项目与《新乡市生态环境局关于部署安装工业企业用电量监控系统的通知》新环 [2019]154号文的对照分析</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2" w:firstLineChars="20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w:t>
            </w:r>
            <w:r>
              <w:rPr>
                <w:rFonts w:hint="eastAsia" w:ascii="Times New Roman" w:hAnsi="Times New Roman" w:cs="Times New Roman"/>
                <w:b/>
                <w:bCs/>
                <w:color w:val="auto"/>
                <w:lang w:val="en-US" w:eastAsia="zh-CN"/>
              </w:rPr>
              <w:t>7</w:t>
            </w:r>
            <w:r>
              <w:rPr>
                <w:rFonts w:hint="default" w:ascii="Times New Roman" w:hAnsi="Times New Roman" w:cs="Times New Roman"/>
                <w:b/>
                <w:bCs/>
                <w:color w:val="auto"/>
                <w:lang w:val="en-US" w:eastAsia="zh-CN"/>
              </w:rPr>
              <w:t xml:space="preserve">  与新环[2019]154号文的对照分析</w:t>
            </w:r>
          </w:p>
          <w:tbl>
            <w:tblPr>
              <w:tblStyle w:val="1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5"/>
              <w:gridCol w:w="2980"/>
              <w:gridCol w:w="2308"/>
              <w:gridCol w:w="7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主要任务</w:t>
                  </w:r>
                </w:p>
              </w:tc>
              <w:tc>
                <w:tcPr>
                  <w:tcW w:w="425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与本项目相关条文</w:t>
                  </w:r>
                </w:p>
              </w:tc>
              <w:tc>
                <w:tcPr>
                  <w:tcW w:w="326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本项目情况</w:t>
                  </w:r>
                </w:p>
              </w:tc>
              <w:tc>
                <w:tcPr>
                  <w:tcW w:w="982" w:type="dxa"/>
                  <w:tcBorders>
                    <w:tl2br w:val="nil"/>
                    <w:tr2bl w:val="nil"/>
                  </w:tcBorders>
                  <w:noWrap w:val="0"/>
                  <w:vAlign w:val="center"/>
                </w:tcPr>
                <w:p>
                  <w:pPr>
                    <w:keepNext w:val="0"/>
                    <w:keepLines w:val="0"/>
                    <w:suppressLineNumbers w:val="0"/>
                    <w:spacing w:before="0" w:beforeAutospacing="0" w:after="0" w:afterAutospacing="0"/>
                    <w:ind w:left="-109" w:leftChars="-52" w:right="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安装范围</w:t>
                  </w:r>
                </w:p>
              </w:tc>
              <w:tc>
                <w:tcPr>
                  <w:tcW w:w="4253"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第一批安装部署用电量监控系统的企业为新乡市辖区内国控、省控、市控重点监控企业、涉及VOCs污染排放的企业、铸造行业、建材行业，然后逐步扩展至新乡市辖区内所有排污企业。</w:t>
                  </w:r>
                </w:p>
              </w:tc>
              <w:tc>
                <w:tcPr>
                  <w:tcW w:w="3260"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本项目属于排污企业，属于安装范围内的企业。</w:t>
                  </w:r>
                </w:p>
              </w:tc>
              <w:tc>
                <w:tcPr>
                  <w:tcW w:w="98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p>
              </w:tc>
              <w:tc>
                <w:tcPr>
                  <w:tcW w:w="4253"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所有排污企业的总用电控制位置、主要生产设施和污染治理设施必须安装用电量监控系统终端。</w:t>
                  </w:r>
                </w:p>
              </w:tc>
              <w:tc>
                <w:tcPr>
                  <w:tcW w:w="3260"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本项目严格按照要求在总用电位置、主要生产设施处、污染治理设施处安装用电量监控系统终端。</w:t>
                  </w:r>
                </w:p>
              </w:tc>
              <w:tc>
                <w:tcPr>
                  <w:tcW w:w="98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满足</w:t>
                  </w:r>
                </w:p>
              </w:tc>
            </w:tr>
          </w:tbl>
          <w:p>
            <w:pPr>
              <w:pStyle w:val="7"/>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由上表可知，本项目满足《新乡市生态环境局关于部署安装工业企业用电量监控系统的通知》新环[2019]154号文的相关要求。</w:t>
            </w:r>
          </w:p>
          <w:p>
            <w:pPr>
              <w:pStyle w:val="7"/>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0" w:firstLineChars="0"/>
              <w:textAlignment w:val="auto"/>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9</w:t>
            </w:r>
            <w:r>
              <w:rPr>
                <w:rFonts w:hint="default" w:ascii="Times New Roman" w:hAnsi="Times New Roman" w:cs="Times New Roman"/>
                <w:b/>
                <w:bCs/>
                <w:color w:val="auto"/>
                <w:lang w:val="en-US" w:eastAsia="zh-CN"/>
              </w:rPr>
              <w:t>、“三线一单”相符性分析</w:t>
            </w:r>
          </w:p>
          <w:p>
            <w:pPr>
              <w:pStyle w:val="7"/>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《关于以改善环境质量为核心加强环境影响评价管理的通知》(环环评[2016]150号)中的“三线一单”，即落实“生态保护红线、环境质量底线、资源利用上线和环境准入负面清单”约束，现分析如下：</w:t>
            </w:r>
          </w:p>
          <w:p>
            <w:pPr>
              <w:pStyle w:val="7"/>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（1）生态保护红线</w:t>
            </w:r>
          </w:p>
          <w:p>
            <w:pPr>
              <w:pStyle w:val="7"/>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位于河南省新乡市新乡县合河乡范岭村工业区工农路19号，不在自然保护区、风景名胜区、饮用水源保护地和其他需要特别保护等法律法规禁止开发建设的区域，不在生态红线范围内，因此项目建设符合生态红线控制要求。</w:t>
            </w:r>
          </w:p>
          <w:p>
            <w:pPr>
              <w:pStyle w:val="7"/>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（2）环境质量底线</w:t>
            </w:r>
          </w:p>
          <w:p>
            <w:pPr>
              <w:pStyle w:val="7"/>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新乡市2020年目标，全市PM</w:t>
            </w:r>
            <w:r>
              <w:rPr>
                <w:rFonts w:hint="default" w:ascii="Times New Roman" w:hAnsi="Times New Roman" w:cs="Times New Roman"/>
                <w:color w:val="auto"/>
                <w:vertAlign w:val="subscript"/>
                <w:lang w:val="en-US" w:eastAsia="zh-CN"/>
              </w:rPr>
              <w:t>2.5</w:t>
            </w:r>
            <w:r>
              <w:rPr>
                <w:rFonts w:hint="default" w:ascii="Times New Roman" w:hAnsi="Times New Roman" w:cs="Times New Roman"/>
                <w:color w:val="auto"/>
                <w:lang w:val="en-US" w:eastAsia="zh-CN"/>
              </w:rPr>
              <w:t>年均浓度达到55微克/立方米以下，PM</w:t>
            </w:r>
            <w:r>
              <w:rPr>
                <w:rFonts w:hint="default" w:ascii="Times New Roman" w:hAnsi="Times New Roman" w:cs="Times New Roman"/>
                <w:color w:val="auto"/>
                <w:vertAlign w:val="subscript"/>
                <w:lang w:val="en-US" w:eastAsia="zh-CN"/>
              </w:rPr>
              <w:t>10</w:t>
            </w:r>
            <w:r>
              <w:rPr>
                <w:rFonts w:hint="default" w:ascii="Times New Roman" w:hAnsi="Times New Roman" w:cs="Times New Roman"/>
                <w:color w:val="auto"/>
                <w:lang w:val="en-US" w:eastAsia="zh-CN"/>
              </w:rPr>
              <w:t>年均浓度达到101微克/立方米以下，全年优良天数比例达到66%以上。</w:t>
            </w:r>
          </w:p>
          <w:p>
            <w:pPr>
              <w:pStyle w:val="7"/>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各工段产生的粉尘经负压密闭收集经袋式除尘器处理后，尾气经排气筒达标排放，区域环境空气质量影响较小。生活污水经化粪池处理后定期清运。固体废物全部得到资源化利用或无害化处置。根据噪声预测结果，在采取噪声防治措施后，企业厂界噪声满足达标要求。项目采取了有效的分区防渗措施，正常工况下不会对地下水、土壤产生影响。因此，落实本环评提出的相关防治措施后，本项目排放的污染物不会对区域环境质量底线造成冲击，满足环境质量底线的要求。</w:t>
            </w:r>
          </w:p>
          <w:p>
            <w:pPr>
              <w:pStyle w:val="7"/>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（3）资源利用上线</w:t>
            </w:r>
          </w:p>
          <w:p>
            <w:pPr>
              <w:pStyle w:val="7"/>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营运期通过内部管理、设备选择、原辅材料的选用和管理、废物回收利用、污染治理等多方面采取合理可行的防治措施，以“节能、降耗、减污”为目标，有效地控制污染，实现废物资源化。本项目的水、气等资源利用不会突破区域的资源利用上线。</w:t>
            </w:r>
          </w:p>
          <w:p>
            <w:pPr>
              <w:pStyle w:val="7"/>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（4）环境准入负面清单</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520" w:lineRule="exact"/>
              <w:ind w:left="0" w:right="0" w:firstLine="420" w:firstLineChars="200"/>
              <w:jc w:val="both"/>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根据《河南省生态环境准入清单》（2020年12月）中新乡市新乡县环境管控单元生态环境准入清单，对比分析如下：</w:t>
            </w:r>
          </w:p>
          <w:tbl>
            <w:tblPr>
              <w:tblStyle w:val="12"/>
              <w:tblW w:w="477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6"/>
              <w:gridCol w:w="436"/>
              <w:gridCol w:w="780"/>
              <w:gridCol w:w="450"/>
              <w:gridCol w:w="3240"/>
              <w:gridCol w:w="10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50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环境管控单元名称</w:t>
                  </w:r>
                </w:p>
              </w:tc>
              <w:tc>
                <w:tcPr>
                  <w:tcW w:w="32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行政区划</w:t>
                  </w:r>
                </w:p>
              </w:tc>
              <w:tc>
                <w:tcPr>
                  <w:tcW w:w="59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环境要素类别</w:t>
                  </w:r>
                </w:p>
              </w:tc>
              <w:tc>
                <w:tcPr>
                  <w:tcW w:w="2792"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管控要求</w:t>
                  </w:r>
                </w:p>
              </w:tc>
              <w:tc>
                <w:tcPr>
                  <w:tcW w:w="78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本项目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3" w:type="pct"/>
                  <w:vMerge w:val="restart"/>
                  <w:noWrap w:val="0"/>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新乡</w:t>
                  </w:r>
                  <w:r>
                    <w:rPr>
                      <w:rFonts w:hint="default" w:ascii="Times New Roman" w:hAnsi="Times New Roman" w:cs="Times New Roman"/>
                      <w:color w:val="auto"/>
                      <w:sz w:val="21"/>
                      <w:szCs w:val="21"/>
                    </w:rPr>
                    <w:t>县</w:t>
                  </w:r>
                  <w:r>
                    <w:rPr>
                      <w:rFonts w:hint="default" w:ascii="Times New Roman" w:hAnsi="Times New Roman" w:cs="Times New Roman"/>
                      <w:color w:val="auto"/>
                      <w:sz w:val="21"/>
                      <w:szCs w:val="21"/>
                      <w:lang w:eastAsia="zh-CN"/>
                    </w:rPr>
                    <w:t>大气弱扩散区</w:t>
                  </w:r>
                </w:p>
              </w:tc>
              <w:tc>
                <w:tcPr>
                  <w:tcW w:w="329" w:type="pct"/>
                  <w:vMerge w:val="restart"/>
                  <w:noWrap w:val="0"/>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合河乡</w:t>
                  </w:r>
                </w:p>
              </w:tc>
              <w:tc>
                <w:tcPr>
                  <w:tcW w:w="590" w:type="pct"/>
                  <w:vMerge w:val="restart"/>
                  <w:noWrap w:val="0"/>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大气受体敏感区、大气弱扩散区</w:t>
                  </w:r>
                </w:p>
              </w:tc>
              <w:tc>
                <w:tcPr>
                  <w:tcW w:w="340" w:type="pct"/>
                  <w:noWrap w:val="0"/>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空间约束</w:t>
                  </w:r>
                </w:p>
              </w:tc>
              <w:tc>
                <w:tcPr>
                  <w:tcW w:w="2451" w:type="pct"/>
                  <w:noWrap w:val="0"/>
                  <w:vAlign w:val="center"/>
                </w:tcPr>
                <w:p>
                  <w:pPr>
                    <w:pStyle w:val="11"/>
                    <w:keepNext w:val="0"/>
                    <w:keepLines w:val="0"/>
                    <w:suppressLineNumbers w:val="0"/>
                    <w:spacing w:before="0" w:beforeAutospacing="0" w:after="0" w:afterAutospacing="0"/>
                    <w:ind w:left="0" w:right="0"/>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cs="Times New Roman"/>
                      <w:snapToGrid w:val="0"/>
                      <w:sz w:val="21"/>
                      <w:szCs w:val="21"/>
                    </w:rPr>
                    <w:t>1、淘汰不符合国家产业政策的涉重行业企业生产工艺装备</w:t>
                  </w:r>
                  <w:r>
                    <w:rPr>
                      <w:rFonts w:hint="default" w:ascii="Times New Roman" w:hAnsi="Times New Roman" w:cs="Times New Roman"/>
                      <w:snapToGrid w:val="0"/>
                      <w:sz w:val="21"/>
                      <w:szCs w:val="21"/>
                      <w:lang w:eastAsia="zh-CN"/>
                    </w:rPr>
                    <w:t>。</w:t>
                  </w:r>
                  <w:r>
                    <w:rPr>
                      <w:rFonts w:hint="default" w:ascii="Times New Roman" w:hAnsi="Times New Roman" w:cs="Times New Roman"/>
                      <w:snapToGrid w:val="0"/>
                      <w:sz w:val="21"/>
                      <w:szCs w:val="21"/>
                    </w:rPr>
                    <w:t>鼓励产能严重过剩行业的涉重金属排放企业主动退出市场。</w:t>
                  </w:r>
                </w:p>
              </w:tc>
              <w:tc>
                <w:tcPr>
                  <w:tcW w:w="783" w:type="pct"/>
                  <w:noWrap w:val="0"/>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本项目属于</w:t>
                  </w:r>
                  <w:r>
                    <w:rPr>
                      <w:rFonts w:hint="default" w:ascii="Times New Roman" w:hAnsi="Times New Roman" w:cs="Times New Roman"/>
                      <w:color w:val="000000"/>
                      <w:kern w:val="0"/>
                      <w:szCs w:val="21"/>
                    </w:rPr>
                    <w:t>废弃资源综合利用业</w:t>
                  </w:r>
                  <w:r>
                    <w:rPr>
                      <w:rFonts w:hint="default" w:ascii="Times New Roman" w:hAnsi="Times New Roman" w:cs="Times New Roman"/>
                      <w:color w:val="000000"/>
                      <w:kern w:val="0"/>
                      <w:szCs w:val="21"/>
                      <w:lang w:eastAsia="zh-CN"/>
                    </w:rPr>
                    <w:t>，不属于淘汰项目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3" w:type="pct"/>
                  <w:vMerge w:val="continue"/>
                  <w:noWrap w:val="0"/>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329" w:type="pct"/>
                  <w:vMerge w:val="continue"/>
                  <w:noWrap w:val="0"/>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590" w:type="pct"/>
                  <w:vMerge w:val="continue"/>
                  <w:noWrap w:val="0"/>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340" w:type="pct"/>
                  <w:noWrap w:val="0"/>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污染物排放管控</w:t>
                  </w:r>
                </w:p>
              </w:tc>
              <w:tc>
                <w:tcPr>
                  <w:tcW w:w="2451" w:type="pct"/>
                  <w:noWrap w:val="0"/>
                  <w:vAlign w:val="center"/>
                </w:tcPr>
                <w:p>
                  <w:pPr>
                    <w:pStyle w:val="11"/>
                    <w:keepNext w:val="0"/>
                    <w:keepLines w:val="0"/>
                    <w:suppressLineNumbers w:val="0"/>
                    <w:spacing w:before="0" w:beforeAutospacing="0" w:after="0" w:afterAutospacing="0"/>
                    <w:ind w:left="0" w:right="0"/>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1、涂料等重点行业二氧化硫、氮氧化物、颗粒物、VOCs全面执行大气污染物特别排放限值。</w:t>
                  </w:r>
                </w:p>
                <w:p>
                  <w:pPr>
                    <w:pStyle w:val="11"/>
                    <w:keepNext w:val="0"/>
                    <w:keepLines w:val="0"/>
                    <w:suppressLineNumbers w:val="0"/>
                    <w:spacing w:before="0" w:beforeAutospacing="0" w:after="0" w:afterAutospacing="0"/>
                    <w:ind w:left="0" w:right="0"/>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cs="Times New Roman"/>
                      <w:snapToGrid w:val="0"/>
                      <w:sz w:val="21"/>
                      <w:szCs w:val="21"/>
                    </w:rPr>
                    <w:t>2、禁止含重金属废水进入城市生活污水处理厂。</w:t>
                  </w:r>
                </w:p>
              </w:tc>
              <w:tc>
                <w:tcPr>
                  <w:tcW w:w="783" w:type="pct"/>
                  <w:noWrap w:val="0"/>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本项目不属于上述重点行业，无生产废水产生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3" w:type="pct"/>
                  <w:vMerge w:val="continue"/>
                  <w:noWrap w:val="0"/>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329" w:type="pct"/>
                  <w:vMerge w:val="continue"/>
                  <w:noWrap w:val="0"/>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590" w:type="pct"/>
                  <w:vMerge w:val="continue"/>
                  <w:noWrap w:val="0"/>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340" w:type="pct"/>
                  <w:noWrap w:val="0"/>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环境风险防控</w:t>
                  </w:r>
                </w:p>
              </w:tc>
              <w:tc>
                <w:tcPr>
                  <w:tcW w:w="2451" w:type="pct"/>
                  <w:noWrap w:val="0"/>
                  <w:vAlign w:val="center"/>
                </w:tcPr>
                <w:p>
                  <w:pPr>
                    <w:pStyle w:val="11"/>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default" w:ascii="Times New Roman" w:hAnsi="Times New Roman" w:cs="Times New Roman"/>
                      <w:snapToGrid w:val="0"/>
                      <w:sz w:val="21"/>
                      <w:szCs w:val="21"/>
                    </w:rPr>
                    <w:t>1、高关注地块划分污染风险等级，纳入优先管控名录。</w:t>
                  </w:r>
                </w:p>
              </w:tc>
              <w:tc>
                <w:tcPr>
                  <w:tcW w:w="783" w:type="pct"/>
                  <w:noWrap w:val="0"/>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本项目位于河南省新乡市新乡县合河乡范岭村工业区工农路19号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8" w:hRule="atLeast"/>
                <w:jc w:val="center"/>
              </w:trPr>
              <w:tc>
                <w:tcPr>
                  <w:tcW w:w="503" w:type="pct"/>
                  <w:vMerge w:val="continue"/>
                  <w:noWrap w:val="0"/>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329" w:type="pct"/>
                  <w:vMerge w:val="continue"/>
                  <w:noWrap w:val="0"/>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590" w:type="pct"/>
                  <w:vMerge w:val="continue"/>
                  <w:noWrap w:val="0"/>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340" w:type="pct"/>
                  <w:noWrap w:val="0"/>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资源利用效率要求</w:t>
                  </w:r>
                </w:p>
              </w:tc>
              <w:tc>
                <w:tcPr>
                  <w:tcW w:w="2451" w:type="pct"/>
                  <w:noWrap w:val="0"/>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83" w:type="pct"/>
                  <w:noWrap w:val="0"/>
                  <w:vAlign w:val="center"/>
                </w:tcPr>
                <w:p>
                  <w:pPr>
                    <w:pStyle w:val="16"/>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bl>
          <w:p>
            <w:pPr>
              <w:pStyle w:val="7"/>
              <w:keepNext w:val="0"/>
              <w:keepLines w:val="0"/>
              <w:pageBreakBefore w:val="0"/>
              <w:suppressLineNumbers w:val="0"/>
              <w:kinsoku/>
              <w:wordWrap/>
              <w:overflowPunct/>
              <w:topLinePunct w:val="0"/>
              <w:bidi w:val="0"/>
              <w:spacing w:before="0" w:beforeAutospacing="0" w:after="0" w:afterAutospacing="0" w:line="520" w:lineRule="exact"/>
              <w:ind w:left="0" w:leftChars="0" w:firstLine="420" w:firstLineChars="200"/>
              <w:textAlignment w:val="auto"/>
              <w:rPr>
                <w:rFonts w:hint="default" w:ascii="Times New Roman" w:hAnsi="Times New Roman" w:cs="Times New Roman"/>
                <w:color w:val="FF0000"/>
                <w:sz w:val="21"/>
                <w:szCs w:val="21"/>
                <w:lang w:val="zh-CN" w:eastAsia="zh-CN"/>
              </w:rPr>
            </w:pPr>
            <w:r>
              <w:rPr>
                <w:rFonts w:hint="default" w:ascii="Times New Roman" w:hAnsi="Times New Roman" w:cs="Times New Roman"/>
                <w:color w:val="auto"/>
                <w:sz w:val="21"/>
                <w:szCs w:val="21"/>
              </w:rPr>
              <w:t>综上所述，本项目总体上能够符合“三线一单”的管理要求。</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520" w:lineRule="exact"/>
              <w:ind w:left="0" w:right="0" w:firstLine="422" w:firstLineChars="200"/>
              <w:jc w:val="left"/>
              <w:textAlignment w:val="auto"/>
              <w:rPr>
                <w:rFonts w:hint="default"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lang w:val="en-US" w:eastAsia="zh-CN"/>
              </w:rPr>
              <w:t>10</w:t>
            </w:r>
            <w:r>
              <w:rPr>
                <w:rFonts w:hint="default" w:ascii="Times New Roman" w:hAnsi="Times New Roman" w:eastAsia="宋体" w:cs="Times New Roman"/>
                <w:b/>
                <w:bCs/>
                <w:kern w:val="0"/>
                <w:sz w:val="21"/>
                <w:szCs w:val="21"/>
              </w:rPr>
              <w:t>、项目与《河南省重污染天气通用行业应急减排措施制定技术指南（2021年修订版）》的相符性分析</w:t>
            </w:r>
          </w:p>
          <w:p>
            <w:pPr>
              <w:pStyle w:val="11"/>
              <w:keepNext w:val="0"/>
              <w:keepLines w:val="0"/>
              <w:pageBreakBefore w:val="0"/>
              <w:suppressLineNumbers w:val="0"/>
              <w:kinsoku/>
              <w:wordWrap/>
              <w:overflowPunct/>
              <w:topLinePunct w:val="0"/>
              <w:bidi w:val="0"/>
              <w:spacing w:before="0" w:beforeAutospacing="0" w:after="0" w:afterAutospacing="0" w:line="520" w:lineRule="exact"/>
              <w:ind w:left="0" w:right="0"/>
              <w:jc w:val="center"/>
              <w:textAlignment w:val="auto"/>
              <w:rPr>
                <w:rFonts w:hint="default" w:ascii="Times New Roman" w:hAnsi="Times New Roman" w:cs="Times New Roman"/>
                <w:b/>
                <w:bCs/>
                <w:szCs w:val="21"/>
              </w:rPr>
            </w:pPr>
            <w:r>
              <w:rPr>
                <w:rFonts w:hint="default" w:ascii="Times New Roman" w:hAnsi="Times New Roman" w:cs="Times New Roman"/>
                <w:b/>
                <w:bCs/>
                <w:snapToGrid w:val="0"/>
                <w:sz w:val="21"/>
                <w:szCs w:val="21"/>
              </w:rPr>
              <w:t>表</w:t>
            </w:r>
            <w:r>
              <w:rPr>
                <w:rFonts w:hint="eastAsia" w:ascii="Times New Roman" w:hAnsi="Times New Roman" w:cs="Times New Roman"/>
                <w:b/>
                <w:bCs/>
                <w:snapToGrid w:val="0"/>
                <w:sz w:val="21"/>
                <w:szCs w:val="21"/>
                <w:lang w:val="en-US" w:eastAsia="zh-CN"/>
              </w:rPr>
              <w:t>8</w:t>
            </w:r>
            <w:r>
              <w:rPr>
                <w:rFonts w:hint="default" w:ascii="Times New Roman" w:hAnsi="Times New Roman" w:cs="Times New Roman"/>
                <w:b/>
                <w:bCs/>
                <w:snapToGrid w:val="0"/>
                <w:sz w:val="21"/>
                <w:szCs w:val="21"/>
              </w:rPr>
              <w:t xml:space="preserve"> 项目与《河南省重污染天气通用行业应急减排措施制定技术指南》的相符性分析</w:t>
            </w:r>
          </w:p>
          <w:tbl>
            <w:tblPr>
              <w:tblStyle w:val="12"/>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2"/>
              <w:gridCol w:w="3900"/>
              <w:gridCol w:w="1744"/>
              <w:gridCol w:w="7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88" w:type="pct"/>
                  <w:gridSpan w:val="2"/>
                  <w:tcBorders>
                    <w:tl2br w:val="nil"/>
                    <w:tr2bl w:val="nil"/>
                  </w:tcBorders>
                  <w:noWrap w:val="0"/>
                  <w:vAlign w:val="center"/>
                </w:tcPr>
                <w:p>
                  <w:pPr>
                    <w:pStyle w:val="11"/>
                    <w:keepNext w:val="0"/>
                    <w:keepLines w:val="0"/>
                    <w:suppressLineNumbers w:val="0"/>
                    <w:ind w:left="0" w:right="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通用行业（涉颗粒物行业）绩效指标</w:t>
                  </w:r>
                  <w:r>
                    <w:rPr>
                      <w:rFonts w:hint="eastAsia" w:ascii="Times New Roman" w:hAnsi="Times New Roman" w:cs="Times New Roman"/>
                      <w:snapToGrid w:val="0"/>
                      <w:sz w:val="21"/>
                      <w:szCs w:val="21"/>
                      <w:lang w:val="en-US" w:eastAsia="zh-CN"/>
                    </w:rPr>
                    <w:t>B级</w:t>
                  </w:r>
                  <w:r>
                    <w:rPr>
                      <w:rFonts w:hint="default" w:ascii="Times New Roman" w:hAnsi="Times New Roman" w:cs="Times New Roman"/>
                      <w:snapToGrid w:val="0"/>
                      <w:sz w:val="21"/>
                      <w:szCs w:val="21"/>
                    </w:rPr>
                    <w:t>要求</w:t>
                  </w:r>
                </w:p>
              </w:tc>
              <w:tc>
                <w:tcPr>
                  <w:tcW w:w="1259" w:type="pct"/>
                  <w:tcBorders>
                    <w:tl2br w:val="nil"/>
                    <w:tr2bl w:val="nil"/>
                  </w:tcBorders>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本项目情况</w:t>
                  </w:r>
                </w:p>
              </w:tc>
              <w:tc>
                <w:tcPr>
                  <w:tcW w:w="551" w:type="pct"/>
                  <w:tcBorders>
                    <w:tl2br w:val="nil"/>
                    <w:tr2bl w:val="nil"/>
                  </w:tcBorders>
                  <w:noWrap w:val="0"/>
                  <w:vAlign w:val="center"/>
                </w:tcPr>
                <w:p>
                  <w:pPr>
                    <w:pStyle w:val="11"/>
                    <w:keepNext w:val="0"/>
                    <w:keepLines w:val="0"/>
                    <w:suppressLineNumbers w:val="0"/>
                    <w:ind w:left="0" w:right="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对比结果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9" w:hRule="atLeast"/>
              </w:trPr>
              <w:tc>
                <w:tcPr>
                  <w:tcW w:w="369" w:type="pct"/>
                  <w:vMerge w:val="restart"/>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物料装卸</w:t>
                  </w:r>
                </w:p>
              </w:tc>
              <w:tc>
                <w:tcPr>
                  <w:tcW w:w="2818" w:type="pct"/>
                  <w:vMerge w:val="restart"/>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车辆运输的物料应采取封闭措施。粉状、粒状、块状散装物料在封闭料场内装卸，装卸过程中产尘点应设置集气除尘装置，料堆应采取有效抑尘措施。</w:t>
                  </w:r>
                </w:p>
                <w:p>
                  <w:pPr>
                    <w:keepNext w:val="0"/>
                    <w:keepLines w:val="0"/>
                    <w:suppressLineNumbers w:val="0"/>
                    <w:spacing w:before="0" w:beforeAutospacing="0" w:after="0" w:afterAutospacing="0"/>
                    <w:ind w:left="0" w:right="0"/>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不易产尘的袋装物料宜在料棚中装卸，如需露天装卸应采取防止破袋及粉尘外逸措施。</w:t>
                  </w:r>
                </w:p>
              </w:tc>
              <w:tc>
                <w:tcPr>
                  <w:tcW w:w="1259" w:type="pct"/>
                  <w:tcBorders>
                    <w:tl2br w:val="nil"/>
                    <w:tr2bl w:val="nil"/>
                  </w:tcBorders>
                  <w:noWrap w:val="0"/>
                  <w:vAlign w:val="center"/>
                </w:tcPr>
                <w:p>
                  <w:pPr>
                    <w:pStyle w:val="11"/>
                    <w:keepNext w:val="0"/>
                    <w:keepLines w:val="0"/>
                    <w:suppressLineNumbers w:val="0"/>
                    <w:ind w:left="0" w:right="0"/>
                    <w:jc w:val="center"/>
                    <w:rPr>
                      <w:rFonts w:hint="default" w:ascii="Times New Roman" w:hAnsi="Times New Roman" w:eastAsia="宋体" w:cs="Times New Roman"/>
                      <w:snapToGrid w:val="0"/>
                      <w:sz w:val="21"/>
                      <w:szCs w:val="21"/>
                      <w:lang w:eastAsia="zh-CN"/>
                    </w:rPr>
                  </w:pPr>
                  <w:r>
                    <w:rPr>
                      <w:rFonts w:hint="default" w:ascii="Times New Roman" w:hAnsi="Times New Roman" w:eastAsia="宋体" w:cs="Times New Roman"/>
                      <w:snapToGrid w:val="0"/>
                      <w:kern w:val="2"/>
                      <w:sz w:val="21"/>
                      <w:szCs w:val="21"/>
                      <w:lang w:val="en-US" w:eastAsia="zh-CN" w:bidi="ar-SA"/>
                    </w:rPr>
                    <w:t>本项目原料为锂电极片，装卸过程中不产生粉尘。</w:t>
                  </w:r>
                </w:p>
              </w:tc>
              <w:tc>
                <w:tcPr>
                  <w:tcW w:w="551" w:type="pct"/>
                  <w:vMerge w:val="restart"/>
                  <w:tcBorders>
                    <w:tl2br w:val="nil"/>
                    <w:tr2bl w:val="nil"/>
                  </w:tcBorders>
                  <w:noWrap w:val="0"/>
                  <w:vAlign w:val="center"/>
                </w:tcPr>
                <w:p>
                  <w:pPr>
                    <w:pStyle w:val="11"/>
                    <w:keepNext w:val="0"/>
                    <w:keepLines w:val="0"/>
                    <w:suppressLineNumbers w:val="0"/>
                    <w:spacing w:before="0" w:beforeAutospacing="0" w:after="0" w:afterAutospacing="0"/>
                    <w:ind w:left="0" w:right="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符合要求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1" w:hRule="atLeast"/>
              </w:trPr>
              <w:tc>
                <w:tcPr>
                  <w:tcW w:w="369" w:type="pct"/>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物料储存</w:t>
                  </w:r>
                </w:p>
              </w:tc>
              <w:tc>
                <w:tcPr>
                  <w:tcW w:w="2818" w:type="pct"/>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物料。粉状物料应储存于密闭/封闭料仓中；粒状、块状物料应储存于封闭料场中，并采取喷淋、清扫或其他有效抑尘措施；袋装物料应储存于封闭/半封闭料场中。封闭料场顶棚和四周围墙完整，料场内路面全部硬化，料场货物进出大门为硬质材料门或自动感应门，在确保安全的情况下，所有门窗保持常闭状态。不产尘物料（如钢材、管件）及产品如露天储存应在规定的存储区域码放整齐。</w:t>
                  </w:r>
                  <w:r>
                    <w:rPr>
                      <w:rFonts w:hint="default" w:ascii="Times New Roman" w:hAnsi="Times New Roman" w:eastAsia="宋体" w:cs="Times New Roman"/>
                      <w:szCs w:val="21"/>
                    </w:rPr>
                    <w:t>危险废物。应有符合规范要求的危险废物储存间，危险废物储存间门口应张贴标准规范的危险废物标识和危废信板，建立台账并挂于危废间内，危险废物的记录和货单保存 3 年以上。危废间内禁止存放除危险废物和应急工具外的其他物品。</w:t>
                  </w:r>
                </w:p>
              </w:tc>
              <w:tc>
                <w:tcPr>
                  <w:tcW w:w="1259" w:type="pct"/>
                  <w:tcBorders>
                    <w:tl2br w:val="nil"/>
                    <w:tr2bl w:val="nil"/>
                  </w:tcBorders>
                  <w:noWrap w:val="0"/>
                  <w:vAlign w:val="center"/>
                </w:tcPr>
                <w:p>
                  <w:pPr>
                    <w:pStyle w:val="11"/>
                    <w:keepNext w:val="0"/>
                    <w:keepLines w:val="0"/>
                    <w:suppressLineNumbers w:val="0"/>
                    <w:ind w:left="0" w:right="0"/>
                    <w:jc w:val="center"/>
                    <w:rPr>
                      <w:rFonts w:hint="default" w:ascii="Times New Roman" w:hAnsi="Times New Roman" w:cs="Times New Roman"/>
                      <w:sz w:val="21"/>
                      <w:szCs w:val="21"/>
                    </w:rPr>
                  </w:pPr>
                  <w:r>
                    <w:rPr>
                      <w:rFonts w:hint="default" w:ascii="Times New Roman" w:hAnsi="Times New Roman" w:eastAsia="宋体" w:cs="Times New Roman"/>
                      <w:kern w:val="2"/>
                      <w:sz w:val="21"/>
                      <w:szCs w:val="21"/>
                      <w:lang w:val="en-US" w:eastAsia="zh-CN" w:bidi="ar-SA"/>
                    </w:rPr>
                    <w:t>本项目原料为锂电极片，储存过程中不产生粉尘，物料及产品于库内规范摆放，危险废物存放于危废间内，按照危险固废的性质进行贮存，不得混合贮存，并根据固废种类做好警示标志，各种危险废物应用专门的容器储存，并按类别做好标志，保证其完好无损，禁止不相容的废物混储，存放场地应作好防渗处理，存放场地应有防雨设施，避免暴雨天气雨水流入，门口应悬挂规范的标志，做好防风、防雨、防晒及防渗漏的“四防”措施，并保证其贮存过程中不易老化、破损和变形，建立台账记录，保存</w:t>
                  </w:r>
                  <w:r>
                    <w:rPr>
                      <w:rFonts w:hint="default" w:ascii="Times New Roman" w:hAnsi="Times New Roman" w:cs="Times New Roman"/>
                      <w:kern w:val="2"/>
                      <w:sz w:val="21"/>
                      <w:szCs w:val="21"/>
                      <w:lang w:val="en-US" w:eastAsia="zh-CN" w:bidi="ar-SA"/>
                    </w:rPr>
                    <w:t>5</w:t>
                  </w:r>
                  <w:r>
                    <w:rPr>
                      <w:rFonts w:hint="default" w:ascii="Times New Roman" w:hAnsi="Times New Roman" w:eastAsia="宋体" w:cs="Times New Roman"/>
                      <w:kern w:val="2"/>
                      <w:sz w:val="21"/>
                      <w:szCs w:val="21"/>
                      <w:lang w:val="en-US" w:eastAsia="zh-CN" w:bidi="ar-SA"/>
                    </w:rPr>
                    <w:t>年以上，危废间内禁止存放除危废和应急工具外其他物品。</w:t>
                  </w:r>
                </w:p>
              </w:tc>
              <w:tc>
                <w:tcPr>
                  <w:tcW w:w="551" w:type="pct"/>
                  <w:tcBorders>
                    <w:tl2br w:val="nil"/>
                    <w:tr2bl w:val="nil"/>
                  </w:tcBorders>
                  <w:noWrap w:val="0"/>
                  <w:vAlign w:val="center"/>
                </w:tcPr>
                <w:p>
                  <w:pPr>
                    <w:pStyle w:val="11"/>
                    <w:keepNext w:val="0"/>
                    <w:keepLines w:val="0"/>
                    <w:suppressLineNumbers w:val="0"/>
                    <w:spacing w:before="0" w:after="0"/>
                    <w:ind w:left="0" w:right="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符合要求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9" w:type="pct"/>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物料转移和输送</w:t>
                  </w:r>
                </w:p>
              </w:tc>
              <w:tc>
                <w:tcPr>
                  <w:tcW w:w="2818" w:type="pct"/>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粉状、粒状等易产尘物料厂内转移、输送过程应采用气力输送、密闭输送，块状和粘湿粉状物料采用封闭输送；无法封闭的产尘点（物料转载、下料口等）应采取集气除尘措施，或有效抑尘措施。</w:t>
                  </w:r>
                </w:p>
              </w:tc>
              <w:tc>
                <w:tcPr>
                  <w:tcW w:w="1259"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Cs w:val="21"/>
                    </w:rPr>
                    <w:t>本项目物料转运使用密闭皮带输送，物料下料口安装集气装置收尘。</w:t>
                  </w:r>
                </w:p>
              </w:tc>
              <w:tc>
                <w:tcPr>
                  <w:tcW w:w="551" w:type="pct"/>
                  <w:tcBorders>
                    <w:tl2br w:val="nil"/>
                    <w:tr2bl w:val="nil"/>
                  </w:tcBorders>
                  <w:noWrap w:val="0"/>
                  <w:vAlign w:val="center"/>
                </w:tcPr>
                <w:p>
                  <w:pPr>
                    <w:pStyle w:val="11"/>
                    <w:keepNext w:val="0"/>
                    <w:keepLines w:val="0"/>
                    <w:suppressLineNumbers w:val="0"/>
                    <w:spacing w:before="0" w:after="0"/>
                    <w:ind w:left="0" w:right="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符合要求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9" w:type="pct"/>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成品包装</w:t>
                  </w:r>
                </w:p>
              </w:tc>
              <w:tc>
                <w:tcPr>
                  <w:tcW w:w="2818" w:type="pct"/>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卸料口应完全封闭，如不能封闭应采取局部集气除尘措施。卸料口地面应及时清扫，地面无明显积尘。</w:t>
                  </w:r>
                </w:p>
              </w:tc>
              <w:tc>
                <w:tcPr>
                  <w:tcW w:w="1259" w:type="pct"/>
                  <w:tcBorders>
                    <w:tl2br w:val="nil"/>
                    <w:tr2bl w:val="nil"/>
                  </w:tcBorders>
                  <w:noWrap w:val="0"/>
                  <w:vAlign w:val="center"/>
                </w:tcPr>
                <w:p>
                  <w:pPr>
                    <w:pStyle w:val="11"/>
                    <w:keepNext w:val="0"/>
                    <w:keepLines w:val="0"/>
                    <w:suppressLineNumbers w:val="0"/>
                    <w:ind w:left="0" w:right="0"/>
                    <w:jc w:val="center"/>
                    <w:rPr>
                      <w:rFonts w:hint="default" w:ascii="Times New Roman" w:hAnsi="Times New Roman" w:cs="Times New Roman"/>
                      <w:sz w:val="21"/>
                      <w:szCs w:val="21"/>
                    </w:rPr>
                  </w:pPr>
                  <w:r>
                    <w:rPr>
                      <w:rFonts w:hint="eastAsia" w:ascii="Times New Roman" w:hAnsi="Times New Roman" w:cs="Times New Roman"/>
                      <w:kern w:val="2"/>
                      <w:sz w:val="21"/>
                      <w:szCs w:val="21"/>
                      <w:lang w:val="en-US" w:eastAsia="zh-CN" w:bidi="ar-SA"/>
                    </w:rPr>
                    <w:t>卸料口全密闭</w:t>
                  </w:r>
                  <w:r>
                    <w:rPr>
                      <w:rFonts w:hint="default" w:ascii="Times New Roman" w:hAnsi="Times New Roman" w:eastAsia="宋体" w:cs="Times New Roman"/>
                      <w:kern w:val="2"/>
                      <w:sz w:val="21"/>
                      <w:szCs w:val="21"/>
                      <w:lang w:val="en-US" w:eastAsia="zh-CN" w:bidi="ar-SA"/>
                    </w:rPr>
                    <w:t>，卸料口地面及时清扫，保持地面清洁。</w:t>
                  </w:r>
                </w:p>
              </w:tc>
              <w:tc>
                <w:tcPr>
                  <w:tcW w:w="551" w:type="pct"/>
                  <w:tcBorders>
                    <w:tl2br w:val="nil"/>
                    <w:tr2bl w:val="nil"/>
                  </w:tcBorders>
                  <w:noWrap w:val="0"/>
                  <w:vAlign w:val="center"/>
                </w:tcPr>
                <w:p>
                  <w:pPr>
                    <w:pStyle w:val="11"/>
                    <w:keepNext w:val="0"/>
                    <w:keepLines w:val="0"/>
                    <w:suppressLineNumbers w:val="0"/>
                    <w:spacing w:before="0" w:after="0"/>
                    <w:ind w:left="0" w:right="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符合要求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1" w:hRule="atLeast"/>
              </w:trPr>
              <w:tc>
                <w:tcPr>
                  <w:tcW w:w="369" w:type="pct"/>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napToGrid w:val="0"/>
                      <w:sz w:val="21"/>
                      <w:szCs w:val="21"/>
                    </w:rPr>
                  </w:pPr>
                  <w:r>
                    <w:rPr>
                      <w:rFonts w:hint="default" w:ascii="Times New Roman" w:hAnsi="Times New Roman" w:eastAsia="宋体" w:cs="Times New Roman"/>
                      <w:snapToGrid w:val="0"/>
                      <w:sz w:val="21"/>
                      <w:szCs w:val="21"/>
                    </w:rPr>
                    <w:t>工艺过程</w:t>
                  </w:r>
                </w:p>
              </w:tc>
              <w:tc>
                <w:tcPr>
                  <w:tcW w:w="2818" w:type="pct"/>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各种物料破碎、筛分、配料、混料等过程应在封闭厂房内进行，并采取局部收尘/抑尘措施。破碎筛分设备在进、出料口和配料混料过程等产尘点应设置集气除尘设施。</w:t>
                  </w:r>
                </w:p>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各生产工序的车间地面干净，无积料、积灰现象。</w:t>
                  </w:r>
                </w:p>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生产车间不得有可见烟粉尘外逸。</w:t>
                  </w:r>
                </w:p>
              </w:tc>
              <w:tc>
                <w:tcPr>
                  <w:tcW w:w="1259" w:type="pct"/>
                  <w:tcBorders>
                    <w:tl2br w:val="nil"/>
                    <w:tr2bl w:val="nil"/>
                  </w:tcBorders>
                  <w:noWrap w:val="0"/>
                  <w:vAlign w:val="center"/>
                </w:tcPr>
                <w:p>
                  <w:pPr>
                    <w:pStyle w:val="11"/>
                    <w:keepNext w:val="0"/>
                    <w:keepLines w:val="0"/>
                    <w:suppressLineNumbers w:val="0"/>
                    <w:ind w:left="0" w:right="0"/>
                    <w:jc w:val="center"/>
                    <w:rPr>
                      <w:rFonts w:hint="default" w:ascii="Times New Roman" w:hAnsi="Times New Roman" w:cs="Times New Roman"/>
                      <w:sz w:val="21"/>
                      <w:szCs w:val="21"/>
                    </w:rPr>
                  </w:pPr>
                  <w:r>
                    <w:rPr>
                      <w:rFonts w:hint="default" w:ascii="Times New Roman" w:hAnsi="Times New Roman" w:eastAsia="宋体" w:cs="Times New Roman"/>
                      <w:kern w:val="2"/>
                      <w:sz w:val="21"/>
                      <w:szCs w:val="21"/>
                      <w:lang w:val="en-US" w:eastAsia="zh-CN" w:bidi="ar-SA"/>
                    </w:rPr>
                    <w:t>生产工序在封闭厂房内进行，产尘点安装</w:t>
                  </w:r>
                  <w:r>
                    <w:rPr>
                      <w:rFonts w:hint="eastAsia" w:ascii="Times New Roman" w:hAnsi="Times New Roman" w:cs="Times New Roman"/>
                      <w:kern w:val="2"/>
                      <w:sz w:val="21"/>
                      <w:szCs w:val="21"/>
                      <w:lang w:val="en-US" w:eastAsia="zh-CN" w:bidi="ar-SA"/>
                    </w:rPr>
                    <w:t>密闭管道负压</w:t>
                  </w:r>
                  <w:r>
                    <w:rPr>
                      <w:rFonts w:hint="default" w:ascii="Times New Roman" w:hAnsi="Times New Roman" w:eastAsia="宋体" w:cs="Times New Roman"/>
                      <w:kern w:val="2"/>
                      <w:sz w:val="21"/>
                      <w:szCs w:val="21"/>
                      <w:lang w:val="en-US" w:eastAsia="zh-CN" w:bidi="ar-SA"/>
                    </w:rPr>
                    <w:t>收尘，车间地面及时打扫，保持地面清洁。</w:t>
                  </w:r>
                </w:p>
              </w:tc>
              <w:tc>
                <w:tcPr>
                  <w:tcW w:w="551" w:type="pct"/>
                  <w:tcBorders>
                    <w:tl2br w:val="nil"/>
                    <w:tr2bl w:val="nil"/>
                  </w:tcBorders>
                  <w:noWrap w:val="0"/>
                  <w:vAlign w:val="center"/>
                </w:tcPr>
                <w:p>
                  <w:pPr>
                    <w:pStyle w:val="11"/>
                    <w:keepNext w:val="0"/>
                    <w:keepLines w:val="0"/>
                    <w:suppressLineNumbers w:val="0"/>
                    <w:spacing w:before="0" w:after="0"/>
                    <w:ind w:left="0" w:right="0"/>
                    <w:jc w:val="center"/>
                    <w:rPr>
                      <w:rFonts w:hint="default" w:ascii="Times New Roman" w:hAnsi="Times New Roman" w:cs="Times New Roman"/>
                      <w:snapToGrid w:val="0"/>
                      <w:sz w:val="21"/>
                      <w:szCs w:val="21"/>
                    </w:rPr>
                  </w:pPr>
                  <w:r>
                    <w:rPr>
                      <w:rFonts w:hint="default" w:ascii="Times New Roman" w:hAnsi="Times New Roman" w:cs="Times New Roman"/>
                      <w:snapToGrid w:val="0"/>
                      <w:sz w:val="21"/>
                      <w:szCs w:val="21"/>
                    </w:rPr>
                    <w:t>符合要求</w:t>
                  </w:r>
                </w:p>
              </w:tc>
            </w:tr>
          </w:tbl>
          <w:p>
            <w:pPr>
              <w:pStyle w:val="7"/>
              <w:keepNext w:val="0"/>
              <w:keepLines w:val="0"/>
              <w:suppressLineNumbers w:val="0"/>
              <w:spacing w:before="0" w:beforeAutospacing="0" w:after="0" w:afterAutospacing="0"/>
              <w:ind w:left="0" w:firstLine="420"/>
              <w:rPr>
                <w:rFonts w:hint="default" w:ascii="Times New Roman" w:hAnsi="Times New Roman" w:cs="Times New Roman"/>
                <w:color w:val="FF0000"/>
                <w:lang w:val="zh-CN" w:eastAsia="zh-CN"/>
              </w:rPr>
            </w:pPr>
          </w:p>
          <w:p>
            <w:pPr>
              <w:pStyle w:val="7"/>
              <w:keepNext w:val="0"/>
              <w:keepLines w:val="0"/>
              <w:suppressLineNumbers w:val="0"/>
              <w:spacing w:before="0" w:beforeAutospacing="0" w:after="0" w:afterAutospacing="0"/>
              <w:ind w:left="0" w:firstLine="0" w:firstLineChars="0"/>
              <w:rPr>
                <w:rFonts w:hint="default" w:ascii="Times New Roman" w:hAnsi="Times New Roman" w:cs="Times New Roman"/>
                <w:color w:val="FF0000"/>
                <w:lang w:val="en-US" w:eastAsia="zh-CN"/>
              </w:rPr>
            </w:pPr>
          </w:p>
          <w:p>
            <w:pPr>
              <w:pStyle w:val="7"/>
              <w:keepNext w:val="0"/>
              <w:keepLines w:val="0"/>
              <w:suppressLineNumbers w:val="0"/>
              <w:spacing w:before="0" w:beforeAutospacing="0" w:after="0" w:afterAutospacing="0"/>
              <w:ind w:left="0" w:firstLine="0" w:firstLineChars="0"/>
              <w:rPr>
                <w:rFonts w:hint="default" w:ascii="Times New Roman" w:hAnsi="Times New Roman" w:cs="Times New Roman"/>
                <w:color w:val="FF0000"/>
                <w:lang w:val="en-US" w:eastAsia="zh-CN"/>
              </w:rPr>
            </w:pPr>
          </w:p>
        </w:tc>
      </w:tr>
    </w:tbl>
    <w:p>
      <w:pPr>
        <w:spacing w:line="360" w:lineRule="auto"/>
        <w:outlineLvl w:val="0"/>
        <w:rPr>
          <w:rFonts w:eastAsia="黑体"/>
          <w:color w:val="FF0000"/>
          <w:sz w:val="30"/>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widowControl/>
        <w:spacing w:before="100" w:beforeAutospacing="1" w:after="100" w:afterAutospacing="1"/>
        <w:jc w:val="center"/>
        <w:outlineLvl w:val="0"/>
        <w:rPr>
          <w:rFonts w:ascii="黑体" w:hAnsi="黑体" w:eastAsia="黑体" w:cs="Times New Roman"/>
          <w:snapToGrid w:val="0"/>
          <w:color w:val="auto"/>
          <w:kern w:val="0"/>
          <w:sz w:val="30"/>
          <w:szCs w:val="30"/>
          <w:lang w:val="en-US" w:eastAsia="zh-CN" w:bidi="ar-SA"/>
        </w:rPr>
      </w:pPr>
      <w:r>
        <w:rPr>
          <w:rFonts w:hint="eastAsia" w:ascii="黑体" w:hAnsi="黑体" w:eastAsia="黑体" w:cs="Times New Roman"/>
          <w:snapToGrid w:val="0"/>
          <w:color w:val="auto"/>
          <w:kern w:val="0"/>
          <w:sz w:val="30"/>
          <w:szCs w:val="30"/>
          <w:lang w:val="en-US" w:eastAsia="zh-CN" w:bidi="ar-SA"/>
        </w:rPr>
        <w:t>二、建设项目工程分析</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823"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ascii="宋体" w:hAnsi="宋体" w:eastAsia="宋体" w:cs="宋体"/>
                <w:color w:val="FF0000"/>
                <w:kern w:val="0"/>
                <w:sz w:val="21"/>
                <w:szCs w:val="21"/>
                <w:lang w:val="en-US" w:eastAsia="zh-CN" w:bidi="ar-SA"/>
              </w:rPr>
            </w:pPr>
            <w:r>
              <w:rPr>
                <w:rFonts w:hint="eastAsia" w:ascii="宋体" w:hAnsi="宋体" w:eastAsia="宋体" w:cs="宋体"/>
                <w:color w:val="auto"/>
                <w:kern w:val="0"/>
                <w:sz w:val="21"/>
                <w:szCs w:val="21"/>
                <w:lang w:val="en-US" w:eastAsia="zh-CN" w:bidi="ar-SA"/>
              </w:rPr>
              <w:t>建设内容</w:t>
            </w:r>
          </w:p>
        </w:tc>
        <w:tc>
          <w:tcPr>
            <w:tcW w:w="8161" w:type="dxa"/>
            <w:noWrap w:val="0"/>
            <w:vAlign w:val="top"/>
          </w:tcPr>
          <w:p>
            <w:pPr>
              <w:keepNext w:val="0"/>
              <w:keepLines w:val="0"/>
              <w:pageBreakBefore w:val="0"/>
              <w:widowControl w:val="0"/>
              <w:suppressLineNumbers w:val="0"/>
              <w:tabs>
                <w:tab w:val="center" w:pos="3972"/>
              </w:tabs>
              <w:kinsoku/>
              <w:wordWrap/>
              <w:overflowPunct/>
              <w:topLinePunct w:val="0"/>
              <w:autoSpaceDE/>
              <w:autoSpaceDN/>
              <w:bidi w:val="0"/>
              <w:adjustRightInd w:val="0"/>
              <w:snapToGrid w:val="0"/>
              <w:spacing w:before="0" w:beforeAutospacing="0" w:after="0" w:afterAutospacing="0" w:line="520" w:lineRule="exact"/>
              <w:ind w:left="0" w:right="0" w:rightChars="0" w:firstLine="420" w:firstLineChars="200"/>
              <w:textAlignment w:val="baseline"/>
              <w:outlineLvl w:val="9"/>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eastAsia="zh-CN"/>
              </w:rPr>
              <w:t>新乡市恒能再生资源回收有限公司</w:t>
            </w:r>
            <w:r>
              <w:rPr>
                <w:rFonts w:hint="eastAsia" w:ascii="Times New Roman" w:hAnsi="Times New Roman" w:eastAsia="宋体" w:cs="Times New Roman"/>
                <w:sz w:val="21"/>
                <w:szCs w:val="21"/>
              </w:rPr>
              <w:t>拟投资</w:t>
            </w:r>
            <w:r>
              <w:rPr>
                <w:rFonts w:hint="eastAsia" w:ascii="Times New Roman" w:hAnsi="Times New Roman" w:eastAsia="宋体" w:cs="Times New Roman"/>
                <w:sz w:val="21"/>
                <w:szCs w:val="21"/>
                <w:lang w:val="en-US" w:eastAsia="zh-CN"/>
              </w:rPr>
              <w:t>500</w:t>
            </w:r>
            <w:r>
              <w:rPr>
                <w:rFonts w:hint="eastAsia" w:ascii="Times New Roman" w:hAnsi="Times New Roman" w:eastAsia="宋体" w:cs="Times New Roman"/>
                <w:sz w:val="21"/>
                <w:szCs w:val="21"/>
              </w:rPr>
              <w:t>万元于</w:t>
            </w:r>
            <w:r>
              <w:rPr>
                <w:rFonts w:hint="eastAsia" w:ascii="Times New Roman" w:hAnsi="Times New Roman" w:eastAsia="宋体" w:cs="Times New Roman"/>
                <w:sz w:val="21"/>
                <w:szCs w:val="21"/>
                <w:lang w:eastAsia="zh-CN"/>
              </w:rPr>
              <w:t>河南省新乡市新乡县合河乡范岭村工业区工农路</w:t>
            </w:r>
            <w:r>
              <w:rPr>
                <w:rFonts w:hint="eastAsia" w:ascii="Times New Roman" w:hAnsi="Times New Roman" w:eastAsia="宋体" w:cs="Times New Roman"/>
                <w:sz w:val="21"/>
                <w:szCs w:val="21"/>
                <w:lang w:val="en-US" w:eastAsia="zh-CN"/>
              </w:rPr>
              <w:t>19号</w:t>
            </w:r>
            <w:r>
              <w:rPr>
                <w:rFonts w:hint="eastAsia" w:ascii="Times New Roman" w:hAnsi="Times New Roman" w:eastAsia="宋体" w:cs="Times New Roman"/>
                <w:sz w:val="21"/>
                <w:szCs w:val="21"/>
              </w:rPr>
              <w:t>建设</w:t>
            </w:r>
            <w:r>
              <w:rPr>
                <w:rFonts w:hint="eastAsia" w:ascii="Times New Roman" w:hAnsi="Times New Roman" w:eastAsia="宋体" w:cs="Times New Roman"/>
                <w:szCs w:val="21"/>
                <w:lang w:eastAsia="zh-CN"/>
              </w:rPr>
              <w:t>新乡市恒能再生资源回收有限公司</w:t>
            </w:r>
            <w:r>
              <w:rPr>
                <w:rFonts w:hint="default" w:ascii="Times New Roman" w:hAnsi="Times New Roman" w:eastAsia="宋体" w:cs="Times New Roman"/>
                <w:szCs w:val="21"/>
              </w:rPr>
              <w:t>年回收处理10000吨锂电池极片项目</w:t>
            </w:r>
            <w:r>
              <w:rPr>
                <w:rFonts w:hint="eastAsia" w:ascii="Times New Roman" w:hAnsi="Times New Roman" w:eastAsia="宋体" w:cs="Times New Roman"/>
                <w:sz w:val="21"/>
                <w:szCs w:val="21"/>
              </w:rPr>
              <w:t>，根据企业</w:t>
            </w:r>
            <w:r>
              <w:rPr>
                <w:rFonts w:hint="eastAsia" w:ascii="Times New Roman" w:hAnsi="Times New Roman" w:eastAsia="宋体" w:cs="Times New Roman"/>
                <w:sz w:val="21"/>
                <w:szCs w:val="21"/>
                <w:lang w:eastAsia="zh-CN"/>
              </w:rPr>
              <w:t>租赁协议</w:t>
            </w:r>
            <w:r>
              <w:rPr>
                <w:rFonts w:hint="eastAsia" w:ascii="Times New Roman" w:hAnsi="Times New Roman" w:eastAsia="宋体" w:cs="Times New Roman"/>
                <w:sz w:val="21"/>
                <w:szCs w:val="21"/>
              </w:rPr>
              <w:t>（附件3）和</w:t>
            </w:r>
            <w:r>
              <w:rPr>
                <w:rFonts w:hint="eastAsia" w:ascii="Times New Roman" w:hAnsi="Times New Roman" w:eastAsia="宋体" w:cs="Times New Roman"/>
                <w:sz w:val="21"/>
                <w:szCs w:val="21"/>
                <w:lang w:eastAsia="zh-CN"/>
              </w:rPr>
              <w:t>新乡县土地利用总体规划图</w:t>
            </w:r>
            <w:r>
              <w:rPr>
                <w:rFonts w:hint="eastAsia" w:ascii="Times New Roman" w:hAnsi="Times New Roman" w:eastAsia="宋体" w:cs="Times New Roman"/>
                <w:sz w:val="21"/>
                <w:szCs w:val="21"/>
              </w:rPr>
              <w:t>（附图</w:t>
            </w:r>
            <w:r>
              <w:rPr>
                <w:rFonts w:hint="eastAsia" w:ascii="Times New Roman" w:hAnsi="Times New Roman" w:eastAsia="宋体" w:cs="Times New Roman"/>
                <w:sz w:val="21"/>
                <w:szCs w:val="21"/>
                <w:lang w:val="en-US" w:eastAsia="zh-CN"/>
              </w:rPr>
              <w:t>2</w:t>
            </w:r>
            <w:r>
              <w:rPr>
                <w:rFonts w:hint="eastAsia" w:ascii="Times New Roman" w:hAnsi="Times New Roman" w:eastAsia="宋体" w:cs="Times New Roman"/>
                <w:sz w:val="21"/>
                <w:szCs w:val="21"/>
              </w:rPr>
              <w:t>），项目用地性质为</w:t>
            </w:r>
            <w:r>
              <w:rPr>
                <w:rFonts w:hint="eastAsia" w:ascii="Times New Roman" w:hAnsi="Times New Roman" w:eastAsia="宋体" w:cs="Times New Roman"/>
                <w:sz w:val="21"/>
                <w:szCs w:val="21"/>
                <w:lang w:eastAsia="zh-CN"/>
              </w:rPr>
              <w:t>建设</w:t>
            </w:r>
            <w:r>
              <w:rPr>
                <w:rFonts w:hint="eastAsia" w:ascii="Times New Roman" w:hAnsi="Times New Roman" w:eastAsia="宋体" w:cs="Times New Roman"/>
                <w:sz w:val="21"/>
                <w:szCs w:val="21"/>
              </w:rPr>
              <w:t>用地，项目符合</w:t>
            </w:r>
            <w:r>
              <w:rPr>
                <w:rFonts w:hint="eastAsia" w:ascii="Times New Roman" w:hAnsi="Times New Roman" w:eastAsia="宋体" w:cs="Times New Roman"/>
                <w:sz w:val="21"/>
                <w:szCs w:val="21"/>
                <w:lang w:eastAsia="zh-CN"/>
              </w:rPr>
              <w:t>新乡县土地利用总体</w:t>
            </w:r>
            <w:r>
              <w:rPr>
                <w:rFonts w:hint="eastAsia" w:ascii="Times New Roman" w:hAnsi="Times New Roman" w:eastAsia="宋体" w:cs="Times New Roman"/>
                <w:sz w:val="21"/>
                <w:szCs w:val="21"/>
              </w:rPr>
              <w:t>规划。</w:t>
            </w:r>
            <w:r>
              <w:rPr>
                <w:rFonts w:hint="eastAsia" w:ascii="Times New Roman" w:hAnsi="Times New Roman" w:eastAsia="宋体" w:cs="Times New Roman"/>
              </w:rPr>
              <w:t>该项目已经</w:t>
            </w:r>
            <w:r>
              <w:rPr>
                <w:rFonts w:hint="eastAsia" w:ascii="Times New Roman" w:hAnsi="Times New Roman" w:eastAsia="宋体" w:cs="Times New Roman"/>
                <w:lang w:eastAsia="zh-CN"/>
              </w:rPr>
              <w:t>新乡县发展和改革委员会</w:t>
            </w:r>
            <w:r>
              <w:rPr>
                <w:rFonts w:hint="eastAsia" w:ascii="Times New Roman" w:hAnsi="Times New Roman" w:eastAsia="宋体" w:cs="Times New Roman"/>
              </w:rPr>
              <w:t>备案，项目代码为：</w:t>
            </w:r>
            <w:r>
              <w:rPr>
                <w:rFonts w:hint="eastAsia" w:ascii="Times New Roman" w:hAnsi="Times New Roman" w:eastAsia="宋体" w:cs="Times New Roman"/>
                <w:lang w:val="en-US" w:eastAsia="zh-CN"/>
              </w:rPr>
              <w:t>2021</w:t>
            </w:r>
            <w:r>
              <w:rPr>
                <w:rFonts w:hint="eastAsia" w:ascii="Times New Roman" w:hAnsi="Times New Roman" w:eastAsia="宋体" w:cs="Times New Roman"/>
              </w:rPr>
              <w:t>-</w:t>
            </w:r>
            <w:r>
              <w:rPr>
                <w:rFonts w:hint="eastAsia" w:ascii="Times New Roman" w:hAnsi="Times New Roman" w:eastAsia="宋体" w:cs="Times New Roman"/>
                <w:lang w:val="en-US" w:eastAsia="zh-CN"/>
              </w:rPr>
              <w:t>410721</w:t>
            </w:r>
            <w:r>
              <w:rPr>
                <w:rFonts w:hint="eastAsia" w:ascii="Times New Roman" w:hAnsi="Times New Roman" w:eastAsia="宋体" w:cs="Times New Roman"/>
              </w:rPr>
              <w:t>-</w:t>
            </w:r>
            <w:r>
              <w:rPr>
                <w:rFonts w:hint="eastAsia" w:ascii="Times New Roman" w:hAnsi="Times New Roman" w:eastAsia="宋体" w:cs="Times New Roman"/>
                <w:lang w:val="en-US" w:eastAsia="zh-CN"/>
              </w:rPr>
              <w:t>04</w:t>
            </w:r>
            <w:r>
              <w:rPr>
                <w:rFonts w:hint="eastAsia" w:ascii="Times New Roman" w:hAnsi="Times New Roman" w:eastAsia="宋体" w:cs="Times New Roman"/>
              </w:rPr>
              <w:t>-0</w:t>
            </w:r>
            <w:r>
              <w:rPr>
                <w:rFonts w:hint="eastAsia" w:ascii="Times New Roman" w:hAnsi="Times New Roman" w:eastAsia="宋体" w:cs="Times New Roman"/>
                <w:lang w:val="en-US" w:eastAsia="zh-CN"/>
              </w:rPr>
              <w:t>1</w:t>
            </w:r>
            <w:r>
              <w:rPr>
                <w:rFonts w:hint="eastAsia" w:ascii="Times New Roman" w:hAnsi="Times New Roman" w:eastAsia="宋体" w:cs="Times New Roman"/>
              </w:rPr>
              <w:t>-</w:t>
            </w:r>
            <w:r>
              <w:rPr>
                <w:rFonts w:hint="eastAsia" w:ascii="Times New Roman" w:hAnsi="Times New Roman" w:eastAsia="宋体" w:cs="Times New Roman"/>
                <w:lang w:val="en-US" w:eastAsia="zh-CN"/>
              </w:rPr>
              <w:t>623263</w:t>
            </w:r>
            <w:r>
              <w:rPr>
                <w:rFonts w:hint="eastAsia" w:ascii="Times New Roman" w:hAnsi="Times New Roman" w:eastAsia="宋体" w:cs="Times New Roman"/>
              </w:rPr>
              <w:t>。</w:t>
            </w:r>
            <w:r>
              <w:rPr>
                <w:rFonts w:hint="eastAsia" w:ascii="Times New Roman" w:hAnsi="Times New Roman" w:eastAsia="宋体" w:cs="Times New Roman"/>
                <w:lang w:eastAsia="zh-CN"/>
              </w:rPr>
              <w:t>租赁现有</w:t>
            </w:r>
            <w:r>
              <w:rPr>
                <w:rFonts w:hint="eastAsia" w:ascii="Times New Roman" w:hAnsi="Times New Roman" w:eastAsia="宋体" w:cs="Times New Roman"/>
                <w:sz w:val="21"/>
                <w:szCs w:val="21"/>
              </w:rPr>
              <w:t>厂房</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办公楼及基础配套等设施</w:t>
            </w:r>
            <w:r>
              <w:rPr>
                <w:rFonts w:hint="eastAsia" w:ascii="Times New Roman" w:hAnsi="Times New Roman" w:eastAsia="宋体" w:cs="Times New Roman"/>
                <w:sz w:val="21"/>
                <w:szCs w:val="21"/>
                <w:lang w:val="en-US" w:eastAsia="zh-CN"/>
              </w:rPr>
              <w:t>1580</w:t>
            </w:r>
            <w:r>
              <w:rPr>
                <w:rFonts w:hint="eastAsia" w:ascii="Times New Roman" w:hAnsi="Times New Roman" w:eastAsia="宋体" w:cs="Times New Roman"/>
                <w:sz w:val="21"/>
                <w:szCs w:val="21"/>
              </w:rPr>
              <w:t>平方米。经现场查勘，该项目尚未建设。</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left="0" w:right="0" w:firstLine="422" w:firstLineChars="200"/>
              <w:jc w:val="left"/>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en-US" w:eastAsia="zh-CN"/>
              </w:rPr>
              <w:t>项目组成及建设情况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rightChars="0" w:firstLine="0"/>
              <w:jc w:val="center"/>
              <w:textAlignment w:val="auto"/>
              <w:outlineLvl w:val="9"/>
              <w:rPr>
                <w:rFonts w:hint="default" w:ascii="Times New Roman" w:hAnsi="Times New Roman" w:eastAsia="宋体" w:cs="Times New Roman"/>
                <w:b/>
                <w:bCs/>
                <w:color w:val="auto"/>
                <w:sz w:val="21"/>
                <w:szCs w:val="21"/>
                <w:lang w:val="pt-BR"/>
              </w:rPr>
            </w:pPr>
            <w:r>
              <w:rPr>
                <w:rFonts w:hint="default" w:ascii="Times New Roman" w:hAnsi="Times New Roman" w:eastAsia="宋体" w:cs="Times New Roman"/>
                <w:b/>
                <w:bCs/>
                <w:color w:val="auto"/>
                <w:sz w:val="21"/>
                <w:szCs w:val="21"/>
                <w:lang w:val="pt-BR"/>
              </w:rPr>
              <w:t>表</w:t>
            </w:r>
            <w:r>
              <w:rPr>
                <w:rFonts w:hint="eastAsia" w:ascii="Times New Roman" w:hAnsi="Times New Roman" w:eastAsia="宋体" w:cs="Times New Roman"/>
                <w:b/>
                <w:bCs/>
                <w:color w:val="auto"/>
                <w:sz w:val="21"/>
                <w:szCs w:val="21"/>
                <w:lang w:val="en-US" w:eastAsia="zh-CN"/>
              </w:rPr>
              <w:t>9</w:t>
            </w:r>
            <w:r>
              <w:rPr>
                <w:rFonts w:hint="default" w:ascii="Times New Roman" w:hAnsi="Times New Roman" w:eastAsia="宋体" w:cs="Times New Roman"/>
                <w:b/>
                <w:bCs/>
                <w:color w:val="auto"/>
                <w:sz w:val="21"/>
                <w:szCs w:val="21"/>
                <w:lang w:val="pt-BR"/>
              </w:rPr>
              <w:t xml:space="preserve">  工程组成一览表</w:t>
            </w:r>
          </w:p>
          <w:tbl>
            <w:tblPr>
              <w:tblStyle w:val="1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47"/>
              <w:gridCol w:w="1192"/>
              <w:gridCol w:w="55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85"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pt-BR" w:eastAsia="zh-CN"/>
                    </w:rPr>
                  </w:pPr>
                  <w:r>
                    <w:rPr>
                      <w:rFonts w:hint="default" w:ascii="Times New Roman" w:hAnsi="Times New Roman" w:eastAsia="宋体" w:cs="Times New Roman"/>
                      <w:b w:val="0"/>
                      <w:bCs w:val="0"/>
                      <w:sz w:val="21"/>
                      <w:szCs w:val="21"/>
                      <w:lang w:val="zh-CN" w:eastAsia="zh-CN"/>
                    </w:rPr>
                    <w:t>类别</w:t>
                  </w:r>
                </w:p>
              </w:tc>
              <w:tc>
                <w:tcPr>
                  <w:tcW w:w="750"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pt-BR" w:eastAsia="zh-CN"/>
                    </w:rPr>
                  </w:pPr>
                  <w:r>
                    <w:rPr>
                      <w:rFonts w:hint="default" w:ascii="Times New Roman" w:hAnsi="Times New Roman" w:eastAsia="宋体" w:cs="Times New Roman"/>
                      <w:b w:val="0"/>
                      <w:bCs w:val="0"/>
                      <w:sz w:val="21"/>
                      <w:szCs w:val="21"/>
                      <w:lang w:val="zh-CN" w:eastAsia="zh-CN"/>
                    </w:rPr>
                    <w:t>名称</w:t>
                  </w:r>
                </w:p>
              </w:tc>
              <w:tc>
                <w:tcPr>
                  <w:tcW w:w="3463"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pt-BR" w:eastAsia="zh-CN"/>
                    </w:rPr>
                  </w:pPr>
                  <w:r>
                    <w:rPr>
                      <w:rFonts w:hint="default" w:ascii="Times New Roman" w:hAnsi="Times New Roman" w:eastAsia="宋体" w:cs="Times New Roman"/>
                      <w:b w:val="0"/>
                      <w:bCs w:val="0"/>
                      <w:sz w:val="21"/>
                      <w:szCs w:val="21"/>
                      <w:lang w:val="zh-CN" w:eastAsia="zh-CN"/>
                    </w:rPr>
                    <w:t>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85"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pt-BR" w:eastAsia="zh-CN"/>
                    </w:rPr>
                  </w:pPr>
                  <w:r>
                    <w:rPr>
                      <w:rFonts w:hint="default" w:ascii="Times New Roman" w:hAnsi="Times New Roman" w:eastAsia="宋体" w:cs="Times New Roman"/>
                      <w:b w:val="0"/>
                      <w:bCs w:val="0"/>
                      <w:sz w:val="21"/>
                      <w:szCs w:val="21"/>
                      <w:lang w:val="zh-CN" w:eastAsia="zh-CN"/>
                    </w:rPr>
                    <w:t>主体工程</w:t>
                  </w:r>
                </w:p>
              </w:tc>
              <w:tc>
                <w:tcPr>
                  <w:tcW w:w="750"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生产车间</w:t>
                  </w:r>
                </w:p>
              </w:tc>
              <w:tc>
                <w:tcPr>
                  <w:tcW w:w="3463"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highlight w:val="none"/>
                      <w:lang w:val="en-US" w:eastAsia="zh-CN"/>
                    </w:rPr>
                    <w:t>1座（1层），钢架结构，总建筑面积约</w:t>
                  </w:r>
                  <w:r>
                    <w:rPr>
                      <w:rFonts w:hint="eastAsia" w:ascii="Times New Roman" w:hAnsi="Times New Roman" w:eastAsia="宋体" w:cs="Times New Roman"/>
                      <w:sz w:val="21"/>
                      <w:szCs w:val="21"/>
                      <w:highlight w:val="none"/>
                      <w:lang w:val="en-US" w:eastAsia="zh-CN"/>
                    </w:rPr>
                    <w:t>1500</w:t>
                  </w: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2</w:t>
                  </w:r>
                  <w:r>
                    <w:rPr>
                      <w:rFonts w:hint="default" w:ascii="Times New Roman" w:hAnsi="Times New Roman" w:eastAsia="宋体" w:cs="Times New Roman"/>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85" w:type="pct"/>
                  <w:vMerge w:val="restar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zh-CN" w:eastAsia="zh-CN"/>
                    </w:rPr>
                  </w:pPr>
                  <w:r>
                    <w:rPr>
                      <w:rFonts w:hint="default" w:ascii="Times New Roman" w:hAnsi="Times New Roman" w:eastAsia="宋体" w:cs="Times New Roman"/>
                      <w:b w:val="0"/>
                      <w:bCs w:val="0"/>
                      <w:sz w:val="21"/>
                      <w:szCs w:val="21"/>
                      <w:lang w:val="zh-CN" w:eastAsia="zh-CN"/>
                    </w:rPr>
                    <w:t>辅助工程</w:t>
                  </w:r>
                </w:p>
              </w:tc>
              <w:tc>
                <w:tcPr>
                  <w:tcW w:w="750"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zh-CN" w:eastAsia="zh-CN"/>
                    </w:rPr>
                  </w:pPr>
                  <w:r>
                    <w:rPr>
                      <w:rFonts w:hint="default" w:ascii="Times New Roman" w:hAnsi="Times New Roman" w:eastAsia="宋体" w:cs="Times New Roman"/>
                      <w:b w:val="0"/>
                      <w:bCs w:val="0"/>
                      <w:sz w:val="21"/>
                      <w:szCs w:val="21"/>
                      <w:lang w:val="zh-CN" w:eastAsia="zh-CN"/>
                    </w:rPr>
                    <w:t>综合办公室</w:t>
                  </w:r>
                </w:p>
              </w:tc>
              <w:tc>
                <w:tcPr>
                  <w:tcW w:w="3463"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highlight w:val="none"/>
                      <w:lang w:val="en-US" w:eastAsia="zh-CN"/>
                    </w:rPr>
                    <w:t>1座（1层），总建筑面积约</w:t>
                  </w:r>
                  <w:r>
                    <w:rPr>
                      <w:rFonts w:hint="eastAsia" w:ascii="Times New Roman" w:hAnsi="Times New Roman" w:eastAsia="宋体" w:cs="Times New Roman"/>
                      <w:sz w:val="21"/>
                      <w:szCs w:val="21"/>
                      <w:highlight w:val="none"/>
                      <w:lang w:val="en-US" w:eastAsia="zh-CN"/>
                    </w:rPr>
                    <w:t>40</w:t>
                  </w: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85" w:type="pct"/>
                  <w:vMerge w:val="continue"/>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zh-CN" w:eastAsia="zh-CN"/>
                    </w:rPr>
                  </w:pPr>
                </w:p>
              </w:tc>
              <w:tc>
                <w:tcPr>
                  <w:tcW w:w="750"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zh-CN" w:eastAsia="zh-CN"/>
                    </w:rPr>
                  </w:pPr>
                  <w:r>
                    <w:rPr>
                      <w:rFonts w:hint="eastAsia" w:ascii="Times New Roman" w:hAnsi="Times New Roman" w:eastAsia="宋体" w:cs="Times New Roman"/>
                      <w:b w:val="0"/>
                      <w:bCs w:val="0"/>
                      <w:sz w:val="21"/>
                      <w:szCs w:val="21"/>
                      <w:lang w:val="zh-CN" w:eastAsia="zh-CN"/>
                    </w:rPr>
                    <w:t>门卫室</w:t>
                  </w:r>
                </w:p>
              </w:tc>
              <w:tc>
                <w:tcPr>
                  <w:tcW w:w="3463"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highlight w:val="none"/>
                      <w:lang w:val="en-US" w:eastAsia="zh-CN"/>
                    </w:rPr>
                    <w:t>1座（1层），总建筑面积约</w:t>
                  </w:r>
                  <w:r>
                    <w:rPr>
                      <w:rFonts w:hint="eastAsia" w:ascii="Times New Roman" w:hAnsi="Times New Roman" w:eastAsia="宋体" w:cs="Times New Roman"/>
                      <w:sz w:val="21"/>
                      <w:szCs w:val="21"/>
                      <w:highlight w:val="none"/>
                      <w:lang w:val="en-US" w:eastAsia="zh-CN"/>
                    </w:rPr>
                    <w:t>40</w:t>
                  </w: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85" w:type="pct"/>
                  <w:vMerge w:val="restar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zh-CN" w:eastAsia="zh-CN"/>
                    </w:rPr>
                  </w:pPr>
                  <w:r>
                    <w:rPr>
                      <w:rFonts w:hint="default" w:ascii="Times New Roman" w:hAnsi="Times New Roman" w:eastAsia="宋体" w:cs="Times New Roman"/>
                      <w:b w:val="0"/>
                      <w:bCs w:val="0"/>
                      <w:sz w:val="21"/>
                      <w:szCs w:val="21"/>
                      <w:lang w:val="zh-CN" w:eastAsia="zh-CN"/>
                    </w:rPr>
                    <w:t>公用工程</w:t>
                  </w:r>
                </w:p>
              </w:tc>
              <w:tc>
                <w:tcPr>
                  <w:tcW w:w="750"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pt-BR" w:eastAsia="zh-CN"/>
                    </w:rPr>
                  </w:pPr>
                  <w:r>
                    <w:rPr>
                      <w:rFonts w:hint="default" w:ascii="Times New Roman" w:hAnsi="Times New Roman" w:eastAsia="宋体" w:cs="Times New Roman"/>
                      <w:b w:val="0"/>
                      <w:bCs w:val="0"/>
                      <w:sz w:val="21"/>
                      <w:szCs w:val="21"/>
                      <w:lang w:val="pt-BR" w:eastAsia="zh-CN"/>
                    </w:rPr>
                    <w:t>供水工程</w:t>
                  </w:r>
                </w:p>
              </w:tc>
              <w:tc>
                <w:tcPr>
                  <w:tcW w:w="3463"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pt-BR" w:eastAsia="zh-CN"/>
                    </w:rPr>
                  </w:pPr>
                  <w:r>
                    <w:rPr>
                      <w:rFonts w:hint="eastAsia" w:ascii="Times New Roman" w:hAnsi="Times New Roman" w:eastAsia="宋体" w:cs="Times New Roman"/>
                      <w:b w:val="0"/>
                      <w:bCs w:val="0"/>
                      <w:sz w:val="21"/>
                      <w:szCs w:val="21"/>
                      <w:lang w:val="pt-BR" w:eastAsia="zh-CN"/>
                    </w:rPr>
                    <w:t>水井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85" w:type="pct"/>
                  <w:vMerge w:val="continue"/>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zh-CN" w:eastAsia="zh-CN"/>
                    </w:rPr>
                  </w:pPr>
                </w:p>
              </w:tc>
              <w:tc>
                <w:tcPr>
                  <w:tcW w:w="750"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pt-BR" w:eastAsia="zh-CN"/>
                    </w:rPr>
                  </w:pPr>
                  <w:r>
                    <w:rPr>
                      <w:rFonts w:hint="default" w:ascii="Times New Roman" w:hAnsi="Times New Roman" w:eastAsia="宋体" w:cs="Times New Roman"/>
                      <w:b w:val="0"/>
                      <w:bCs w:val="0"/>
                      <w:sz w:val="21"/>
                      <w:szCs w:val="21"/>
                      <w:lang w:val="zh-CN" w:eastAsia="zh-CN"/>
                    </w:rPr>
                    <w:t>供电工程</w:t>
                  </w:r>
                </w:p>
              </w:tc>
              <w:tc>
                <w:tcPr>
                  <w:tcW w:w="3463"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pt-BR" w:eastAsia="zh-CN"/>
                    </w:rPr>
                  </w:pPr>
                  <w:r>
                    <w:rPr>
                      <w:rFonts w:hint="eastAsia" w:ascii="Times New Roman" w:hAnsi="Times New Roman" w:eastAsia="宋体" w:cs="Times New Roman"/>
                      <w:b w:val="0"/>
                      <w:bCs w:val="0"/>
                      <w:sz w:val="21"/>
                      <w:szCs w:val="21"/>
                      <w:lang w:val="pt-BR" w:eastAsia="zh-CN"/>
                    </w:rPr>
                    <w:t>城镇供电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85" w:type="pct"/>
                  <w:vMerge w:val="restar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pt-BR" w:eastAsia="zh-CN"/>
                    </w:rPr>
                  </w:pPr>
                  <w:r>
                    <w:rPr>
                      <w:rFonts w:hint="default" w:ascii="Times New Roman" w:hAnsi="Times New Roman" w:eastAsia="宋体" w:cs="Times New Roman"/>
                      <w:b w:val="0"/>
                      <w:bCs w:val="0"/>
                      <w:sz w:val="21"/>
                      <w:szCs w:val="21"/>
                      <w:lang w:val="zh-CN" w:eastAsia="zh-CN"/>
                    </w:rPr>
                    <w:t>环保工程</w:t>
                  </w:r>
                </w:p>
              </w:tc>
              <w:tc>
                <w:tcPr>
                  <w:tcW w:w="750"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pt-BR" w:eastAsia="zh-CN"/>
                    </w:rPr>
                  </w:pPr>
                  <w:r>
                    <w:rPr>
                      <w:rFonts w:hint="default" w:ascii="Times New Roman" w:hAnsi="Times New Roman" w:eastAsia="宋体" w:cs="Times New Roman"/>
                      <w:b w:val="0"/>
                      <w:bCs w:val="0"/>
                      <w:sz w:val="21"/>
                      <w:szCs w:val="21"/>
                      <w:lang w:val="pt-BR" w:eastAsia="zh-CN"/>
                    </w:rPr>
                    <w:t>废水治理</w:t>
                  </w:r>
                </w:p>
              </w:tc>
              <w:tc>
                <w:tcPr>
                  <w:tcW w:w="3463"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sz w:val="21"/>
                      <w:szCs w:val="21"/>
                      <w:lang w:val="en-US" w:eastAsia="zh-CN"/>
                    </w:rPr>
                  </w:pPr>
                  <w:r>
                    <w:rPr>
                      <w:rFonts w:ascii="Times New Roman" w:hAnsi="Times New Roman" w:eastAsia="宋体" w:cs="Times New Roman"/>
                      <w:color w:val="000000"/>
                      <w:szCs w:val="21"/>
                    </w:rPr>
                    <w:t>生活污水依托</w:t>
                  </w:r>
                  <w:r>
                    <w:rPr>
                      <w:rFonts w:hint="eastAsia" w:ascii="Times New Roman" w:hAnsi="Times New Roman" w:eastAsia="宋体" w:cs="Times New Roman"/>
                      <w:color w:val="000000"/>
                      <w:szCs w:val="21"/>
                    </w:rPr>
                    <w:t>厂区化粪池</w:t>
                  </w:r>
                  <w:r>
                    <w:rPr>
                      <w:rFonts w:ascii="Times New Roman" w:hAnsi="Times New Roman" w:eastAsia="宋体" w:cs="Times New Roman"/>
                      <w:color w:val="000000"/>
                      <w:szCs w:val="21"/>
                    </w:rPr>
                    <w:t>进行处理，处理后</w:t>
                  </w:r>
                  <w:r>
                    <w:rPr>
                      <w:rFonts w:hint="eastAsia" w:ascii="Times New Roman" w:hAnsi="Times New Roman" w:eastAsia="宋体" w:cs="Times New Roman"/>
                      <w:color w:val="000000"/>
                      <w:szCs w:val="21"/>
                      <w:lang w:eastAsia="zh-CN"/>
                    </w:rPr>
                    <w:t>定期清运不外排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85" w:type="pct"/>
                  <w:vMerge w:val="continue"/>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zh-CN" w:eastAsia="zh-CN"/>
                    </w:rPr>
                  </w:pPr>
                </w:p>
              </w:tc>
              <w:tc>
                <w:tcPr>
                  <w:tcW w:w="750"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pt-BR" w:eastAsia="zh-CN"/>
                    </w:rPr>
                  </w:pPr>
                  <w:r>
                    <w:rPr>
                      <w:rFonts w:hint="default" w:ascii="Times New Roman" w:hAnsi="Times New Roman" w:eastAsia="宋体" w:cs="Times New Roman"/>
                      <w:b w:val="0"/>
                      <w:bCs w:val="0"/>
                      <w:sz w:val="21"/>
                      <w:szCs w:val="21"/>
                      <w:lang w:val="pt-BR" w:eastAsia="zh-CN"/>
                    </w:rPr>
                    <w:t>废气治理</w:t>
                  </w:r>
                </w:p>
              </w:tc>
              <w:tc>
                <w:tcPr>
                  <w:tcW w:w="3463"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1套“</w:t>
                  </w:r>
                  <w:r>
                    <w:rPr>
                      <w:rFonts w:hint="default" w:ascii="Times New Roman" w:hAnsi="Times New Roman" w:eastAsia="宋体" w:cs="Times New Roman"/>
                      <w:b w:val="0"/>
                      <w:bCs w:val="0"/>
                      <w:sz w:val="21"/>
                      <w:szCs w:val="21"/>
                      <w:lang w:val="en-US" w:eastAsia="zh-CN"/>
                    </w:rPr>
                    <w:t>袋式除尘器+15m高排气筒</w:t>
                  </w:r>
                  <w:r>
                    <w:rPr>
                      <w:rFonts w:hint="eastAsia" w:ascii="Times New Roman" w:hAnsi="Times New Roman" w:eastAsia="宋体" w:cs="Times New Roman"/>
                      <w:b w:val="0"/>
                      <w:bCs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85" w:type="pct"/>
                  <w:vMerge w:val="continue"/>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zh-CN" w:eastAsia="zh-CN"/>
                    </w:rPr>
                  </w:pPr>
                </w:p>
              </w:tc>
              <w:tc>
                <w:tcPr>
                  <w:tcW w:w="750"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pt-BR" w:eastAsia="zh-CN"/>
                    </w:rPr>
                  </w:pPr>
                  <w:r>
                    <w:rPr>
                      <w:rFonts w:hint="default" w:ascii="Times New Roman" w:hAnsi="Times New Roman" w:eastAsia="宋体" w:cs="Times New Roman"/>
                      <w:b w:val="0"/>
                      <w:bCs w:val="0"/>
                      <w:sz w:val="21"/>
                      <w:szCs w:val="21"/>
                      <w:lang w:val="pt-BR" w:eastAsia="zh-CN"/>
                    </w:rPr>
                    <w:t>噪声</w:t>
                  </w:r>
                </w:p>
              </w:tc>
              <w:tc>
                <w:tcPr>
                  <w:tcW w:w="3463"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zh-CN" w:eastAsia="zh-CN"/>
                    </w:rPr>
                  </w:pPr>
                  <w:r>
                    <w:rPr>
                      <w:rFonts w:hint="default" w:ascii="Times New Roman" w:hAnsi="Times New Roman" w:eastAsia="宋体" w:cs="Times New Roman"/>
                      <w:b w:val="0"/>
                      <w:bCs w:val="0"/>
                      <w:sz w:val="21"/>
                      <w:szCs w:val="21"/>
                      <w:lang w:val="zh-CN" w:eastAsia="zh-CN"/>
                    </w:rPr>
                    <w:t>基础减振、距离衰减，进站车辆禁止鸣笛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85" w:type="pct"/>
                  <w:vMerge w:val="continue"/>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zh-CN" w:eastAsia="zh-CN"/>
                    </w:rPr>
                  </w:pPr>
                </w:p>
              </w:tc>
              <w:tc>
                <w:tcPr>
                  <w:tcW w:w="750"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pt-BR" w:eastAsia="zh-CN"/>
                    </w:rPr>
                  </w:pPr>
                  <w:r>
                    <w:rPr>
                      <w:rFonts w:hint="default" w:ascii="Times New Roman" w:hAnsi="Times New Roman" w:eastAsia="宋体" w:cs="Times New Roman"/>
                      <w:b w:val="0"/>
                      <w:bCs w:val="0"/>
                      <w:sz w:val="21"/>
                      <w:szCs w:val="21"/>
                      <w:lang w:val="pt-BR" w:eastAsia="zh-CN"/>
                    </w:rPr>
                    <w:t>固废治理</w:t>
                  </w:r>
                </w:p>
              </w:tc>
              <w:tc>
                <w:tcPr>
                  <w:tcW w:w="3463" w:type="pct"/>
                  <w:noWrap w:val="0"/>
                  <w:tcMar>
                    <w:top w:w="85" w:type="dxa"/>
                    <w:bottom w:w="85" w:type="dxa"/>
                  </w:tcMar>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pt-BR" w:eastAsia="zh-CN"/>
                    </w:rPr>
                    <w:t>垃圾桶若干</w:t>
                  </w:r>
                  <w:r>
                    <w:rPr>
                      <w:rFonts w:hint="eastAsia" w:ascii="Times New Roman" w:hAnsi="Times New Roman" w:eastAsia="宋体" w:cs="Times New Roman"/>
                      <w:b w:val="0"/>
                      <w:bCs w:val="0"/>
                      <w:sz w:val="21"/>
                      <w:szCs w:val="21"/>
                      <w:lang w:val="pt-BR" w:eastAsia="zh-CN"/>
                    </w:rPr>
                    <w:t>、</w:t>
                  </w:r>
                  <w:r>
                    <w:rPr>
                      <w:rFonts w:hint="default" w:ascii="Times New Roman" w:hAnsi="Times New Roman" w:eastAsia="宋体" w:cs="Times New Roman"/>
                      <w:b w:val="0"/>
                      <w:bCs w:val="0"/>
                      <w:sz w:val="21"/>
                      <w:szCs w:val="21"/>
                      <w:lang w:val="pt-BR" w:eastAsia="zh-CN"/>
                    </w:rPr>
                    <w:t>固废暂存间（</w:t>
                  </w:r>
                  <w:r>
                    <w:rPr>
                      <w:rFonts w:hint="default" w:ascii="Times New Roman" w:hAnsi="Times New Roman" w:eastAsia="宋体" w:cs="Times New Roman"/>
                      <w:b w:val="0"/>
                      <w:bCs w:val="0"/>
                      <w:sz w:val="21"/>
                      <w:szCs w:val="21"/>
                      <w:lang w:val="en-US" w:eastAsia="zh-CN"/>
                    </w:rPr>
                    <w:t>10m</w:t>
                  </w:r>
                  <w:r>
                    <w:rPr>
                      <w:rFonts w:hint="default" w:ascii="Times New Roman" w:hAnsi="Times New Roman" w:eastAsia="宋体" w:cs="Times New Roman"/>
                      <w:b w:val="0"/>
                      <w:bCs w:val="0"/>
                      <w:sz w:val="21"/>
                      <w:szCs w:val="21"/>
                      <w:vertAlign w:val="superscript"/>
                      <w:lang w:val="en-US" w:eastAsia="zh-CN"/>
                    </w:rPr>
                    <w:t>2</w:t>
                  </w:r>
                  <w:r>
                    <w:rPr>
                      <w:rFonts w:hint="default" w:ascii="Times New Roman" w:hAnsi="Times New Roman" w:eastAsia="宋体" w:cs="Times New Roman"/>
                      <w:b w:val="0"/>
                      <w:bCs w:val="0"/>
                      <w:sz w:val="21"/>
                      <w:szCs w:val="21"/>
                      <w:lang w:val="pt-BR" w:eastAsia="zh-CN"/>
                    </w:rPr>
                    <w:t>）</w:t>
                  </w:r>
                  <w:r>
                    <w:rPr>
                      <w:rFonts w:hint="eastAsia" w:ascii="Times New Roman" w:hAnsi="Times New Roman" w:eastAsia="宋体" w:cs="Times New Roman"/>
                      <w:b w:val="0"/>
                      <w:bCs w:val="0"/>
                      <w:sz w:val="21"/>
                      <w:szCs w:val="21"/>
                      <w:lang w:val="pt-BR" w:eastAsia="zh-CN"/>
                    </w:rPr>
                    <w:t>、危废暂存间（</w:t>
                  </w:r>
                  <w:r>
                    <w:rPr>
                      <w:rFonts w:hint="eastAsia" w:ascii="Times New Roman" w:hAnsi="Times New Roman" w:eastAsia="宋体" w:cs="Times New Roman"/>
                      <w:b w:val="0"/>
                      <w:bCs w:val="0"/>
                      <w:sz w:val="21"/>
                      <w:szCs w:val="21"/>
                      <w:lang w:val="en-US" w:eastAsia="zh-CN"/>
                    </w:rPr>
                    <w:t>10m</w:t>
                  </w:r>
                  <w:r>
                    <w:rPr>
                      <w:rFonts w:hint="eastAsia" w:ascii="Times New Roman" w:hAnsi="Times New Roman" w:eastAsia="宋体" w:cs="Times New Roman"/>
                      <w:b w:val="0"/>
                      <w:bCs w:val="0"/>
                      <w:sz w:val="21"/>
                      <w:szCs w:val="21"/>
                      <w:vertAlign w:val="superscript"/>
                      <w:lang w:val="en-US" w:eastAsia="zh-CN"/>
                    </w:rPr>
                    <w:t>2</w:t>
                  </w:r>
                  <w:r>
                    <w:rPr>
                      <w:rFonts w:hint="eastAsia" w:ascii="Times New Roman" w:hAnsi="Times New Roman" w:eastAsia="宋体" w:cs="Times New Roman"/>
                      <w:b w:val="0"/>
                      <w:bCs w:val="0"/>
                      <w:sz w:val="21"/>
                      <w:szCs w:val="21"/>
                      <w:lang w:val="en-US" w:eastAsia="zh-CN"/>
                    </w:rPr>
                    <w:t>）</w:t>
                  </w:r>
                </w:p>
              </w:tc>
            </w:tr>
          </w:tbl>
          <w:p>
            <w:pPr>
              <w:keepNext w:val="0"/>
              <w:keepLines w:val="0"/>
              <w:suppressLineNumbers w:val="0"/>
              <w:spacing w:before="0" w:beforeAutospacing="0" w:after="0" w:afterAutospacing="0" w:line="520" w:lineRule="exact"/>
              <w:ind w:left="0" w:right="0" w:firstLine="422" w:firstLineChars="200"/>
              <w:rPr>
                <w:rFonts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2</w:t>
            </w:r>
            <w:r>
              <w:rPr>
                <w:rFonts w:ascii="Times New Roman" w:hAnsi="Times New Roman" w:eastAsia="宋体" w:cs="Times New Roman"/>
                <w:b/>
                <w:bCs/>
                <w:sz w:val="21"/>
                <w:szCs w:val="21"/>
              </w:rPr>
              <w:t>、项目产品方案</w:t>
            </w:r>
          </w:p>
          <w:p>
            <w:pPr>
              <w:keepNext w:val="0"/>
              <w:keepLines w:val="0"/>
              <w:pageBreakBefore w:val="0"/>
              <w:widowControl w:val="0"/>
              <w:suppressLineNumbers w:val="0"/>
              <w:tabs>
                <w:tab w:val="center" w:pos="3972"/>
              </w:tabs>
              <w:kinsoku/>
              <w:wordWrap/>
              <w:overflowPunct/>
              <w:topLinePunct w:val="0"/>
              <w:autoSpaceDE/>
              <w:autoSpaceDN/>
              <w:bidi w:val="0"/>
              <w:adjustRightInd w:val="0"/>
              <w:snapToGrid w:val="0"/>
              <w:spacing w:before="0" w:beforeAutospacing="0" w:after="0" w:afterAutospacing="0" w:line="520" w:lineRule="exact"/>
              <w:ind w:left="0" w:right="0" w:rightChars="0" w:firstLine="420" w:firstLineChars="200"/>
              <w:textAlignment w:val="baseline"/>
              <w:outlineLvl w:val="9"/>
              <w:rPr>
                <w:rFonts w:ascii="Times New Roman" w:hAnsi="Times New Roman" w:eastAsia="宋体" w:cs="Times New Roman"/>
                <w:sz w:val="21"/>
                <w:szCs w:val="21"/>
              </w:rPr>
            </w:pPr>
            <w:r>
              <w:rPr>
                <w:rFonts w:ascii="Times New Roman" w:hAnsi="Times New Roman" w:eastAsia="宋体" w:cs="Times New Roman"/>
                <w:sz w:val="21"/>
                <w:szCs w:val="21"/>
              </w:rPr>
              <w:t>原材料磷酸铁锂锂离子电池正极片包含铝箔</w:t>
            </w:r>
            <w:r>
              <w:rPr>
                <w:rFonts w:hint="eastAsia" w:ascii="Times New Roman" w:hAnsi="Times New Roman" w:eastAsia="宋体" w:cs="Times New Roman"/>
                <w:sz w:val="21"/>
                <w:szCs w:val="21"/>
              </w:rPr>
              <w:t>、磷酸铁锂、正极粉、</w:t>
            </w:r>
            <w:r>
              <w:rPr>
                <w:rFonts w:ascii="Times New Roman" w:hAnsi="Times New Roman" w:eastAsia="宋体" w:cs="Times New Roman"/>
                <w:sz w:val="21"/>
                <w:szCs w:val="21"/>
              </w:rPr>
              <w:t>粘结剂和导电剂等</w:t>
            </w:r>
            <w:r>
              <w:rPr>
                <w:rFonts w:hint="eastAsia" w:ascii="Times New Roman" w:hAnsi="Times New Roman" w:eastAsia="宋体" w:cs="Times New Roman"/>
                <w:sz w:val="21"/>
                <w:szCs w:val="21"/>
              </w:rPr>
              <w:t>，</w:t>
            </w:r>
            <w:r>
              <w:rPr>
                <w:rFonts w:ascii="Times New Roman" w:hAnsi="Times New Roman" w:eastAsia="宋体" w:cs="Times New Roman"/>
                <w:sz w:val="21"/>
                <w:szCs w:val="21"/>
              </w:rPr>
              <w:t>经回收处理后产品为铝</w:t>
            </w:r>
            <w:r>
              <w:rPr>
                <w:rFonts w:hint="eastAsia" w:ascii="Times New Roman" w:hAnsi="Times New Roman" w:eastAsia="宋体" w:cs="Times New Roman"/>
                <w:sz w:val="21"/>
                <w:szCs w:val="21"/>
              </w:rPr>
              <w:t>颗粒、正极粉、磷酸铁锂（含粘结剂和导电剂）。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rightChars="0"/>
              <w:jc w:val="center"/>
              <w:textAlignment w:val="baseline"/>
              <w:outlineLvl w:val="9"/>
              <w:rPr>
                <w:rFonts w:hint="eastAsia" w:ascii="Times New Roman" w:hAnsi="Times New Roman" w:eastAsia="宋体" w:cs="Times New Roman"/>
                <w:b/>
                <w:bCs/>
                <w:sz w:val="21"/>
                <w:szCs w:val="21"/>
                <w:lang w:val="pt-BR" w:eastAsia="zh-CN"/>
              </w:rPr>
            </w:pPr>
            <w:r>
              <w:rPr>
                <w:rFonts w:hint="eastAsia" w:ascii="Times New Roman" w:hAnsi="Times New Roman" w:eastAsia="宋体" w:cs="Times New Roman"/>
                <w:b/>
                <w:bCs/>
                <w:sz w:val="21"/>
                <w:szCs w:val="21"/>
                <w:lang w:val="pt-BR" w:eastAsia="zh-CN"/>
              </w:rPr>
              <w:t>表</w:t>
            </w:r>
            <w:r>
              <w:rPr>
                <w:rFonts w:hint="eastAsia" w:ascii="Times New Roman" w:hAnsi="Times New Roman" w:eastAsia="宋体" w:cs="Times New Roman"/>
                <w:b/>
                <w:bCs/>
                <w:sz w:val="21"/>
                <w:szCs w:val="21"/>
                <w:lang w:val="en-US" w:eastAsia="zh-CN"/>
              </w:rPr>
              <w:t xml:space="preserve">10  </w:t>
            </w:r>
            <w:r>
              <w:rPr>
                <w:rFonts w:hint="eastAsia" w:ascii="Times New Roman" w:hAnsi="Times New Roman" w:eastAsia="宋体" w:cs="Times New Roman"/>
                <w:b/>
                <w:bCs/>
                <w:sz w:val="21"/>
                <w:szCs w:val="21"/>
                <w:lang w:val="pt-BR" w:eastAsia="zh-CN"/>
              </w:rPr>
              <w:t>项目磷酸铁锂型正极片物料平衡表   单位：kg/t</w:t>
            </w:r>
          </w:p>
          <w:tbl>
            <w:tblPr>
              <w:tblStyle w:val="1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61"/>
              <w:gridCol w:w="1370"/>
              <w:gridCol w:w="834"/>
              <w:gridCol w:w="879"/>
              <w:gridCol w:w="1877"/>
              <w:gridCol w:w="12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5" w:type="pct"/>
                  <w:gridSpan w:val="3"/>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ascii="Times New Roman" w:hAnsi="Times New Roman" w:eastAsia="宋体" w:cs="Times New Roman"/>
                      <w:szCs w:val="21"/>
                    </w:rPr>
                    <w:t>投入</w:t>
                  </w:r>
                </w:p>
              </w:tc>
              <w:tc>
                <w:tcPr>
                  <w:tcW w:w="2504" w:type="pct"/>
                  <w:gridSpan w:val="3"/>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ascii="Times New Roman" w:hAnsi="Times New Roman" w:eastAsia="宋体" w:cs="Times New Roman"/>
                      <w:szCs w:val="21"/>
                    </w:rPr>
                    <w:t>产出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8"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磷酸铁锂型锂离子电池正极片材料</w:t>
                  </w:r>
                </w:p>
              </w:tc>
              <w:tc>
                <w:tcPr>
                  <w:tcW w:w="862"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ascii="Times New Roman" w:hAnsi="Times New Roman" w:eastAsia="宋体" w:cs="Times New Roman"/>
                      <w:szCs w:val="21"/>
                    </w:rPr>
                    <w:t>原料成分</w:t>
                  </w:r>
                </w:p>
              </w:tc>
              <w:tc>
                <w:tcPr>
                  <w:tcW w:w="524"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量</w:t>
                  </w:r>
                </w:p>
              </w:tc>
              <w:tc>
                <w:tcPr>
                  <w:tcW w:w="553"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类别</w:t>
                  </w:r>
                </w:p>
              </w:tc>
              <w:tc>
                <w:tcPr>
                  <w:tcW w:w="1181"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名称</w:t>
                  </w:r>
                </w:p>
              </w:tc>
              <w:tc>
                <w:tcPr>
                  <w:tcW w:w="770"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产量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8" w:type="pct"/>
                  <w:vMerge w:val="restar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1000</w:t>
                  </w:r>
                </w:p>
              </w:tc>
              <w:tc>
                <w:tcPr>
                  <w:tcW w:w="862"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铝箔</w:t>
                  </w:r>
                </w:p>
              </w:tc>
              <w:tc>
                <w:tcPr>
                  <w:tcW w:w="524"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150</w:t>
                  </w:r>
                </w:p>
              </w:tc>
              <w:tc>
                <w:tcPr>
                  <w:tcW w:w="553" w:type="pct"/>
                  <w:vMerge w:val="restar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产品</w:t>
                  </w:r>
                </w:p>
              </w:tc>
              <w:tc>
                <w:tcPr>
                  <w:tcW w:w="1181"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铝颗粒</w:t>
                  </w:r>
                </w:p>
              </w:tc>
              <w:tc>
                <w:tcPr>
                  <w:tcW w:w="770"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ascii="Times New Roman" w:hAnsi="Times New Roman" w:eastAsia="宋体" w:cs="Times New Roman"/>
                      <w:szCs w:val="21"/>
                    </w:rPr>
                    <w:t>149.2</w:t>
                  </w:r>
                  <w:r>
                    <w:rPr>
                      <w:rFonts w:hint="eastAsia" w:ascii="Times New Roman" w:hAnsi="Times New Roman" w:eastAsia="宋体" w:cs="Times New Roman"/>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8"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862"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磷酸铁锂</w:t>
                  </w:r>
                </w:p>
              </w:tc>
              <w:tc>
                <w:tcPr>
                  <w:tcW w:w="524"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750</w:t>
                  </w:r>
                </w:p>
              </w:tc>
              <w:tc>
                <w:tcPr>
                  <w:tcW w:w="553"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1181"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磷酸铁锂</w:t>
                  </w:r>
                </w:p>
              </w:tc>
              <w:tc>
                <w:tcPr>
                  <w:tcW w:w="77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746.25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108"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862"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粘结剂</w:t>
                  </w:r>
                </w:p>
              </w:tc>
              <w:tc>
                <w:tcPr>
                  <w:tcW w:w="524"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50</w:t>
                  </w:r>
                </w:p>
              </w:tc>
              <w:tc>
                <w:tcPr>
                  <w:tcW w:w="553"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1181"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粘结剂</w:t>
                  </w:r>
                </w:p>
              </w:tc>
              <w:tc>
                <w:tcPr>
                  <w:tcW w:w="77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49.75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8"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862"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导电剂</w:t>
                  </w:r>
                </w:p>
              </w:tc>
              <w:tc>
                <w:tcPr>
                  <w:tcW w:w="524"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40</w:t>
                  </w:r>
                </w:p>
              </w:tc>
              <w:tc>
                <w:tcPr>
                  <w:tcW w:w="553"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szCs w:val="21"/>
                      <w:lang w:eastAsia="zh-CN"/>
                    </w:rPr>
                  </w:pPr>
                </w:p>
              </w:tc>
              <w:tc>
                <w:tcPr>
                  <w:tcW w:w="1181"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导电剂</w:t>
                  </w:r>
                </w:p>
              </w:tc>
              <w:tc>
                <w:tcPr>
                  <w:tcW w:w="77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8"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862" w:type="pct"/>
                  <w:vMerge w:val="restar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其他</w:t>
                  </w:r>
                </w:p>
              </w:tc>
              <w:tc>
                <w:tcPr>
                  <w:tcW w:w="524" w:type="pct"/>
                  <w:vMerge w:val="restar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40</w:t>
                  </w:r>
                </w:p>
              </w:tc>
              <w:tc>
                <w:tcPr>
                  <w:tcW w:w="553" w:type="pct"/>
                  <w:vMerge w:val="restar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其他</w:t>
                  </w:r>
                </w:p>
              </w:tc>
              <w:tc>
                <w:tcPr>
                  <w:tcW w:w="1181"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eastAsia="zh-CN"/>
                    </w:rPr>
                    <w:t>废料</w:t>
                  </w:r>
                </w:p>
              </w:tc>
              <w:tc>
                <w:tcPr>
                  <w:tcW w:w="770" w:type="pc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8"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862"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524"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553"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1181"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eastAsia="zh-CN"/>
                    </w:rPr>
                    <w:t>铁</w:t>
                  </w:r>
                </w:p>
              </w:tc>
              <w:tc>
                <w:tcPr>
                  <w:tcW w:w="770" w:type="pc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8"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862"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524"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553" w:type="pct"/>
                  <w:vMerge w:val="continue"/>
                  <w:tcBorders>
                    <w:bottom w:val="single" w:color="000000" w:sz="4" w:space="0"/>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1181"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其他（隔膜纸等）</w:t>
                  </w:r>
                </w:p>
              </w:tc>
              <w:tc>
                <w:tcPr>
                  <w:tcW w:w="77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108"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862"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合计</w:t>
                  </w:r>
                </w:p>
              </w:tc>
              <w:tc>
                <w:tcPr>
                  <w:tcW w:w="524"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1000</w:t>
                  </w:r>
                </w:p>
              </w:tc>
              <w:tc>
                <w:tcPr>
                  <w:tcW w:w="1734" w:type="pct"/>
                  <w:gridSpan w:val="2"/>
                  <w:tcBorders>
                    <w:top w:val="single" w:color="000000" w:sz="4" w:space="0"/>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合计</w:t>
                  </w:r>
                </w:p>
              </w:tc>
              <w:tc>
                <w:tcPr>
                  <w:tcW w:w="770" w:type="pc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szCs w:val="21"/>
                    </w:rPr>
                  </w:pPr>
                  <w:r>
                    <w:rPr>
                      <w:rFonts w:ascii="Times New Roman" w:hAnsi="Times New Roman" w:eastAsia="宋体" w:cs="Times New Roman"/>
                      <w:szCs w:val="21"/>
                    </w:rPr>
                    <w:t>1000</w:t>
                  </w:r>
                </w:p>
              </w:tc>
            </w:tr>
          </w:tbl>
          <w:p>
            <w:pPr>
              <w:keepNext w:val="0"/>
              <w:keepLines w:val="0"/>
              <w:pageBreakBefore w:val="0"/>
              <w:widowControl w:val="0"/>
              <w:suppressLineNumbers w:val="0"/>
              <w:tabs>
                <w:tab w:val="center" w:pos="3972"/>
              </w:tabs>
              <w:kinsoku/>
              <w:wordWrap/>
              <w:overflowPunct/>
              <w:topLinePunct w:val="0"/>
              <w:autoSpaceDE/>
              <w:autoSpaceDN/>
              <w:bidi w:val="0"/>
              <w:adjustRightInd w:val="0"/>
              <w:snapToGrid w:val="0"/>
              <w:spacing w:before="0" w:beforeAutospacing="0" w:after="0" w:afterAutospacing="0" w:line="520" w:lineRule="exact"/>
              <w:ind w:left="0" w:right="0" w:rightChars="0"/>
              <w:textAlignment w:val="baseline"/>
              <w:outlineLvl w:val="9"/>
              <w:rPr>
                <w:rFonts w:ascii="Times New Roman" w:hAnsi="Times New Roman" w:eastAsia="宋体" w:cs="Times New Roman"/>
                <w:sz w:val="21"/>
                <w:szCs w:val="21"/>
              </w:rPr>
            </w:pPr>
          </w:p>
          <w:p>
            <w:pPr>
              <w:keepNext w:val="0"/>
              <w:keepLines w:val="0"/>
              <w:pageBreakBefore w:val="0"/>
              <w:widowControl w:val="0"/>
              <w:suppressLineNumbers w:val="0"/>
              <w:tabs>
                <w:tab w:val="center" w:pos="3972"/>
              </w:tabs>
              <w:kinsoku/>
              <w:wordWrap/>
              <w:overflowPunct/>
              <w:topLinePunct w:val="0"/>
              <w:autoSpaceDE/>
              <w:autoSpaceDN/>
              <w:bidi w:val="0"/>
              <w:adjustRightInd w:val="0"/>
              <w:snapToGrid w:val="0"/>
              <w:spacing w:before="0" w:beforeAutospacing="0" w:after="0" w:afterAutospacing="0" w:line="520" w:lineRule="exact"/>
              <w:ind w:left="0" w:right="0" w:rightChars="0" w:firstLine="480" w:firstLineChars="200"/>
              <w:textAlignment w:val="baseline"/>
              <w:outlineLvl w:val="9"/>
              <w:rPr>
                <w:rFonts w:ascii="Times New Roman" w:hAnsi="Times New Roman" w:eastAsia="宋体" w:cs="Times New Roman"/>
                <w:sz w:val="21"/>
                <w:szCs w:val="21"/>
              </w:rPr>
            </w:pPr>
            <w:r>
              <w:rPr>
                <w:rFonts w:ascii="Times New Roman" w:hAnsi="Times New Roman" w:eastAsia="宋体" w:cs="Times New Roman"/>
                <w:sz w:val="24"/>
              </w:rPr>
              <w:t>原材料锂离子电池</w:t>
            </w:r>
            <w:r>
              <w:rPr>
                <w:rFonts w:hint="eastAsia" w:ascii="Times New Roman" w:hAnsi="Times New Roman" w:eastAsia="宋体" w:cs="Times New Roman"/>
                <w:sz w:val="24"/>
              </w:rPr>
              <w:t>负</w:t>
            </w:r>
            <w:r>
              <w:rPr>
                <w:rFonts w:ascii="Times New Roman" w:hAnsi="Times New Roman" w:eastAsia="宋体" w:cs="Times New Roman"/>
                <w:sz w:val="24"/>
              </w:rPr>
              <w:t>极片包含</w:t>
            </w:r>
            <w:r>
              <w:rPr>
                <w:rFonts w:hint="eastAsia" w:ascii="Times New Roman" w:hAnsi="Times New Roman" w:eastAsia="宋体" w:cs="Times New Roman"/>
                <w:sz w:val="24"/>
              </w:rPr>
              <w:t>铜</w:t>
            </w:r>
            <w:r>
              <w:rPr>
                <w:rFonts w:ascii="Times New Roman" w:hAnsi="Times New Roman" w:eastAsia="宋体" w:cs="Times New Roman"/>
                <w:sz w:val="24"/>
              </w:rPr>
              <w:t>箔</w:t>
            </w:r>
            <w:r>
              <w:rPr>
                <w:rFonts w:hint="eastAsia" w:ascii="Times New Roman" w:hAnsi="Times New Roman" w:eastAsia="宋体" w:cs="Times New Roman"/>
                <w:sz w:val="24"/>
              </w:rPr>
              <w:t>、石墨粉、</w:t>
            </w:r>
            <w:r>
              <w:rPr>
                <w:rFonts w:ascii="Times New Roman" w:hAnsi="Times New Roman" w:eastAsia="宋体" w:cs="Times New Roman"/>
                <w:sz w:val="24"/>
              </w:rPr>
              <w:t>粘结剂和导电剂等</w:t>
            </w:r>
            <w:r>
              <w:rPr>
                <w:rFonts w:hint="eastAsia" w:ascii="Times New Roman" w:hAnsi="Times New Roman" w:eastAsia="宋体" w:cs="Times New Roman"/>
                <w:sz w:val="24"/>
              </w:rPr>
              <w:t>，</w:t>
            </w:r>
            <w:r>
              <w:rPr>
                <w:rFonts w:ascii="Times New Roman" w:hAnsi="Times New Roman" w:eastAsia="宋体" w:cs="Times New Roman"/>
                <w:sz w:val="24"/>
              </w:rPr>
              <w:t>经回收处理后产品为</w:t>
            </w:r>
            <w:r>
              <w:rPr>
                <w:rFonts w:hint="eastAsia" w:ascii="Times New Roman" w:hAnsi="Times New Roman" w:eastAsia="宋体" w:cs="Times New Roman"/>
                <w:sz w:val="24"/>
              </w:rPr>
              <w:t>铜颗粒、负极粉（含粘结剂和导电剂）。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rightChars="0"/>
              <w:jc w:val="center"/>
              <w:textAlignment w:val="baseline"/>
              <w:outlineLvl w:val="9"/>
              <w:rPr>
                <w:rFonts w:hint="eastAsia" w:ascii="Times New Roman" w:hAnsi="Times New Roman" w:eastAsia="宋体" w:cs="Times New Roman"/>
                <w:b/>
                <w:bCs/>
                <w:sz w:val="21"/>
                <w:szCs w:val="21"/>
                <w:lang w:val="pt-BR" w:eastAsia="zh-CN"/>
              </w:rPr>
            </w:pPr>
            <w:r>
              <w:rPr>
                <w:rFonts w:hint="eastAsia" w:ascii="Times New Roman" w:hAnsi="Times New Roman" w:eastAsia="宋体" w:cs="Times New Roman"/>
                <w:b/>
                <w:bCs/>
                <w:sz w:val="21"/>
                <w:szCs w:val="21"/>
                <w:lang w:val="pt-BR" w:eastAsia="zh-CN"/>
              </w:rPr>
              <w:t>表</w:t>
            </w:r>
            <w:r>
              <w:rPr>
                <w:rFonts w:hint="eastAsia" w:ascii="Times New Roman" w:hAnsi="Times New Roman" w:eastAsia="宋体" w:cs="Times New Roman"/>
                <w:b/>
                <w:bCs/>
                <w:sz w:val="21"/>
                <w:szCs w:val="21"/>
                <w:lang w:val="en-US" w:eastAsia="zh-CN"/>
              </w:rPr>
              <w:t xml:space="preserve">11  </w:t>
            </w:r>
            <w:r>
              <w:rPr>
                <w:rFonts w:hint="eastAsia" w:ascii="Times New Roman" w:hAnsi="Times New Roman" w:eastAsia="宋体" w:cs="Times New Roman"/>
                <w:b/>
                <w:bCs/>
                <w:sz w:val="21"/>
                <w:szCs w:val="21"/>
                <w:lang w:val="pt-BR" w:eastAsia="zh-CN"/>
              </w:rPr>
              <w:t>项目负极片物料平衡表     单位：kg/t</w:t>
            </w:r>
          </w:p>
          <w:tbl>
            <w:tblPr>
              <w:tblStyle w:val="1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61"/>
              <w:gridCol w:w="1370"/>
              <w:gridCol w:w="834"/>
              <w:gridCol w:w="879"/>
              <w:gridCol w:w="1877"/>
              <w:gridCol w:w="12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2495" w:type="pct"/>
                  <w:gridSpan w:val="3"/>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ascii="Times New Roman" w:hAnsi="Times New Roman" w:eastAsia="宋体" w:cs="Times New Roman"/>
                      <w:szCs w:val="21"/>
                    </w:rPr>
                    <w:t>投入</w:t>
                  </w:r>
                </w:p>
              </w:tc>
              <w:tc>
                <w:tcPr>
                  <w:tcW w:w="2504" w:type="pct"/>
                  <w:gridSpan w:val="3"/>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ascii="Times New Roman" w:hAnsi="Times New Roman" w:eastAsia="宋体" w:cs="Times New Roman"/>
                      <w:szCs w:val="21"/>
                    </w:rPr>
                    <w:t>产出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负极片材料</w:t>
                  </w:r>
                </w:p>
              </w:tc>
              <w:tc>
                <w:tcPr>
                  <w:tcW w:w="862"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ascii="Times New Roman" w:hAnsi="Times New Roman" w:eastAsia="宋体" w:cs="Times New Roman"/>
                      <w:szCs w:val="21"/>
                    </w:rPr>
                    <w:t>原料成分</w:t>
                  </w:r>
                </w:p>
              </w:tc>
              <w:tc>
                <w:tcPr>
                  <w:tcW w:w="524"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ascii="Times New Roman" w:hAnsi="Times New Roman" w:eastAsia="宋体" w:cs="Times New Roman"/>
                      <w:szCs w:val="21"/>
                    </w:rPr>
                    <w:t>比例</w:t>
                  </w:r>
                </w:p>
              </w:tc>
              <w:tc>
                <w:tcPr>
                  <w:tcW w:w="553"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类别</w:t>
                  </w:r>
                </w:p>
              </w:tc>
              <w:tc>
                <w:tcPr>
                  <w:tcW w:w="1181"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名称</w:t>
                  </w:r>
                </w:p>
              </w:tc>
              <w:tc>
                <w:tcPr>
                  <w:tcW w:w="770"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产量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pct"/>
                  <w:vMerge w:val="restar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1000</w:t>
                  </w:r>
                </w:p>
              </w:tc>
              <w:tc>
                <w:tcPr>
                  <w:tcW w:w="862"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rPr>
                    <w:t>铜</w:t>
                  </w:r>
                  <w:r>
                    <w:rPr>
                      <w:rFonts w:hint="eastAsia" w:ascii="Times New Roman" w:hAnsi="Times New Roman" w:eastAsia="宋体" w:cs="Times New Roman"/>
                      <w:szCs w:val="21"/>
                      <w:lang w:eastAsia="zh-CN"/>
                    </w:rPr>
                    <w:t>颗粒</w:t>
                  </w:r>
                </w:p>
              </w:tc>
              <w:tc>
                <w:tcPr>
                  <w:tcW w:w="524"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350</w:t>
                  </w:r>
                </w:p>
              </w:tc>
              <w:tc>
                <w:tcPr>
                  <w:tcW w:w="553" w:type="pct"/>
                  <w:vMerge w:val="restar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产品</w:t>
                  </w:r>
                </w:p>
              </w:tc>
              <w:tc>
                <w:tcPr>
                  <w:tcW w:w="1181"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铜颗粒</w:t>
                  </w:r>
                </w:p>
              </w:tc>
              <w:tc>
                <w:tcPr>
                  <w:tcW w:w="77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348.25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862"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石墨粉</w:t>
                  </w:r>
                </w:p>
              </w:tc>
              <w:tc>
                <w:tcPr>
                  <w:tcW w:w="524"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550</w:t>
                  </w:r>
                </w:p>
              </w:tc>
              <w:tc>
                <w:tcPr>
                  <w:tcW w:w="553"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1181" w:type="pct"/>
                  <w:tcBorders>
                    <w:bottom w:val="single" w:color="000000" w:sz="4" w:space="0"/>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石墨粉</w:t>
                  </w:r>
                </w:p>
              </w:tc>
              <w:tc>
                <w:tcPr>
                  <w:tcW w:w="770" w:type="pct"/>
                  <w:tcBorders>
                    <w:bottom w:val="single" w:color="000000" w:sz="4"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547.25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862"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粘结剂</w:t>
                  </w:r>
                </w:p>
              </w:tc>
              <w:tc>
                <w:tcPr>
                  <w:tcW w:w="524"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50</w:t>
                  </w:r>
                </w:p>
              </w:tc>
              <w:tc>
                <w:tcPr>
                  <w:tcW w:w="553"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1181" w:type="pct"/>
                  <w:tcBorders>
                    <w:top w:val="single" w:color="000000" w:sz="4" w:space="0"/>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粘结剂</w:t>
                  </w:r>
                </w:p>
              </w:tc>
              <w:tc>
                <w:tcPr>
                  <w:tcW w:w="770" w:type="pct"/>
                  <w:tcBorders>
                    <w:top w:val="single" w:color="000000" w:sz="4"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49.75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862"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导电剂</w:t>
                  </w:r>
                </w:p>
              </w:tc>
              <w:tc>
                <w:tcPr>
                  <w:tcW w:w="524"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40</w:t>
                  </w:r>
                </w:p>
              </w:tc>
              <w:tc>
                <w:tcPr>
                  <w:tcW w:w="553"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1181"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导电剂</w:t>
                  </w:r>
                </w:p>
              </w:tc>
              <w:tc>
                <w:tcPr>
                  <w:tcW w:w="77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862" w:type="pct"/>
                  <w:vMerge w:val="restar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其他</w:t>
                  </w:r>
                </w:p>
              </w:tc>
              <w:tc>
                <w:tcPr>
                  <w:tcW w:w="524" w:type="pct"/>
                  <w:vMerge w:val="restar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553" w:type="pct"/>
                  <w:vMerge w:val="restar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其他</w:t>
                  </w:r>
                </w:p>
              </w:tc>
              <w:tc>
                <w:tcPr>
                  <w:tcW w:w="1181"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废料</w:t>
                  </w:r>
                </w:p>
              </w:tc>
              <w:tc>
                <w:tcPr>
                  <w:tcW w:w="770"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862"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524"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553"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1181"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铁</w:t>
                  </w:r>
                </w:p>
              </w:tc>
              <w:tc>
                <w:tcPr>
                  <w:tcW w:w="77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862"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524"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553"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1181"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其他（隔膜纸等）</w:t>
                  </w:r>
                </w:p>
              </w:tc>
              <w:tc>
                <w:tcPr>
                  <w:tcW w:w="77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9.90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8" w:type="pct"/>
                  <w:vMerge w:val="continue"/>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p>
              </w:tc>
              <w:tc>
                <w:tcPr>
                  <w:tcW w:w="862"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合计</w:t>
                  </w:r>
                </w:p>
              </w:tc>
              <w:tc>
                <w:tcPr>
                  <w:tcW w:w="524"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1000</w:t>
                  </w:r>
                </w:p>
              </w:tc>
              <w:tc>
                <w:tcPr>
                  <w:tcW w:w="1734" w:type="pct"/>
                  <w:gridSpan w:val="2"/>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合计</w:t>
                  </w:r>
                </w:p>
              </w:tc>
              <w:tc>
                <w:tcPr>
                  <w:tcW w:w="770"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1000</w:t>
                  </w:r>
                </w:p>
              </w:tc>
            </w:tr>
          </w:tbl>
          <w:p>
            <w:pPr>
              <w:keepNext w:val="0"/>
              <w:keepLines w:val="0"/>
              <w:pageBreakBefore w:val="0"/>
              <w:widowControl w:val="0"/>
              <w:suppressLineNumbers w:val="0"/>
              <w:tabs>
                <w:tab w:val="center" w:pos="3972"/>
              </w:tabs>
              <w:kinsoku/>
              <w:wordWrap/>
              <w:overflowPunct/>
              <w:topLinePunct w:val="0"/>
              <w:autoSpaceDE/>
              <w:autoSpaceDN/>
              <w:bidi w:val="0"/>
              <w:adjustRightInd w:val="0"/>
              <w:snapToGrid w:val="0"/>
              <w:spacing w:before="0" w:beforeAutospacing="0" w:after="0" w:afterAutospacing="0" w:line="520" w:lineRule="exact"/>
              <w:ind w:left="0" w:right="0" w:rightChars="0" w:firstLine="420" w:firstLineChars="200"/>
              <w:textAlignment w:val="baseline"/>
              <w:outlineLvl w:val="9"/>
              <w:rPr>
                <w:rFonts w:hint="default" w:ascii="Times New Roman" w:hAnsi="Times New Roman" w:eastAsia="宋体" w:cs="Times New Roman"/>
                <w:sz w:val="21"/>
                <w:szCs w:val="21"/>
              </w:rPr>
            </w:pPr>
            <w:r>
              <w:rPr>
                <w:rFonts w:ascii="Times New Roman" w:hAnsi="Times New Roman" w:eastAsia="宋体" w:cs="Times New Roman"/>
                <w:sz w:val="21"/>
                <w:szCs w:val="21"/>
              </w:rPr>
              <w:t>本项目产品、产量一</w:t>
            </w:r>
            <w:r>
              <w:rPr>
                <w:rFonts w:hint="default" w:ascii="Times New Roman" w:hAnsi="Times New Roman" w:eastAsia="宋体" w:cs="Times New Roman"/>
                <w:sz w:val="21"/>
                <w:szCs w:val="21"/>
              </w:rPr>
              <w:t>览表见</w:t>
            </w:r>
            <w:r>
              <w:rPr>
                <w:rFonts w:hint="eastAsia" w:ascii="Times New Roman" w:hAnsi="Times New Roman" w:eastAsia="宋体" w:cs="Times New Roman"/>
                <w:sz w:val="21"/>
                <w:szCs w:val="21"/>
                <w:lang w:eastAsia="zh-CN"/>
              </w:rPr>
              <w:t>下表</w:t>
            </w:r>
            <w:r>
              <w:rPr>
                <w:rFonts w:hint="default" w:ascii="Times New Roman" w:hAnsi="Times New Roman" w:eastAsia="宋体" w:cs="Times New Roman"/>
                <w:sz w:val="21"/>
                <w:szCs w:val="21"/>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rightChars="0"/>
              <w:jc w:val="center"/>
              <w:textAlignment w:val="baseline"/>
              <w:outlineLvl w:val="9"/>
              <w:rPr>
                <w:rFonts w:hint="default" w:ascii="Times New Roman" w:hAnsi="Times New Roman" w:eastAsia="宋体" w:cs="Times New Roman"/>
                <w:b/>
                <w:bCs/>
                <w:kern w:val="2"/>
                <w:sz w:val="21"/>
                <w:szCs w:val="21"/>
                <w:lang w:val="pt-BR" w:eastAsia="zh-CN" w:bidi="ar-SA"/>
              </w:rPr>
            </w:pPr>
            <w:r>
              <w:rPr>
                <w:rFonts w:hint="eastAsia" w:ascii="Times New Roman" w:hAnsi="Times New Roman" w:eastAsia="宋体" w:cs="Times New Roman"/>
                <w:b/>
                <w:bCs/>
                <w:sz w:val="21"/>
                <w:szCs w:val="21"/>
                <w:lang w:val="pt-BR" w:eastAsia="zh-CN"/>
              </w:rPr>
              <w:t>表</w:t>
            </w:r>
            <w:r>
              <w:rPr>
                <w:rFonts w:hint="eastAsia" w:ascii="Times New Roman" w:hAnsi="Times New Roman" w:eastAsia="宋体" w:cs="Times New Roman"/>
                <w:b/>
                <w:bCs/>
                <w:sz w:val="21"/>
                <w:szCs w:val="21"/>
                <w:lang w:val="en-US" w:eastAsia="zh-CN"/>
              </w:rPr>
              <w:t>12</w:t>
            </w:r>
            <w:r>
              <w:rPr>
                <w:rFonts w:hint="eastAsia" w:ascii="Times New Roman" w:hAnsi="Times New Roman" w:eastAsia="宋体" w:cs="Times New Roman"/>
                <w:b/>
                <w:bCs/>
                <w:sz w:val="21"/>
                <w:szCs w:val="21"/>
                <w:lang w:val="pt-BR" w:eastAsia="zh-CN"/>
              </w:rPr>
              <w:t xml:space="preserve"> </w:t>
            </w:r>
            <w:r>
              <w:rPr>
                <w:rFonts w:hint="eastAsia" w:ascii="Times New Roman" w:hAnsi="Times New Roman" w:eastAsia="宋体" w:cs="Times New Roman"/>
                <w:sz w:val="21"/>
                <w:szCs w:val="21"/>
                <w:lang w:val="pt-BR" w:eastAsia="zh-CN"/>
              </w:rPr>
              <w:t xml:space="preserve"> </w:t>
            </w:r>
            <w:r>
              <w:rPr>
                <w:rFonts w:hint="default" w:ascii="Times New Roman" w:hAnsi="Times New Roman" w:eastAsia="宋体" w:cs="Times New Roman"/>
                <w:b/>
                <w:bCs/>
                <w:kern w:val="2"/>
                <w:sz w:val="21"/>
                <w:szCs w:val="21"/>
                <w:lang w:val="pt-BR" w:eastAsia="zh-CN" w:bidi="ar-SA"/>
              </w:rPr>
              <w:t>产品种类、产量一览表</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3084"/>
              <w:gridCol w:w="1590"/>
              <w:gridCol w:w="24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40"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产品名称</w:t>
                  </w:r>
                </w:p>
              </w:tc>
              <w:tc>
                <w:tcPr>
                  <w:tcW w:w="1590"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年生产量</w:t>
                  </w:r>
                </w:p>
              </w:tc>
              <w:tc>
                <w:tcPr>
                  <w:tcW w:w="2407"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正极材料</w:t>
                  </w:r>
                </w:p>
              </w:tc>
              <w:tc>
                <w:tcPr>
                  <w:tcW w:w="308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rPr>
                    <w:t>磷酸铁锂</w:t>
                  </w:r>
                  <w:r>
                    <w:rPr>
                      <w:rFonts w:hint="eastAsia" w:ascii="Times New Roman" w:hAnsi="Times New Roman" w:eastAsia="宋体" w:cs="Times New Roman"/>
                      <w:color w:val="000000"/>
                      <w:sz w:val="21"/>
                      <w:szCs w:val="21"/>
                      <w:lang w:eastAsia="zh-CN"/>
                    </w:rPr>
                    <w:t>（含导电剂和粘结剂）</w:t>
                  </w:r>
                </w:p>
              </w:tc>
              <w:tc>
                <w:tcPr>
                  <w:tcW w:w="15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4179t</w:t>
                  </w:r>
                </w:p>
              </w:tc>
              <w:tc>
                <w:tcPr>
                  <w:tcW w:w="240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rPr>
                    <w:t>原料为</w:t>
                  </w:r>
                  <w:r>
                    <w:rPr>
                      <w:rFonts w:hint="eastAsia" w:ascii="Times New Roman" w:hAnsi="Times New Roman" w:eastAsia="宋体" w:cs="Times New Roman"/>
                      <w:color w:val="000000"/>
                      <w:sz w:val="21"/>
                      <w:szCs w:val="21"/>
                      <w:lang w:val="en-US" w:eastAsia="zh-CN"/>
                    </w:rPr>
                    <w:t>5000</w:t>
                  </w:r>
                  <w:r>
                    <w:rPr>
                      <w:rFonts w:hint="eastAsia" w:ascii="Times New Roman" w:hAnsi="Times New Roman" w:eastAsia="宋体" w:cs="Times New Roman"/>
                      <w:color w:val="000000"/>
                      <w:sz w:val="21"/>
                      <w:szCs w:val="21"/>
                    </w:rPr>
                    <w:t>t正极片</w:t>
                  </w:r>
                  <w:r>
                    <w:rPr>
                      <w:rFonts w:hint="eastAsia" w:ascii="Times New Roman" w:hAnsi="Times New Roman" w:eastAsia="宋体" w:cs="Times New Roman"/>
                      <w:color w:val="000000"/>
                      <w:sz w:val="21"/>
                      <w:szCs w:val="21"/>
                      <w:lang w:eastAsia="zh-CN"/>
                    </w:rPr>
                    <w:t>（不含重金属）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rPr>
                  </w:pPr>
                </w:p>
              </w:tc>
              <w:tc>
                <w:tcPr>
                  <w:tcW w:w="308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铝颗粒</w:t>
                  </w:r>
                </w:p>
              </w:tc>
              <w:tc>
                <w:tcPr>
                  <w:tcW w:w="15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746.25t</w:t>
                  </w:r>
                </w:p>
              </w:tc>
              <w:tc>
                <w:tcPr>
                  <w:tcW w:w="240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rPr>
                  </w:pPr>
                </w:p>
              </w:tc>
              <w:tc>
                <w:tcPr>
                  <w:tcW w:w="308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合计</w:t>
                  </w:r>
                </w:p>
              </w:tc>
              <w:tc>
                <w:tcPr>
                  <w:tcW w:w="15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4925.25t</w:t>
                  </w:r>
                </w:p>
              </w:tc>
              <w:tc>
                <w:tcPr>
                  <w:tcW w:w="240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负极材料</w:t>
                  </w:r>
                </w:p>
              </w:tc>
              <w:tc>
                <w:tcPr>
                  <w:tcW w:w="308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rPr>
                    <w:t>石墨粉</w:t>
                  </w:r>
                  <w:r>
                    <w:rPr>
                      <w:rFonts w:hint="eastAsia" w:ascii="Times New Roman" w:hAnsi="Times New Roman" w:eastAsia="宋体" w:cs="Times New Roman"/>
                      <w:color w:val="000000"/>
                      <w:sz w:val="21"/>
                      <w:szCs w:val="21"/>
                      <w:lang w:eastAsia="zh-CN"/>
                    </w:rPr>
                    <w:t>（含导电剂和粘结剂）</w:t>
                  </w:r>
                </w:p>
              </w:tc>
              <w:tc>
                <w:tcPr>
                  <w:tcW w:w="15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3184t</w:t>
                  </w:r>
                </w:p>
              </w:tc>
              <w:tc>
                <w:tcPr>
                  <w:tcW w:w="240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原料为</w:t>
                  </w:r>
                  <w:r>
                    <w:rPr>
                      <w:rFonts w:hint="eastAsia" w:ascii="Times New Roman" w:hAnsi="Times New Roman" w:eastAsia="宋体" w:cs="Times New Roman"/>
                      <w:color w:val="000000"/>
                      <w:sz w:val="21"/>
                      <w:szCs w:val="21"/>
                      <w:lang w:val="en-US" w:eastAsia="zh-CN"/>
                    </w:rPr>
                    <w:t>5000</w:t>
                  </w:r>
                  <w:r>
                    <w:rPr>
                      <w:rFonts w:hint="eastAsia" w:ascii="Times New Roman" w:hAnsi="Times New Roman" w:eastAsia="宋体" w:cs="Times New Roman"/>
                      <w:color w:val="000000"/>
                      <w:sz w:val="21"/>
                      <w:szCs w:val="21"/>
                    </w:rPr>
                    <w:t>t负极片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rPr>
                  </w:pPr>
                </w:p>
              </w:tc>
              <w:tc>
                <w:tcPr>
                  <w:tcW w:w="308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rPr>
                    <w:t>铜</w:t>
                  </w:r>
                  <w:r>
                    <w:rPr>
                      <w:rFonts w:hint="eastAsia" w:ascii="Times New Roman" w:hAnsi="Times New Roman" w:eastAsia="宋体" w:cs="Times New Roman"/>
                      <w:color w:val="000000"/>
                      <w:sz w:val="21"/>
                      <w:szCs w:val="21"/>
                      <w:lang w:eastAsia="zh-CN"/>
                    </w:rPr>
                    <w:t>颗粒</w:t>
                  </w:r>
                </w:p>
              </w:tc>
              <w:tc>
                <w:tcPr>
                  <w:tcW w:w="15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1741.25t</w:t>
                  </w:r>
                </w:p>
              </w:tc>
              <w:tc>
                <w:tcPr>
                  <w:tcW w:w="240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rPr>
                  </w:pPr>
                </w:p>
              </w:tc>
              <w:tc>
                <w:tcPr>
                  <w:tcW w:w="308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合计</w:t>
                  </w:r>
                </w:p>
              </w:tc>
              <w:tc>
                <w:tcPr>
                  <w:tcW w:w="15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4925.25t</w:t>
                  </w:r>
                </w:p>
              </w:tc>
              <w:tc>
                <w:tcPr>
                  <w:tcW w:w="240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p>
              </w:tc>
            </w:tr>
          </w:tbl>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520" w:lineRule="exact"/>
              <w:ind w:left="0" w:right="0" w:firstLine="422" w:firstLineChars="200"/>
              <w:jc w:val="left"/>
              <w:rPr>
                <w:rFonts w:hint="default"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lang w:eastAsia="zh-CN"/>
              </w:rPr>
              <w:t>原材料及能源消耗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rightChars="0" w:firstLine="420" w:firstLineChars="200"/>
              <w:textAlignment w:val="baseline"/>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eastAsia="zh-CN"/>
              </w:rPr>
              <w:t>所用原材料及能源</w:t>
            </w:r>
            <w:r>
              <w:rPr>
                <w:rFonts w:hint="default" w:ascii="Times New Roman" w:hAnsi="Times New Roman" w:eastAsia="宋体" w:cs="Times New Roman"/>
                <w:color w:val="auto"/>
                <w:sz w:val="21"/>
                <w:szCs w:val="21"/>
              </w:rPr>
              <w:t>见</w:t>
            </w:r>
            <w:r>
              <w:rPr>
                <w:rFonts w:hint="eastAsia" w:ascii="Times New Roman" w:hAnsi="Times New Roman" w:eastAsia="宋体" w:cs="Times New Roman"/>
                <w:color w:val="auto"/>
                <w:sz w:val="21"/>
                <w:szCs w:val="21"/>
                <w:lang w:eastAsia="zh-CN"/>
              </w:rPr>
              <w:t>下</w:t>
            </w:r>
            <w:r>
              <w:rPr>
                <w:rFonts w:hint="default" w:ascii="Times New Roman" w:hAnsi="Times New Roman" w:eastAsia="宋体" w:cs="Times New Roman"/>
                <w:color w:val="auto"/>
                <w:sz w:val="21"/>
                <w:szCs w:val="21"/>
              </w:rPr>
              <w:t>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rightChars="0" w:firstLine="0"/>
              <w:jc w:val="center"/>
              <w:textAlignment w:val="auto"/>
              <w:outlineLvl w:val="9"/>
              <w:rPr>
                <w:rFonts w:hint="default" w:ascii="Times New Roman" w:hAnsi="Times New Roman" w:eastAsia="宋体" w:cs="Times New Roman"/>
                <w:b/>
                <w:bCs/>
                <w:sz w:val="21"/>
                <w:szCs w:val="21"/>
                <w:lang w:val="pt-BR"/>
              </w:rPr>
            </w:pPr>
            <w:r>
              <w:rPr>
                <w:rFonts w:hint="default" w:ascii="Times New Roman" w:hAnsi="Times New Roman" w:eastAsia="宋体" w:cs="Times New Roman"/>
                <w:b/>
                <w:bCs/>
                <w:sz w:val="21"/>
                <w:szCs w:val="21"/>
                <w:lang w:val="pt-BR"/>
              </w:rPr>
              <w:t>表</w:t>
            </w:r>
            <w:r>
              <w:rPr>
                <w:rFonts w:hint="eastAsia" w:ascii="Times New Roman" w:hAnsi="Times New Roman" w:eastAsia="宋体" w:cs="Times New Roman"/>
                <w:b/>
                <w:bCs/>
                <w:sz w:val="21"/>
                <w:szCs w:val="21"/>
                <w:lang w:val="en-US" w:eastAsia="zh-CN"/>
              </w:rPr>
              <w:t>13</w:t>
            </w:r>
            <w:r>
              <w:rPr>
                <w:rFonts w:hint="default" w:ascii="Times New Roman" w:hAnsi="Times New Roman" w:eastAsia="宋体" w:cs="Times New Roman"/>
                <w:b/>
                <w:bCs/>
                <w:sz w:val="21"/>
                <w:szCs w:val="21"/>
                <w:lang w:val="pt-BR"/>
              </w:rPr>
              <w:t xml:space="preserve">  </w:t>
            </w:r>
            <w:r>
              <w:rPr>
                <w:rFonts w:hint="default" w:ascii="Times New Roman" w:hAnsi="Times New Roman" w:eastAsia="宋体" w:cs="Times New Roman"/>
                <w:b/>
                <w:bCs/>
                <w:sz w:val="21"/>
                <w:szCs w:val="21"/>
                <w:lang w:val="pt-BR" w:eastAsia="zh-CN"/>
              </w:rPr>
              <w:t>原材料及能源</w:t>
            </w:r>
            <w:r>
              <w:rPr>
                <w:rFonts w:hint="default" w:ascii="Times New Roman" w:hAnsi="Times New Roman" w:eastAsia="宋体" w:cs="Times New Roman"/>
                <w:b/>
                <w:bCs/>
                <w:sz w:val="21"/>
                <w:szCs w:val="21"/>
                <w:lang w:val="pt-BR"/>
              </w:rPr>
              <w:t>一览表</w:t>
            </w:r>
          </w:p>
          <w:tbl>
            <w:tblPr>
              <w:tblStyle w:val="1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2001"/>
              <w:gridCol w:w="1811"/>
              <w:gridCol w:w="32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70" w:type="pct"/>
                  <w:noWrap w:val="0"/>
                  <w:tcMar>
                    <w:top w:w="57" w:type="dxa"/>
                    <w:bottom w:w="85"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textAlignment w:val="baseline"/>
                    <w:rPr>
                      <w:rFonts w:ascii="Times New Roman" w:hAnsi="Times New Roman" w:eastAsia="宋体" w:cs="Times New Roman"/>
                      <w:bCs/>
                      <w:spacing w:val="-4"/>
                      <w:sz w:val="21"/>
                      <w:szCs w:val="21"/>
                    </w:rPr>
                  </w:pPr>
                  <w:r>
                    <w:rPr>
                      <w:rFonts w:ascii="Times New Roman" w:hAnsi="Times New Roman" w:eastAsia="宋体" w:cs="Times New Roman"/>
                      <w:bCs/>
                      <w:spacing w:val="-4"/>
                      <w:sz w:val="21"/>
                      <w:szCs w:val="21"/>
                    </w:rPr>
                    <w:t>序号</w:t>
                  </w:r>
                </w:p>
              </w:tc>
              <w:tc>
                <w:tcPr>
                  <w:tcW w:w="1259" w:type="pct"/>
                  <w:noWrap w:val="0"/>
                  <w:tcMar>
                    <w:top w:w="57" w:type="dxa"/>
                    <w:bottom w:w="85" w:type="dxa"/>
                  </w:tcMar>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Cs/>
                      <w:spacing w:val="-4"/>
                      <w:sz w:val="21"/>
                      <w:szCs w:val="21"/>
                      <w:lang w:eastAsia="zh-CN"/>
                    </w:rPr>
                  </w:pPr>
                  <w:r>
                    <w:rPr>
                      <w:rFonts w:ascii="Times New Roman" w:hAnsi="Times New Roman" w:eastAsia="宋体" w:cs="Times New Roman"/>
                      <w:bCs/>
                      <w:spacing w:val="-4"/>
                      <w:sz w:val="21"/>
                      <w:szCs w:val="21"/>
                    </w:rPr>
                    <w:t>名称</w:t>
                  </w:r>
                </w:p>
              </w:tc>
              <w:tc>
                <w:tcPr>
                  <w:tcW w:w="1140" w:type="pct"/>
                  <w:noWrap w:val="0"/>
                  <w:tcMar>
                    <w:top w:w="57" w:type="dxa"/>
                    <w:bottom w:w="85" w:type="dxa"/>
                  </w:tcMar>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Cs/>
                      <w:spacing w:val="-4"/>
                      <w:sz w:val="21"/>
                      <w:szCs w:val="21"/>
                      <w:lang w:eastAsia="zh-CN"/>
                    </w:rPr>
                  </w:pPr>
                  <w:r>
                    <w:rPr>
                      <w:rFonts w:hint="eastAsia" w:ascii="Times New Roman" w:hAnsi="Times New Roman" w:eastAsia="宋体" w:cs="Times New Roman"/>
                      <w:bCs/>
                      <w:spacing w:val="-4"/>
                      <w:sz w:val="21"/>
                      <w:szCs w:val="21"/>
                      <w:lang w:eastAsia="zh-CN"/>
                    </w:rPr>
                    <w:t>消耗量</w:t>
                  </w:r>
                </w:p>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Cs/>
                      <w:spacing w:val="-4"/>
                      <w:sz w:val="21"/>
                      <w:szCs w:val="21"/>
                      <w:lang w:eastAsia="zh-CN"/>
                    </w:rPr>
                  </w:pPr>
                  <w:r>
                    <w:rPr>
                      <w:rFonts w:hint="eastAsia" w:ascii="Times New Roman" w:hAnsi="Times New Roman" w:eastAsia="宋体" w:cs="Times New Roman"/>
                      <w:bCs/>
                      <w:spacing w:val="-4"/>
                      <w:sz w:val="21"/>
                      <w:szCs w:val="21"/>
                      <w:lang w:eastAsia="zh-CN"/>
                    </w:rPr>
                    <w:t>（</w:t>
                  </w:r>
                  <w:r>
                    <w:rPr>
                      <w:rFonts w:hint="eastAsia" w:ascii="Times New Roman" w:hAnsi="Times New Roman" w:eastAsia="宋体" w:cs="Times New Roman"/>
                      <w:bCs/>
                      <w:spacing w:val="-4"/>
                      <w:sz w:val="21"/>
                      <w:szCs w:val="21"/>
                      <w:lang w:val="en-US" w:eastAsia="zh-CN"/>
                    </w:rPr>
                    <w:t>t/a</w:t>
                  </w:r>
                  <w:r>
                    <w:rPr>
                      <w:rFonts w:hint="eastAsia" w:ascii="Times New Roman" w:hAnsi="Times New Roman" w:eastAsia="宋体" w:cs="Times New Roman"/>
                      <w:bCs/>
                      <w:spacing w:val="-4"/>
                      <w:sz w:val="21"/>
                      <w:szCs w:val="21"/>
                      <w:lang w:eastAsia="zh-CN"/>
                    </w:rPr>
                    <w:t>）</w:t>
                  </w:r>
                </w:p>
              </w:tc>
              <w:tc>
                <w:tcPr>
                  <w:tcW w:w="2029" w:type="pct"/>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Cs/>
                      <w:spacing w:val="-4"/>
                      <w:sz w:val="21"/>
                      <w:szCs w:val="21"/>
                      <w:lang w:val="en-US" w:eastAsia="zh-CN"/>
                    </w:rPr>
                  </w:pPr>
                  <w:r>
                    <w:rPr>
                      <w:rFonts w:hint="eastAsia" w:ascii="Times New Roman" w:hAnsi="Times New Roman" w:eastAsia="宋体" w:cs="Times New Roman"/>
                      <w:bCs/>
                      <w:spacing w:val="-4"/>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70" w:type="pct"/>
                  <w:noWrap w:val="0"/>
                  <w:tcMar>
                    <w:top w:w="57" w:type="dxa"/>
                    <w:bottom w:w="85" w:type="dxa"/>
                  </w:tcMar>
                  <w:vAlign w:val="center"/>
                </w:tcPr>
                <w:p>
                  <w:pPr>
                    <w:keepNext w:val="0"/>
                    <w:keepLines w:val="0"/>
                    <w:suppressLineNumbers w:val="0"/>
                    <w:snapToGrid w:val="0"/>
                    <w:spacing w:before="0" w:beforeAutospacing="0" w:after="0" w:afterAutospacing="0"/>
                    <w:ind w:left="0" w:right="0"/>
                    <w:jc w:val="center"/>
                    <w:rPr>
                      <w:rFonts w:ascii="Times New Roman" w:hAnsi="Times New Roman" w:eastAsia="宋体" w:cs="Times New Roman"/>
                      <w:bCs/>
                      <w:spacing w:val="-4"/>
                      <w:sz w:val="21"/>
                      <w:szCs w:val="21"/>
                    </w:rPr>
                  </w:pPr>
                  <w:r>
                    <w:rPr>
                      <w:rFonts w:ascii="Times New Roman" w:hAnsi="Times New Roman" w:eastAsia="宋体" w:cs="Times New Roman"/>
                      <w:bCs/>
                      <w:spacing w:val="-4"/>
                      <w:sz w:val="21"/>
                      <w:szCs w:val="21"/>
                    </w:rPr>
                    <w:t>1</w:t>
                  </w:r>
                </w:p>
              </w:tc>
              <w:tc>
                <w:tcPr>
                  <w:tcW w:w="1259" w:type="pct"/>
                  <w:noWrap w:val="0"/>
                  <w:tcMar>
                    <w:top w:w="57" w:type="dxa"/>
                    <w:bottom w:w="85" w:type="dxa"/>
                  </w:tcMar>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Cs/>
                      <w:spacing w:val="-4"/>
                      <w:sz w:val="21"/>
                      <w:szCs w:val="21"/>
                      <w:lang w:eastAsia="zh-CN"/>
                    </w:rPr>
                  </w:pPr>
                  <w:r>
                    <w:rPr>
                      <w:rFonts w:hint="eastAsia" w:ascii="Times New Roman" w:hAnsi="Times New Roman" w:eastAsia="宋体" w:cs="Times New Roman"/>
                      <w:bCs/>
                      <w:spacing w:val="-4"/>
                      <w:sz w:val="21"/>
                      <w:szCs w:val="21"/>
                      <w:lang w:eastAsia="zh-CN"/>
                    </w:rPr>
                    <w:t>正极片</w:t>
                  </w:r>
                </w:p>
              </w:tc>
              <w:tc>
                <w:tcPr>
                  <w:tcW w:w="1140" w:type="pct"/>
                  <w:noWrap w:val="0"/>
                  <w:tcMar>
                    <w:top w:w="57" w:type="dxa"/>
                    <w:bottom w:w="85" w:type="dxa"/>
                  </w:tcMar>
                  <w:vAlign w:val="center"/>
                </w:tcPr>
                <w:p>
                  <w:pPr>
                    <w:keepNext w:val="0"/>
                    <w:keepLines w:val="0"/>
                    <w:suppressLineNumbers w:val="0"/>
                    <w:snapToGrid/>
                    <w:spacing w:before="0" w:beforeAutospacing="0" w:after="0" w:afterAutospacing="0" w:line="360" w:lineRule="exact"/>
                    <w:ind w:left="0" w:right="0"/>
                    <w:jc w:val="center"/>
                    <w:textAlignment w:val="baseline"/>
                    <w:rPr>
                      <w:rFonts w:hint="default" w:ascii="Times New Roman" w:hAnsi="Times New Roman" w:eastAsia="宋体" w:cs="Times New Roman"/>
                      <w:bCs/>
                      <w:spacing w:val="-4"/>
                      <w:sz w:val="21"/>
                      <w:szCs w:val="21"/>
                      <w:lang w:val="en-US" w:eastAsia="zh-CN"/>
                    </w:rPr>
                  </w:pPr>
                  <w:r>
                    <w:rPr>
                      <w:rFonts w:hint="eastAsia" w:ascii="Times New Roman" w:hAnsi="Times New Roman" w:eastAsia="宋体" w:cs="Times New Roman"/>
                      <w:bCs/>
                      <w:spacing w:val="-4"/>
                      <w:sz w:val="21"/>
                      <w:szCs w:val="21"/>
                      <w:lang w:val="en-US" w:eastAsia="zh-CN"/>
                    </w:rPr>
                    <w:t>5000t</w:t>
                  </w:r>
                </w:p>
              </w:tc>
              <w:tc>
                <w:tcPr>
                  <w:tcW w:w="2029"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pacing w:val="-4"/>
                      <w:sz w:val="21"/>
                      <w:szCs w:val="21"/>
                      <w:lang w:val="en-US" w:eastAsia="zh-CN"/>
                    </w:rPr>
                  </w:pPr>
                  <w:r>
                    <w:rPr>
                      <w:rFonts w:hint="eastAsia" w:ascii="Times New Roman" w:hAnsi="Times New Roman" w:eastAsia="宋体" w:cs="Times New Roman"/>
                      <w:color w:val="000000"/>
                      <w:szCs w:val="21"/>
                    </w:rPr>
                    <w:t>主要成分为磷酸铁锂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Cs/>
                      <w:spacing w:val="-4"/>
                      <w:sz w:val="21"/>
                      <w:szCs w:val="21"/>
                      <w:lang w:eastAsia="zh-CN"/>
                    </w:rPr>
                  </w:pPr>
                  <w:r>
                    <w:rPr>
                      <w:rFonts w:hint="eastAsia" w:ascii="Times New Roman" w:hAnsi="Times New Roman" w:eastAsia="宋体" w:cs="Times New Roman"/>
                      <w:bCs/>
                      <w:spacing w:val="-4"/>
                      <w:sz w:val="21"/>
                      <w:szCs w:val="21"/>
                      <w:lang w:val="en-US" w:eastAsia="zh-CN"/>
                    </w:rPr>
                    <w:t>2</w:t>
                  </w:r>
                </w:p>
              </w:tc>
              <w:tc>
                <w:tcPr>
                  <w:tcW w:w="1259" w:type="pct"/>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Cs/>
                      <w:spacing w:val="-4"/>
                      <w:sz w:val="21"/>
                      <w:szCs w:val="21"/>
                      <w:lang w:eastAsia="zh-CN"/>
                    </w:rPr>
                  </w:pPr>
                  <w:r>
                    <w:rPr>
                      <w:rFonts w:hint="eastAsia" w:ascii="Times New Roman" w:hAnsi="Times New Roman" w:eastAsia="宋体" w:cs="Times New Roman"/>
                      <w:bCs/>
                      <w:spacing w:val="-4"/>
                      <w:sz w:val="21"/>
                      <w:szCs w:val="21"/>
                      <w:lang w:eastAsia="zh-CN"/>
                    </w:rPr>
                    <w:t>负极片</w:t>
                  </w:r>
                </w:p>
              </w:tc>
              <w:tc>
                <w:tcPr>
                  <w:tcW w:w="1140" w:type="pct"/>
                  <w:noWrap w:val="0"/>
                  <w:vAlign w:val="center"/>
                </w:tcPr>
                <w:p>
                  <w:pPr>
                    <w:keepNext w:val="0"/>
                    <w:keepLines w:val="0"/>
                    <w:suppressLineNumbers w:val="0"/>
                    <w:snapToGrid/>
                    <w:spacing w:before="0" w:beforeAutospacing="0" w:after="0" w:afterAutospacing="0" w:line="360" w:lineRule="exact"/>
                    <w:ind w:left="0" w:right="0"/>
                    <w:jc w:val="center"/>
                    <w:textAlignment w:val="baseline"/>
                    <w:rPr>
                      <w:rFonts w:hint="default" w:ascii="Times New Roman" w:hAnsi="Times New Roman" w:eastAsia="宋体" w:cs="Times New Roman"/>
                      <w:bCs/>
                      <w:spacing w:val="-4"/>
                      <w:sz w:val="21"/>
                      <w:szCs w:val="21"/>
                      <w:lang w:val="en-US" w:eastAsia="zh-CN"/>
                    </w:rPr>
                  </w:pPr>
                  <w:r>
                    <w:rPr>
                      <w:rFonts w:hint="eastAsia" w:ascii="Times New Roman" w:hAnsi="Times New Roman" w:eastAsia="宋体" w:cs="Times New Roman"/>
                      <w:bCs/>
                      <w:spacing w:val="-4"/>
                      <w:sz w:val="21"/>
                      <w:szCs w:val="21"/>
                      <w:lang w:val="en-US" w:eastAsia="zh-CN"/>
                    </w:rPr>
                    <w:t>5000t</w:t>
                  </w:r>
                </w:p>
              </w:tc>
              <w:tc>
                <w:tcPr>
                  <w:tcW w:w="2029" w:type="pct"/>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Cs/>
                      <w:spacing w:val="-4"/>
                      <w:sz w:val="21"/>
                      <w:szCs w:val="21"/>
                      <w:lang w:val="en-US" w:eastAsia="zh-CN"/>
                    </w:rPr>
                  </w:pPr>
                  <w:r>
                    <w:rPr>
                      <w:rFonts w:hint="eastAsia" w:ascii="Times New Roman" w:hAnsi="Times New Roman" w:eastAsia="宋体" w:cs="Times New Roman"/>
                      <w:color w:val="000000"/>
                      <w:szCs w:val="21"/>
                    </w:rPr>
                    <w:t>主要为石墨</w:t>
                  </w:r>
                  <w:r>
                    <w:rPr>
                      <w:rFonts w:hint="eastAsia" w:ascii="Times New Roman" w:hAnsi="Times New Roman" w:eastAsia="宋体" w:cs="Times New Roman"/>
                      <w:color w:val="000000"/>
                      <w:szCs w:val="21"/>
                      <w:lang w:eastAsia="zh-CN"/>
                    </w:rPr>
                    <w:t>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0"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pacing w:val="-4"/>
                      <w:sz w:val="21"/>
                      <w:szCs w:val="21"/>
                      <w:lang w:val="en-US" w:eastAsia="zh-CN"/>
                    </w:rPr>
                  </w:pPr>
                  <w:r>
                    <w:rPr>
                      <w:rFonts w:hint="eastAsia" w:ascii="Times New Roman" w:hAnsi="Times New Roman" w:eastAsia="宋体" w:cs="Times New Roman"/>
                      <w:bCs/>
                      <w:spacing w:val="-4"/>
                      <w:sz w:val="21"/>
                      <w:szCs w:val="21"/>
                      <w:lang w:val="en-US" w:eastAsia="zh-CN"/>
                    </w:rPr>
                    <w:t>3</w:t>
                  </w:r>
                </w:p>
              </w:tc>
              <w:tc>
                <w:tcPr>
                  <w:tcW w:w="1259" w:type="pct"/>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Cs/>
                      <w:spacing w:val="-4"/>
                      <w:sz w:val="21"/>
                      <w:szCs w:val="21"/>
                      <w:lang w:eastAsia="zh-CN"/>
                    </w:rPr>
                  </w:pPr>
                  <w:r>
                    <w:rPr>
                      <w:rFonts w:hint="eastAsia" w:ascii="Times New Roman" w:hAnsi="Times New Roman" w:eastAsia="宋体" w:cs="Times New Roman"/>
                      <w:bCs/>
                      <w:spacing w:val="-4"/>
                      <w:sz w:val="21"/>
                      <w:szCs w:val="21"/>
                      <w:lang w:eastAsia="zh-CN"/>
                    </w:rPr>
                    <w:t>润滑油</w:t>
                  </w:r>
                </w:p>
              </w:tc>
              <w:tc>
                <w:tcPr>
                  <w:tcW w:w="1140" w:type="pct"/>
                  <w:noWrap w:val="0"/>
                  <w:vAlign w:val="center"/>
                </w:tcPr>
                <w:p>
                  <w:pPr>
                    <w:keepNext w:val="0"/>
                    <w:keepLines w:val="0"/>
                    <w:suppressLineNumbers w:val="0"/>
                    <w:snapToGrid/>
                    <w:spacing w:before="0" w:beforeAutospacing="0" w:after="0" w:afterAutospacing="0" w:line="360" w:lineRule="exact"/>
                    <w:ind w:left="0" w:right="0"/>
                    <w:jc w:val="center"/>
                    <w:textAlignment w:val="baseline"/>
                    <w:rPr>
                      <w:rFonts w:hint="default" w:ascii="Times New Roman" w:hAnsi="Times New Roman" w:eastAsia="宋体" w:cs="Times New Roman"/>
                      <w:bCs/>
                      <w:spacing w:val="-4"/>
                      <w:sz w:val="21"/>
                      <w:szCs w:val="21"/>
                      <w:lang w:val="en-US" w:eastAsia="zh-CN"/>
                    </w:rPr>
                  </w:pPr>
                  <w:r>
                    <w:rPr>
                      <w:rFonts w:hint="eastAsia" w:ascii="Times New Roman" w:hAnsi="Times New Roman" w:eastAsia="宋体" w:cs="Times New Roman"/>
                      <w:bCs/>
                      <w:spacing w:val="-4"/>
                      <w:sz w:val="21"/>
                      <w:szCs w:val="21"/>
                      <w:lang w:val="en-US" w:eastAsia="zh-CN"/>
                    </w:rPr>
                    <w:t>0.01t</w:t>
                  </w:r>
                </w:p>
              </w:tc>
              <w:tc>
                <w:tcPr>
                  <w:tcW w:w="2029" w:type="pc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Cs/>
                      <w:spacing w:val="-4"/>
                      <w:sz w:val="21"/>
                      <w:szCs w:val="21"/>
                      <w:lang w:val="en-US" w:eastAsia="zh-CN"/>
                    </w:rPr>
                  </w:pPr>
                  <w:r>
                    <w:rPr>
                      <w:rFonts w:hint="eastAsia" w:ascii="Times New Roman" w:hAnsi="Times New Roman" w:eastAsia="宋体" w:cs="Times New Roman"/>
                      <w:bCs/>
                      <w:spacing w:val="-4"/>
                      <w:sz w:val="21"/>
                      <w:szCs w:val="21"/>
                      <w:lang w:val="en-US" w:eastAsia="zh-CN"/>
                    </w:rPr>
                    <w:t>设备维护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570"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textAlignment w:val="baseline"/>
                    <w:rPr>
                      <w:rFonts w:ascii="Times New Roman" w:hAnsi="Times New Roman" w:eastAsia="宋体" w:cs="Times New Roman"/>
                      <w:spacing w:val="-4"/>
                      <w:sz w:val="21"/>
                      <w:szCs w:val="21"/>
                    </w:rPr>
                  </w:pPr>
                  <w:r>
                    <w:rPr>
                      <w:rFonts w:hint="eastAsia" w:ascii="Times New Roman" w:hAnsi="Times New Roman" w:eastAsia="宋体" w:cs="Times New Roman"/>
                      <w:spacing w:val="-4"/>
                      <w:sz w:val="21"/>
                      <w:szCs w:val="21"/>
                    </w:rPr>
                    <w:t>1</w:t>
                  </w:r>
                </w:p>
              </w:tc>
              <w:tc>
                <w:tcPr>
                  <w:tcW w:w="1259"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spacing w:val="-4"/>
                      <w:sz w:val="21"/>
                      <w:szCs w:val="21"/>
                    </w:rPr>
                  </w:pPr>
                  <w:r>
                    <w:rPr>
                      <w:rFonts w:ascii="Times New Roman" w:hAnsi="Times New Roman" w:eastAsia="宋体" w:cs="Times New Roman"/>
                      <w:spacing w:val="-4"/>
                      <w:sz w:val="21"/>
                      <w:szCs w:val="21"/>
                    </w:rPr>
                    <w:t>电</w:t>
                  </w:r>
                </w:p>
              </w:tc>
              <w:tc>
                <w:tcPr>
                  <w:tcW w:w="114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10万KW h/a</w:t>
                  </w:r>
                </w:p>
              </w:tc>
              <w:tc>
                <w:tcPr>
                  <w:tcW w:w="3223" w:type="dxa"/>
                  <w:noWrap w:val="0"/>
                  <w:vAlign w:val="top"/>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pacing w:val="-4"/>
                      <w:sz w:val="21"/>
                      <w:szCs w:val="21"/>
                      <w:lang w:val="en-US" w:eastAsia="zh-CN"/>
                    </w:rPr>
                  </w:pPr>
                  <w:r>
                    <w:rPr>
                      <w:rFonts w:hint="eastAsia" w:ascii="Times New Roman" w:hAnsi="Times New Roman" w:eastAsia="宋体" w:cs="Times New Roman"/>
                      <w:color w:val="000000"/>
                      <w:szCs w:val="21"/>
                    </w:rPr>
                    <w:t>供电管网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70"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textAlignment w:val="baseline"/>
                    <w:rPr>
                      <w:rFonts w:ascii="Times New Roman" w:hAnsi="Times New Roman" w:eastAsia="宋体" w:cs="Times New Roman"/>
                      <w:spacing w:val="-4"/>
                      <w:sz w:val="21"/>
                      <w:szCs w:val="21"/>
                    </w:rPr>
                  </w:pPr>
                  <w:r>
                    <w:rPr>
                      <w:rFonts w:hint="eastAsia" w:ascii="Times New Roman" w:hAnsi="Times New Roman" w:eastAsia="宋体" w:cs="Times New Roman"/>
                      <w:spacing w:val="-4"/>
                      <w:sz w:val="21"/>
                      <w:szCs w:val="21"/>
                    </w:rPr>
                    <w:t>2</w:t>
                  </w:r>
                </w:p>
              </w:tc>
              <w:tc>
                <w:tcPr>
                  <w:tcW w:w="1259"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spacing w:val="-4"/>
                      <w:sz w:val="21"/>
                      <w:szCs w:val="21"/>
                    </w:rPr>
                  </w:pPr>
                  <w:r>
                    <w:rPr>
                      <w:rFonts w:ascii="Times New Roman" w:hAnsi="Times New Roman" w:eastAsia="宋体" w:cs="Times New Roman"/>
                      <w:spacing w:val="-4"/>
                      <w:sz w:val="21"/>
                      <w:szCs w:val="21"/>
                    </w:rPr>
                    <w:t>水</w:t>
                  </w:r>
                </w:p>
              </w:tc>
              <w:tc>
                <w:tcPr>
                  <w:tcW w:w="114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72m</w:t>
                  </w:r>
                  <w:r>
                    <w:rPr>
                      <w:rFonts w:hint="eastAsia" w:ascii="Times New Roman" w:hAnsi="Times New Roman" w:eastAsia="宋体" w:cs="Times New Roman"/>
                      <w:spacing w:val="-4"/>
                      <w:sz w:val="21"/>
                      <w:szCs w:val="21"/>
                      <w:vertAlign w:val="superscript"/>
                      <w:lang w:val="en-US" w:eastAsia="zh-CN"/>
                    </w:rPr>
                    <w:t>3</w:t>
                  </w:r>
                  <w:r>
                    <w:rPr>
                      <w:rFonts w:hint="eastAsia" w:ascii="Times New Roman" w:hAnsi="Times New Roman" w:eastAsia="宋体" w:cs="Times New Roman"/>
                      <w:spacing w:val="-4"/>
                      <w:sz w:val="21"/>
                      <w:szCs w:val="21"/>
                      <w:lang w:val="en-US" w:eastAsia="zh-CN"/>
                    </w:rPr>
                    <w:t>/a</w:t>
                  </w:r>
                </w:p>
              </w:tc>
              <w:tc>
                <w:tcPr>
                  <w:tcW w:w="3223" w:type="dxa"/>
                  <w:noWrap w:val="0"/>
                  <w:vAlign w:val="top"/>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pacing w:val="-4"/>
                      <w:sz w:val="21"/>
                      <w:szCs w:val="21"/>
                      <w:lang w:val="en-US" w:eastAsia="zh-CN"/>
                    </w:rPr>
                  </w:pPr>
                  <w:r>
                    <w:rPr>
                      <w:rFonts w:hint="eastAsia" w:ascii="Times New Roman" w:hAnsi="Times New Roman" w:eastAsia="宋体" w:cs="Times New Roman"/>
                      <w:color w:val="000000"/>
                      <w:szCs w:val="21"/>
                    </w:rPr>
                    <w:t>水井</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bCs/>
                <w:color w:val="000000"/>
                <w:sz w:val="21"/>
                <w:szCs w:val="21"/>
                <w:lang w:val="pt-BR" w:eastAsia="zh-CN"/>
              </w:rPr>
            </w:pPr>
            <w:r>
              <w:rPr>
                <w:rFonts w:hint="eastAsia" w:ascii="Times New Roman" w:hAnsi="Times New Roman" w:eastAsia="宋体" w:cs="Times New Roman"/>
                <w:bCs/>
                <w:color w:val="000000"/>
                <w:sz w:val="21"/>
                <w:szCs w:val="21"/>
              </w:rPr>
              <w:t>根据调查锂电池行业生产原料比例，本项目三种电池原料的主要组分大致比例见表</w:t>
            </w:r>
            <w:r>
              <w:rPr>
                <w:rFonts w:hint="eastAsia" w:ascii="Times New Roman" w:hAnsi="Times New Roman" w:eastAsia="宋体" w:cs="Times New Roman"/>
                <w:bCs/>
                <w:color w:val="000000"/>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rightChars="0"/>
              <w:jc w:val="center"/>
              <w:textAlignment w:val="baseline"/>
              <w:outlineLvl w:val="9"/>
              <w:rPr>
                <w:rFonts w:hint="eastAsia" w:ascii="Times New Roman" w:hAnsi="Times New Roman" w:eastAsia="宋体" w:cs="Times New Roman"/>
                <w:b/>
                <w:bCs/>
                <w:sz w:val="21"/>
                <w:szCs w:val="21"/>
                <w:lang w:val="pt-BR" w:eastAsia="zh-CN"/>
              </w:rPr>
            </w:pPr>
            <w:r>
              <w:rPr>
                <w:rFonts w:hint="eastAsia" w:ascii="Times New Roman" w:hAnsi="Times New Roman" w:eastAsia="宋体" w:cs="Times New Roman"/>
                <w:b/>
                <w:bCs/>
                <w:sz w:val="21"/>
                <w:szCs w:val="21"/>
                <w:lang w:val="pt-BR" w:eastAsia="zh-CN"/>
              </w:rPr>
              <w:t>表</w:t>
            </w:r>
            <w:r>
              <w:rPr>
                <w:rFonts w:hint="eastAsia" w:ascii="Times New Roman" w:hAnsi="Times New Roman" w:eastAsia="宋体" w:cs="Times New Roman"/>
                <w:b/>
                <w:bCs/>
                <w:sz w:val="21"/>
                <w:szCs w:val="21"/>
                <w:lang w:val="en-US" w:eastAsia="zh-CN"/>
              </w:rPr>
              <w:t xml:space="preserve">14  </w:t>
            </w:r>
            <w:r>
              <w:rPr>
                <w:rFonts w:hint="eastAsia" w:ascii="Times New Roman" w:hAnsi="Times New Roman" w:eastAsia="宋体" w:cs="Times New Roman"/>
                <w:b/>
                <w:bCs/>
                <w:sz w:val="21"/>
                <w:szCs w:val="21"/>
                <w:lang w:val="pt-BR" w:eastAsia="zh-CN"/>
              </w:rPr>
              <w:t>本项目废旧锂离子电池正负极片主要组分一览表</w:t>
            </w:r>
          </w:p>
          <w:tbl>
            <w:tblPr>
              <w:tblStyle w:val="1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945"/>
              <w:gridCol w:w="879"/>
              <w:gridCol w:w="1257"/>
              <w:gridCol w:w="1635"/>
              <w:gridCol w:w="877"/>
              <w:gridCol w:w="16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项目</w:t>
                  </w:r>
                </w:p>
              </w:tc>
              <w:tc>
                <w:tcPr>
                  <w:tcW w:w="3971" w:type="pct"/>
                  <w:gridSpan w:val="5"/>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成分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锂电池</w:t>
                  </w:r>
                  <w:r>
                    <w:rPr>
                      <w:rFonts w:ascii="Times New Roman" w:hAnsi="Times New Roman" w:eastAsia="宋体" w:cs="Times New Roman"/>
                      <w:color w:val="000000"/>
                      <w:sz w:val="21"/>
                      <w:szCs w:val="21"/>
                    </w:rPr>
                    <w:t>正极片</w:t>
                  </w:r>
                </w:p>
              </w:tc>
              <w:tc>
                <w:tcPr>
                  <w:tcW w:w="594"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磷酸铁锂型</w:t>
                  </w:r>
                </w:p>
              </w:tc>
              <w:tc>
                <w:tcPr>
                  <w:tcW w:w="553" w:type="pc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铝</w:t>
                  </w:r>
                  <w:r>
                    <w:rPr>
                      <w:rFonts w:hint="eastAsia" w:ascii="Times New Roman" w:hAnsi="Times New Roman" w:eastAsia="宋体" w:cs="Times New Roman"/>
                      <w:color w:val="000000"/>
                      <w:sz w:val="21"/>
                      <w:szCs w:val="21"/>
                    </w:rPr>
                    <w:t>箔</w:t>
                  </w:r>
                </w:p>
              </w:tc>
              <w:tc>
                <w:tcPr>
                  <w:tcW w:w="791" w:type="pc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eastAsia="zh-CN"/>
                    </w:rPr>
                    <w:t>磷酸铁锂</w:t>
                  </w:r>
                </w:p>
              </w:tc>
              <w:tc>
                <w:tcPr>
                  <w:tcW w:w="1029" w:type="pc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粘结剂（PVDF）</w:t>
                  </w:r>
                </w:p>
              </w:tc>
              <w:tc>
                <w:tcPr>
                  <w:tcW w:w="552" w:type="pc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导电剂</w:t>
                  </w:r>
                </w:p>
              </w:tc>
              <w:tc>
                <w:tcPr>
                  <w:tcW w:w="1043" w:type="pc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其他</w:t>
                  </w:r>
                  <w:r>
                    <w:rPr>
                      <w:rFonts w:hint="eastAsia" w:ascii="Times New Roman" w:hAnsi="Times New Roman" w:eastAsia="宋体" w:cs="Times New Roman"/>
                      <w:color w:val="000000"/>
                      <w:sz w:val="21"/>
                      <w:szCs w:val="21"/>
                    </w:rPr>
                    <w:t>（隔膜纸等）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p>
              </w:tc>
              <w:tc>
                <w:tcPr>
                  <w:tcW w:w="594"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p>
              </w:tc>
              <w:tc>
                <w:tcPr>
                  <w:tcW w:w="553" w:type="pc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15%</w:t>
                  </w:r>
                </w:p>
              </w:tc>
              <w:tc>
                <w:tcPr>
                  <w:tcW w:w="791" w:type="pc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75%</w:t>
                  </w:r>
                </w:p>
              </w:tc>
              <w:tc>
                <w:tcPr>
                  <w:tcW w:w="1029" w:type="pc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5</w:t>
                  </w:r>
                  <w:r>
                    <w:rPr>
                      <w:rFonts w:hint="eastAsia" w:ascii="Times New Roman" w:hAnsi="Times New Roman" w:eastAsia="宋体" w:cs="Times New Roman"/>
                      <w:color w:val="000000"/>
                      <w:sz w:val="21"/>
                      <w:szCs w:val="21"/>
                    </w:rPr>
                    <w:t>%</w:t>
                  </w:r>
                </w:p>
              </w:tc>
              <w:tc>
                <w:tcPr>
                  <w:tcW w:w="552" w:type="pc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4</w:t>
                  </w:r>
                  <w:r>
                    <w:rPr>
                      <w:rFonts w:hint="eastAsia" w:ascii="Times New Roman" w:hAnsi="Times New Roman" w:eastAsia="宋体" w:cs="Times New Roman"/>
                      <w:color w:val="000000"/>
                      <w:sz w:val="21"/>
                      <w:szCs w:val="21"/>
                    </w:rPr>
                    <w:t>%</w:t>
                  </w:r>
                </w:p>
              </w:tc>
              <w:tc>
                <w:tcPr>
                  <w:tcW w:w="1043" w:type="pc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pct"/>
                  <w:gridSpan w:val="2"/>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锂电池负极片</w:t>
                  </w:r>
                </w:p>
              </w:tc>
              <w:tc>
                <w:tcPr>
                  <w:tcW w:w="553" w:type="pc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铜箔</w:t>
                  </w:r>
                </w:p>
              </w:tc>
              <w:tc>
                <w:tcPr>
                  <w:tcW w:w="791" w:type="pc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石墨粉</w:t>
                  </w:r>
                </w:p>
              </w:tc>
              <w:tc>
                <w:tcPr>
                  <w:tcW w:w="1029" w:type="pc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粘结剂（PVDF）</w:t>
                  </w:r>
                </w:p>
              </w:tc>
              <w:tc>
                <w:tcPr>
                  <w:tcW w:w="552" w:type="pc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导电剂</w:t>
                  </w:r>
                </w:p>
              </w:tc>
              <w:tc>
                <w:tcPr>
                  <w:tcW w:w="1043" w:type="pc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其他</w:t>
                  </w:r>
                  <w:r>
                    <w:rPr>
                      <w:rFonts w:hint="eastAsia" w:ascii="Times New Roman" w:hAnsi="Times New Roman" w:eastAsia="宋体" w:cs="Times New Roman"/>
                      <w:color w:val="000000"/>
                      <w:sz w:val="21"/>
                      <w:szCs w:val="21"/>
                    </w:rPr>
                    <w:t>（隔膜纸等）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pct"/>
                  <w:gridSpan w:val="2"/>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p>
              </w:tc>
              <w:tc>
                <w:tcPr>
                  <w:tcW w:w="553" w:type="pc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35%</w:t>
                  </w:r>
                </w:p>
              </w:tc>
              <w:tc>
                <w:tcPr>
                  <w:tcW w:w="791" w:type="pc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55%</w:t>
                  </w:r>
                </w:p>
              </w:tc>
              <w:tc>
                <w:tcPr>
                  <w:tcW w:w="1029" w:type="pc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5%</w:t>
                  </w:r>
                </w:p>
              </w:tc>
              <w:tc>
                <w:tcPr>
                  <w:tcW w:w="552" w:type="pc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4%</w:t>
                  </w:r>
                </w:p>
              </w:tc>
              <w:tc>
                <w:tcPr>
                  <w:tcW w:w="1043" w:type="pc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w:t>
                  </w:r>
                </w:p>
              </w:tc>
            </w:tr>
          </w:tbl>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82"/>
              <w:textAlignment w:val="auto"/>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
                <w:bCs w:val="0"/>
                <w:color w:val="000000"/>
                <w:kern w:val="2"/>
                <w:sz w:val="21"/>
                <w:szCs w:val="21"/>
                <w:lang w:val="en-US" w:eastAsia="zh-CN" w:bidi="ar-SA"/>
              </w:rPr>
              <w:t>磷酸铁锂：</w:t>
            </w:r>
            <w:r>
              <w:rPr>
                <w:rFonts w:hint="eastAsia" w:ascii="Times New Roman" w:hAnsi="Times New Roman" w:eastAsia="宋体" w:cs="Times New Roman"/>
                <w:bCs/>
                <w:color w:val="000000"/>
                <w:kern w:val="2"/>
                <w:sz w:val="21"/>
                <w:szCs w:val="21"/>
                <w:lang w:val="en-US" w:eastAsia="zh-CN" w:bidi="ar-SA"/>
              </w:rPr>
              <w:t>分子式：LiFePO</w:t>
            </w:r>
            <w:r>
              <w:rPr>
                <w:rFonts w:hint="eastAsia" w:ascii="Times New Roman" w:hAnsi="Times New Roman" w:eastAsia="宋体" w:cs="Times New Roman"/>
                <w:bCs/>
                <w:color w:val="000000"/>
                <w:kern w:val="2"/>
                <w:sz w:val="21"/>
                <w:szCs w:val="21"/>
                <w:vertAlign w:val="subscript"/>
                <w:lang w:val="en-US" w:eastAsia="zh-CN" w:bidi="ar-SA"/>
              </w:rPr>
              <w:t>4</w:t>
            </w:r>
            <w:r>
              <w:rPr>
                <w:rFonts w:hint="eastAsia" w:ascii="Times New Roman" w:hAnsi="Times New Roman" w:eastAsia="宋体" w:cs="Times New Roman"/>
                <w:bCs/>
                <w:color w:val="000000"/>
                <w:kern w:val="2"/>
                <w:sz w:val="21"/>
                <w:szCs w:val="21"/>
                <w:lang w:val="en-US" w:eastAsia="zh-CN" w:bidi="ar-SA"/>
              </w:rPr>
              <w:t>，分子量：157.76：CAS：15365-14-7，是锂离子电池的一种正极材料，溶于盐酸，水溶液呈弱碱性。空气条件下300度以上会被氧化，保护气氛下要1000度左右分解。LiFePO</w:t>
            </w:r>
            <w:r>
              <w:rPr>
                <w:rFonts w:hint="eastAsia" w:ascii="Times New Roman" w:hAnsi="Times New Roman" w:eastAsia="宋体" w:cs="Times New Roman"/>
                <w:bCs/>
                <w:color w:val="000000"/>
                <w:kern w:val="2"/>
                <w:sz w:val="21"/>
                <w:szCs w:val="21"/>
                <w:vertAlign w:val="subscript"/>
                <w:lang w:val="en-US" w:eastAsia="zh-CN" w:bidi="ar-SA"/>
              </w:rPr>
              <w:t>4</w:t>
            </w:r>
            <w:r>
              <w:rPr>
                <w:rFonts w:hint="eastAsia" w:ascii="Times New Roman" w:hAnsi="Times New Roman" w:eastAsia="宋体" w:cs="Times New Roman"/>
                <w:bCs/>
                <w:color w:val="000000"/>
                <w:kern w:val="2"/>
                <w:sz w:val="21"/>
                <w:szCs w:val="21"/>
                <w:lang w:val="en-US" w:eastAsia="zh-CN" w:bidi="ar-SA"/>
              </w:rPr>
              <w:t>，其中锂为正一价，中心金属铁为正二价，磷酸根为负三价，中心金属铁与周围的六个氧形成以铁为中心共角的八面体，而磷酸根中的磷与四个氧原子形成以磷为中心共边的四面体，借由铁的八面体和磷的四面体所构成的空间骨架，共同交替形成Z字型的链状结构，而锂离子则占据共边的空间骨架中所构成的八面体位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磷酸铁锂为灰黑色粉末，粒径1-25μm。磷酸铁锂电极材料主要用于各种锂离子电池。与传统的锂离子二次电池正极材料，尖晶石结构的LiMn</w:t>
            </w:r>
            <w:r>
              <w:rPr>
                <w:rFonts w:hint="eastAsia" w:ascii="Times New Roman" w:hAnsi="Times New Roman" w:eastAsia="宋体" w:cs="Times New Roman"/>
                <w:bCs/>
                <w:color w:val="000000"/>
                <w:kern w:val="2"/>
                <w:sz w:val="21"/>
                <w:szCs w:val="21"/>
                <w:vertAlign w:val="subscript"/>
                <w:lang w:val="en-US" w:eastAsia="zh-CN" w:bidi="ar-SA"/>
              </w:rPr>
              <w:t>2</w:t>
            </w:r>
            <w:r>
              <w:rPr>
                <w:rFonts w:hint="eastAsia" w:ascii="Times New Roman" w:hAnsi="Times New Roman" w:eastAsia="宋体" w:cs="Times New Roman"/>
                <w:bCs/>
                <w:color w:val="000000"/>
                <w:kern w:val="2"/>
                <w:sz w:val="21"/>
                <w:szCs w:val="21"/>
                <w:lang w:val="en-US" w:eastAsia="zh-CN" w:bidi="ar-SA"/>
              </w:rPr>
              <w:t>O</w:t>
            </w:r>
            <w:r>
              <w:rPr>
                <w:rFonts w:hint="eastAsia" w:ascii="Times New Roman" w:hAnsi="Times New Roman" w:eastAsia="宋体" w:cs="Times New Roman"/>
                <w:bCs/>
                <w:color w:val="000000"/>
                <w:kern w:val="2"/>
                <w:sz w:val="21"/>
                <w:szCs w:val="21"/>
                <w:vertAlign w:val="subscript"/>
                <w:lang w:val="en-US" w:eastAsia="zh-CN" w:bidi="ar-SA"/>
              </w:rPr>
              <w:t>4</w:t>
            </w:r>
            <w:r>
              <w:rPr>
                <w:rFonts w:hint="eastAsia" w:ascii="Times New Roman" w:hAnsi="Times New Roman" w:eastAsia="宋体" w:cs="Times New Roman"/>
                <w:bCs/>
                <w:color w:val="000000"/>
                <w:kern w:val="2"/>
                <w:sz w:val="21"/>
                <w:szCs w:val="21"/>
                <w:lang w:val="en-US" w:eastAsia="zh-CN" w:bidi="ar-SA"/>
              </w:rPr>
              <w:t>，和层状结构的LiCoO</w:t>
            </w:r>
            <w:r>
              <w:rPr>
                <w:rFonts w:hint="eastAsia" w:ascii="Times New Roman" w:hAnsi="Times New Roman" w:eastAsia="宋体" w:cs="Times New Roman"/>
                <w:bCs/>
                <w:color w:val="000000"/>
                <w:kern w:val="2"/>
                <w:sz w:val="21"/>
                <w:szCs w:val="21"/>
                <w:vertAlign w:val="subscript"/>
                <w:lang w:val="en-US" w:eastAsia="zh-CN" w:bidi="ar-SA"/>
              </w:rPr>
              <w:t>2</w:t>
            </w:r>
            <w:r>
              <w:rPr>
                <w:rFonts w:hint="eastAsia" w:ascii="Times New Roman" w:hAnsi="Times New Roman" w:eastAsia="宋体" w:cs="Times New Roman"/>
                <w:bCs/>
                <w:color w:val="000000"/>
                <w:kern w:val="2"/>
                <w:sz w:val="21"/>
                <w:szCs w:val="21"/>
                <w:lang w:val="en-US" w:eastAsia="zh-CN" w:bidi="ar-SA"/>
              </w:rPr>
              <w:t>相比，LiFePO</w:t>
            </w:r>
            <w:r>
              <w:rPr>
                <w:rFonts w:hint="eastAsia" w:ascii="Times New Roman" w:hAnsi="Times New Roman" w:eastAsia="宋体" w:cs="Times New Roman"/>
                <w:bCs/>
                <w:color w:val="000000"/>
                <w:kern w:val="2"/>
                <w:sz w:val="21"/>
                <w:szCs w:val="21"/>
                <w:vertAlign w:val="subscript"/>
                <w:lang w:val="en-US" w:eastAsia="zh-CN" w:bidi="ar-SA"/>
              </w:rPr>
              <w:t>4</w:t>
            </w:r>
            <w:r>
              <w:rPr>
                <w:rFonts w:hint="eastAsia" w:ascii="Times New Roman" w:hAnsi="Times New Roman" w:eastAsia="宋体" w:cs="Times New Roman"/>
                <w:bCs/>
                <w:color w:val="000000"/>
                <w:kern w:val="2"/>
                <w:sz w:val="21"/>
                <w:szCs w:val="21"/>
                <w:lang w:val="en-US" w:eastAsia="zh-CN" w:bidi="ar-SA"/>
              </w:rPr>
              <w:t>的原物料来源更广泛、价格更低廉且无环境污染。与其它化学电池材料相比，磷酸铁锂具有环保、安全、比容量高、高温特性好、循环性能优异，成本低等优点，成为动力电池的首选材料。</w:t>
            </w:r>
          </w:p>
          <w:p>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2"/>
              <w:textAlignment w:val="auto"/>
              <w:rPr>
                <w:rFonts w:hint="default" w:ascii="Times New Roman" w:hAnsi="Times New Roman" w:cs="Times New Roman"/>
                <w:sz w:val="21"/>
                <w:szCs w:val="21"/>
              </w:rPr>
            </w:pPr>
            <w:r>
              <w:rPr>
                <w:rFonts w:hint="default" w:ascii="Times New Roman" w:hAnsi="Times New Roman" w:cs="Times New Roman"/>
                <w:b/>
                <w:sz w:val="21"/>
                <w:szCs w:val="21"/>
              </w:rPr>
              <w:t>粘结剂聚偏氟乙烯（[-CH</w:t>
            </w:r>
            <w:r>
              <w:rPr>
                <w:rFonts w:hint="default" w:ascii="Times New Roman" w:hAnsi="Times New Roman" w:cs="Times New Roman"/>
                <w:b/>
                <w:sz w:val="21"/>
                <w:szCs w:val="21"/>
                <w:vertAlign w:val="subscript"/>
              </w:rPr>
              <w:t>2</w:t>
            </w:r>
            <w:r>
              <w:rPr>
                <w:rFonts w:hint="default" w:ascii="Times New Roman" w:hAnsi="Times New Roman" w:cs="Times New Roman"/>
                <w:b/>
                <w:sz w:val="21"/>
                <w:szCs w:val="21"/>
              </w:rPr>
              <w:t>-CF</w:t>
            </w:r>
            <w:r>
              <w:rPr>
                <w:rFonts w:hint="default" w:ascii="Times New Roman" w:hAnsi="Times New Roman" w:cs="Times New Roman"/>
                <w:b/>
                <w:sz w:val="21"/>
                <w:szCs w:val="21"/>
                <w:vertAlign w:val="subscript"/>
              </w:rPr>
              <w:t>2</w:t>
            </w:r>
            <w:r>
              <w:rPr>
                <w:rFonts w:hint="default" w:ascii="Times New Roman" w:hAnsi="Times New Roman" w:cs="Times New Roman"/>
                <w:b/>
                <w:sz w:val="21"/>
                <w:szCs w:val="21"/>
              </w:rPr>
              <w:t>-]-）</w:t>
            </w:r>
            <w:r>
              <w:rPr>
                <w:rFonts w:hint="default" w:ascii="Times New Roman" w:hAnsi="Times New Roman" w:cs="Times New Roman"/>
                <w:sz w:val="21"/>
                <w:szCs w:val="21"/>
              </w:rPr>
              <w:t>：简称PVDF，白色粉末状结晶性聚合物。密度1.75-1.78g/cm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。熔点170℃，热分解温度350℃左右。具有良好的化学稳定性，发烟硫酸、强碱、酮、醚绵少数化学药品能使其溶胀或部分溶解，二甲基乙酰胺和二甲基亚砜等强极性有机溶剂能使其溶解成胶状溶液。</w:t>
            </w:r>
          </w:p>
          <w:p>
            <w:pPr>
              <w:pStyle w:val="1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2"/>
              <w:textAlignment w:val="auto"/>
              <w:rPr>
                <w:rFonts w:hint="default" w:ascii="Times New Roman" w:hAnsi="Times New Roman" w:cs="Times New Roman"/>
                <w:sz w:val="21"/>
                <w:szCs w:val="21"/>
              </w:rPr>
            </w:pPr>
            <w:r>
              <w:rPr>
                <w:rFonts w:hint="default" w:ascii="Times New Roman" w:hAnsi="Times New Roman" w:cs="Times New Roman"/>
                <w:b/>
                <w:sz w:val="21"/>
                <w:szCs w:val="21"/>
              </w:rPr>
              <w:t>导电剂乙炔黑</w:t>
            </w:r>
            <w:r>
              <w:rPr>
                <w:rFonts w:hint="default" w:ascii="Times New Roman" w:hAnsi="Times New Roman" w:cs="Times New Roman"/>
                <w:sz w:val="21"/>
                <w:szCs w:val="21"/>
              </w:rPr>
              <w:t>：乙炔黑外观为黑色极细粉末，相对密度1.95(氮置换法)。表观密度0.2～0.3g/cm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。平均粒径30～45nm。比表面积55～70m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/g。吸碘值60～80gl2/kg。乙炔炭黑纯度很高，含碳量大于99.5%，氢含量小于0.1%，氧含量0.07%～0.26%。pH值5～7。电阻率极低，具有优良的导电性、导热性和抗静电效果。</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textAlignment w:val="auto"/>
              <w:rPr>
                <w:rFonts w:hint="eastAsia" w:ascii="Times New Roman" w:hAnsi="Times New Roman" w:eastAsia="宋体" w:cs="Times New Roman"/>
                <w:b/>
                <w:bCs/>
                <w:sz w:val="21"/>
                <w:szCs w:val="21"/>
                <w:lang w:val="en-US" w:eastAsia="zh-CN"/>
              </w:rPr>
            </w:pPr>
            <w:r>
              <w:rPr>
                <w:rFonts w:hint="default" w:ascii="Times New Roman" w:hAnsi="Times New Roman" w:eastAsia="宋体" w:cs="Times New Roman"/>
                <w:b/>
                <w:sz w:val="21"/>
                <w:szCs w:val="21"/>
              </w:rPr>
              <w:t>隔膜纸：</w:t>
            </w:r>
            <w:r>
              <w:rPr>
                <w:rFonts w:hint="default" w:ascii="Times New Roman" w:hAnsi="Times New Roman" w:eastAsia="宋体" w:cs="Times New Roman"/>
                <w:sz w:val="21"/>
                <w:szCs w:val="21"/>
              </w:rPr>
              <w:t>锂电池的结构中，隔膜是关键的内层组件之一，隔膜的主要作用是使电池的正、负极分隔开来，防止两极接触而短路，此外还具有能使电解质离子通过的功能。市场化的隔膜材料主要是以聚乙烯（PE）、聚丙烯（PP）为主的聚</w:t>
            </w:r>
            <w:r>
              <w:rPr>
                <w:rFonts w:hint="eastAsia" w:ascii="Times New Roman" w:hAnsi="Times New Roman" w:eastAsia="宋体" w:cs="Times New Roman"/>
              </w:rPr>
              <w:t>烯烃（Polyolefin）类隔膜，以聚丙烯（PP）为主隔膜较为常见。</w:t>
            </w:r>
          </w:p>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520" w:lineRule="exact"/>
              <w:ind w:left="0" w:right="0" w:firstLine="422" w:firstLineChars="200"/>
              <w:jc w:val="left"/>
              <w:rPr>
                <w:rFonts w:hint="default"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rPr>
              <w:t>主要生产设备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rightChars="0" w:firstLine="420" w:firstLineChars="200"/>
              <w:textAlignment w:val="baseline"/>
              <w:outlineLvl w:val="9"/>
              <w:rPr>
                <w:rFonts w:ascii="Times New Roman" w:hAnsi="Times New Roman" w:eastAsia="宋体" w:cs="Times New Roman"/>
                <w:sz w:val="21"/>
                <w:szCs w:val="21"/>
              </w:rPr>
            </w:pPr>
            <w:r>
              <w:rPr>
                <w:rFonts w:ascii="Times New Roman" w:hAnsi="Times New Roman" w:eastAsia="宋体" w:cs="Times New Roman"/>
                <w:sz w:val="21"/>
                <w:szCs w:val="21"/>
              </w:rPr>
              <w:t>本项目主要生产设备一览表见</w:t>
            </w:r>
            <w:r>
              <w:rPr>
                <w:rFonts w:hint="eastAsia" w:ascii="Times New Roman" w:hAnsi="Times New Roman" w:eastAsia="宋体" w:cs="Times New Roman"/>
                <w:sz w:val="21"/>
                <w:szCs w:val="21"/>
                <w:lang w:eastAsia="zh-CN"/>
              </w:rPr>
              <w:t>下表</w:t>
            </w:r>
            <w:r>
              <w:rPr>
                <w:rFonts w:ascii="Times New Roman" w:hAnsi="Times New Roman" w:eastAsia="宋体" w:cs="Times New Roman"/>
                <w:sz w:val="21"/>
                <w:szCs w:val="21"/>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rightChars="0" w:firstLine="422" w:firstLineChars="200"/>
              <w:jc w:val="center"/>
              <w:textAlignment w:val="baseline"/>
              <w:outlineLvl w:val="9"/>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15</w:t>
            </w:r>
            <w:r>
              <w:rPr>
                <w:rFonts w:hint="eastAsia" w:ascii="Times New Roman" w:hAnsi="Times New Roman" w:eastAsia="宋体" w:cs="Times New Roman"/>
                <w:b/>
                <w:bCs/>
                <w:sz w:val="21"/>
                <w:szCs w:val="21"/>
              </w:rPr>
              <w:t xml:space="preserve">  </w:t>
            </w:r>
            <w:r>
              <w:rPr>
                <w:rFonts w:ascii="Times New Roman" w:hAnsi="Times New Roman" w:eastAsia="宋体" w:cs="Times New Roman"/>
                <w:b/>
                <w:bCs/>
                <w:sz w:val="21"/>
                <w:szCs w:val="21"/>
              </w:rPr>
              <w:t>主要生产设备一览表</w:t>
            </w:r>
          </w:p>
          <w:tbl>
            <w:tblPr>
              <w:tblStyle w:val="1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2333"/>
              <w:gridCol w:w="2142"/>
              <w:gridCol w:w="23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146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名称</w:t>
                  </w:r>
                </w:p>
              </w:tc>
              <w:tc>
                <w:tcPr>
                  <w:tcW w:w="13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rPr>
                  </w:pPr>
                  <w:r>
                    <w:rPr>
                      <w:rFonts w:ascii="Times New Roman" w:hAnsi="Times New Roman" w:eastAsia="宋体" w:cs="Times New Roman"/>
                      <w:sz w:val="21"/>
                      <w:szCs w:val="21"/>
                    </w:rPr>
                    <w:t>数量</w:t>
                  </w:r>
                </w:p>
              </w:tc>
              <w:tc>
                <w:tcPr>
                  <w:tcW w:w="1485"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型号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468"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color w:val="000000"/>
                      <w:szCs w:val="21"/>
                    </w:rPr>
                    <w:t>撕碎机</w:t>
                  </w:r>
                </w:p>
              </w:tc>
              <w:tc>
                <w:tcPr>
                  <w:tcW w:w="134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48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GD6型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1468" w:type="pct"/>
                  <w:noWrap w:val="0"/>
                  <w:vAlign w:val="center"/>
                </w:tcPr>
                <w:p>
                  <w:pPr>
                    <w:keepNext w:val="0"/>
                    <w:keepLines w:val="0"/>
                    <w:suppressLineNumbers w:val="0"/>
                    <w:spacing w:before="0" w:beforeAutospacing="0" w:after="0" w:afterAutospacing="0"/>
                    <w:ind w:left="0" w:right="0"/>
                    <w:jc w:val="center"/>
                    <w:rPr>
                      <w:rStyle w:val="18"/>
                      <w:rFonts w:ascii="Times New Roman" w:hAnsi="Times New Roman" w:eastAsia="宋体" w:cs="Times New Roman"/>
                      <w:b w:val="0"/>
                      <w:i w:val="0"/>
                      <w:caps w:val="0"/>
                      <w:spacing w:val="0"/>
                      <w:w w:val="100"/>
                      <w:kern w:val="2"/>
                      <w:sz w:val="21"/>
                      <w:szCs w:val="21"/>
                      <w:lang w:val="en-US" w:eastAsia="zh-CN" w:bidi="ar-SA"/>
                    </w:rPr>
                  </w:pPr>
                  <w:r>
                    <w:rPr>
                      <w:rFonts w:hint="eastAsia" w:ascii="Times New Roman" w:hAnsi="Times New Roman" w:eastAsia="宋体" w:cs="Times New Roman"/>
                      <w:color w:val="000000"/>
                      <w:szCs w:val="21"/>
                    </w:rPr>
                    <w:t>破碎机</w:t>
                  </w:r>
                </w:p>
              </w:tc>
              <w:tc>
                <w:tcPr>
                  <w:tcW w:w="13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48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PCΦ1000型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3</w:t>
                  </w:r>
                </w:p>
              </w:tc>
              <w:tc>
                <w:tcPr>
                  <w:tcW w:w="1468"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sz w:val="21"/>
                      <w:szCs w:val="21"/>
                    </w:rPr>
                  </w:pPr>
                  <w:r>
                    <w:rPr>
                      <w:rFonts w:hint="eastAsia" w:ascii="Times New Roman" w:hAnsi="Times New Roman" w:eastAsia="宋体" w:cs="Times New Roman"/>
                      <w:color w:val="000000"/>
                      <w:szCs w:val="21"/>
                    </w:rPr>
                    <w:t>气流分选集料器</w:t>
                  </w:r>
                </w:p>
              </w:tc>
              <w:tc>
                <w:tcPr>
                  <w:tcW w:w="13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48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立式单转子型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468"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color w:val="000000"/>
                      <w:szCs w:val="21"/>
                      <w:lang w:eastAsia="zh-CN"/>
                    </w:rPr>
                    <w:t>滚筒搅拌机</w:t>
                  </w:r>
                </w:p>
              </w:tc>
              <w:tc>
                <w:tcPr>
                  <w:tcW w:w="13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48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Jam1650型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468"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color w:val="000000"/>
                      <w:szCs w:val="21"/>
                    </w:rPr>
                    <w:t>直线筛</w:t>
                  </w:r>
                </w:p>
              </w:tc>
              <w:tc>
                <w:tcPr>
                  <w:tcW w:w="134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48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468"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密闭输送带</w:t>
                  </w:r>
                </w:p>
              </w:tc>
              <w:tc>
                <w:tcPr>
                  <w:tcW w:w="134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若干</w:t>
                  </w:r>
                </w:p>
              </w:tc>
              <w:tc>
                <w:tcPr>
                  <w:tcW w:w="148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bl>
          <w:p>
            <w:pPr>
              <w:pStyle w:val="7"/>
              <w:keepNext w:val="0"/>
              <w:keepLines w:val="0"/>
              <w:pageBreakBefore w:val="0"/>
              <w:suppressLineNumbers w:val="0"/>
              <w:kinsoku/>
              <w:wordWrap/>
              <w:overflowPunct/>
              <w:topLinePunct w:val="0"/>
              <w:autoSpaceDE/>
              <w:autoSpaceDN/>
              <w:bidi w:val="0"/>
              <w:snapToGrid w:val="0"/>
              <w:spacing w:before="0" w:beforeAutospacing="0" w:after="0" w:afterAutospacing="0" w:line="520" w:lineRule="exact"/>
              <w:ind w:left="0" w:firstLine="422" w:firstLineChars="200"/>
              <w:textAlignment w:val="auto"/>
              <w:rPr>
                <w:rFonts w:hint="eastAsia" w:ascii="Times New Roman" w:hAnsi="Times New Roman" w:cs="Times New Roman"/>
                <w:b/>
                <w:bCs/>
                <w:color w:val="auto"/>
                <w:lang w:val="en-US" w:eastAsia="zh-CN"/>
              </w:rPr>
            </w:pPr>
            <w:r>
              <w:rPr>
                <w:rFonts w:hint="eastAsia" w:cs="Times New Roman"/>
                <w:b/>
                <w:bCs/>
                <w:color w:val="auto"/>
                <w:lang w:val="en-US" w:eastAsia="zh-CN"/>
              </w:rPr>
              <w:t>5</w:t>
            </w:r>
            <w:r>
              <w:rPr>
                <w:rFonts w:hint="eastAsia" w:ascii="Times New Roman" w:hAnsi="Times New Roman" w:cs="Times New Roman"/>
                <w:b/>
                <w:bCs/>
                <w:color w:val="auto"/>
                <w:lang w:val="en-US" w:eastAsia="zh-CN"/>
              </w:rPr>
              <w:t>、公用工程</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1"/>
                <w:szCs w:val="21"/>
                <w:highlight w:val="none"/>
              </w:rPr>
              <w:t>供水</w:t>
            </w:r>
          </w:p>
          <w:p>
            <w:pPr>
              <w:pStyle w:val="7"/>
              <w:keepNext w:val="0"/>
              <w:keepLines w:val="0"/>
              <w:pageBreakBefore w:val="0"/>
              <w:suppressLineNumbers w:val="0"/>
              <w:kinsoku/>
              <w:wordWrap/>
              <w:overflowPunct/>
              <w:topLinePunct w:val="0"/>
              <w:autoSpaceDE/>
              <w:autoSpaceDN/>
              <w:bidi w:val="0"/>
              <w:snapToGrid w:val="0"/>
              <w:spacing w:before="0" w:beforeAutospacing="0" w:after="0" w:afterAutospacing="0" w:line="520" w:lineRule="exact"/>
              <w:ind w:left="0" w:firstLine="420"/>
              <w:textAlignment w:val="auto"/>
              <w:rPr>
                <w:rFonts w:ascii="Times New Roman" w:hAnsi="Times New Roman" w:cs="Times New Roman"/>
                <w:color w:val="auto"/>
                <w:lang w:val="en-US" w:eastAsia="zh-CN"/>
              </w:rPr>
            </w:pPr>
            <w:r>
              <w:rPr>
                <w:rFonts w:hint="eastAsia" w:cs="Times New Roman"/>
                <w:color w:val="auto"/>
                <w:lang w:val="en-US" w:eastAsia="zh-CN"/>
              </w:rPr>
              <w:t>本项目用水主要为职工生活用水，该部分用水均为自备水井提供，</w:t>
            </w:r>
            <w:r>
              <w:rPr>
                <w:rFonts w:ascii="Times New Roman" w:hAnsi="Times New Roman" w:cs="Times New Roman"/>
                <w:color w:val="auto"/>
                <w:lang w:val="en-US" w:eastAsia="zh-CN"/>
              </w:rPr>
              <w:t>可满足项目需求。</w:t>
            </w:r>
          </w:p>
          <w:p>
            <w:pPr>
              <w:keepNext w:val="0"/>
              <w:keepLines w:val="0"/>
              <w:pageBreakBefore w:val="0"/>
              <w:widowControl w:val="0"/>
              <w:suppressLineNumbers w:val="0"/>
              <w:tabs>
                <w:tab w:val="left" w:pos="7920"/>
              </w:tabs>
              <w:kinsoku/>
              <w:wordWrap/>
              <w:overflowPunct/>
              <w:topLinePunct w:val="0"/>
              <w:autoSpaceDE/>
              <w:autoSpaceDN/>
              <w:bidi w:val="0"/>
              <w:adjustRightInd w:val="0"/>
              <w:snapToGrid w:val="0"/>
              <w:spacing w:before="0" w:beforeAutospacing="0" w:after="0" w:afterAutospacing="0" w:line="520" w:lineRule="exact"/>
              <w:ind w:left="0" w:right="0" w:firstLine="480" w:firstLineChars="200"/>
              <w:textAlignment w:val="auto"/>
              <w:rPr>
                <w:rFonts w:hint="eastAsia"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1"/>
                <w:szCs w:val="21"/>
                <w:highlight w:val="none"/>
              </w:rPr>
              <w:t>排水</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cs="Times New Roman"/>
                <w:color w:val="auto"/>
                <w:lang w:val="en-US" w:eastAsia="zh-CN"/>
              </w:rPr>
            </w:pPr>
            <w:r>
              <w:rPr>
                <w:rFonts w:hint="eastAsia" w:cs="Times New Roman"/>
                <w:color w:val="auto"/>
                <w:lang w:val="en-US" w:eastAsia="zh-CN"/>
              </w:rPr>
              <w:t>项目生产过程无废水产生；生活废水经化粪池预处理后定期清运，不外排。</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ascii="Times New Roman" w:hAnsi="Times New Roman" w:cs="Times New Roman"/>
                <w:color w:val="auto"/>
                <w:lang w:val="en-US" w:eastAsia="zh-CN"/>
              </w:rPr>
            </w:pPr>
            <w:r>
              <w:rPr>
                <w:rFonts w:ascii="Times New Roman" w:hAnsi="Times New Roman" w:cs="Times New Roman"/>
                <w:color w:val="auto"/>
                <w:lang w:val="en-US" w:eastAsia="zh-CN"/>
              </w:rPr>
              <w:t>（</w:t>
            </w:r>
            <w:r>
              <w:rPr>
                <w:rFonts w:hint="eastAsia" w:cs="Times New Roman"/>
                <w:color w:val="auto"/>
                <w:lang w:val="en-US" w:eastAsia="zh-CN"/>
              </w:rPr>
              <w:t>2</w:t>
            </w:r>
            <w:r>
              <w:rPr>
                <w:rFonts w:ascii="Times New Roman" w:hAnsi="Times New Roman" w:cs="Times New Roman"/>
                <w:color w:val="auto"/>
                <w:lang w:val="en-US" w:eastAsia="zh-CN"/>
              </w:rPr>
              <w:t>）供电</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ascii="Times New Roman" w:hAnsi="Times New Roman" w:cs="Times New Roman"/>
                <w:color w:val="FF0000"/>
                <w:lang w:val="en-US" w:eastAsia="zh-CN"/>
              </w:rPr>
            </w:pPr>
            <w:r>
              <w:rPr>
                <w:rFonts w:ascii="Times New Roman" w:hAnsi="Times New Roman" w:cs="Times New Roman"/>
                <w:color w:val="auto"/>
                <w:lang w:val="en-US" w:eastAsia="zh-CN"/>
              </w:rPr>
              <w:t>项目用电由</w:t>
            </w:r>
            <w:r>
              <w:rPr>
                <w:rFonts w:hint="eastAsia" w:cs="Times New Roman"/>
                <w:color w:val="auto"/>
                <w:lang w:val="en-US" w:eastAsia="zh-CN"/>
              </w:rPr>
              <w:t>合河乡</w:t>
            </w:r>
            <w:r>
              <w:rPr>
                <w:rFonts w:ascii="Times New Roman" w:hAnsi="Times New Roman" w:cs="Times New Roman"/>
                <w:color w:val="auto"/>
                <w:lang w:val="en-US" w:eastAsia="zh-CN"/>
              </w:rPr>
              <w:t>市政集中供电，项目</w:t>
            </w:r>
            <w:r>
              <w:rPr>
                <w:rFonts w:hint="eastAsia" w:ascii="Times New Roman" w:hAnsi="Times New Roman" w:cs="Times New Roman"/>
                <w:color w:val="auto"/>
                <w:lang w:val="en-US" w:eastAsia="zh-CN"/>
              </w:rPr>
              <w:t>年</w:t>
            </w:r>
            <w:r>
              <w:rPr>
                <w:rFonts w:ascii="Times New Roman" w:hAnsi="Times New Roman" w:cs="Times New Roman"/>
                <w:color w:val="auto"/>
                <w:lang w:val="en-US" w:eastAsia="zh-CN"/>
              </w:rPr>
              <w:t>用电量为</w:t>
            </w:r>
            <w:r>
              <w:rPr>
                <w:rFonts w:hint="eastAsia" w:cs="Times New Roman"/>
                <w:color w:val="auto"/>
                <w:lang w:val="en-US" w:eastAsia="zh-CN"/>
              </w:rPr>
              <w:t>10</w:t>
            </w:r>
            <w:r>
              <w:rPr>
                <w:rFonts w:ascii="Times New Roman" w:hAnsi="Times New Roman" w:cs="Times New Roman"/>
                <w:color w:val="auto"/>
                <w:lang w:val="en-US" w:eastAsia="zh-CN"/>
              </w:rPr>
              <w:t>万KW·h，能够满足项目需求。</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2" w:firstLineChars="200"/>
              <w:textAlignment w:val="auto"/>
              <w:rPr>
                <w:rFonts w:ascii="Times New Roman" w:hAnsi="Times New Roman" w:cs="Times New Roman"/>
                <w:b/>
                <w:bCs/>
                <w:color w:val="auto"/>
                <w:lang w:val="en-US" w:eastAsia="zh-CN"/>
              </w:rPr>
            </w:pPr>
            <w:r>
              <w:rPr>
                <w:rFonts w:hint="eastAsia" w:cs="Times New Roman"/>
                <w:b/>
                <w:bCs/>
                <w:color w:val="auto"/>
                <w:lang w:val="en-US" w:eastAsia="zh-CN"/>
              </w:rPr>
              <w:t>6</w:t>
            </w:r>
            <w:r>
              <w:rPr>
                <w:rFonts w:ascii="Times New Roman" w:hAnsi="Times New Roman" w:cs="Times New Roman"/>
                <w:b/>
                <w:bCs/>
                <w:color w:val="auto"/>
                <w:lang w:val="en-US" w:eastAsia="zh-CN"/>
              </w:rPr>
              <w:t>、劳动定员及工作制度</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eastAsia" w:ascii="Times New Roman" w:hAnsi="Times New Roman" w:cs="Times New Roman"/>
                <w:color w:val="auto"/>
                <w:lang w:val="en-US" w:eastAsia="zh-CN"/>
              </w:rPr>
            </w:pPr>
            <w:r>
              <w:rPr>
                <w:rFonts w:ascii="Times New Roman" w:hAnsi="Times New Roman" w:cs="Times New Roman"/>
                <w:color w:val="auto"/>
                <w:lang w:val="en-US" w:eastAsia="zh-CN"/>
              </w:rPr>
              <w:t>劳动定员：项目劳动定员</w:t>
            </w:r>
            <w:r>
              <w:rPr>
                <w:rFonts w:hint="eastAsia" w:cs="Times New Roman"/>
                <w:color w:val="auto"/>
                <w:lang w:val="en-US" w:eastAsia="zh-CN"/>
              </w:rPr>
              <w:t>6</w:t>
            </w:r>
            <w:r>
              <w:rPr>
                <w:rFonts w:ascii="Times New Roman" w:hAnsi="Times New Roman" w:cs="Times New Roman"/>
                <w:color w:val="auto"/>
                <w:lang w:val="en-US" w:eastAsia="zh-CN"/>
              </w:rPr>
              <w:t>人</w:t>
            </w:r>
            <w:r>
              <w:rPr>
                <w:rFonts w:hint="eastAsia" w:ascii="Times New Roman" w:hAnsi="Times New Roman" w:cs="Times New Roman"/>
                <w:color w:val="auto"/>
                <w:lang w:val="en-US" w:eastAsia="zh-CN"/>
              </w:rPr>
              <w:t>，均为附近村民，不在厂区食宿。</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ascii="Times New Roman" w:hAnsi="Times New Roman" w:cs="Times New Roman"/>
                <w:color w:val="auto"/>
                <w:lang w:val="en-US" w:eastAsia="zh-CN"/>
              </w:rPr>
            </w:pPr>
            <w:r>
              <w:rPr>
                <w:rFonts w:ascii="Times New Roman" w:hAnsi="Times New Roman" w:cs="Times New Roman"/>
                <w:color w:val="auto"/>
                <w:lang w:val="en-US" w:eastAsia="zh-CN"/>
              </w:rPr>
              <w:t>工作制度：</w:t>
            </w:r>
            <w:r>
              <w:rPr>
                <w:rFonts w:hint="eastAsia" w:cs="Times New Roman"/>
                <w:color w:val="auto"/>
                <w:lang w:val="en-US" w:eastAsia="zh-CN"/>
              </w:rPr>
              <w:t>两</w:t>
            </w:r>
            <w:r>
              <w:rPr>
                <w:rFonts w:hint="eastAsia" w:ascii="Times New Roman" w:hAnsi="Times New Roman" w:cs="Times New Roman"/>
                <w:color w:val="auto"/>
                <w:lang w:val="en-US" w:eastAsia="zh-CN"/>
              </w:rPr>
              <w:t>班制</w:t>
            </w:r>
            <w:r>
              <w:rPr>
                <w:rFonts w:ascii="Times New Roman" w:hAnsi="Times New Roman" w:cs="Times New Roman"/>
                <w:color w:val="auto"/>
                <w:lang w:val="en-US" w:eastAsia="zh-CN"/>
              </w:rPr>
              <w:t>，</w:t>
            </w:r>
            <w:r>
              <w:rPr>
                <w:rFonts w:hint="eastAsia" w:ascii="Times New Roman" w:hAnsi="Times New Roman" w:cs="Times New Roman"/>
                <w:color w:val="auto"/>
                <w:lang w:val="en-US" w:eastAsia="zh-CN"/>
              </w:rPr>
              <w:t>8</w:t>
            </w:r>
            <w:r>
              <w:rPr>
                <w:rFonts w:ascii="Times New Roman" w:hAnsi="Times New Roman" w:cs="Times New Roman"/>
                <w:color w:val="auto"/>
                <w:lang w:val="en-US" w:eastAsia="zh-CN"/>
              </w:rPr>
              <w:t>h/班，每年工作</w:t>
            </w:r>
            <w:r>
              <w:rPr>
                <w:rFonts w:hint="eastAsia" w:ascii="Times New Roman" w:hAnsi="Times New Roman" w:cs="Times New Roman"/>
                <w:color w:val="auto"/>
                <w:lang w:val="en-US" w:eastAsia="zh-CN"/>
              </w:rPr>
              <w:t>300</w:t>
            </w:r>
            <w:r>
              <w:rPr>
                <w:rFonts w:ascii="Times New Roman" w:hAnsi="Times New Roman" w:cs="Times New Roman"/>
                <w:color w:val="auto"/>
                <w:lang w:val="en-US" w:eastAsia="zh-CN"/>
              </w:rPr>
              <w:t>天。</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2" w:firstLineChars="200"/>
              <w:textAlignment w:val="auto"/>
              <w:rPr>
                <w:rFonts w:ascii="Times New Roman" w:hAnsi="Times New Roman" w:cs="Times New Roman"/>
                <w:b/>
                <w:bCs/>
                <w:color w:val="auto"/>
                <w:lang w:val="en-US" w:eastAsia="zh-CN"/>
              </w:rPr>
            </w:pPr>
            <w:r>
              <w:rPr>
                <w:rFonts w:hint="eastAsia" w:cs="Times New Roman"/>
                <w:b/>
                <w:bCs/>
                <w:color w:val="auto"/>
                <w:lang w:val="en-US" w:eastAsia="zh-CN"/>
              </w:rPr>
              <w:t>7</w:t>
            </w:r>
            <w:r>
              <w:rPr>
                <w:rFonts w:hint="eastAsia" w:ascii="Times New Roman" w:hAnsi="Times New Roman" w:cs="Times New Roman"/>
                <w:b/>
                <w:bCs/>
                <w:color w:val="auto"/>
                <w:lang w:val="en-US" w:eastAsia="zh-CN"/>
              </w:rPr>
              <w:t>、厂区平面布置</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ascii="Times New Roman" w:hAnsi="Times New Roman" w:cs="Times New Roman"/>
                <w:color w:val="auto"/>
                <w:lang w:val="en-US" w:eastAsia="zh-CN"/>
              </w:rPr>
            </w:pPr>
            <w:r>
              <w:rPr>
                <w:rFonts w:hint="eastAsia" w:ascii="Times New Roman" w:hAnsi="Times New Roman" w:cs="Times New Roman"/>
                <w:color w:val="auto"/>
                <w:lang w:val="en-US" w:eastAsia="zh-CN"/>
              </w:rPr>
              <w:t>本项目位于</w:t>
            </w:r>
            <w:r>
              <w:rPr>
                <w:rFonts w:hint="eastAsia" w:cs="Times New Roman"/>
                <w:color w:val="auto"/>
                <w:lang w:val="en-US" w:eastAsia="zh-CN"/>
              </w:rPr>
              <w:t>河南省新乡市新乡县合河乡范岭村工业区工农路19号</w:t>
            </w:r>
            <w:r>
              <w:rPr>
                <w:rFonts w:hint="eastAsia" w:ascii="Times New Roman" w:hAnsi="Times New Roman" w:cs="Times New Roman"/>
                <w:color w:val="auto"/>
                <w:lang w:val="en-US" w:eastAsia="zh-CN"/>
              </w:rPr>
              <w:t>，本项目厂区</w:t>
            </w:r>
            <w:r>
              <w:rPr>
                <w:rFonts w:hint="eastAsia" w:cs="Times New Roman"/>
                <w:color w:val="auto"/>
                <w:lang w:val="en-US" w:eastAsia="zh-CN"/>
              </w:rPr>
              <w:t>东北</w:t>
            </w:r>
            <w:r>
              <w:rPr>
                <w:rFonts w:hint="eastAsia" w:ascii="Times New Roman" w:hAnsi="Times New Roman" w:cs="Times New Roman"/>
                <w:color w:val="auto"/>
                <w:lang w:val="en-US" w:eastAsia="zh-CN"/>
              </w:rPr>
              <w:t>侧为</w:t>
            </w:r>
            <w:r>
              <w:rPr>
                <w:rFonts w:hint="eastAsia" w:cs="Times New Roman"/>
                <w:color w:val="auto"/>
                <w:lang w:val="en-US" w:eastAsia="zh-CN"/>
              </w:rPr>
              <w:t>办公室</w:t>
            </w:r>
            <w:r>
              <w:rPr>
                <w:rFonts w:hint="eastAsia" w:ascii="Times New Roman" w:hAnsi="Times New Roman" w:cs="Times New Roman"/>
                <w:color w:val="auto"/>
                <w:lang w:val="en-US" w:eastAsia="zh-CN"/>
              </w:rPr>
              <w:t>，</w:t>
            </w:r>
            <w:r>
              <w:rPr>
                <w:rFonts w:hint="eastAsia" w:cs="Times New Roman"/>
                <w:color w:val="auto"/>
                <w:lang w:val="en-US" w:eastAsia="zh-CN"/>
              </w:rPr>
              <w:t>南侧</w:t>
            </w:r>
            <w:r>
              <w:rPr>
                <w:rFonts w:hint="eastAsia" w:ascii="Times New Roman" w:hAnsi="Times New Roman" w:cs="Times New Roman"/>
                <w:color w:val="auto"/>
                <w:lang w:val="en-US" w:eastAsia="zh-CN"/>
              </w:rPr>
              <w:t>为</w:t>
            </w:r>
            <w:r>
              <w:rPr>
                <w:rFonts w:hint="eastAsia" w:cs="Times New Roman"/>
                <w:color w:val="auto"/>
                <w:lang w:val="en-US" w:eastAsia="zh-CN"/>
              </w:rPr>
              <w:t>生产车间</w:t>
            </w:r>
            <w:r>
              <w:rPr>
                <w:rFonts w:hint="eastAsia" w:ascii="Times New Roman" w:hAnsi="Times New Roman" w:cs="Times New Roman"/>
                <w:color w:val="auto"/>
                <w:lang w:val="en-US" w:eastAsia="zh-CN"/>
              </w:rPr>
              <w:t>；门卫</w:t>
            </w:r>
            <w:r>
              <w:rPr>
                <w:rFonts w:hint="eastAsia" w:cs="Times New Roman"/>
                <w:color w:val="auto"/>
                <w:lang w:val="en-US" w:eastAsia="zh-CN"/>
              </w:rPr>
              <w:t>室</w:t>
            </w:r>
            <w:r>
              <w:rPr>
                <w:rFonts w:hint="eastAsia" w:ascii="Times New Roman" w:hAnsi="Times New Roman" w:cs="Times New Roman"/>
                <w:color w:val="auto"/>
                <w:lang w:val="en-US" w:eastAsia="zh-CN"/>
              </w:rPr>
              <w:t>位于厂区</w:t>
            </w:r>
            <w:r>
              <w:rPr>
                <w:rFonts w:hint="eastAsia" w:cs="Times New Roman"/>
                <w:color w:val="auto"/>
                <w:lang w:val="en-US" w:eastAsia="zh-CN"/>
              </w:rPr>
              <w:t>西北</w:t>
            </w:r>
            <w:r>
              <w:rPr>
                <w:rFonts w:hint="eastAsia" w:ascii="Times New Roman" w:hAnsi="Times New Roman" w:cs="Times New Roman"/>
                <w:color w:val="auto"/>
                <w:lang w:val="en-US" w:eastAsia="zh-CN"/>
              </w:rPr>
              <w:t>侧；整个厂区功能分区明确，平面布置紧凑，布局合理（厂区平面布置图</w:t>
            </w:r>
            <w:r>
              <w:rPr>
                <w:rFonts w:ascii="Times New Roman" w:hAnsi="Times New Roman" w:cs="Times New Roman"/>
                <w:color w:val="auto"/>
                <w:lang w:val="en-US" w:eastAsia="zh-CN"/>
              </w:rPr>
              <w:t>见附</w:t>
            </w:r>
            <w:r>
              <w:rPr>
                <w:rFonts w:hint="eastAsia" w:ascii="Times New Roman" w:hAnsi="Times New Roman" w:cs="Times New Roman"/>
                <w:color w:val="auto"/>
                <w:lang w:val="en-US" w:eastAsia="zh-CN"/>
              </w:rPr>
              <w:t>图</w:t>
            </w:r>
            <w:r>
              <w:rPr>
                <w:rFonts w:hint="eastAsia" w:cs="Times New Roman"/>
                <w:color w:val="auto"/>
                <w:lang w:val="en-US" w:eastAsia="zh-CN"/>
              </w:rPr>
              <w:t>三</w:t>
            </w:r>
            <w:r>
              <w:rPr>
                <w:rFonts w:hint="eastAsia" w:ascii="Times New Roman" w:hAnsi="Times New Roman" w:cs="Times New Roman"/>
                <w:color w:val="auto"/>
                <w:lang w:val="en-US" w:eastAsia="zh-CN"/>
              </w:rPr>
              <w:t>，项目现状图见附图</w:t>
            </w:r>
            <w:r>
              <w:rPr>
                <w:rFonts w:hint="eastAsia" w:cs="Times New Roman"/>
                <w:color w:val="auto"/>
                <w:lang w:val="en-US" w:eastAsia="zh-CN"/>
              </w:rPr>
              <w:t>五</w:t>
            </w:r>
            <w:r>
              <w:rPr>
                <w:rFonts w:hint="eastAsia" w:ascii="Times New Roman" w:hAnsi="Times New Roman" w:cs="Times New Roman"/>
                <w:color w:val="auto"/>
                <w:lang w:val="en-US" w:eastAsia="zh-CN"/>
              </w:rPr>
              <w:t>）</w:t>
            </w:r>
            <w:r>
              <w:rPr>
                <w:rFonts w:ascii="Times New Roman" w:hAnsi="Times New Roman" w:cs="Times New Roman"/>
                <w:color w:val="auto"/>
                <w:lang w:val="en-US" w:eastAsia="zh-CN"/>
              </w:rPr>
              <w:t>。</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ascii="Times New Roman" w:hAnsi="Times New Roman" w:cs="Times New Roman"/>
                <w:color w:val="auto"/>
                <w:lang w:val="en-US" w:eastAsia="zh-CN"/>
              </w:rPr>
            </w:pP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ascii="Times New Roman" w:hAnsi="Times New Roman" w:cs="Times New Roman"/>
                <w:color w:val="auto"/>
                <w:lang w:val="en-US" w:eastAsia="zh-CN"/>
              </w:rPr>
            </w:pP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ascii="Times New Roman" w:hAnsi="Times New Roman" w:cs="Times New Roman"/>
                <w:color w:val="auto"/>
                <w:lang w:val="en-US" w:eastAsia="zh-CN"/>
              </w:rPr>
            </w:pP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ascii="Times New Roman" w:hAnsi="Times New Roman" w:cs="Times New Roman"/>
                <w:color w:val="auto"/>
                <w:lang w:val="en-US" w:eastAsia="zh-CN"/>
              </w:rPr>
            </w:pP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ascii="Times New Roman" w:hAnsi="Times New Roman" w:cs="Times New Roman"/>
                <w:color w:val="auto"/>
                <w:lang w:val="en-US" w:eastAsia="zh-CN"/>
              </w:rPr>
            </w:pPr>
          </w:p>
          <w:p>
            <w:pPr>
              <w:pStyle w:val="7"/>
              <w:keepNext w:val="0"/>
              <w:keepLines w:val="0"/>
              <w:suppressLineNumbers w:val="0"/>
              <w:spacing w:before="0" w:beforeAutospacing="0" w:after="0" w:afterAutospacing="0"/>
              <w:ind w:left="0" w:leftChars="0" w:firstLine="0" w:firstLineChars="0"/>
              <w:jc w:val="both"/>
              <w:rPr>
                <w:rFonts w:hint="default" w:ascii="Times New Roman" w:hAnsi="Times New Roman" w:cs="Times New Roman"/>
                <w:color w:val="FF0000"/>
                <w:lang w:val="en-US" w:eastAsia="zh-CN"/>
              </w:rPr>
            </w:pPr>
          </w:p>
          <w:p>
            <w:pPr>
              <w:pStyle w:val="7"/>
              <w:keepNext w:val="0"/>
              <w:keepLines w:val="0"/>
              <w:suppressLineNumbers w:val="0"/>
              <w:spacing w:before="0" w:beforeAutospacing="0" w:after="0" w:afterAutospacing="0"/>
              <w:ind w:left="0" w:leftChars="0" w:firstLine="0" w:firstLineChars="0"/>
              <w:jc w:val="both"/>
              <w:rPr>
                <w:rFonts w:hint="default" w:ascii="Times New Roman" w:hAnsi="Times New Roman" w:cs="Times New Roman"/>
                <w:color w:val="FF0000"/>
                <w:lang w:val="en-US" w:eastAsia="zh-CN"/>
              </w:rPr>
            </w:pPr>
          </w:p>
          <w:p>
            <w:pPr>
              <w:pStyle w:val="7"/>
              <w:keepNext w:val="0"/>
              <w:keepLines w:val="0"/>
              <w:suppressLineNumbers w:val="0"/>
              <w:spacing w:before="0" w:beforeAutospacing="0" w:after="0" w:afterAutospacing="0"/>
              <w:ind w:left="0" w:leftChars="0" w:firstLine="0" w:firstLineChars="0"/>
              <w:jc w:val="both"/>
              <w:rPr>
                <w:rFonts w:hint="default" w:ascii="Times New Roman" w:hAnsi="Times New Roman" w:cs="Times New Roman"/>
                <w:color w:val="FF0000"/>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ascii="宋体" w:hAnsi="宋体" w:eastAsia="宋体" w:cs="宋体"/>
                <w:color w:val="FF0000"/>
                <w:kern w:val="0"/>
                <w:sz w:val="21"/>
                <w:szCs w:val="21"/>
                <w:lang w:val="en-US" w:eastAsia="zh-CN" w:bidi="ar-SA"/>
              </w:rPr>
            </w:pPr>
            <w:r>
              <w:rPr>
                <w:rFonts w:hint="eastAsia" w:ascii="宋体" w:hAnsi="宋体" w:eastAsia="宋体" w:cs="宋体"/>
                <w:color w:val="auto"/>
                <w:kern w:val="0"/>
                <w:sz w:val="21"/>
                <w:szCs w:val="21"/>
                <w:lang w:val="en-US" w:eastAsia="zh-CN" w:bidi="ar-SA"/>
              </w:rPr>
              <w:t>工艺流程和产排污环节</w:t>
            </w:r>
          </w:p>
        </w:tc>
        <w:tc>
          <w:tcPr>
            <w:tcW w:w="8161" w:type="dxa"/>
            <w:noWrap w:val="0"/>
            <w:vAlign w:val="top"/>
          </w:tcPr>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leftChars="0" w:firstLine="0" w:firstLineChars="0"/>
              <w:textAlignment w:val="auto"/>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施工期：</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firstLineChars="200"/>
              <w:textAlignment w:val="auto"/>
              <w:rPr>
                <w:rFonts w:ascii="Times New Roman" w:hAnsi="Times New Roman" w:cs="Times New Roman"/>
                <w:color w:val="auto"/>
                <w:lang w:val="en-US" w:eastAsia="zh-CN"/>
              </w:rPr>
            </w:pPr>
            <w:r>
              <w:rPr>
                <w:rFonts w:ascii="Times New Roman" w:hAnsi="Times New Roman" w:cs="Times New Roman"/>
                <w:color w:val="auto"/>
                <w:lang w:val="en-US" w:eastAsia="zh-CN"/>
              </w:rPr>
              <w:t>施工期工艺流程主要为场地平整、</w:t>
            </w:r>
            <w:r>
              <w:rPr>
                <w:rFonts w:hint="eastAsia" w:ascii="Times New Roman" w:hAnsi="Times New Roman" w:cs="Times New Roman"/>
                <w:color w:val="auto"/>
                <w:lang w:val="en-US" w:eastAsia="zh-CN"/>
              </w:rPr>
              <w:t>厂房</w:t>
            </w:r>
            <w:r>
              <w:rPr>
                <w:rFonts w:ascii="Times New Roman" w:hAnsi="Times New Roman" w:cs="Times New Roman"/>
                <w:color w:val="auto"/>
                <w:lang w:val="en-US" w:eastAsia="zh-CN"/>
              </w:rPr>
              <w:t>建设、设备安装、竣工验收等，具体工艺流程及产污环节见</w:t>
            </w:r>
            <w:r>
              <w:rPr>
                <w:rFonts w:hint="eastAsia" w:ascii="Times New Roman" w:hAnsi="Times New Roman" w:cs="Times New Roman"/>
                <w:color w:val="auto"/>
                <w:lang w:val="en-US" w:eastAsia="zh-CN"/>
              </w:rPr>
              <w:t>下</w:t>
            </w:r>
            <w:r>
              <w:rPr>
                <w:rFonts w:ascii="Times New Roman" w:hAnsi="Times New Roman" w:cs="Times New Roman"/>
                <w:color w:val="auto"/>
                <w:lang w:val="en-US" w:eastAsia="zh-CN"/>
              </w:rPr>
              <w:t>图。</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textAlignment w:val="auto"/>
              <w:rPr>
                <w:rFonts w:ascii="Times New Roman" w:hAnsi="Times New Roman" w:cs="Times New Roman"/>
                <w:color w:val="auto"/>
                <w:lang w:val="en-US" w:eastAsia="zh-CN"/>
              </w:rPr>
            </w:pPr>
            <w:r>
              <w:rPr>
                <w:rFonts w:ascii="Times New Roman" w:hAnsi="Times New Roman" w:cs="Times New Roman"/>
                <w:color w:val="auto"/>
                <w:lang w:val="en-US" w:eastAsia="zh-CN"/>
              </w:rPr>
              <mc:AlternateContent>
                <mc:Choice Requires="wps">
                  <w:drawing>
                    <wp:anchor distT="0" distB="0" distL="114300" distR="114300" simplePos="0" relativeHeight="251678720" behindDoc="0" locked="0" layoutInCell="1" allowOverlap="1">
                      <wp:simplePos x="0" y="0"/>
                      <wp:positionH relativeFrom="column">
                        <wp:posOffset>15240</wp:posOffset>
                      </wp:positionH>
                      <wp:positionV relativeFrom="paragraph">
                        <wp:posOffset>240030</wp:posOffset>
                      </wp:positionV>
                      <wp:extent cx="904240" cy="24574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094740" cy="428625"/>
                              </a:xfrm>
                              <a:prstGeom prst="rect">
                                <a:avLst/>
                              </a:prstGeom>
                              <a:solidFill>
                                <a:srgbClr val="FFFFFF">
                                  <a:alpha val="0"/>
                                </a:srgbClr>
                              </a:solidFill>
                              <a:ln>
                                <a:noFill/>
                              </a:ln>
                              <a:effectLst/>
                            </wps:spPr>
                            <wps:txbx>
                              <w:txbxContent>
                                <w:p>
                                  <w:pPr>
                                    <w:rPr>
                                      <w:rFonts w:ascii="Times New Roman" w:hAnsi="Times New Roman" w:eastAsia="宋体" w:cs="Times New Roman"/>
                                      <w:szCs w:val="21"/>
                                    </w:rPr>
                                  </w:pPr>
                                  <w:r>
                                    <w:rPr>
                                      <w:rFonts w:hint="eastAsia" w:ascii="Times New Roman" w:hAnsi="Times New Roman" w:eastAsia="宋体" w:cs="Times New Roman"/>
                                      <w:szCs w:val="21"/>
                                    </w:rPr>
                                    <w:t>废气、</w:t>
                                  </w:r>
                                  <w:r>
                                    <w:rPr>
                                      <w:rFonts w:ascii="Times New Roman" w:hAnsi="Times New Roman" w:eastAsia="宋体" w:cs="Times New Roman"/>
                                      <w:szCs w:val="21"/>
                                    </w:rPr>
                                    <w:t>噪声</w:t>
                                  </w:r>
                                </w:p>
                              </w:txbxContent>
                            </wps:txbx>
                            <wps:bodyPr upright="1"/>
                          </wps:wsp>
                        </a:graphicData>
                      </a:graphic>
                    </wp:anchor>
                  </w:drawing>
                </mc:Choice>
                <mc:Fallback>
                  <w:pict>
                    <v:shape id="_x0000_s1026" o:spid="_x0000_s1026" o:spt="202" type="#_x0000_t202" style="position:absolute;left:0pt;margin-left:1.2pt;margin-top:18.9pt;height:19.35pt;width:71.2pt;z-index:251678720;mso-width-relative:page;mso-height-relative:page;" fillcolor="#FFFFFF" filled="t" stroked="f" coordsize="21600,21600" o:gfxdata="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d2XunXAAAABwEAAA8AAAAAAAAAAQAgAAAA&#10;IgAAAGRycy9kb3ducmV2LnhtbFBLAQIUABQAAAAIAIdO4kAgs2eg0wEAAKQDAAAOAAAAAAAAAAEA&#10;IAAAACYBAABkcnMvZTJvRG9jLnhtbFBLBQYAAAAABgAGAFkBAABrBQAAAAA=&#10;">
                      <v:fill on="t" opacity="0f" focussize="0,0"/>
                      <v:stroke on="f"/>
                      <v:imagedata o:title=""/>
                      <o:lock v:ext="edit" aspectratio="f"/>
                      <v:textbox>
                        <w:txbxContent>
                          <w:p>
                            <w:pPr>
                              <w:rPr>
                                <w:rFonts w:ascii="Times New Roman" w:hAnsi="Times New Roman" w:eastAsia="宋体" w:cs="Times New Roman"/>
                                <w:szCs w:val="21"/>
                              </w:rPr>
                            </w:pPr>
                            <w:r>
                              <w:rPr>
                                <w:rFonts w:hint="eastAsia" w:ascii="Times New Roman" w:hAnsi="Times New Roman" w:eastAsia="宋体" w:cs="Times New Roman"/>
                                <w:szCs w:val="21"/>
                              </w:rPr>
                              <w:t>废气、</w:t>
                            </w:r>
                            <w:r>
                              <w:rPr>
                                <w:rFonts w:ascii="Times New Roman" w:hAnsi="Times New Roman" w:eastAsia="宋体" w:cs="Times New Roman"/>
                                <w:szCs w:val="21"/>
                              </w:rPr>
                              <w:t>噪声</w:t>
                            </w:r>
                          </w:p>
                        </w:txbxContent>
                      </v:textbox>
                    </v:shape>
                  </w:pict>
                </mc:Fallback>
              </mc:AlternateContent>
            </w:r>
          </w:p>
          <w:p>
            <w:pPr>
              <w:keepNext w:val="0"/>
              <w:keepLines w:val="0"/>
              <w:widowControl w:val="0"/>
              <w:suppressLineNumbers w:val="0"/>
              <w:spacing w:before="0" w:beforeAutospacing="0" w:after="0" w:afterAutospacing="0" w:line="240" w:lineRule="auto"/>
              <w:ind w:left="0" w:right="0" w:firstLine="420" w:firstLineChars="0"/>
              <w:jc w:val="center"/>
              <w:rPr>
                <w:rFonts w:ascii="Times New Roman" w:hAnsi="Times New Roman" w:eastAsia="宋体" w:cs="Times New Roman"/>
                <w:color w:val="auto"/>
                <w:kern w:val="2"/>
                <w:sz w:val="21"/>
                <w:szCs w:val="20"/>
                <w:lang w:val="en-US" w:eastAsia="zh-CN" w:bidi="ar-SA"/>
              </w:rPr>
            </w:pPr>
            <w:r>
              <w:rPr>
                <w:rFonts w:ascii="Times New Roman" w:hAnsi="Times New Roman" w:eastAsia="宋体" w:cs="Times New Roman"/>
                <w:color w:val="auto"/>
                <w:kern w:val="2"/>
                <w:sz w:val="24"/>
                <w:szCs w:val="24"/>
                <w:lang w:val="en-US" w:eastAsia="zh-CN" w:bidi="ar-SA"/>
              </w:rPr>
              <mc:AlternateContent>
                <mc:Choice Requires="wps">
                  <w:drawing>
                    <wp:anchor distT="0" distB="0" distL="114300" distR="114300" simplePos="0" relativeHeight="251676672" behindDoc="0" locked="0" layoutInCell="1" allowOverlap="1">
                      <wp:simplePos x="0" y="0"/>
                      <wp:positionH relativeFrom="column">
                        <wp:posOffset>3063240</wp:posOffset>
                      </wp:positionH>
                      <wp:positionV relativeFrom="paragraph">
                        <wp:posOffset>26035</wp:posOffset>
                      </wp:positionV>
                      <wp:extent cx="511810" cy="30543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511810" cy="448310"/>
                              </a:xfrm>
                              <a:prstGeom prst="rect">
                                <a:avLst/>
                              </a:prstGeom>
                              <a:noFill/>
                              <a:ln>
                                <a:noFill/>
                              </a:ln>
                              <a:effectLst/>
                            </wps:spPr>
                            <wps:txbx>
                              <w:txbxContent>
                                <w:p>
                                  <w:pPr>
                                    <w:rPr>
                                      <w:rFonts w:ascii="Times New Roman" w:hAnsi="Times New Roman" w:eastAsia="宋体" w:cs="Times New Roman"/>
                                      <w:szCs w:val="21"/>
                                    </w:rPr>
                                  </w:pPr>
                                  <w:r>
                                    <w:rPr>
                                      <w:rFonts w:ascii="Times New Roman" w:hAnsi="Times New Roman" w:eastAsia="宋体" w:cs="Times New Roman"/>
                                      <w:szCs w:val="21"/>
                                    </w:rPr>
                                    <w:t>噪声</w:t>
                                  </w:r>
                                </w:p>
                              </w:txbxContent>
                            </wps:txbx>
                            <wps:bodyPr upright="1"/>
                          </wps:wsp>
                        </a:graphicData>
                      </a:graphic>
                    </wp:anchor>
                  </w:drawing>
                </mc:Choice>
                <mc:Fallback>
                  <w:pict>
                    <v:shape id="_x0000_s1026" o:spid="_x0000_s1026" o:spt="202" type="#_x0000_t202" style="position:absolute;left:0pt;margin-left:241.2pt;margin-top:2.05pt;height:24.05pt;width:40.3pt;z-index:251676672;mso-width-relative:page;mso-height-relative:page;" filled="f" stroked="f" coordsize="21600,21600" o:gfxdata="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HAzCNUA&#10;AAAIAQAADwAAAAAAAAABACAAAAAiAAAAZHJzL2Rvd25yZXYueG1sUEsBAhQAFAAAAAgAh07iQM2z&#10;YrCwAQAAXQMAAA4AAAAAAAAAAQAgAAAAJAEAAGRycy9lMm9Eb2MueG1sUEsFBgAAAAAGAAYAWQEA&#10;AEYFAAAAAA==&#10;">
                      <v:fill on="f" focussize="0,0"/>
                      <v:stroke on="f"/>
                      <v:imagedata o:title=""/>
                      <o:lock v:ext="edit" aspectratio="f"/>
                      <v:textbox>
                        <w:txbxContent>
                          <w:p>
                            <w:pPr>
                              <w:rPr>
                                <w:rFonts w:ascii="Times New Roman" w:hAnsi="Times New Roman" w:eastAsia="宋体" w:cs="Times New Roman"/>
                                <w:szCs w:val="21"/>
                              </w:rPr>
                            </w:pPr>
                            <w:r>
                              <w:rPr>
                                <w:rFonts w:ascii="Times New Roman" w:hAnsi="Times New Roman" w:eastAsia="宋体" w:cs="Times New Roman"/>
                                <w:szCs w:val="21"/>
                              </w:rPr>
                              <w:t>噪声</w:t>
                            </w:r>
                          </w:p>
                        </w:txbxContent>
                      </v:textbox>
                    </v:shape>
                  </w:pict>
                </mc:Fallback>
              </mc:AlternateContent>
            </w:r>
            <w:r>
              <w:rPr>
                <w:rFonts w:ascii="Times New Roman" w:hAnsi="Times New Roman" w:eastAsia="宋体" w:cs="Times New Roman"/>
                <w:color w:val="auto"/>
                <w:kern w:val="2"/>
                <w:sz w:val="21"/>
                <w:szCs w:val="20"/>
                <w:lang w:val="en-US" w:eastAsia="zh-CN" w:bidi="ar-SA"/>
              </w:rPr>
              <mc:AlternateContent>
                <mc:Choice Requires="wps">
                  <w:drawing>
                    <wp:anchor distT="0" distB="0" distL="114300" distR="114300" simplePos="0" relativeHeight="251670528" behindDoc="0" locked="0" layoutInCell="1" allowOverlap="1">
                      <wp:simplePos x="0" y="0"/>
                      <wp:positionH relativeFrom="column">
                        <wp:posOffset>429260</wp:posOffset>
                      </wp:positionH>
                      <wp:positionV relativeFrom="paragraph">
                        <wp:posOffset>205740</wp:posOffset>
                      </wp:positionV>
                      <wp:extent cx="6985" cy="273050"/>
                      <wp:effectExtent l="36195" t="0" r="33020" b="12700"/>
                      <wp:wrapNone/>
                      <wp:docPr id="7" name="直接连接符 7"/>
                      <wp:cNvGraphicFramePr/>
                      <a:graphic xmlns:a="http://schemas.openxmlformats.org/drawingml/2006/main">
                        <a:graphicData uri="http://schemas.microsoft.com/office/word/2010/wordprocessingShape">
                          <wps:wsp>
                            <wps:cNvCnPr/>
                            <wps:spPr>
                              <a:xfrm flipH="1" flipV="1">
                                <a:off x="0" y="0"/>
                                <a:ext cx="6985" cy="2730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33.8pt;margin-top:16.2pt;height:21.5pt;width:0.55pt;z-index:251670528;mso-width-relative:page;mso-height-relative:page;" filled="f" stroked="t" coordsize="21600,21600" o:gfxdata="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XIKZ7XAAAABwEAAA8AAAAAAAAAAQAgAAAA&#10;IgAAAGRycy9kb3ducmV2LnhtbFBLAQIUABQAAAAIAIdO4kCSDP0VDAIAAP4DAAAOAAAAAAAAAAEA&#10;IAAAACYBAABkcnMvZTJvRG9jLnhtbFBLBQYAAAAABgAGAFkBAACkBQAAAAA=&#10;">
                      <v:fill on="f" focussize="0,0"/>
                      <v:stroke color="#000000" joinstyle="round" endarrow="block"/>
                      <v:imagedata o:title=""/>
                      <o:lock v:ext="edit" aspectratio="f"/>
                    </v:line>
                  </w:pict>
                </mc:Fallback>
              </mc:AlternateContent>
            </w:r>
            <w:r>
              <w:rPr>
                <w:rFonts w:ascii="Times New Roman" w:hAnsi="Times New Roman" w:eastAsia="宋体" w:cs="Times New Roman"/>
                <w:color w:val="auto"/>
                <w:kern w:val="2"/>
                <w:sz w:val="21"/>
                <w:szCs w:val="20"/>
                <w:lang w:val="en-US" w:eastAsia="zh-CN" w:bidi="ar-SA"/>
              </w:rPr>
              <w:t xml:space="preserve">               </w:t>
            </w:r>
          </w:p>
          <w:p>
            <w:pPr>
              <w:keepNext w:val="0"/>
              <w:keepLines w:val="0"/>
              <w:suppressLineNumbers w:val="0"/>
              <w:spacing w:before="0" w:beforeAutospacing="0" w:after="0" w:afterAutospacing="0"/>
              <w:ind w:left="0" w:right="0"/>
              <w:rPr>
                <w:rFonts w:ascii="Times New Roman" w:hAnsi="Times New Roman" w:eastAsia="宋体" w:cs="Times New Roman"/>
                <w:color w:val="auto"/>
              </w:rPr>
            </w:pPr>
          </w:p>
          <w:p>
            <w:pPr>
              <w:keepNext w:val="0"/>
              <w:keepLines w:val="0"/>
              <w:suppressLineNumbers w:val="0"/>
              <w:spacing w:before="0" w:beforeAutospacing="0" w:after="0" w:afterAutospacing="0"/>
              <w:ind w:left="0" w:right="0"/>
              <w:rPr>
                <w:rFonts w:ascii="Times New Roman" w:hAnsi="Times New Roman" w:eastAsia="宋体" w:cs="Times New Roman"/>
                <w:color w:val="auto"/>
              </w:rPr>
            </w:pPr>
            <w:r>
              <w:rPr>
                <w:rFonts w:ascii="Times New Roman" w:hAnsi="Times New Roman" w:eastAsia="宋体" w:cs="Times New Roman"/>
                <w:color w:val="auto"/>
              </w:rPr>
              <mc:AlternateContent>
                <mc:Choice Requires="wps">
                  <w:drawing>
                    <wp:anchor distT="0" distB="0" distL="114300" distR="114300" simplePos="0" relativeHeight="251669504" behindDoc="0" locked="0" layoutInCell="1" allowOverlap="1">
                      <wp:simplePos x="0" y="0"/>
                      <wp:positionH relativeFrom="column">
                        <wp:posOffset>3301365</wp:posOffset>
                      </wp:positionH>
                      <wp:positionV relativeFrom="paragraph">
                        <wp:posOffset>9525</wp:posOffset>
                      </wp:positionV>
                      <wp:extent cx="0" cy="280035"/>
                      <wp:effectExtent l="38100" t="0" r="38100" b="5715"/>
                      <wp:wrapNone/>
                      <wp:docPr id="8" name="直接连接符 8"/>
                      <wp:cNvGraphicFramePr/>
                      <a:graphic xmlns:a="http://schemas.openxmlformats.org/drawingml/2006/main">
                        <a:graphicData uri="http://schemas.microsoft.com/office/word/2010/wordprocessingShape">
                          <wps:wsp>
                            <wps:cNvCnPr/>
                            <wps:spPr>
                              <a:xfrm flipV="1">
                                <a:off x="0" y="0"/>
                                <a:ext cx="0" cy="2800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y;margin-left:259.95pt;margin-top:0.75pt;height:22.05pt;width:0pt;z-index:251669504;mso-width-relative:page;mso-height-relative:page;" filled="f" stroked="t" coordsize="21600,21600" o:gfxdata="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ICFqN1wAAAAgBAAAPAAAAAAAAAAEAIAAAACIAAABkcnMv&#10;ZG93bnJldi54bWxQSwECFAAUAAAACACHTuJAitw8GAQCAAD/AwAADgAAAAAAAAABACAAAAAmAQAA&#10;ZHJzL2Uyb0RvYy54bWxQSwUGAAAAAAYABgBZAQAAnAUAAAAA&#10;">
                      <v:fill on="f" focussize="0,0"/>
                      <v:stroke color="#000000" joinstyle="round" endarrow="block"/>
                      <v:imagedata o:title=""/>
                      <o:lock v:ext="edit" aspectratio="f"/>
                    </v:line>
                  </w:pict>
                </mc:Fallback>
              </mc:AlternateContent>
            </w:r>
          </w:p>
          <w:p>
            <w:pPr>
              <w:keepNext w:val="0"/>
              <w:keepLines w:val="0"/>
              <w:suppressLineNumbers w:val="0"/>
              <w:spacing w:before="0" w:beforeAutospacing="0" w:after="0" w:afterAutospacing="0"/>
              <w:ind w:left="0" w:right="0"/>
              <w:rPr>
                <w:rFonts w:ascii="Times New Roman" w:hAnsi="Times New Roman" w:eastAsia="宋体" w:cs="Times New Roman"/>
                <w:color w:val="auto"/>
              </w:rPr>
            </w:pPr>
            <w:r>
              <w:rPr>
                <w:rFonts w:ascii="Times New Roman" w:hAnsi="Times New Roman" w:eastAsia="宋体" w:cs="Times New Roman"/>
                <w:color w:val="auto"/>
              </w:rPr>
              <mc:AlternateContent>
                <mc:Choice Requires="wps">
                  <w:drawing>
                    <wp:anchor distT="0" distB="0" distL="114300" distR="114300" simplePos="0" relativeHeight="251668480" behindDoc="0" locked="0" layoutInCell="1" allowOverlap="1">
                      <wp:simplePos x="0" y="0"/>
                      <wp:positionH relativeFrom="column">
                        <wp:posOffset>4215765</wp:posOffset>
                      </wp:positionH>
                      <wp:positionV relativeFrom="paragraph">
                        <wp:posOffset>121920</wp:posOffset>
                      </wp:positionV>
                      <wp:extent cx="758190" cy="250825"/>
                      <wp:effectExtent l="0" t="0" r="3810" b="15875"/>
                      <wp:wrapNone/>
                      <wp:docPr id="6" name="文本框 6"/>
                      <wp:cNvGraphicFramePr/>
                      <a:graphic xmlns:a="http://schemas.openxmlformats.org/drawingml/2006/main">
                        <a:graphicData uri="http://schemas.microsoft.com/office/word/2010/wordprocessingShape">
                          <wps:wsp>
                            <wps:cNvSpPr txBox="1"/>
                            <wps:spPr>
                              <a:xfrm>
                                <a:off x="0" y="0"/>
                                <a:ext cx="924560" cy="417830"/>
                              </a:xfrm>
                              <a:prstGeom prst="rect">
                                <a:avLst/>
                              </a:prstGeom>
                              <a:solidFill>
                                <a:srgbClr val="FFFFFF"/>
                              </a:solidFill>
                              <a:ln>
                                <a:noFill/>
                              </a:ln>
                              <a:effectLst/>
                            </wps:spPr>
                            <wps:txbx>
                              <w:txbxContent>
                                <w:p>
                                  <w:pPr>
                                    <w:rPr>
                                      <w:rFonts w:ascii="Times New Roman" w:hAnsi="Times New Roman" w:eastAsia="宋体" w:cs="Times New Roman"/>
                                    </w:rPr>
                                  </w:pPr>
                                  <w:r>
                                    <w:rPr>
                                      <w:rFonts w:hint="eastAsia" w:ascii="Times New Roman" w:hAnsi="Times New Roman" w:eastAsia="宋体" w:cs="Times New Roman"/>
                                    </w:rPr>
                                    <w:t>竣工验收</w:t>
                                  </w:r>
                                </w:p>
                              </w:txbxContent>
                            </wps:txbx>
                            <wps:bodyPr upright="1"/>
                          </wps:wsp>
                        </a:graphicData>
                      </a:graphic>
                    </wp:anchor>
                  </w:drawing>
                </mc:Choice>
                <mc:Fallback>
                  <w:pict>
                    <v:shape id="_x0000_s1026" o:spid="_x0000_s1026" o:spt="202" type="#_x0000_t202" style="position:absolute;left:0pt;margin-left:331.95pt;margin-top:9.6pt;height:19.75pt;width:59.7pt;z-index:251668480;mso-width-relative:page;mso-height-relative:page;" fillcolor="#FFFFFF" filled="t" stroked="f" coordsize="21600,21600" o:gfxdata="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sG8onXAAAACQEAAA8AAAAAAAAAAQAgAAAAIgAAAGRycy9kb3du&#10;cmV2LnhtbFBLAQIUABQAAAAIAIdO4kBHUS3nxwEAAIQDAAAOAAAAAAAAAAEAIAAAACYBAABkcnMv&#10;ZTJvRG9jLnhtbFBLBQYAAAAABgAGAFkBAABfBQAAAAA=&#10;">
                      <v:fill on="t" focussize="0,0"/>
                      <v:stroke on="f"/>
                      <v:imagedata o:title=""/>
                      <o:lock v:ext="edit" aspectratio="f"/>
                      <v:textbox>
                        <w:txbxContent>
                          <w:p>
                            <w:pPr>
                              <w:rPr>
                                <w:rFonts w:ascii="Times New Roman" w:hAnsi="Times New Roman" w:eastAsia="宋体" w:cs="Times New Roman"/>
                              </w:rPr>
                            </w:pPr>
                            <w:r>
                              <w:rPr>
                                <w:rFonts w:hint="eastAsia" w:ascii="Times New Roman" w:hAnsi="Times New Roman" w:eastAsia="宋体" w:cs="Times New Roman"/>
                              </w:rPr>
                              <w:t>竣工验收</w:t>
                            </w:r>
                          </w:p>
                        </w:txbxContent>
                      </v:textbox>
                    </v:shape>
                  </w:pict>
                </mc:Fallback>
              </mc:AlternateContent>
            </w:r>
            <w:r>
              <w:rPr>
                <w:rFonts w:ascii="Times New Roman" w:hAnsi="Times New Roman" w:eastAsia="宋体" w:cs="Times New Roman"/>
                <w:color w:val="auto"/>
              </w:rPr>
              <mc:AlternateContent>
                <mc:Choice Requires="wps">
                  <w:drawing>
                    <wp:anchor distT="0" distB="0" distL="114300" distR="114300" simplePos="0" relativeHeight="251667456" behindDoc="0" locked="0" layoutInCell="1" allowOverlap="1">
                      <wp:simplePos x="0" y="0"/>
                      <wp:positionH relativeFrom="column">
                        <wp:posOffset>2874645</wp:posOffset>
                      </wp:positionH>
                      <wp:positionV relativeFrom="paragraph">
                        <wp:posOffset>116205</wp:posOffset>
                      </wp:positionV>
                      <wp:extent cx="922655" cy="287655"/>
                      <wp:effectExtent l="5080" t="4445" r="5715" b="12700"/>
                      <wp:wrapNone/>
                      <wp:docPr id="9" name="矩形 9"/>
                      <wp:cNvGraphicFramePr/>
                      <a:graphic xmlns:a="http://schemas.openxmlformats.org/drawingml/2006/main">
                        <a:graphicData uri="http://schemas.microsoft.com/office/word/2010/wordprocessingShape">
                          <wps:wsp>
                            <wps:cNvSpPr/>
                            <wps:spPr>
                              <a:xfrm>
                                <a:off x="0" y="0"/>
                                <a:ext cx="922655" cy="4381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Times New Roman" w:hAnsi="Times New Roman" w:eastAsia="宋体" w:cs="Times New Roman"/>
                                    </w:rPr>
                                  </w:pPr>
                                  <w:r>
                                    <w:rPr>
                                      <w:rFonts w:hint="eastAsia" w:ascii="Times New Roman" w:hAnsi="Times New Roman" w:eastAsia="宋体" w:cs="Times New Roman"/>
                                    </w:rPr>
                                    <w:t>设备安装</w:t>
                                  </w:r>
                                </w:p>
                              </w:txbxContent>
                            </wps:txbx>
                            <wps:bodyPr upright="1"/>
                          </wps:wsp>
                        </a:graphicData>
                      </a:graphic>
                    </wp:anchor>
                  </w:drawing>
                </mc:Choice>
                <mc:Fallback>
                  <w:pict>
                    <v:rect id="_x0000_s1026" o:spid="_x0000_s1026" o:spt="1" style="position:absolute;left:0pt;margin-left:226.35pt;margin-top:9.15pt;height:22.65pt;width:72.65pt;z-index:251667456;mso-width-relative:page;mso-height-relative:page;" fillcolor="#FFFFFF" filled="t" stroked="t" coordsize="21600,21600" o:gfxdata="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&#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Frbvt1wAAAAkBAAAPAAAAAAAAAAEAIAAAACIAAABk&#10;cnMvZG93bnJldi54bWxQSwECFAAUAAAACACHTuJA4GFZvgcCAAA2BAAADgAAAAAAAAABACAAAAAm&#10;AQAAZHJzL2Uyb0RvYy54bWxQSwUGAAAAAAYABgBZAQAAnwUAAAAA&#10;">
                      <v:fill on="t" focussize="0,0"/>
                      <v:stroke color="#000000" joinstyle="miter"/>
                      <v:imagedata o:title=""/>
                      <o:lock v:ext="edit" aspectratio="f"/>
                      <v:textbox>
                        <w:txbxContent>
                          <w:p>
                            <w:pPr>
                              <w:jc w:val="center"/>
                              <w:rPr>
                                <w:rFonts w:ascii="Times New Roman" w:hAnsi="Times New Roman" w:eastAsia="宋体" w:cs="Times New Roman"/>
                              </w:rPr>
                            </w:pPr>
                            <w:r>
                              <w:rPr>
                                <w:rFonts w:hint="eastAsia" w:ascii="Times New Roman" w:hAnsi="Times New Roman" w:eastAsia="宋体" w:cs="Times New Roman"/>
                              </w:rPr>
                              <w:t>设备安装</w:t>
                            </w:r>
                          </w:p>
                        </w:txbxContent>
                      </v:textbox>
                    </v:rect>
                  </w:pict>
                </mc:Fallback>
              </mc:AlternateContent>
            </w:r>
            <w:r>
              <w:rPr>
                <w:rFonts w:ascii="Times New Roman" w:hAnsi="Times New Roman" w:eastAsia="宋体" w:cs="Times New Roman"/>
                <w:color w:val="auto"/>
              </w:rPr>
              <mc:AlternateContent>
                <mc:Choice Requires="wps">
                  <w:drawing>
                    <wp:anchor distT="0" distB="0" distL="114300" distR="114300" simplePos="0" relativeHeight="251666432" behindDoc="0" locked="0" layoutInCell="1" allowOverlap="1">
                      <wp:simplePos x="0" y="0"/>
                      <wp:positionH relativeFrom="column">
                        <wp:posOffset>1268730</wp:posOffset>
                      </wp:positionH>
                      <wp:positionV relativeFrom="paragraph">
                        <wp:posOffset>72390</wp:posOffset>
                      </wp:positionV>
                      <wp:extent cx="1195705" cy="316865"/>
                      <wp:effectExtent l="4445" t="4445" r="19050" b="21590"/>
                      <wp:wrapNone/>
                      <wp:docPr id="10" name="矩形 10"/>
                      <wp:cNvGraphicFramePr/>
                      <a:graphic xmlns:a="http://schemas.openxmlformats.org/drawingml/2006/main">
                        <a:graphicData uri="http://schemas.microsoft.com/office/word/2010/wordprocessingShape">
                          <wps:wsp>
                            <wps:cNvSpPr/>
                            <wps:spPr>
                              <a:xfrm>
                                <a:off x="0" y="0"/>
                                <a:ext cx="1195705" cy="4591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Times New Roman" w:hAnsi="Times New Roman" w:eastAsia="宋体" w:cs="Times New Roman"/>
                                    </w:rPr>
                                  </w:pPr>
                                  <w:r>
                                    <w:rPr>
                                      <w:rFonts w:hint="eastAsia" w:ascii="Times New Roman" w:hAnsi="Times New Roman" w:eastAsia="宋体" w:cs="Times New Roman"/>
                                    </w:rPr>
                                    <w:t>厂房建设</w:t>
                                  </w:r>
                                </w:p>
                              </w:txbxContent>
                            </wps:txbx>
                            <wps:bodyPr upright="1"/>
                          </wps:wsp>
                        </a:graphicData>
                      </a:graphic>
                    </wp:anchor>
                  </w:drawing>
                </mc:Choice>
                <mc:Fallback>
                  <w:pict>
                    <v:rect id="_x0000_s1026" o:spid="_x0000_s1026" o:spt="1" style="position:absolute;left:0pt;margin-left:99.9pt;margin-top:5.7pt;height:24.95pt;width:94.15pt;z-index:251666432;mso-width-relative:page;mso-height-relative:page;" fillcolor="#FFFFFF" filled="t" stroked="t" coordsize="21600,21600" o:gfxdata="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nACZ1wAAAAkBAAAPAAAAAAAAAAEAIAAAACIAAABkcnMv&#10;ZG93bnJldi54bWxQSwECFAAUAAAACACHTuJAfchkogQCAAA5BAAADgAAAAAAAAABACAAAAAmAQAA&#10;ZHJzL2Uyb0RvYy54bWxQSwUGAAAAAAYABgBZAQAAnAUAAAAA&#10;">
                      <v:fill on="t" focussize="0,0"/>
                      <v:stroke color="#000000" joinstyle="miter"/>
                      <v:imagedata o:title=""/>
                      <o:lock v:ext="edit" aspectratio="f"/>
                      <v:textbox>
                        <w:txbxContent>
                          <w:p>
                            <w:pPr>
                              <w:jc w:val="center"/>
                              <w:rPr>
                                <w:rFonts w:ascii="Times New Roman" w:hAnsi="Times New Roman" w:eastAsia="宋体" w:cs="Times New Roman"/>
                              </w:rPr>
                            </w:pPr>
                            <w:r>
                              <w:rPr>
                                <w:rFonts w:hint="eastAsia" w:ascii="Times New Roman" w:hAnsi="Times New Roman" w:eastAsia="宋体" w:cs="Times New Roman"/>
                              </w:rPr>
                              <w:t>厂房建设</w:t>
                            </w:r>
                          </w:p>
                        </w:txbxContent>
                      </v:textbox>
                    </v:rect>
                  </w:pict>
                </mc:Fallback>
              </mc:AlternateContent>
            </w:r>
            <w:r>
              <w:rPr>
                <w:rFonts w:ascii="Times New Roman" w:hAnsi="Times New Roman" w:eastAsia="宋体" w:cs="Times New Roman"/>
                <w:color w:val="auto"/>
              </w:rPr>
              <mc:AlternateContent>
                <mc:Choice Requires="wps">
                  <w:drawing>
                    <wp:anchor distT="0" distB="0" distL="114300" distR="114300" simplePos="0" relativeHeight="251665408" behindDoc="0" locked="0" layoutInCell="1" allowOverlap="1">
                      <wp:simplePos x="0" y="0"/>
                      <wp:positionH relativeFrom="column">
                        <wp:posOffset>-26670</wp:posOffset>
                      </wp:positionH>
                      <wp:positionV relativeFrom="paragraph">
                        <wp:posOffset>9525</wp:posOffset>
                      </wp:positionV>
                      <wp:extent cx="888365" cy="328930"/>
                      <wp:effectExtent l="5080" t="4445" r="20955" b="9525"/>
                      <wp:wrapNone/>
                      <wp:docPr id="11" name="矩形 11"/>
                      <wp:cNvGraphicFramePr/>
                      <a:graphic xmlns:a="http://schemas.openxmlformats.org/drawingml/2006/main">
                        <a:graphicData uri="http://schemas.microsoft.com/office/word/2010/wordprocessingShape">
                          <wps:wsp>
                            <wps:cNvSpPr/>
                            <wps:spPr>
                              <a:xfrm>
                                <a:off x="0" y="0"/>
                                <a:ext cx="888365" cy="4483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Times New Roman" w:hAnsi="Times New Roman" w:eastAsia="宋体" w:cs="Times New Roman"/>
                                    </w:rPr>
                                  </w:pPr>
                                  <w:r>
                                    <w:rPr>
                                      <w:rFonts w:hint="eastAsia" w:ascii="Times New Roman" w:hAnsi="Times New Roman" w:eastAsia="宋体" w:cs="Times New Roman"/>
                                    </w:rPr>
                                    <w:t>场地平整</w:t>
                                  </w:r>
                                </w:p>
                              </w:txbxContent>
                            </wps:txbx>
                            <wps:bodyPr upright="1"/>
                          </wps:wsp>
                        </a:graphicData>
                      </a:graphic>
                    </wp:anchor>
                  </w:drawing>
                </mc:Choice>
                <mc:Fallback>
                  <w:pict>
                    <v:rect id="_x0000_s1026" o:spid="_x0000_s1026" o:spt="1" style="position:absolute;left:0pt;margin-left:-2.1pt;margin-top:0.75pt;height:25.9pt;width:69.95pt;z-index:251665408;mso-width-relative:page;mso-height-relative:page;" fillcolor="#FFFFFF" filled="t" stroked="t" coordsize="21600,21600" o:gfxdata="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JpUxbVAAAABwEAAA8AAAAAAAAAAQAgAAAAIgAAAGRy&#10;cy9kb3ducmV2LnhtbFBLAQIUABQAAAAIAIdO4kDh1vZaCAIAADgEAAAOAAAAAAAAAAEAIAAAACQB&#10;AABkcnMvZTJvRG9jLnhtbFBLBQYAAAAABgAGAFkBAACeBQAAAAA=&#10;">
                      <v:fill on="t" focussize="0,0"/>
                      <v:stroke color="#000000" joinstyle="miter"/>
                      <v:imagedata o:title=""/>
                      <o:lock v:ext="edit" aspectratio="f"/>
                      <v:textbox>
                        <w:txbxContent>
                          <w:p>
                            <w:pPr>
                              <w:jc w:val="center"/>
                              <w:rPr>
                                <w:rFonts w:ascii="Times New Roman" w:hAnsi="Times New Roman" w:eastAsia="宋体" w:cs="Times New Roman"/>
                              </w:rPr>
                            </w:pPr>
                            <w:r>
                              <w:rPr>
                                <w:rFonts w:hint="eastAsia" w:ascii="Times New Roman" w:hAnsi="Times New Roman" w:eastAsia="宋体" w:cs="Times New Roman"/>
                              </w:rPr>
                              <w:t>场地平整</w:t>
                            </w:r>
                          </w:p>
                        </w:txbxContent>
                      </v:textbox>
                    </v:rect>
                  </w:pict>
                </mc:Fallback>
              </mc:AlternateContent>
            </w:r>
          </w:p>
          <w:p>
            <w:pPr>
              <w:keepNext w:val="0"/>
              <w:keepLines w:val="0"/>
              <w:suppressLineNumbers w:val="0"/>
              <w:spacing w:before="0" w:beforeAutospacing="0" w:after="0" w:afterAutospacing="0"/>
              <w:ind w:left="0" w:right="0"/>
              <w:rPr>
                <w:rFonts w:ascii="Times New Roman" w:hAnsi="Times New Roman" w:eastAsia="宋体" w:cs="Times New Roman"/>
                <w:color w:val="auto"/>
              </w:rPr>
            </w:pPr>
            <w:r>
              <w:rPr>
                <w:rFonts w:ascii="Times New Roman" w:hAnsi="Times New Roman" w:eastAsia="宋体" w:cs="Times New Roman"/>
                <w:color w:val="auto"/>
              </w:rPr>
              <mc:AlternateContent>
                <mc:Choice Requires="wps">
                  <w:drawing>
                    <wp:anchor distT="0" distB="0" distL="114300" distR="114300" simplePos="0" relativeHeight="251673600" behindDoc="0" locked="0" layoutInCell="1" allowOverlap="1">
                      <wp:simplePos x="0" y="0"/>
                      <wp:positionH relativeFrom="column">
                        <wp:posOffset>3797935</wp:posOffset>
                      </wp:positionH>
                      <wp:positionV relativeFrom="paragraph">
                        <wp:posOffset>127635</wp:posOffset>
                      </wp:positionV>
                      <wp:extent cx="394970" cy="0"/>
                      <wp:effectExtent l="0" t="38100" r="5080" b="38100"/>
                      <wp:wrapNone/>
                      <wp:docPr id="12" name="直接连接符 12"/>
                      <wp:cNvGraphicFramePr/>
                      <a:graphic xmlns:a="http://schemas.openxmlformats.org/drawingml/2006/main">
                        <a:graphicData uri="http://schemas.microsoft.com/office/word/2010/wordprocessingShape">
                          <wps:wsp>
                            <wps:cNvCnPr/>
                            <wps:spPr>
                              <a:xfrm>
                                <a:off x="0" y="0"/>
                                <a:ext cx="39497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99.05pt;margin-top:10.05pt;height:0pt;width:31.1pt;z-index:251673600;mso-width-relative:page;mso-height-relative:page;" filled="f" stroked="t" coordsize="21600,21600" o:gfxdata="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ZIV6NgAAAAJAQAADwAAAAAAAAABACAAAAAiAAAAZHJzL2Rv&#10;d25yZXYueG1sUEsBAhQAFAAAAAgAh07iQEzrKDkBAgAA9wMAAA4AAAAAAAAAAQAgAAAAJwEAAGRy&#10;cy9lMm9Eb2MueG1sUEsFBgAAAAAGAAYAWQEAAJoFAAAAAA==&#10;">
                      <v:fill on="f" focussize="0,0"/>
                      <v:stroke color="#000000" joinstyle="round" endarrow="block"/>
                      <v:imagedata o:title=""/>
                      <o:lock v:ext="edit" aspectratio="f"/>
                    </v:line>
                  </w:pict>
                </mc:Fallback>
              </mc:AlternateContent>
            </w:r>
            <w:r>
              <w:rPr>
                <w:rFonts w:ascii="Times New Roman" w:hAnsi="Times New Roman" w:eastAsia="宋体" w:cs="Times New Roman"/>
                <w:color w:val="auto"/>
              </w:rPr>
              <mc:AlternateContent>
                <mc:Choice Requires="wps">
                  <w:drawing>
                    <wp:anchor distT="0" distB="0" distL="114300" distR="114300" simplePos="0" relativeHeight="251674624" behindDoc="0" locked="0" layoutInCell="1" allowOverlap="1">
                      <wp:simplePos x="0" y="0"/>
                      <wp:positionH relativeFrom="column">
                        <wp:posOffset>2466975</wp:posOffset>
                      </wp:positionH>
                      <wp:positionV relativeFrom="paragraph">
                        <wp:posOffset>81915</wp:posOffset>
                      </wp:positionV>
                      <wp:extent cx="394970" cy="0"/>
                      <wp:effectExtent l="0" t="38100" r="5080" b="38100"/>
                      <wp:wrapNone/>
                      <wp:docPr id="13" name="直接连接符 13"/>
                      <wp:cNvGraphicFramePr/>
                      <a:graphic xmlns:a="http://schemas.openxmlformats.org/drawingml/2006/main">
                        <a:graphicData uri="http://schemas.microsoft.com/office/word/2010/wordprocessingShape">
                          <wps:wsp>
                            <wps:cNvCnPr/>
                            <wps:spPr>
                              <a:xfrm>
                                <a:off x="0" y="0"/>
                                <a:ext cx="39497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194.25pt;margin-top:6.45pt;height:0pt;width:31.1pt;z-index:251674624;mso-width-relative:page;mso-height-relative:page;" filled="f" stroked="t" coordsize="21600,21600" o:gfxdata="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jO3DZAAAACQEAAA8AAAAAAAAAAQAgAAAAIgAAAGRycy9k&#10;b3ducmV2LnhtbFBLAQIUABQAAAAIAIdO4kBBkUc9AQIAAPcDAAAOAAAAAAAAAAEAIAAAACgBAABk&#10;cnMvZTJvRG9jLnhtbFBLBQYAAAAABgAGAFkBAACbBQAAAAA=&#10;">
                      <v:fill on="f" focussize="0,0"/>
                      <v:stroke color="#000000" joinstyle="round" endarrow="block"/>
                      <v:imagedata o:title=""/>
                      <o:lock v:ext="edit" aspectratio="f"/>
                    </v:line>
                  </w:pict>
                </mc:Fallback>
              </mc:AlternateContent>
            </w:r>
            <w:r>
              <w:rPr>
                <w:rFonts w:ascii="Times New Roman" w:hAnsi="Times New Roman" w:eastAsia="宋体" w:cs="Times New Roman"/>
                <w:b/>
                <w:color w:val="auto"/>
                <w:sz w:val="24"/>
              </w:rPr>
              <mc:AlternateContent>
                <mc:Choice Requires="wps">
                  <w:drawing>
                    <wp:anchor distT="0" distB="0" distL="114300" distR="114300" simplePos="0" relativeHeight="251675648" behindDoc="0" locked="0" layoutInCell="1" allowOverlap="1">
                      <wp:simplePos x="0" y="0"/>
                      <wp:positionH relativeFrom="column">
                        <wp:posOffset>870585</wp:posOffset>
                      </wp:positionH>
                      <wp:positionV relativeFrom="paragraph">
                        <wp:posOffset>36195</wp:posOffset>
                      </wp:positionV>
                      <wp:extent cx="394970" cy="0"/>
                      <wp:effectExtent l="0" t="38100" r="5080" b="38100"/>
                      <wp:wrapNone/>
                      <wp:docPr id="14" name="直接连接符 14"/>
                      <wp:cNvGraphicFramePr/>
                      <a:graphic xmlns:a="http://schemas.openxmlformats.org/drawingml/2006/main">
                        <a:graphicData uri="http://schemas.microsoft.com/office/word/2010/wordprocessingShape">
                          <wps:wsp>
                            <wps:cNvCnPr/>
                            <wps:spPr>
                              <a:xfrm>
                                <a:off x="0" y="0"/>
                                <a:ext cx="39497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68.55pt;margin-top:2.85pt;height:0pt;width:31.1pt;z-index:251675648;mso-width-relative:page;mso-height-relative:page;" filled="f" stroked="t" coordsize="21600,21600" o:gfxdata="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R/yHWAAAABwEAAA8AAAAAAAAAAQAgAAAAIgAAAGRycy9kb3du&#10;cmV2LnhtbFBLAQIUABQAAAAIAIdO4kBi90sgAQIAAPcDAAAOAAAAAAAAAAEAIAAAACUBAABkcnMv&#10;ZTJvRG9jLnhtbFBLBQYAAAAABgAGAFkBAACYBQAAAAA=&#10;">
                      <v:fill on="f" focussize="0,0"/>
                      <v:stroke color="#000000" joinstyle="round" endarrow="block"/>
                      <v:imagedata o:title=""/>
                      <o:lock v:ext="edit" aspectratio="f"/>
                    </v:line>
                  </w:pict>
                </mc:Fallback>
              </mc:AlternateContent>
            </w:r>
            <w:r>
              <w:rPr>
                <w:rFonts w:ascii="Times New Roman" w:hAnsi="Times New Roman" w:eastAsia="宋体" w:cs="Times New Roman"/>
                <w:color w:val="auto"/>
              </w:rPr>
              <w:t xml:space="preserve">                 </w:t>
            </w:r>
            <w:r>
              <w:rPr>
                <w:rFonts w:hint="eastAsia" w:ascii="Times New Roman" w:hAnsi="Times New Roman" w:eastAsia="宋体" w:cs="Times New Roman"/>
                <w:color w:val="auto"/>
              </w:rPr>
              <w:t xml:space="preserve">  </w:t>
            </w:r>
          </w:p>
          <w:p>
            <w:pPr>
              <w:keepNext w:val="0"/>
              <w:keepLines w:val="0"/>
              <w:suppressLineNumbers w:val="0"/>
              <w:adjustRightInd w:val="0"/>
              <w:snapToGrid w:val="0"/>
              <w:spacing w:before="0" w:beforeAutospacing="0" w:after="0" w:afterAutospacing="0" w:line="520" w:lineRule="exact"/>
              <w:ind w:left="0" w:right="0"/>
              <w:jc w:val="center"/>
              <w:rPr>
                <w:rFonts w:ascii="黑体" w:hAnsi="黑体" w:eastAsia="黑体" w:cs="Times New Roman"/>
                <w:b/>
                <w:bCs/>
                <w:color w:val="auto"/>
                <w:sz w:val="24"/>
              </w:rPr>
            </w:pPr>
            <w:r>
              <w:rPr>
                <w:rFonts w:ascii="Times New Roman" w:hAnsi="Times New Roman" w:eastAsia="宋体" w:cs="Times New Roman"/>
                <w:color w:val="auto"/>
              </w:rPr>
              <mc:AlternateContent>
                <mc:Choice Requires="wps">
                  <w:drawing>
                    <wp:anchor distT="0" distB="0" distL="114300" distR="114300" simplePos="0" relativeHeight="251672576" behindDoc="0" locked="0" layoutInCell="1" allowOverlap="1">
                      <wp:simplePos x="0" y="0"/>
                      <wp:positionH relativeFrom="column">
                        <wp:posOffset>1864360</wp:posOffset>
                      </wp:positionH>
                      <wp:positionV relativeFrom="paragraph">
                        <wp:posOffset>101600</wp:posOffset>
                      </wp:positionV>
                      <wp:extent cx="1270" cy="292735"/>
                      <wp:effectExtent l="37465" t="0" r="37465" b="12065"/>
                      <wp:wrapNone/>
                      <wp:docPr id="16" name="直接连接符 16"/>
                      <wp:cNvGraphicFramePr/>
                      <a:graphic xmlns:a="http://schemas.openxmlformats.org/drawingml/2006/main">
                        <a:graphicData uri="http://schemas.microsoft.com/office/word/2010/wordprocessingShape">
                          <wps:wsp>
                            <wps:cNvCnPr/>
                            <wps:spPr>
                              <a:xfrm flipH="1">
                                <a:off x="0" y="0"/>
                                <a:ext cx="1270" cy="2927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6.8pt;margin-top:8pt;height:23.05pt;width:0.1pt;z-index:251672576;mso-width-relative:page;mso-height-relative:page;" filled="f" stroked="t" coordsize="21600,21600" o:gfxdata="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zZAu52AAAAAkBAAAPAAAAAAAAAAEAIAAAACIA&#10;AABkcnMvZG93bnJldi54bWxQSwECFAAUAAAACACHTuJA6ToYGwkCAAAEBAAADgAAAAAAAAABACAA&#10;AAAnAQAAZHJzL2Uyb0RvYy54bWxQSwUGAAAAAAYABgBZAQAAogUAAAAA&#10;">
                      <v:fill on="f" focussize="0,0"/>
                      <v:stroke color="#000000" joinstyle="round" endarrow="block"/>
                      <v:imagedata o:title=""/>
                      <o:lock v:ext="edit" aspectratio="f"/>
                    </v:line>
                  </w:pict>
                </mc:Fallback>
              </mc:AlternateContent>
            </w:r>
            <w:r>
              <w:rPr>
                <w:rFonts w:ascii="Times New Roman" w:hAnsi="Times New Roman" w:eastAsia="宋体" w:cs="Times New Roman"/>
                <w:color w:val="auto"/>
              </w:rPr>
              <mc:AlternateContent>
                <mc:Choice Requires="wps">
                  <w:drawing>
                    <wp:anchor distT="0" distB="0" distL="114300" distR="114300" simplePos="0" relativeHeight="251671552" behindDoc="0" locked="0" layoutInCell="1" allowOverlap="1">
                      <wp:simplePos x="0" y="0"/>
                      <wp:positionH relativeFrom="column">
                        <wp:posOffset>429895</wp:posOffset>
                      </wp:positionH>
                      <wp:positionV relativeFrom="paragraph">
                        <wp:posOffset>45720</wp:posOffset>
                      </wp:positionV>
                      <wp:extent cx="5080" cy="237490"/>
                      <wp:effectExtent l="34925" t="0" r="36195" b="10160"/>
                      <wp:wrapNone/>
                      <wp:docPr id="17" name="直接连接符 17"/>
                      <wp:cNvGraphicFramePr/>
                      <a:graphic xmlns:a="http://schemas.openxmlformats.org/drawingml/2006/main">
                        <a:graphicData uri="http://schemas.microsoft.com/office/word/2010/wordprocessingShape">
                          <wps:wsp>
                            <wps:cNvCnPr/>
                            <wps:spPr>
                              <a:xfrm>
                                <a:off x="0" y="0"/>
                                <a:ext cx="5080" cy="2374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85pt;margin-top:3.6pt;height:18.7pt;width:0.4pt;z-index:251671552;mso-width-relative:page;mso-height-relative:page;" filled="f" stroked="t" coordsize="21600,21600" o:gfxdata="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TmXSHYAAAABgEAAA8AAAAAAAAAAQAgAAAAIgAAAGRycy9k&#10;b3ducmV2LnhtbFBLAQIUABQAAAAIAIdO4kAEyOM+AgIAAOwDAAAOAAAAAAAAAAEAIAAAACcBAABk&#10;cnMvZTJvRG9jLnhtbFBLBQYAAAAABgAGAFkBAACbBQAAAAA=&#10;">
                      <v:fill on="f" focussize="0,0"/>
                      <v:stroke color="#000000" joinstyle="round" endarrow="block"/>
                      <v:imagedata o:title=""/>
                      <o:lock v:ext="edit" aspectratio="f"/>
                    </v:line>
                  </w:pict>
                </mc:Fallback>
              </mc:AlternateContent>
            </w:r>
          </w:p>
          <w:p>
            <w:pPr>
              <w:pStyle w:val="7"/>
              <w:keepNext w:val="0"/>
              <w:keepLines w:val="0"/>
              <w:suppressLineNumbers w:val="0"/>
              <w:spacing w:before="0" w:beforeAutospacing="0" w:after="0" w:afterAutospacing="0"/>
              <w:ind w:left="0" w:firstLine="420"/>
              <w:rPr>
                <w:rFonts w:ascii="Times New Roman" w:hAnsi="Times New Roman" w:cs="Times New Roman"/>
                <w:color w:val="auto"/>
                <w:lang w:val="en-US" w:eastAsia="zh-CN"/>
              </w:rPr>
            </w:pPr>
            <w:r>
              <w:rPr>
                <w:rFonts w:ascii="Times New Roman" w:hAnsi="Times New Roman" w:cs="Times New Roman"/>
                <w:color w:val="auto"/>
                <w:lang w:val="en-US" w:eastAsia="zh-CN"/>
              </w:rPr>
              <mc:AlternateContent>
                <mc:Choice Requires="wps">
                  <w:drawing>
                    <wp:anchor distT="0" distB="0" distL="114300" distR="114300" simplePos="0" relativeHeight="251677696" behindDoc="0" locked="0" layoutInCell="1" allowOverlap="1">
                      <wp:simplePos x="0" y="0"/>
                      <wp:positionH relativeFrom="column">
                        <wp:posOffset>1245235</wp:posOffset>
                      </wp:positionH>
                      <wp:positionV relativeFrom="paragraph">
                        <wp:posOffset>76200</wp:posOffset>
                      </wp:positionV>
                      <wp:extent cx="1507490" cy="30924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507490" cy="467360"/>
                              </a:xfrm>
                              <a:prstGeom prst="rect">
                                <a:avLst/>
                              </a:prstGeom>
                              <a:noFill/>
                              <a:ln>
                                <a:noFill/>
                              </a:ln>
                              <a:effectLst/>
                            </wps:spPr>
                            <wps:txbx>
                              <w:txbxContent>
                                <w:p>
                                  <w:pPr>
                                    <w:rPr>
                                      <w:rFonts w:ascii="Times New Roman" w:hAnsi="Times New Roman" w:eastAsia="宋体" w:cs="Times New Roman"/>
                                      <w:szCs w:val="21"/>
                                    </w:rPr>
                                  </w:pPr>
                                  <w:r>
                                    <w:rPr>
                                      <w:rFonts w:ascii="Times New Roman" w:hAnsi="Times New Roman" w:eastAsia="宋体" w:cs="Times New Roman"/>
                                      <w:szCs w:val="21"/>
                                    </w:rPr>
                                    <w:t>噪声</w:t>
                                  </w:r>
                                  <w:r>
                                    <w:rPr>
                                      <w:rFonts w:hint="eastAsia" w:ascii="Times New Roman" w:hAnsi="Times New Roman" w:eastAsia="宋体" w:cs="Times New Roman"/>
                                      <w:szCs w:val="21"/>
                                    </w:rPr>
                                    <w:t>、废水、固废</w:t>
                                  </w:r>
                                </w:p>
                              </w:txbxContent>
                            </wps:txbx>
                            <wps:bodyPr upright="1"/>
                          </wps:wsp>
                        </a:graphicData>
                      </a:graphic>
                    </wp:anchor>
                  </w:drawing>
                </mc:Choice>
                <mc:Fallback>
                  <w:pict>
                    <v:shape id="_x0000_s1026" o:spid="_x0000_s1026" o:spt="202" type="#_x0000_t202" style="position:absolute;left:0pt;margin-left:98.05pt;margin-top:6pt;height:24.35pt;width:118.7pt;z-index:251677696;mso-width-relative:page;mso-height-relative:page;" filled="f" stroked="f" coordsize="21600,21600" o:gfxdata="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9M9&#10;GdYAAAAJAQAADwAAAAAAAAABACAAAAAiAAAAZHJzL2Rvd25yZXYueG1sUEsBAhQAFAAAAAgAh07i&#10;QEC5EemyAQAAXgMAAA4AAAAAAAAAAQAgAAAAJQEAAGRycy9lMm9Eb2MueG1sUEsFBgAAAAAGAAYA&#10;WQEAAEkFAAAAAA==&#10;">
                      <v:fill on="f" focussize="0,0"/>
                      <v:stroke on="f"/>
                      <v:imagedata o:title=""/>
                      <o:lock v:ext="edit" aspectratio="f"/>
                      <v:textbox>
                        <w:txbxContent>
                          <w:p>
                            <w:pPr>
                              <w:rPr>
                                <w:rFonts w:ascii="Times New Roman" w:hAnsi="Times New Roman" w:eastAsia="宋体" w:cs="Times New Roman"/>
                                <w:szCs w:val="21"/>
                              </w:rPr>
                            </w:pPr>
                            <w:r>
                              <w:rPr>
                                <w:rFonts w:ascii="Times New Roman" w:hAnsi="Times New Roman" w:eastAsia="宋体" w:cs="Times New Roman"/>
                                <w:szCs w:val="21"/>
                              </w:rPr>
                              <w:t>噪声</w:t>
                            </w:r>
                            <w:r>
                              <w:rPr>
                                <w:rFonts w:hint="eastAsia" w:ascii="Times New Roman" w:hAnsi="Times New Roman" w:eastAsia="宋体" w:cs="Times New Roman"/>
                                <w:szCs w:val="21"/>
                              </w:rPr>
                              <w:t>、废水、固废</w:t>
                            </w:r>
                          </w:p>
                        </w:txbxContent>
                      </v:textbox>
                    </v:shape>
                  </w:pict>
                </mc:Fallback>
              </mc:AlternateContent>
            </w:r>
            <w:r>
              <w:rPr>
                <w:rFonts w:ascii="Times New Roman" w:hAnsi="Times New Roman" w:cs="Times New Roman"/>
                <w:b/>
                <w:color w:val="auto"/>
                <w:sz w:val="24"/>
                <w:lang w:val="en-US" w:eastAsia="zh-CN"/>
              </w:rPr>
              <mc:AlternateContent>
                <mc:Choice Requires="wps">
                  <w:drawing>
                    <wp:anchor distT="0" distB="0" distL="114300" distR="114300" simplePos="0" relativeHeight="251679744" behindDoc="0" locked="0" layoutInCell="1" allowOverlap="1">
                      <wp:simplePos x="0" y="0"/>
                      <wp:positionH relativeFrom="column">
                        <wp:posOffset>140335</wp:posOffset>
                      </wp:positionH>
                      <wp:positionV relativeFrom="paragraph">
                        <wp:posOffset>2540</wp:posOffset>
                      </wp:positionV>
                      <wp:extent cx="518160" cy="281305"/>
                      <wp:effectExtent l="0" t="0" r="15240" b="4445"/>
                      <wp:wrapNone/>
                      <wp:docPr id="19" name="文本框 19"/>
                      <wp:cNvGraphicFramePr/>
                      <a:graphic xmlns:a="http://schemas.openxmlformats.org/drawingml/2006/main">
                        <a:graphicData uri="http://schemas.microsoft.com/office/word/2010/wordprocessingShape">
                          <wps:wsp>
                            <wps:cNvSpPr txBox="1"/>
                            <wps:spPr>
                              <a:xfrm>
                                <a:off x="0" y="0"/>
                                <a:ext cx="596900" cy="400050"/>
                              </a:xfrm>
                              <a:prstGeom prst="rect">
                                <a:avLst/>
                              </a:prstGeom>
                              <a:solidFill>
                                <a:srgbClr val="FFFFFF"/>
                              </a:solidFill>
                              <a:ln>
                                <a:noFill/>
                              </a:ln>
                              <a:effectLst/>
                            </wps:spPr>
                            <wps:txbx>
                              <w:txbxContent>
                                <w:p>
                                  <w:pPr>
                                    <w:rPr>
                                      <w:rFonts w:ascii="Times New Roman" w:hAnsi="Times New Roman" w:eastAsia="宋体" w:cs="Times New Roman"/>
                                      <w:szCs w:val="21"/>
                                    </w:rPr>
                                  </w:pPr>
                                  <w:r>
                                    <w:rPr>
                                      <w:rFonts w:hint="eastAsia" w:ascii="Times New Roman" w:hAnsi="Times New Roman" w:eastAsia="宋体" w:cs="Times New Roman"/>
                                      <w:szCs w:val="21"/>
                                    </w:rPr>
                                    <w:t>固废</w:t>
                                  </w:r>
                                </w:p>
                              </w:txbxContent>
                            </wps:txbx>
                            <wps:bodyPr upright="1"/>
                          </wps:wsp>
                        </a:graphicData>
                      </a:graphic>
                    </wp:anchor>
                  </w:drawing>
                </mc:Choice>
                <mc:Fallback>
                  <w:pict>
                    <v:shape id="_x0000_s1026" o:spid="_x0000_s1026" o:spt="202" type="#_x0000_t202" style="position:absolute;left:0pt;margin-left:11.05pt;margin-top:0.2pt;height:22.15pt;width:40.8pt;z-index:251679744;mso-width-relative:page;mso-height-relative:page;" fillcolor="#FFFFFF" filled="t" stroked="f" coordsize="21600,21600" o:gfxdata="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7reztMAAAAGAQAADwAAAAAAAAABACAAAAAiAAAAZHJzL2Rvd25yZXYu&#10;eG1sUEsBAhQAFAAAAAgAh07iQClM1pDHAQAAhgMAAA4AAAAAAAAAAQAgAAAAIgEAAGRycy9lMm9E&#10;b2MueG1sUEsFBgAAAAAGAAYAWQEAAFsFAAAAAA==&#10;">
                      <v:fill on="t" focussize="0,0"/>
                      <v:stroke on="f"/>
                      <v:imagedata o:title=""/>
                      <o:lock v:ext="edit" aspectratio="f"/>
                      <v:textbox>
                        <w:txbxContent>
                          <w:p>
                            <w:pPr>
                              <w:rPr>
                                <w:rFonts w:ascii="Times New Roman" w:hAnsi="Times New Roman" w:eastAsia="宋体" w:cs="Times New Roman"/>
                                <w:szCs w:val="21"/>
                              </w:rPr>
                            </w:pPr>
                            <w:r>
                              <w:rPr>
                                <w:rFonts w:hint="eastAsia" w:ascii="Times New Roman" w:hAnsi="Times New Roman" w:eastAsia="宋体" w:cs="Times New Roman"/>
                                <w:szCs w:val="21"/>
                              </w:rPr>
                              <w:t>固废</w:t>
                            </w:r>
                          </w:p>
                        </w:txbxContent>
                      </v:textbox>
                    </v:shape>
                  </w:pict>
                </mc:Fallback>
              </mc:AlternateContent>
            </w:r>
          </w:p>
          <w:p>
            <w:pPr>
              <w:pStyle w:val="7"/>
              <w:keepNext w:val="0"/>
              <w:keepLines w:val="0"/>
              <w:suppressLineNumbers w:val="0"/>
              <w:spacing w:before="0" w:beforeAutospacing="0" w:after="0" w:afterAutospacing="0"/>
              <w:ind w:left="0" w:leftChars="0" w:firstLine="0" w:firstLineChars="0"/>
              <w:jc w:val="center"/>
              <w:rPr>
                <w:rFonts w:ascii="Times New Roman" w:hAnsi="Times New Roman" w:cs="Times New Roman"/>
                <w:b/>
                <w:bCs/>
                <w:color w:val="auto"/>
                <w:lang w:val="en-US" w:eastAsia="zh-CN"/>
              </w:rPr>
            </w:pPr>
          </w:p>
          <w:p>
            <w:pPr>
              <w:pStyle w:val="7"/>
              <w:keepNext w:val="0"/>
              <w:keepLines w:val="0"/>
              <w:suppressLineNumbers w:val="0"/>
              <w:spacing w:before="0" w:beforeAutospacing="0" w:after="0" w:afterAutospacing="0"/>
              <w:ind w:left="0" w:leftChars="0" w:firstLine="0" w:firstLineChars="0"/>
              <w:jc w:val="center"/>
              <w:rPr>
                <w:rFonts w:hint="eastAsia" w:ascii="Times New Roman" w:hAnsi="Times New Roman" w:cs="Times New Roman"/>
                <w:b/>
                <w:bCs/>
                <w:color w:val="auto"/>
                <w:lang w:val="en-US" w:eastAsia="zh-CN"/>
              </w:rPr>
            </w:pPr>
            <w:r>
              <w:rPr>
                <w:rFonts w:ascii="Times New Roman" w:hAnsi="Times New Roman" w:cs="Times New Roman"/>
                <w:b/>
                <w:bCs/>
                <w:color w:val="auto"/>
                <w:lang w:val="en-US" w:eastAsia="zh-CN"/>
              </w:rPr>
              <w:t>图</w:t>
            </w:r>
            <w:r>
              <w:rPr>
                <w:rFonts w:hint="eastAsia" w:cs="Times New Roman"/>
                <w:b/>
                <w:bCs/>
                <w:color w:val="auto"/>
                <w:lang w:val="en-US" w:eastAsia="zh-CN"/>
              </w:rPr>
              <w:t xml:space="preserve">1  </w:t>
            </w:r>
            <w:r>
              <w:rPr>
                <w:rFonts w:ascii="Times New Roman" w:hAnsi="Times New Roman" w:cs="Times New Roman"/>
                <w:b/>
                <w:bCs/>
                <w:color w:val="auto"/>
                <w:lang w:val="en-US" w:eastAsia="zh-CN"/>
              </w:rPr>
              <w:t>施工期工艺流程及产污环节示意图</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0" w:firstLineChars="0"/>
              <w:textAlignment w:val="auto"/>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营运期：</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0" w:firstLineChars="0"/>
              <w:textAlignment w:val="auto"/>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一、</w:t>
            </w:r>
            <w:r>
              <w:rPr>
                <w:rFonts w:ascii="Times New Roman" w:hAnsi="Times New Roman" w:cs="Times New Roman"/>
                <w:b/>
                <w:bCs/>
                <w:color w:val="auto"/>
                <w:lang w:val="en-US" w:eastAsia="zh-CN"/>
              </w:rPr>
              <w:t>工艺流程简述</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ascii="Times New Roman" w:hAnsi="Times New Roman" w:cs="Times New Roman"/>
                <w:color w:val="FF0000"/>
              </w:rPr>
            </w:pPr>
            <w:r>
              <w:rPr>
                <w:rFonts w:hint="eastAsia" w:ascii="Times New Roman" w:hAnsi="Times New Roman" w:cs="Times New Roman"/>
                <w:color w:val="auto"/>
                <w:lang w:val="en-US" w:eastAsia="zh-CN"/>
              </w:rPr>
              <w:t>1、</w:t>
            </w:r>
            <w:r>
              <w:rPr>
                <w:rFonts w:ascii="Times New Roman" w:hAnsi="Times New Roman" w:cs="Times New Roman"/>
                <w:color w:val="auto"/>
                <w:lang w:val="en-US" w:eastAsia="zh-CN"/>
              </w:rPr>
              <w:t>本项目生产工艺流程及产污环节图见下图。</w:t>
            </w:r>
          </w:p>
          <w:p>
            <w:pPr>
              <w:pStyle w:val="7"/>
              <w:keepNext w:val="0"/>
              <w:keepLines w:val="0"/>
              <w:suppressLineNumbers w:val="0"/>
              <w:spacing w:before="0" w:beforeAutospacing="0" w:after="0" w:afterAutospacing="0"/>
              <w:ind w:left="0" w:firstLine="420"/>
              <w:jc w:val="center"/>
              <w:rPr>
                <w:rFonts w:hint="eastAsia" w:ascii="Times New Roman" w:hAnsi="Times New Roman" w:cs="Times New Roman"/>
                <w:b/>
                <w:bCs/>
                <w:color w:val="auto"/>
                <w:lang w:val="en-US" w:eastAsia="zh-CN"/>
              </w:rPr>
            </w:pPr>
            <w:r>
              <w:drawing>
                <wp:anchor distT="0" distB="0" distL="114300" distR="114300" simplePos="0" relativeHeight="251680768" behindDoc="1" locked="0" layoutInCell="1" allowOverlap="1">
                  <wp:simplePos x="0" y="0"/>
                  <wp:positionH relativeFrom="column">
                    <wp:posOffset>26670</wp:posOffset>
                  </wp:positionH>
                  <wp:positionV relativeFrom="paragraph">
                    <wp:posOffset>75565</wp:posOffset>
                  </wp:positionV>
                  <wp:extent cx="4976495" cy="1619885"/>
                  <wp:effectExtent l="0" t="0" r="14605" b="18415"/>
                  <wp:wrapTight wrapText="bothSides">
                    <wp:wrapPolygon>
                      <wp:start x="0" y="0"/>
                      <wp:lineTo x="0" y="21338"/>
                      <wp:lineTo x="21498" y="21338"/>
                      <wp:lineTo x="21498" y="0"/>
                      <wp:lineTo x="0" y="0"/>
                    </wp:wrapPolygon>
                  </wp:wrapTight>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13"/>
                          <a:stretch>
                            <a:fillRect/>
                          </a:stretch>
                        </pic:blipFill>
                        <pic:spPr>
                          <a:xfrm>
                            <a:off x="0" y="0"/>
                            <a:ext cx="4976495" cy="1619885"/>
                          </a:xfrm>
                          <a:prstGeom prst="rect">
                            <a:avLst/>
                          </a:prstGeom>
                          <a:noFill/>
                          <a:ln>
                            <a:noFill/>
                          </a:ln>
                        </pic:spPr>
                      </pic:pic>
                    </a:graphicData>
                  </a:graphic>
                </wp:anchor>
              </w:drawing>
            </w:r>
            <w:r>
              <w:rPr>
                <w:rFonts w:ascii="Times New Roman" w:hAnsi="Times New Roman" w:cs="Times New Roman"/>
                <w:b/>
                <w:bCs/>
                <w:color w:val="auto"/>
                <w:lang w:val="en-US" w:eastAsia="zh-CN"/>
              </w:rPr>
              <w:t>图</w:t>
            </w:r>
            <w:r>
              <w:rPr>
                <w:rFonts w:hint="eastAsia" w:cs="Times New Roman"/>
                <w:b/>
                <w:bCs/>
                <w:color w:val="auto"/>
                <w:lang w:val="en-US" w:eastAsia="zh-CN"/>
              </w:rPr>
              <w:t>2</w:t>
            </w:r>
            <w:r>
              <w:rPr>
                <w:rFonts w:ascii="Times New Roman" w:hAnsi="Times New Roman" w:cs="Times New Roman"/>
                <w:b/>
                <w:bCs/>
                <w:color w:val="auto"/>
                <w:lang w:val="en-US" w:eastAsia="zh-CN"/>
              </w:rPr>
              <w:t xml:space="preserve">  </w:t>
            </w:r>
            <w:r>
              <w:rPr>
                <w:rFonts w:hint="eastAsia" w:ascii="Times New Roman" w:hAnsi="Times New Roman" w:cs="Times New Roman"/>
                <w:b/>
                <w:bCs/>
                <w:color w:val="auto"/>
                <w:lang w:val="en-US" w:eastAsia="zh-CN"/>
              </w:rPr>
              <w:t>营运</w:t>
            </w:r>
            <w:r>
              <w:rPr>
                <w:rFonts w:ascii="Times New Roman" w:hAnsi="Times New Roman" w:cs="Times New Roman"/>
                <w:b/>
                <w:bCs/>
                <w:color w:val="auto"/>
                <w:lang w:val="en-US" w:eastAsia="zh-CN"/>
              </w:rPr>
              <w:t>期工艺流程及产污环节示意图</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bCs/>
                <w:color w:val="000000"/>
                <w:sz w:val="21"/>
                <w:szCs w:val="21"/>
              </w:rPr>
            </w:pPr>
            <w:r>
              <w:rPr>
                <w:rFonts w:hint="eastAsia" w:ascii="Times New Roman" w:hAnsi="Times New Roman" w:eastAsia="宋体" w:cs="Times New Roman"/>
                <w:bCs/>
                <w:sz w:val="21"/>
                <w:szCs w:val="21"/>
              </w:rPr>
              <w:t>工艺</w:t>
            </w:r>
            <w:r>
              <w:rPr>
                <w:rFonts w:hint="eastAsia" w:ascii="Times New Roman" w:hAnsi="Times New Roman" w:eastAsia="宋体" w:cs="Times New Roman"/>
                <w:bCs/>
                <w:color w:val="000000"/>
                <w:sz w:val="21"/>
                <w:szCs w:val="21"/>
              </w:rPr>
              <w:t>流程描述：</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（1）原料：项目生产加工过程中使用到的锂电极片</w:t>
            </w:r>
            <w:r>
              <w:rPr>
                <w:rFonts w:hint="eastAsia" w:ascii="Times New Roman" w:hAnsi="Times New Roman" w:eastAsia="宋体" w:cs="Times New Roman"/>
                <w:bCs/>
                <w:color w:val="000000"/>
                <w:sz w:val="21"/>
                <w:szCs w:val="21"/>
                <w:lang w:eastAsia="zh-CN"/>
              </w:rPr>
              <w:t>（固态）</w:t>
            </w:r>
            <w:r>
              <w:rPr>
                <w:rFonts w:hint="eastAsia" w:ascii="Times New Roman" w:hAnsi="Times New Roman" w:eastAsia="宋体" w:cs="Times New Roman"/>
                <w:bCs/>
                <w:color w:val="000000"/>
                <w:sz w:val="21"/>
                <w:szCs w:val="21"/>
              </w:rPr>
              <w:t>均为外购所得，入厂区后于仓库内堆放备用。</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eastAsia="zh-CN"/>
              </w:rPr>
              <w:t>（</w:t>
            </w:r>
            <w:r>
              <w:rPr>
                <w:rFonts w:hint="eastAsia" w:ascii="Times New Roman" w:hAnsi="Times New Roman" w:eastAsia="宋体" w:cs="Times New Roman"/>
                <w:bCs/>
                <w:color w:val="000000"/>
                <w:sz w:val="21"/>
                <w:szCs w:val="21"/>
                <w:lang w:val="en-US" w:eastAsia="zh-CN"/>
              </w:rPr>
              <w:t>2）撕碎：原料通过密闭输送带方式进入撕碎机中进行破碎。本工序产生的污染物主要为粉尘和机械噪声。</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w:t>
            </w:r>
            <w:r>
              <w:rPr>
                <w:rFonts w:hint="eastAsia" w:ascii="Times New Roman" w:hAnsi="Times New Roman" w:eastAsia="宋体" w:cs="Times New Roman"/>
                <w:bCs/>
                <w:color w:val="000000"/>
                <w:sz w:val="21"/>
                <w:szCs w:val="21"/>
                <w:lang w:val="en-US" w:eastAsia="zh-CN"/>
              </w:rPr>
              <w:t>3</w:t>
            </w:r>
            <w:r>
              <w:rPr>
                <w:rFonts w:hint="eastAsia" w:ascii="Times New Roman" w:hAnsi="Times New Roman" w:eastAsia="宋体" w:cs="Times New Roman"/>
                <w:bCs/>
                <w:color w:val="000000"/>
                <w:sz w:val="21"/>
                <w:szCs w:val="21"/>
              </w:rPr>
              <w:t>）一次破碎：经过破碎机、U型铰刀对原料再次破碎，本项目全程密闭，生产线物料输送采用全密闭皮带输送机。本工序产生的污染物主要为破碎粉尘和机械噪声。</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bCs/>
                <w:color w:val="000000"/>
                <w:sz w:val="21"/>
                <w:szCs w:val="21"/>
                <w:lang w:eastAsia="zh-CN"/>
              </w:rPr>
            </w:pPr>
            <w:r>
              <w:rPr>
                <w:rFonts w:hint="eastAsia" w:ascii="Times New Roman" w:hAnsi="Times New Roman" w:eastAsia="宋体" w:cs="Times New Roman"/>
                <w:bCs/>
                <w:color w:val="000000"/>
                <w:sz w:val="21"/>
                <w:szCs w:val="21"/>
              </w:rPr>
              <w:t>（</w:t>
            </w:r>
            <w:r>
              <w:rPr>
                <w:rFonts w:hint="eastAsia" w:ascii="Times New Roman" w:hAnsi="Times New Roman" w:eastAsia="宋体" w:cs="Times New Roman"/>
                <w:bCs/>
                <w:color w:val="000000"/>
                <w:sz w:val="21"/>
                <w:szCs w:val="21"/>
                <w:lang w:val="en-US" w:eastAsia="zh-CN"/>
              </w:rPr>
              <w:t>4</w:t>
            </w:r>
            <w:r>
              <w:rPr>
                <w:rFonts w:hint="eastAsia" w:ascii="Times New Roman" w:hAnsi="Times New Roman" w:eastAsia="宋体" w:cs="Times New Roman"/>
                <w:bCs/>
                <w:color w:val="000000"/>
                <w:sz w:val="21"/>
                <w:szCs w:val="21"/>
              </w:rPr>
              <w:t>）气流分选：经</w:t>
            </w:r>
            <w:r>
              <w:rPr>
                <w:rFonts w:hint="eastAsia" w:ascii="Times New Roman" w:hAnsi="Times New Roman" w:eastAsia="宋体" w:cs="Times New Roman"/>
                <w:bCs/>
                <w:color w:val="000000"/>
                <w:sz w:val="21"/>
                <w:szCs w:val="21"/>
                <w:lang w:eastAsia="zh-CN"/>
              </w:rPr>
              <w:t>一</w:t>
            </w:r>
            <w:r>
              <w:rPr>
                <w:rFonts w:hint="eastAsia" w:ascii="Times New Roman" w:hAnsi="Times New Roman" w:eastAsia="宋体" w:cs="Times New Roman"/>
                <w:bCs/>
                <w:color w:val="000000"/>
                <w:sz w:val="21"/>
                <w:szCs w:val="21"/>
              </w:rPr>
              <w:t>次破碎后的物料经密闭式皮带输送机送至分选机，采用气流方式对物料进行初步的分选，分选出不同的可用材料</w:t>
            </w:r>
            <w:r>
              <w:rPr>
                <w:rFonts w:hint="eastAsia" w:ascii="Times New Roman" w:hAnsi="Times New Roman" w:eastAsia="宋体" w:cs="Times New Roman"/>
                <w:bCs/>
                <w:color w:val="000000"/>
                <w:sz w:val="21"/>
                <w:szCs w:val="21"/>
                <w:lang w:eastAsia="zh-CN"/>
              </w:rPr>
              <w:t>。</w:t>
            </w:r>
            <w:r>
              <w:rPr>
                <w:rFonts w:hint="eastAsia" w:ascii="Times New Roman" w:hAnsi="Times New Roman" w:eastAsia="宋体" w:cs="Times New Roman"/>
                <w:bCs/>
                <w:color w:val="000000"/>
                <w:sz w:val="21"/>
                <w:szCs w:val="21"/>
                <w:lang w:val="en-US" w:eastAsia="zh-CN"/>
              </w:rPr>
              <w:t>本工序产生的污染物主要为粉尘和机械噪声。</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eastAsia="zh-CN"/>
              </w:rPr>
              <w:t>（</w:t>
            </w:r>
            <w:r>
              <w:rPr>
                <w:rFonts w:hint="eastAsia" w:ascii="Times New Roman" w:hAnsi="Times New Roman" w:eastAsia="宋体" w:cs="Times New Roman"/>
                <w:bCs/>
                <w:color w:val="000000"/>
                <w:sz w:val="21"/>
                <w:szCs w:val="21"/>
                <w:lang w:val="en-US" w:eastAsia="zh-CN"/>
              </w:rPr>
              <w:t>5）搅拌：全密闭滚筒干式搅拌使物料均匀，方便后续筛分。本工序产生的污染物主要为粉尘和机械噪声。</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bCs/>
                <w:color w:val="000000"/>
                <w:sz w:val="21"/>
                <w:szCs w:val="21"/>
                <w:lang w:eastAsia="zh-CN"/>
              </w:rPr>
            </w:pPr>
            <w:r>
              <w:rPr>
                <w:rFonts w:hint="eastAsia" w:ascii="Times New Roman" w:hAnsi="Times New Roman" w:eastAsia="宋体" w:cs="Times New Roman"/>
                <w:bCs/>
                <w:color w:val="000000"/>
                <w:sz w:val="21"/>
                <w:szCs w:val="21"/>
              </w:rPr>
              <w:t>（</w:t>
            </w:r>
            <w:r>
              <w:rPr>
                <w:rFonts w:hint="eastAsia" w:ascii="Times New Roman" w:hAnsi="Times New Roman" w:eastAsia="宋体" w:cs="Times New Roman"/>
                <w:bCs/>
                <w:color w:val="000000"/>
                <w:sz w:val="21"/>
                <w:szCs w:val="21"/>
                <w:lang w:val="en-US" w:eastAsia="zh-CN"/>
              </w:rPr>
              <w:t>6</w:t>
            </w:r>
            <w:r>
              <w:rPr>
                <w:rFonts w:hint="eastAsia" w:ascii="Times New Roman" w:hAnsi="Times New Roman" w:eastAsia="宋体" w:cs="Times New Roman"/>
                <w:bCs/>
                <w:color w:val="000000"/>
                <w:sz w:val="21"/>
                <w:szCs w:val="21"/>
              </w:rPr>
              <w:t>）</w:t>
            </w:r>
            <w:r>
              <w:rPr>
                <w:rFonts w:hint="eastAsia" w:ascii="Times New Roman" w:hAnsi="Times New Roman" w:eastAsia="宋体" w:cs="Times New Roman"/>
                <w:bCs/>
                <w:color w:val="000000"/>
                <w:sz w:val="21"/>
                <w:szCs w:val="21"/>
                <w:lang w:eastAsia="zh-CN"/>
              </w:rPr>
              <w:t>一次筛分：</w:t>
            </w:r>
            <w:r>
              <w:rPr>
                <w:rFonts w:hint="eastAsia" w:ascii="Times New Roman" w:hAnsi="Times New Roman" w:eastAsia="宋体" w:cs="Times New Roman"/>
                <w:bCs/>
                <w:color w:val="000000"/>
                <w:sz w:val="21"/>
                <w:szCs w:val="21"/>
              </w:rPr>
              <w:t>经</w:t>
            </w:r>
            <w:r>
              <w:rPr>
                <w:rFonts w:hint="eastAsia" w:ascii="Times New Roman" w:hAnsi="Times New Roman" w:eastAsia="宋体" w:cs="Times New Roman"/>
                <w:bCs/>
                <w:color w:val="000000"/>
                <w:sz w:val="21"/>
                <w:szCs w:val="21"/>
                <w:lang w:eastAsia="zh-CN"/>
              </w:rPr>
              <w:t>搅拌</w:t>
            </w:r>
            <w:r>
              <w:rPr>
                <w:rFonts w:hint="eastAsia" w:ascii="Times New Roman" w:hAnsi="Times New Roman" w:eastAsia="宋体" w:cs="Times New Roman"/>
                <w:bCs/>
                <w:color w:val="000000"/>
                <w:sz w:val="21"/>
                <w:szCs w:val="21"/>
              </w:rPr>
              <w:t>后的物料进入振动筛分机，根据物料的粒径大小将物料分离</w:t>
            </w:r>
            <w:r>
              <w:rPr>
                <w:rFonts w:hint="eastAsia" w:ascii="Times New Roman" w:hAnsi="Times New Roman" w:eastAsia="宋体" w:cs="Times New Roman"/>
                <w:bCs/>
                <w:color w:val="000000"/>
                <w:sz w:val="21"/>
                <w:szCs w:val="21"/>
                <w:lang w:eastAsia="zh-CN"/>
              </w:rPr>
              <w:t>，被筛选出来的正、负极粉被风运系统收集进行装包。</w:t>
            </w:r>
            <w:r>
              <w:rPr>
                <w:rFonts w:hint="eastAsia" w:ascii="Times New Roman" w:hAnsi="Times New Roman" w:eastAsia="宋体" w:cs="Times New Roman"/>
                <w:bCs/>
                <w:color w:val="000000"/>
                <w:sz w:val="21"/>
                <w:szCs w:val="21"/>
                <w:lang w:val="en-US" w:eastAsia="zh-CN"/>
              </w:rPr>
              <w:t>本工序产生的污染物主要为粉尘和机械噪声。</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w:t>
            </w:r>
            <w:r>
              <w:rPr>
                <w:rFonts w:hint="eastAsia" w:ascii="Times New Roman" w:hAnsi="Times New Roman" w:eastAsia="宋体" w:cs="Times New Roman"/>
                <w:bCs/>
                <w:color w:val="000000"/>
                <w:sz w:val="21"/>
                <w:szCs w:val="21"/>
                <w:lang w:val="en-US" w:eastAsia="zh-CN"/>
              </w:rPr>
              <w:t>7</w:t>
            </w:r>
            <w:r>
              <w:rPr>
                <w:rFonts w:hint="eastAsia" w:ascii="Times New Roman" w:hAnsi="Times New Roman" w:eastAsia="宋体" w:cs="Times New Roman"/>
                <w:bCs/>
                <w:color w:val="000000"/>
                <w:sz w:val="21"/>
                <w:szCs w:val="21"/>
              </w:rPr>
              <w:t>）磁选：为防止原料中可能存在螺丝等金属制品损伤设备，对破碎后的产品进行磁选，该过程中产生的污染物主要为机械噪声。</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w:t>
            </w:r>
            <w:r>
              <w:rPr>
                <w:rFonts w:hint="eastAsia" w:ascii="Times New Roman" w:hAnsi="Times New Roman" w:eastAsia="宋体" w:cs="Times New Roman"/>
                <w:bCs/>
                <w:color w:val="000000"/>
                <w:sz w:val="21"/>
                <w:szCs w:val="21"/>
                <w:lang w:val="en-US" w:eastAsia="zh-CN"/>
              </w:rPr>
              <w:t>8</w:t>
            </w:r>
            <w:r>
              <w:rPr>
                <w:rFonts w:hint="eastAsia" w:ascii="Times New Roman" w:hAnsi="Times New Roman" w:eastAsia="宋体" w:cs="Times New Roman"/>
                <w:bCs/>
                <w:color w:val="000000"/>
                <w:sz w:val="21"/>
                <w:szCs w:val="21"/>
              </w:rPr>
              <w:t>）二次破碎：物料通过密闭式的输送带连续不断地送入密闭的粉碎机中，进行二次破碎，该过程中产生的污染物主要为破碎粉尘和机械噪声。</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w:t>
            </w:r>
            <w:r>
              <w:rPr>
                <w:rFonts w:hint="eastAsia" w:ascii="Times New Roman" w:hAnsi="Times New Roman" w:eastAsia="宋体" w:cs="Times New Roman"/>
                <w:bCs/>
                <w:color w:val="000000"/>
                <w:sz w:val="21"/>
                <w:szCs w:val="21"/>
                <w:lang w:val="en-US" w:eastAsia="zh-CN"/>
              </w:rPr>
              <w:t>9</w:t>
            </w:r>
            <w:r>
              <w:rPr>
                <w:rFonts w:hint="eastAsia" w:ascii="Times New Roman" w:hAnsi="Times New Roman" w:eastAsia="宋体" w:cs="Times New Roman"/>
                <w:bCs/>
                <w:color w:val="000000"/>
                <w:sz w:val="21"/>
                <w:szCs w:val="21"/>
              </w:rPr>
              <w:t>）气流分选：经二次破碎后的物料经密闭式皮带输送机送至分选机，采用气流方式对物料进行初步的分选，分选出不同的可用材料</w:t>
            </w:r>
            <w:r>
              <w:rPr>
                <w:rFonts w:hint="eastAsia" w:ascii="Times New Roman" w:hAnsi="Times New Roman" w:eastAsia="宋体" w:cs="Times New Roman"/>
                <w:bCs/>
                <w:color w:val="000000"/>
                <w:sz w:val="21"/>
                <w:szCs w:val="21"/>
                <w:lang w:val="en-US" w:eastAsia="zh-CN"/>
              </w:rPr>
              <w:t>。筛选出来的正极粉被风运系统收集进行装包，大杂（隔膜纸、胶带等非金属废料）直接装包。本工序产生的污染物主要为粉尘和机械噪声。</w:t>
            </w:r>
          </w:p>
          <w:p>
            <w:pPr>
              <w:pStyle w:val="7"/>
              <w:keepNext w:val="0"/>
              <w:keepLines w:val="0"/>
              <w:pageBreakBefore w:val="0"/>
              <w:suppressLineNumbers w:val="0"/>
              <w:kinsoku/>
              <w:wordWrap/>
              <w:overflowPunct/>
              <w:topLinePunct w:val="0"/>
              <w:autoSpaceDE/>
              <w:autoSpaceDN/>
              <w:bidi w:val="0"/>
              <w:snapToGrid w:val="0"/>
              <w:spacing w:before="0" w:beforeAutospacing="0" w:after="0" w:afterAutospacing="0" w:line="520" w:lineRule="exact"/>
              <w:ind w:left="0" w:firstLine="420" w:firstLineChars="200"/>
              <w:textAlignment w:val="auto"/>
              <w:rPr>
                <w:rFonts w:ascii="Times New Roman" w:hAnsi="Times New Roman" w:cs="Times New Roman"/>
                <w:color w:val="FF0000"/>
                <w:sz w:val="21"/>
                <w:szCs w:val="21"/>
                <w:lang w:val="en-US" w:eastAsia="zh-CN"/>
              </w:rPr>
            </w:pPr>
            <w:r>
              <w:rPr>
                <w:rFonts w:hint="eastAsia"/>
                <w:bCs/>
                <w:color w:val="000000"/>
                <w:sz w:val="21"/>
                <w:szCs w:val="21"/>
              </w:rPr>
              <w:t>（</w:t>
            </w:r>
            <w:r>
              <w:rPr>
                <w:rFonts w:hint="eastAsia"/>
                <w:bCs/>
                <w:color w:val="000000"/>
                <w:sz w:val="21"/>
                <w:szCs w:val="21"/>
                <w:lang w:val="en-US" w:eastAsia="zh-CN"/>
              </w:rPr>
              <w:t>10</w:t>
            </w:r>
            <w:r>
              <w:rPr>
                <w:rFonts w:hint="eastAsia"/>
                <w:bCs/>
                <w:color w:val="000000"/>
                <w:sz w:val="21"/>
                <w:szCs w:val="21"/>
              </w:rPr>
              <w:t>）</w:t>
            </w:r>
            <w:r>
              <w:rPr>
                <w:rFonts w:hint="eastAsia"/>
                <w:bCs/>
                <w:color w:val="000000"/>
                <w:sz w:val="21"/>
                <w:szCs w:val="21"/>
                <w:lang w:eastAsia="zh-CN"/>
              </w:rPr>
              <w:t>二次筛分：</w:t>
            </w:r>
            <w:r>
              <w:rPr>
                <w:rFonts w:hint="eastAsia"/>
                <w:bCs/>
                <w:color w:val="000000"/>
                <w:sz w:val="21"/>
                <w:szCs w:val="21"/>
              </w:rPr>
              <w:t>经气流分选后的物料经密闭式皮带输送机送至振动筛分机，根据物料的粒径大小将物料分离，筛选出来的正</w:t>
            </w:r>
            <w:r>
              <w:rPr>
                <w:rFonts w:hint="eastAsia"/>
                <w:bCs/>
                <w:color w:val="000000"/>
                <w:sz w:val="21"/>
                <w:szCs w:val="21"/>
                <w:lang w:eastAsia="zh-CN"/>
              </w:rPr>
              <w:t>、负</w:t>
            </w:r>
            <w:r>
              <w:rPr>
                <w:rFonts w:hint="eastAsia"/>
                <w:bCs/>
                <w:color w:val="000000"/>
                <w:sz w:val="21"/>
                <w:szCs w:val="21"/>
              </w:rPr>
              <w:t>极粉被风运系统收集进行装包，大杂（隔膜纸、胶带等非金属废料）直接装包</w:t>
            </w:r>
            <w:r>
              <w:rPr>
                <w:rFonts w:hint="eastAsia"/>
                <w:bCs/>
                <w:color w:val="000000"/>
                <w:sz w:val="21"/>
                <w:szCs w:val="21"/>
                <w:lang w:eastAsia="zh-CN"/>
              </w:rPr>
              <w:t>收集外售。</w:t>
            </w:r>
            <w:r>
              <w:rPr>
                <w:rFonts w:hint="eastAsia"/>
                <w:bCs/>
                <w:color w:val="000000"/>
                <w:sz w:val="21"/>
                <w:szCs w:val="21"/>
              </w:rPr>
              <w:t>正极片生产线得到磷酸铁锂及铝</w:t>
            </w:r>
            <w:r>
              <w:rPr>
                <w:rFonts w:hint="eastAsia"/>
                <w:bCs/>
                <w:color w:val="000000"/>
                <w:sz w:val="21"/>
                <w:szCs w:val="21"/>
                <w:lang w:eastAsia="zh-CN"/>
              </w:rPr>
              <w:t>颗粒</w:t>
            </w:r>
            <w:r>
              <w:rPr>
                <w:rFonts w:hint="eastAsia"/>
                <w:bCs/>
                <w:color w:val="000000"/>
                <w:sz w:val="21"/>
                <w:szCs w:val="21"/>
              </w:rPr>
              <w:t>，负极片生产线得到石墨粉和铜</w:t>
            </w:r>
            <w:r>
              <w:rPr>
                <w:rFonts w:hint="eastAsia"/>
                <w:bCs/>
                <w:color w:val="000000"/>
                <w:sz w:val="21"/>
                <w:szCs w:val="21"/>
                <w:lang w:eastAsia="zh-CN"/>
              </w:rPr>
              <w:t>颗粒</w:t>
            </w:r>
            <w:r>
              <w:rPr>
                <w:rFonts w:hint="eastAsia"/>
                <w:bCs/>
                <w:color w:val="000000"/>
                <w:sz w:val="21"/>
                <w:szCs w:val="21"/>
              </w:rPr>
              <w:t>。</w:t>
            </w:r>
            <w:r>
              <w:rPr>
                <w:rFonts w:hint="eastAsia"/>
                <w:bCs/>
                <w:color w:val="000000"/>
                <w:sz w:val="21"/>
                <w:szCs w:val="21"/>
                <w:lang w:val="en-US" w:eastAsia="zh-CN"/>
              </w:rPr>
              <w:t>本工序产生的污染物主要为粉尘和机械噪声。</w:t>
            </w:r>
          </w:p>
          <w:p>
            <w:pPr>
              <w:pStyle w:val="7"/>
              <w:keepNext w:val="0"/>
              <w:keepLines w:val="0"/>
              <w:suppressLineNumbers w:val="0"/>
              <w:spacing w:before="0" w:beforeAutospacing="0" w:after="0" w:afterAutospacing="0"/>
              <w:ind w:left="0" w:firstLine="0" w:firstLineChars="0"/>
              <w:rPr>
                <w:rFonts w:ascii="Times New Roman" w:hAnsi="Times New Roman" w:cs="Times New Roman"/>
                <w:b/>
                <w:bCs/>
                <w:color w:val="auto"/>
                <w:lang w:val="en-US" w:eastAsia="zh-CN"/>
              </w:rPr>
            </w:pPr>
            <w:r>
              <w:rPr>
                <w:rFonts w:ascii="Times New Roman" w:hAnsi="Times New Roman" w:cs="Times New Roman"/>
                <w:b/>
                <w:bCs/>
                <w:color w:val="auto"/>
                <w:lang w:val="en-US" w:eastAsia="zh-CN"/>
              </w:rPr>
              <w:t>二、主要污染工序</w:t>
            </w:r>
          </w:p>
          <w:p>
            <w:pPr>
              <w:pStyle w:val="7"/>
              <w:keepNext w:val="0"/>
              <w:keepLines w:val="0"/>
              <w:suppressLineNumbers w:val="0"/>
              <w:spacing w:before="0" w:beforeAutospacing="0" w:after="0" w:afterAutospacing="0"/>
              <w:ind w:left="0" w:firstLine="632" w:firstLineChars="300"/>
              <w:jc w:val="center"/>
              <w:rPr>
                <w:rFonts w:ascii="Times New Roman" w:hAnsi="Times New Roman" w:cs="Times New Roman"/>
                <w:b/>
                <w:bCs/>
                <w:color w:val="auto"/>
                <w:lang w:val="en-US" w:eastAsia="zh-CN"/>
              </w:rPr>
            </w:pPr>
            <w:r>
              <w:rPr>
                <w:rFonts w:ascii="Times New Roman" w:hAnsi="Times New Roman" w:cs="Times New Roman"/>
                <w:b/>
                <w:bCs/>
                <w:color w:val="auto"/>
                <w:lang w:val="en-US" w:eastAsia="zh-CN"/>
              </w:rPr>
              <w:t>表</w:t>
            </w:r>
            <w:r>
              <w:rPr>
                <w:rFonts w:hint="eastAsia" w:ascii="Times New Roman" w:hAnsi="Times New Roman" w:cs="Times New Roman"/>
                <w:b/>
                <w:bCs/>
                <w:color w:val="auto"/>
                <w:lang w:val="en-US" w:eastAsia="zh-CN"/>
              </w:rPr>
              <w:t>1</w:t>
            </w:r>
            <w:r>
              <w:rPr>
                <w:rFonts w:hint="eastAsia" w:cs="Times New Roman"/>
                <w:b/>
                <w:bCs/>
                <w:color w:val="auto"/>
                <w:lang w:val="en-US" w:eastAsia="zh-CN"/>
              </w:rPr>
              <w:t xml:space="preserve">6  </w:t>
            </w:r>
            <w:r>
              <w:rPr>
                <w:rFonts w:ascii="Times New Roman" w:hAnsi="Times New Roman" w:cs="Times New Roman"/>
                <w:b/>
                <w:bCs/>
                <w:color w:val="auto"/>
                <w:lang w:val="en-US" w:eastAsia="zh-CN"/>
              </w:rPr>
              <w:t>项目产污环节一览表</w:t>
            </w:r>
          </w:p>
          <w:tbl>
            <w:tblPr>
              <w:tblStyle w:val="1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1793"/>
              <w:gridCol w:w="1229"/>
              <w:gridCol w:w="36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5" w:type="pc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污染类别</w:t>
                  </w:r>
                </w:p>
              </w:tc>
              <w:tc>
                <w:tcPr>
                  <w:tcW w:w="1128" w:type="pc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产污环节</w:t>
                  </w:r>
                </w:p>
              </w:tc>
              <w:tc>
                <w:tcPr>
                  <w:tcW w:w="773" w:type="pc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污染物</w:t>
                  </w:r>
                </w:p>
              </w:tc>
              <w:tc>
                <w:tcPr>
                  <w:tcW w:w="2322" w:type="pc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775" w:type="pc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w:t>
                  </w:r>
                </w:p>
              </w:tc>
              <w:tc>
                <w:tcPr>
                  <w:tcW w:w="1128" w:type="pc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撕碎、一次破碎、二次破碎、气流分选、筛分</w:t>
                  </w:r>
                </w:p>
              </w:tc>
              <w:tc>
                <w:tcPr>
                  <w:tcW w:w="773" w:type="pc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颗粒物</w:t>
                  </w:r>
                </w:p>
              </w:tc>
              <w:tc>
                <w:tcPr>
                  <w:tcW w:w="2322" w:type="pc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密闭负压收集经</w:t>
                  </w:r>
                  <w:r>
                    <w:rPr>
                      <w:rFonts w:hint="default" w:ascii="Times New Roman" w:hAnsi="Times New Roman" w:cs="Times New Roman" w:eastAsiaTheme="minorEastAsia"/>
                      <w:sz w:val="21"/>
                      <w:szCs w:val="21"/>
                      <w:lang w:val="en-US" w:eastAsia="zh-CN"/>
                    </w:rPr>
                    <w:t>袋式除尘器+15m高排气筒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0" w:hRule="atLeast"/>
                <w:jc w:val="center"/>
              </w:trPr>
              <w:tc>
                <w:tcPr>
                  <w:tcW w:w="775" w:type="pc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1128" w:type="pc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职工生活</w:t>
                  </w:r>
                </w:p>
              </w:tc>
              <w:tc>
                <w:tcPr>
                  <w:tcW w:w="773" w:type="pc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COD、NH</w:t>
                  </w:r>
                  <w:r>
                    <w:rPr>
                      <w:rFonts w:hint="default" w:ascii="Times New Roman" w:hAnsi="Times New Roman" w:cs="Times New Roman" w:eastAsiaTheme="minorEastAsia"/>
                      <w:sz w:val="21"/>
                      <w:szCs w:val="21"/>
                      <w:vertAlign w:val="subscript"/>
                      <w:lang w:val="en-US" w:eastAsia="zh-CN"/>
                    </w:rPr>
                    <w:t>3</w:t>
                  </w:r>
                  <w:r>
                    <w:rPr>
                      <w:rFonts w:hint="default" w:ascii="Times New Roman" w:hAnsi="Times New Roman" w:cs="Times New Roman" w:eastAsiaTheme="minorEastAsia"/>
                      <w:sz w:val="21"/>
                      <w:szCs w:val="21"/>
                      <w:lang w:val="en-US" w:eastAsia="zh-CN"/>
                    </w:rPr>
                    <w:t>-N、TP、TN</w:t>
                  </w:r>
                </w:p>
              </w:tc>
              <w:tc>
                <w:tcPr>
                  <w:tcW w:w="2322" w:type="pc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由化粪池处理后定期进行清运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5" w:type="pc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1128" w:type="pc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机械设备运行过程</w:t>
                  </w:r>
                </w:p>
              </w:tc>
              <w:tc>
                <w:tcPr>
                  <w:tcW w:w="773" w:type="pc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设备噪声</w:t>
                  </w:r>
                </w:p>
              </w:tc>
              <w:tc>
                <w:tcPr>
                  <w:tcW w:w="2322" w:type="pc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基础减振、厂房隔声、距离衰减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5" w:type="pct"/>
                  <w:vMerge w:val="restar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固废</w:t>
                  </w:r>
                </w:p>
              </w:tc>
              <w:tc>
                <w:tcPr>
                  <w:tcW w:w="1128" w:type="pc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废气治理过程</w:t>
                  </w:r>
                </w:p>
              </w:tc>
              <w:tc>
                <w:tcPr>
                  <w:tcW w:w="773" w:type="pc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收集粉尘</w:t>
                  </w:r>
                </w:p>
              </w:tc>
              <w:tc>
                <w:tcPr>
                  <w:tcW w:w="2322" w:type="pc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在一般固废间暂存，经收集后外售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5" w:type="pct"/>
                  <w:vMerge w:val="continue"/>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c>
                <w:tcPr>
                  <w:tcW w:w="1128" w:type="pc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职工生活</w:t>
                  </w:r>
                </w:p>
              </w:tc>
              <w:tc>
                <w:tcPr>
                  <w:tcW w:w="773" w:type="pc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生活垃圾</w:t>
                  </w:r>
                </w:p>
              </w:tc>
              <w:tc>
                <w:tcPr>
                  <w:tcW w:w="2322" w:type="pc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由环卫部门统一处理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5" w:type="pct"/>
                  <w:vMerge w:val="continue"/>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c>
                <w:tcPr>
                  <w:tcW w:w="1128" w:type="pc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设备维护</w:t>
                  </w:r>
                </w:p>
              </w:tc>
              <w:tc>
                <w:tcPr>
                  <w:tcW w:w="773" w:type="pc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润滑油</w:t>
                  </w:r>
                </w:p>
              </w:tc>
              <w:tc>
                <w:tcPr>
                  <w:tcW w:w="2322" w:type="pct"/>
                  <w:noWrap w:val="0"/>
                  <w:tcMar>
                    <w:top w:w="85" w:type="dxa"/>
                    <w:bottom w:w="85" w:type="dxa"/>
                  </w:tcMar>
                  <w:vAlign w:val="center"/>
                </w:tcPr>
                <w:p>
                  <w:pPr>
                    <w:pStyle w:val="19"/>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在危废间暂存，交由有资质单位处理</w:t>
                  </w:r>
                </w:p>
              </w:tc>
            </w:tr>
          </w:tbl>
          <w:p>
            <w:pPr>
              <w:pStyle w:val="7"/>
              <w:keepNext w:val="0"/>
              <w:keepLines w:val="0"/>
              <w:suppressLineNumbers w:val="0"/>
              <w:spacing w:before="0" w:beforeAutospacing="0" w:after="0" w:afterAutospacing="0"/>
              <w:ind w:left="0" w:firstLine="0" w:firstLineChars="0"/>
              <w:rPr>
                <w:rFonts w:ascii="Times New Roman" w:hAnsi="Times New Roman" w:cs="Times New Roman"/>
                <w:color w:val="FF0000"/>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23" w:type="dxa"/>
            <w:noWrap w:val="0"/>
            <w:vAlign w:val="center"/>
          </w:tcPr>
          <w:p>
            <w:pPr>
              <w:keepNext w:val="0"/>
              <w:keepLines w:val="0"/>
              <w:widowControl/>
              <w:suppressLineNumbers w:val="0"/>
              <w:adjustRightInd w:val="0"/>
              <w:snapToGrid w:val="0"/>
              <w:spacing w:before="0" w:beforeAutospacing="0" w:after="0" w:afterAutospacing="0"/>
              <w:ind w:left="0" w:right="0"/>
              <w:jc w:val="both"/>
              <w:rPr>
                <w:rFonts w:hint="eastAsia" w:ascii="宋体" w:hAnsi="宋体" w:eastAsia="宋体" w:cs="宋体"/>
                <w:bCs/>
                <w:color w:val="auto"/>
                <w:kern w:val="2"/>
                <w:sz w:val="21"/>
                <w:szCs w:val="21"/>
                <w:lang w:val="en-US" w:eastAsia="zh-CN" w:bidi="ar-SA"/>
              </w:rPr>
            </w:pPr>
          </w:p>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bCs/>
                <w:color w:val="auto"/>
                <w:kern w:val="2"/>
                <w:sz w:val="21"/>
                <w:szCs w:val="21"/>
                <w:lang w:val="en-US" w:eastAsia="zh-CN" w:bidi="ar-SA"/>
              </w:rPr>
            </w:pPr>
          </w:p>
          <w:p>
            <w:pPr>
              <w:keepNext w:val="0"/>
              <w:keepLines w:val="0"/>
              <w:widowControl/>
              <w:suppressLineNumbers w:val="0"/>
              <w:adjustRightInd w:val="0"/>
              <w:snapToGrid w:val="0"/>
              <w:spacing w:before="0" w:beforeAutospacing="0" w:after="0" w:afterAutospacing="0"/>
              <w:ind w:left="0" w:right="0"/>
              <w:jc w:val="center"/>
              <w:rPr>
                <w:rFonts w:ascii="宋体" w:hAnsi="宋体" w:eastAsia="宋体" w:cs="宋体"/>
                <w:color w:val="auto"/>
                <w:kern w:val="0"/>
                <w:sz w:val="21"/>
                <w:szCs w:val="21"/>
                <w:lang w:val="en-US" w:eastAsia="zh-CN" w:bidi="ar-SA"/>
              </w:rPr>
            </w:pPr>
            <w:r>
              <w:rPr>
                <w:rFonts w:hint="eastAsia" w:ascii="宋体" w:hAnsi="宋体" w:eastAsia="宋体" w:cs="宋体"/>
                <w:bCs/>
                <w:color w:val="auto"/>
                <w:kern w:val="2"/>
                <w:sz w:val="21"/>
                <w:szCs w:val="21"/>
                <w:lang w:val="en-US" w:eastAsia="zh-CN" w:bidi="ar-SA"/>
              </w:rPr>
              <w:t>与项目有关的原有环境污染问题</w:t>
            </w:r>
          </w:p>
        </w:tc>
        <w:tc>
          <w:tcPr>
            <w:tcW w:w="8161" w:type="dxa"/>
            <w:noWrap w:val="0"/>
            <w:vAlign w:val="center"/>
          </w:tcPr>
          <w:p>
            <w:pPr>
              <w:pStyle w:val="7"/>
              <w:keepNext w:val="0"/>
              <w:keepLines w:val="0"/>
              <w:suppressLineNumbers w:val="0"/>
              <w:spacing w:before="0" w:beforeAutospacing="0" w:after="0" w:afterAutospacing="0"/>
              <w:ind w:left="0" w:leftChars="0" w:firstLine="0" w:firstLineChars="0"/>
              <w:jc w:val="center"/>
              <w:rPr>
                <w:rFonts w:hint="eastAsia" w:ascii="Times New Roman" w:hAnsi="Times New Roman" w:cs="Times New Roman"/>
                <w:color w:val="auto"/>
                <w:lang w:val="en-US" w:eastAsia="zh-CN"/>
              </w:rPr>
            </w:pPr>
          </w:p>
          <w:p>
            <w:pPr>
              <w:pStyle w:val="7"/>
              <w:keepNext w:val="0"/>
              <w:keepLines w:val="0"/>
              <w:suppressLineNumbers w:val="0"/>
              <w:spacing w:before="0" w:beforeAutospacing="0" w:after="0" w:afterAutospacing="0"/>
              <w:ind w:left="0" w:leftChars="0" w:firstLine="0" w:firstLineChars="0"/>
              <w:jc w:val="center"/>
              <w:rPr>
                <w:rFonts w:hint="eastAsia" w:ascii="Times New Roman" w:hAnsi="Times New Roman" w:cs="Times New Roman"/>
                <w:color w:val="auto"/>
                <w:lang w:val="en-US" w:eastAsia="zh-CN"/>
              </w:rPr>
            </w:pPr>
          </w:p>
          <w:p>
            <w:pPr>
              <w:pStyle w:val="7"/>
              <w:keepNext w:val="0"/>
              <w:keepLines w:val="0"/>
              <w:suppressLineNumbers w:val="0"/>
              <w:spacing w:before="0" w:beforeAutospacing="0" w:after="0" w:afterAutospacing="0"/>
              <w:ind w:left="0" w:leftChars="0" w:firstLine="0" w:firstLineChars="0"/>
              <w:jc w:val="center"/>
              <w:rPr>
                <w:rFonts w:hint="eastAsia" w:ascii="Times New Roman" w:hAnsi="Times New Roman" w:cs="Times New Roman"/>
                <w:color w:val="auto"/>
                <w:lang w:val="en-US" w:eastAsia="zh-CN"/>
              </w:rPr>
            </w:pPr>
          </w:p>
          <w:p>
            <w:pPr>
              <w:pStyle w:val="7"/>
              <w:keepNext w:val="0"/>
              <w:keepLines w:val="0"/>
              <w:suppressLineNumbers w:val="0"/>
              <w:spacing w:before="0" w:beforeAutospacing="0" w:after="0" w:afterAutospacing="0"/>
              <w:ind w:left="0" w:leftChars="0" w:firstLine="0" w:firstLineChars="0"/>
              <w:jc w:val="center"/>
              <w:rPr>
                <w:rFonts w:hint="eastAsia" w:ascii="Times New Roman" w:hAnsi="Times New Roman" w:cs="Times New Roman"/>
                <w:color w:val="auto"/>
                <w:lang w:val="en-US" w:eastAsia="zh-CN"/>
              </w:rPr>
            </w:pPr>
          </w:p>
          <w:p>
            <w:pPr>
              <w:pStyle w:val="7"/>
              <w:keepNext w:val="0"/>
              <w:keepLines w:val="0"/>
              <w:suppressLineNumbers w:val="0"/>
              <w:spacing w:before="0" w:beforeAutospacing="0" w:after="0" w:afterAutospacing="0"/>
              <w:ind w:left="0" w:leftChars="0" w:firstLine="0" w:firstLineChars="0"/>
              <w:jc w:val="center"/>
              <w:rPr>
                <w:rFonts w:hint="eastAsia" w:ascii="Times New Roman" w:hAnsi="Times New Roman" w:cs="Times New Roman"/>
                <w:color w:val="auto"/>
                <w:lang w:val="en-US" w:eastAsia="zh-CN"/>
              </w:rPr>
            </w:pPr>
          </w:p>
          <w:p>
            <w:pPr>
              <w:pStyle w:val="7"/>
              <w:keepNext w:val="0"/>
              <w:keepLines w:val="0"/>
              <w:suppressLineNumbers w:val="0"/>
              <w:spacing w:before="0" w:beforeAutospacing="0" w:after="0" w:afterAutospacing="0"/>
              <w:ind w:left="0" w:leftChars="0" w:firstLine="0" w:firstLineChars="0"/>
              <w:jc w:val="both"/>
              <w:rPr>
                <w:rFonts w:hint="eastAsia" w:ascii="Times New Roman" w:hAnsi="Times New Roman" w:cs="Times New Roman"/>
                <w:color w:val="auto"/>
                <w:lang w:val="en-US" w:eastAsia="zh-CN"/>
              </w:rPr>
            </w:pPr>
          </w:p>
          <w:p>
            <w:pPr>
              <w:pStyle w:val="7"/>
              <w:keepNext w:val="0"/>
              <w:keepLines w:val="0"/>
              <w:suppressLineNumbers w:val="0"/>
              <w:spacing w:before="0" w:beforeAutospacing="0" w:after="0" w:afterAutospacing="0"/>
              <w:ind w:left="0" w:leftChars="0" w:firstLine="0" w:firstLineChars="0"/>
              <w:jc w:val="center"/>
              <w:rPr>
                <w:rFonts w:hint="eastAsia" w:ascii="Times New Roman" w:hAnsi="Times New Roman" w:cs="Times New Roman"/>
                <w:color w:val="auto"/>
                <w:lang w:val="en-US" w:eastAsia="zh-CN"/>
              </w:rPr>
            </w:pPr>
          </w:p>
          <w:p>
            <w:pPr>
              <w:pStyle w:val="7"/>
              <w:keepNext w:val="0"/>
              <w:keepLines w:val="0"/>
              <w:suppressLineNumbers w:val="0"/>
              <w:spacing w:before="0" w:beforeAutospacing="0" w:after="0" w:afterAutospacing="0"/>
              <w:ind w:left="0" w:leftChars="0" w:firstLine="0" w:firstLineChars="0"/>
              <w:jc w:val="center"/>
              <w:rPr>
                <w:rFonts w:hint="eastAsia" w:ascii="Times New Roman" w:hAnsi="Times New Roman" w:cs="Times New Roman"/>
                <w:color w:val="auto"/>
                <w:lang w:val="en-US" w:eastAsia="zh-CN"/>
              </w:rPr>
            </w:pPr>
          </w:p>
          <w:p>
            <w:pPr>
              <w:pStyle w:val="7"/>
              <w:keepNext w:val="0"/>
              <w:keepLines w:val="0"/>
              <w:suppressLineNumbers w:val="0"/>
              <w:spacing w:before="0" w:beforeAutospacing="0" w:after="0" w:afterAutospacing="0"/>
              <w:ind w:left="0" w:leftChars="0" w:firstLine="0" w:firstLineChars="0"/>
              <w:jc w:val="center"/>
              <w:rPr>
                <w:rFonts w:hint="eastAsia" w:ascii="Times New Roman" w:hAnsi="Times New Roman" w:cs="Times New Roman"/>
                <w:color w:val="auto"/>
                <w:lang w:val="en-US" w:eastAsia="zh-CN"/>
              </w:rPr>
            </w:pPr>
          </w:p>
          <w:p>
            <w:pPr>
              <w:pStyle w:val="7"/>
              <w:keepNext w:val="0"/>
              <w:keepLines w:val="0"/>
              <w:suppressLineNumbers w:val="0"/>
              <w:spacing w:before="0" w:beforeAutospacing="0" w:after="0" w:afterAutospacing="0"/>
              <w:ind w:left="0" w:leftChars="0" w:firstLine="0" w:firstLineChars="0"/>
              <w:jc w:val="center"/>
              <w:rPr>
                <w:rFonts w:hint="eastAsia" w:ascii="Times New Roman" w:hAnsi="Times New Roman" w:cs="Times New Roman"/>
                <w:color w:val="auto"/>
                <w:lang w:val="en-US" w:eastAsia="zh-CN"/>
              </w:rPr>
            </w:pPr>
          </w:p>
          <w:p>
            <w:pPr>
              <w:pStyle w:val="7"/>
              <w:keepNext w:val="0"/>
              <w:keepLines w:val="0"/>
              <w:suppressLineNumbers w:val="0"/>
              <w:spacing w:before="0" w:beforeAutospacing="0" w:after="0" w:afterAutospacing="0"/>
              <w:ind w:left="0" w:leftChars="0"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本项目为新建项目，因此不存在</w:t>
            </w:r>
            <w:r>
              <w:rPr>
                <w:rFonts w:ascii="Times New Roman" w:hAnsi="Times New Roman" w:cs="Times New Roman"/>
                <w:color w:val="auto"/>
                <w:lang w:val="en-US" w:eastAsia="zh-CN"/>
              </w:rPr>
              <w:t>与本项目有关的原有污染情况及主要环境问题</w:t>
            </w:r>
            <w:r>
              <w:rPr>
                <w:rFonts w:hint="eastAsia" w:ascii="Times New Roman" w:hAnsi="Times New Roman" w:cs="Times New Roman"/>
                <w:color w:val="auto"/>
                <w:lang w:val="en-US" w:eastAsia="zh-CN"/>
              </w:rPr>
              <w:t>。</w:t>
            </w:r>
          </w:p>
          <w:p>
            <w:pPr>
              <w:pStyle w:val="7"/>
              <w:keepNext w:val="0"/>
              <w:keepLines w:val="0"/>
              <w:suppressLineNumbers w:val="0"/>
              <w:spacing w:before="0" w:beforeAutospacing="0" w:after="0" w:afterAutospacing="0"/>
              <w:ind w:left="0" w:leftChars="0" w:firstLine="0" w:firstLineChars="0"/>
              <w:jc w:val="center"/>
              <w:rPr>
                <w:rFonts w:hint="eastAsia" w:ascii="Times New Roman" w:hAnsi="Times New Roman" w:cs="Times New Roman"/>
                <w:color w:val="auto"/>
                <w:lang w:val="en-US" w:eastAsia="zh-CN"/>
              </w:rPr>
            </w:pPr>
          </w:p>
          <w:p>
            <w:pPr>
              <w:pStyle w:val="7"/>
              <w:keepNext w:val="0"/>
              <w:keepLines w:val="0"/>
              <w:suppressLineNumbers w:val="0"/>
              <w:spacing w:before="0" w:beforeAutospacing="0" w:after="0" w:afterAutospacing="0"/>
              <w:ind w:left="0" w:leftChars="0" w:firstLine="0" w:firstLineChars="0"/>
              <w:jc w:val="both"/>
              <w:rPr>
                <w:rFonts w:hint="eastAsia" w:ascii="Times New Roman" w:hAnsi="Times New Roman" w:cs="Times New Roman"/>
                <w:color w:val="auto"/>
                <w:lang w:val="en-US" w:eastAsia="zh-CN"/>
              </w:rPr>
            </w:pPr>
          </w:p>
          <w:p>
            <w:pPr>
              <w:pStyle w:val="7"/>
              <w:keepNext w:val="0"/>
              <w:keepLines w:val="0"/>
              <w:suppressLineNumbers w:val="0"/>
              <w:spacing w:before="0" w:beforeAutospacing="0" w:after="0" w:afterAutospacing="0"/>
              <w:ind w:left="0" w:leftChars="0" w:firstLine="0" w:firstLineChars="0"/>
              <w:jc w:val="both"/>
              <w:rPr>
                <w:rFonts w:hint="eastAsia" w:ascii="Times New Roman" w:hAnsi="Times New Roman" w:cs="Times New Roman"/>
                <w:color w:val="auto"/>
                <w:lang w:val="en-US" w:eastAsia="zh-CN"/>
              </w:rPr>
            </w:pPr>
          </w:p>
          <w:p>
            <w:pPr>
              <w:pStyle w:val="7"/>
              <w:keepNext w:val="0"/>
              <w:keepLines w:val="0"/>
              <w:suppressLineNumbers w:val="0"/>
              <w:spacing w:before="0" w:beforeAutospacing="0" w:after="0" w:afterAutospacing="0"/>
              <w:ind w:left="0" w:leftChars="0" w:firstLine="0" w:firstLineChars="0"/>
              <w:jc w:val="both"/>
              <w:rPr>
                <w:rFonts w:hint="eastAsia" w:ascii="Times New Roman" w:hAnsi="Times New Roman" w:cs="Times New Roman"/>
                <w:color w:val="auto"/>
                <w:lang w:val="en-US" w:eastAsia="zh-CN"/>
              </w:rPr>
            </w:pPr>
          </w:p>
          <w:p>
            <w:pPr>
              <w:pStyle w:val="7"/>
              <w:keepNext w:val="0"/>
              <w:keepLines w:val="0"/>
              <w:suppressLineNumbers w:val="0"/>
              <w:spacing w:before="0" w:beforeAutospacing="0" w:after="0" w:afterAutospacing="0"/>
              <w:ind w:left="0" w:leftChars="0" w:firstLine="0" w:firstLineChars="0"/>
              <w:jc w:val="both"/>
              <w:rPr>
                <w:rFonts w:hint="eastAsia" w:ascii="Times New Roman" w:hAnsi="Times New Roman" w:cs="Times New Roman"/>
                <w:color w:val="auto"/>
                <w:lang w:val="en-US" w:eastAsia="zh-CN"/>
              </w:rPr>
            </w:pPr>
          </w:p>
          <w:p>
            <w:pPr>
              <w:pStyle w:val="7"/>
              <w:keepNext w:val="0"/>
              <w:keepLines w:val="0"/>
              <w:suppressLineNumbers w:val="0"/>
              <w:spacing w:before="0" w:beforeAutospacing="0" w:after="0" w:afterAutospacing="0"/>
              <w:ind w:left="0" w:leftChars="0" w:firstLine="0" w:firstLineChars="0"/>
              <w:jc w:val="both"/>
              <w:rPr>
                <w:rFonts w:hint="eastAsia" w:ascii="Times New Roman" w:hAnsi="Times New Roman" w:cs="Times New Roman"/>
                <w:color w:val="auto"/>
                <w:lang w:val="en-US" w:eastAsia="zh-CN"/>
              </w:rPr>
            </w:pPr>
          </w:p>
          <w:p>
            <w:pPr>
              <w:pStyle w:val="7"/>
              <w:keepNext w:val="0"/>
              <w:keepLines w:val="0"/>
              <w:suppressLineNumbers w:val="0"/>
              <w:spacing w:before="0" w:beforeAutospacing="0" w:after="0" w:afterAutospacing="0"/>
              <w:ind w:left="0" w:leftChars="0" w:firstLine="0" w:firstLineChars="0"/>
              <w:jc w:val="both"/>
              <w:rPr>
                <w:rFonts w:hint="eastAsia" w:ascii="Times New Roman" w:hAnsi="Times New Roman" w:cs="Times New Roman"/>
                <w:color w:val="auto"/>
                <w:lang w:val="en-US" w:eastAsia="zh-CN"/>
              </w:rPr>
            </w:pPr>
          </w:p>
          <w:p>
            <w:pPr>
              <w:pStyle w:val="7"/>
              <w:keepNext w:val="0"/>
              <w:keepLines w:val="0"/>
              <w:suppressLineNumbers w:val="0"/>
              <w:spacing w:before="0" w:beforeAutospacing="0" w:after="0" w:afterAutospacing="0"/>
              <w:ind w:left="0" w:leftChars="0" w:firstLine="0" w:firstLineChars="0"/>
              <w:jc w:val="both"/>
              <w:rPr>
                <w:rFonts w:hint="eastAsia" w:ascii="Times New Roman" w:hAnsi="Times New Roman" w:cs="Times New Roman"/>
                <w:color w:val="auto"/>
                <w:lang w:val="en-US" w:eastAsia="zh-CN"/>
              </w:rPr>
            </w:pPr>
          </w:p>
          <w:p>
            <w:pPr>
              <w:pStyle w:val="7"/>
              <w:keepNext w:val="0"/>
              <w:keepLines w:val="0"/>
              <w:suppressLineNumbers w:val="0"/>
              <w:spacing w:before="0" w:beforeAutospacing="0" w:after="0" w:afterAutospacing="0"/>
              <w:ind w:left="0" w:leftChars="0" w:firstLine="0" w:firstLineChars="0"/>
              <w:jc w:val="both"/>
              <w:rPr>
                <w:rFonts w:hint="eastAsia" w:ascii="Times New Roman" w:hAnsi="Times New Roman" w:cs="Times New Roman"/>
                <w:color w:val="auto"/>
                <w:lang w:val="en-US" w:eastAsia="zh-CN"/>
              </w:rPr>
            </w:pPr>
          </w:p>
          <w:p>
            <w:pPr>
              <w:pStyle w:val="7"/>
              <w:keepNext w:val="0"/>
              <w:keepLines w:val="0"/>
              <w:suppressLineNumbers w:val="0"/>
              <w:spacing w:before="0" w:beforeAutospacing="0" w:after="0" w:afterAutospacing="0"/>
              <w:ind w:left="0" w:leftChars="0" w:firstLine="0" w:firstLineChars="0"/>
              <w:jc w:val="both"/>
              <w:rPr>
                <w:rFonts w:hint="eastAsia" w:ascii="Times New Roman" w:hAnsi="Times New Roman" w:cs="Times New Roman"/>
                <w:color w:val="auto"/>
                <w:lang w:val="en-US" w:eastAsia="zh-CN"/>
              </w:rPr>
            </w:pPr>
          </w:p>
          <w:p>
            <w:pPr>
              <w:pStyle w:val="7"/>
              <w:keepNext w:val="0"/>
              <w:keepLines w:val="0"/>
              <w:suppressLineNumbers w:val="0"/>
              <w:spacing w:before="0" w:beforeAutospacing="0" w:after="0" w:afterAutospacing="0"/>
              <w:ind w:left="0" w:leftChars="0" w:firstLine="0" w:firstLineChars="0"/>
              <w:jc w:val="both"/>
              <w:rPr>
                <w:rFonts w:hint="eastAsia" w:ascii="Times New Roman" w:hAnsi="Times New Roman" w:cs="Times New Roman"/>
                <w:color w:val="auto"/>
                <w:lang w:val="en-US" w:eastAsia="zh-CN"/>
              </w:rPr>
            </w:pPr>
          </w:p>
          <w:p>
            <w:pPr>
              <w:pStyle w:val="7"/>
              <w:keepNext w:val="0"/>
              <w:keepLines w:val="0"/>
              <w:suppressLineNumbers w:val="0"/>
              <w:spacing w:before="0" w:beforeAutospacing="0" w:after="0" w:afterAutospacing="0"/>
              <w:ind w:left="0" w:leftChars="0" w:firstLine="0" w:firstLineChars="0"/>
              <w:jc w:val="both"/>
              <w:rPr>
                <w:rFonts w:hint="eastAsia" w:ascii="Times New Roman" w:hAnsi="Times New Roman" w:cs="Times New Roman"/>
                <w:color w:val="auto"/>
                <w:lang w:val="en-US" w:eastAsia="zh-CN"/>
              </w:rPr>
            </w:pPr>
          </w:p>
          <w:p>
            <w:pPr>
              <w:pStyle w:val="7"/>
              <w:keepNext w:val="0"/>
              <w:keepLines w:val="0"/>
              <w:suppressLineNumbers w:val="0"/>
              <w:spacing w:before="0" w:beforeAutospacing="0" w:after="0" w:afterAutospacing="0"/>
              <w:ind w:left="0" w:leftChars="0" w:firstLine="0" w:firstLineChars="0"/>
              <w:jc w:val="both"/>
              <w:rPr>
                <w:rFonts w:ascii="Times New Roman" w:hAnsi="Times New Roman" w:cs="Times New Roman"/>
                <w:color w:val="auto"/>
                <w:lang w:val="en-US" w:eastAsia="zh-CN"/>
              </w:rPr>
            </w:pPr>
          </w:p>
        </w:tc>
      </w:tr>
    </w:tbl>
    <w:p>
      <w:pPr>
        <w:jc w:val="center"/>
        <w:rPr>
          <w:rFonts w:ascii="黑体" w:hAnsi="黑体" w:eastAsia="黑体"/>
          <w:snapToGrid w:val="0"/>
          <w:color w:val="FF0000"/>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widowControl/>
        <w:adjustRightInd w:val="0"/>
        <w:snapToGrid w:val="0"/>
        <w:spacing w:before="0" w:beforeAutospacing="0" w:after="0" w:afterAutospacing="0" w:line="14" w:lineRule="auto"/>
        <w:jc w:val="center"/>
        <w:outlineLvl w:val="0"/>
        <w:rPr>
          <w:rFonts w:hint="eastAsia" w:ascii="黑体" w:hAnsi="黑体" w:eastAsia="黑体" w:cs="Times New Roman"/>
          <w:snapToGrid w:val="0"/>
          <w:color w:val="FF0000"/>
          <w:kern w:val="0"/>
          <w:sz w:val="30"/>
          <w:szCs w:val="30"/>
          <w:lang w:val="en-US" w:eastAsia="zh-CN" w:bidi="ar-SA"/>
        </w:rPr>
      </w:pPr>
    </w:p>
    <w:p>
      <w:pPr>
        <w:widowControl/>
        <w:spacing w:before="100" w:beforeAutospacing="1" w:after="100" w:afterAutospacing="1"/>
        <w:jc w:val="center"/>
        <w:outlineLvl w:val="0"/>
        <w:rPr>
          <w:rFonts w:ascii="黑体" w:hAnsi="黑体" w:eastAsia="黑体" w:cs="Times New Roman"/>
          <w:snapToGrid w:val="0"/>
          <w:color w:val="auto"/>
          <w:kern w:val="0"/>
          <w:sz w:val="30"/>
          <w:szCs w:val="30"/>
          <w:lang w:val="en-US" w:eastAsia="zh-CN" w:bidi="ar-SA"/>
        </w:rPr>
      </w:pPr>
      <w:r>
        <w:rPr>
          <w:rFonts w:hint="eastAsia" w:ascii="黑体" w:hAnsi="黑体" w:eastAsia="黑体" w:cs="Times New Roman"/>
          <w:snapToGrid w:val="0"/>
          <w:color w:val="auto"/>
          <w:kern w:val="0"/>
          <w:sz w:val="30"/>
          <w:szCs w:val="30"/>
          <w:lang w:val="en-US" w:eastAsia="zh-CN" w:bidi="ar-SA"/>
        </w:rPr>
        <w:t>三、区域环境质量现状、环境保护目标及评价标准</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区域</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质量</w:t>
            </w:r>
          </w:p>
          <w:p>
            <w:pPr>
              <w:keepNext w:val="0"/>
              <w:keepLines w:val="0"/>
              <w:suppressLineNumbers w:val="0"/>
              <w:adjustRightInd w:val="0"/>
              <w:snapToGrid w:val="0"/>
              <w:spacing w:before="0" w:beforeAutospacing="0" w:after="0" w:afterAutospacing="0"/>
              <w:ind w:left="0" w:right="0"/>
              <w:jc w:val="center"/>
              <w:rPr>
                <w:rFonts w:ascii="宋体" w:hAnsi="宋体" w:eastAsia="宋体" w:cs="宋体"/>
                <w:color w:val="FF0000"/>
                <w:kern w:val="0"/>
                <w:szCs w:val="21"/>
              </w:rPr>
            </w:pPr>
            <w:r>
              <w:rPr>
                <w:rFonts w:hint="eastAsia" w:ascii="宋体" w:hAnsi="宋体" w:eastAsia="宋体" w:cs="宋体"/>
                <w:color w:val="auto"/>
                <w:kern w:val="0"/>
                <w:szCs w:val="21"/>
              </w:rPr>
              <w:t>现状</w:t>
            </w:r>
          </w:p>
        </w:tc>
        <w:tc>
          <w:tcPr>
            <w:tcW w:w="8190" w:type="dxa"/>
            <w:noWrap w:val="0"/>
            <w:vAlign w:val="center"/>
          </w:tcPr>
          <w:p>
            <w:pPr>
              <w:pStyle w:val="7"/>
              <w:keepNext w:val="0"/>
              <w:keepLines w:val="0"/>
              <w:pageBreakBefore w:val="0"/>
              <w:suppressLineNumbers w:val="0"/>
              <w:kinsoku/>
              <w:wordWrap/>
              <w:overflowPunct/>
              <w:topLinePunct w:val="0"/>
              <w:autoSpaceDE/>
              <w:autoSpaceDN/>
              <w:bidi w:val="0"/>
              <w:adjustRightInd/>
              <w:spacing w:before="0" w:beforeAutospacing="0" w:after="0" w:afterAutospacing="0" w:line="520" w:lineRule="exact"/>
              <w:ind w:left="0" w:firstLine="422" w:firstLineChars="200"/>
              <w:textAlignment w:val="auto"/>
              <w:rPr>
                <w:rFonts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1、</w:t>
            </w:r>
            <w:r>
              <w:rPr>
                <w:rFonts w:ascii="Times New Roman" w:hAnsi="Times New Roman" w:cs="Times New Roman"/>
                <w:b/>
                <w:bCs/>
                <w:color w:val="auto"/>
                <w:lang w:val="en-US" w:eastAsia="zh-CN"/>
              </w:rPr>
              <w:t>环境空气质量现状</w:t>
            </w:r>
          </w:p>
          <w:p>
            <w:pPr>
              <w:pStyle w:val="7"/>
              <w:keepNext w:val="0"/>
              <w:keepLines w:val="0"/>
              <w:pageBreakBefore w:val="0"/>
              <w:suppressLineNumbers w:val="0"/>
              <w:kinsoku/>
              <w:wordWrap/>
              <w:overflowPunct/>
              <w:topLinePunct w:val="0"/>
              <w:autoSpaceDE/>
              <w:autoSpaceDN/>
              <w:bidi w:val="0"/>
              <w:adjustRightInd/>
              <w:spacing w:before="0" w:beforeAutospacing="0" w:after="0" w:afterAutospacing="0" w:line="520" w:lineRule="exact"/>
              <w:ind w:left="0" w:firstLine="420" w:firstLineChars="200"/>
              <w:textAlignment w:val="auto"/>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根据大气功能区划分原则，建设项目所在地为二类功能区，环境空气质量应执行《环境空气质量标准》（GB3095-2012）二级标准。</w:t>
            </w:r>
            <w:r>
              <w:rPr>
                <w:rFonts w:hint="eastAsia" w:ascii="Times New Roman" w:hAnsi="Times New Roman" w:eastAsia="宋体" w:cs="Times New Roman"/>
                <w:color w:val="auto"/>
                <w:lang w:val="en-US" w:eastAsia="zh-CN"/>
              </w:rPr>
              <w:t>根据新乡市生态环境局发布的《新乡市</w:t>
            </w:r>
            <w:r>
              <w:rPr>
                <w:rFonts w:ascii="Times New Roman" w:hAnsi="Times New Roman" w:eastAsia="宋体" w:cs="Times New Roman"/>
                <w:color w:val="auto"/>
                <w:lang w:val="en-US" w:eastAsia="zh-CN"/>
              </w:rPr>
              <w:t>20</w:t>
            </w:r>
            <w:r>
              <w:rPr>
                <w:rFonts w:hint="eastAsia" w:ascii="Times New Roman" w:hAnsi="Times New Roman" w:eastAsia="宋体" w:cs="Times New Roman"/>
                <w:color w:val="auto"/>
                <w:lang w:val="en-US" w:eastAsia="zh-CN"/>
              </w:rPr>
              <w:t>20年环境质量年报》</w:t>
            </w:r>
            <w:r>
              <w:rPr>
                <w:rFonts w:ascii="Times New Roman" w:hAnsi="Times New Roman" w:eastAsia="宋体" w:cs="Times New Roman"/>
                <w:color w:val="auto"/>
                <w:lang w:val="en-US" w:eastAsia="zh-CN"/>
              </w:rPr>
              <w:t>，区域空气质量现状数据如下表所示。</w:t>
            </w:r>
          </w:p>
          <w:p>
            <w:pPr>
              <w:pStyle w:val="6"/>
              <w:keepNext w:val="0"/>
              <w:keepLines w:val="0"/>
              <w:pageBreakBefore w:val="0"/>
              <w:suppressLineNumbers w:val="0"/>
              <w:kinsoku/>
              <w:wordWrap/>
              <w:overflowPunct/>
              <w:topLinePunct w:val="0"/>
              <w:autoSpaceDE/>
              <w:autoSpaceDN/>
              <w:bidi w:val="0"/>
              <w:adjustRightInd/>
              <w:spacing w:before="0" w:beforeAutospacing="0" w:after="0" w:afterAutospacing="0" w:line="520" w:lineRule="exact"/>
              <w:ind w:left="0" w:right="0"/>
              <w:jc w:val="center"/>
              <w:textAlignment w:val="auto"/>
              <w:rPr>
                <w:rFonts w:hint="eastAsia" w:ascii="宋体" w:hAnsi="宋体" w:eastAsia="宋体" w:cs="宋体"/>
                <w:b/>
                <w:bCs/>
                <w:color w:val="auto"/>
                <w:sz w:val="24"/>
              </w:rPr>
            </w:pPr>
            <w:r>
              <w:rPr>
                <w:rFonts w:hint="eastAsia" w:ascii="宋体" w:hAnsi="宋体" w:eastAsia="宋体" w:cs="宋体"/>
                <w:b/>
                <w:bCs/>
                <w:color w:val="auto"/>
                <w:sz w:val="21"/>
                <w:szCs w:val="21"/>
              </w:rPr>
              <w:t>表</w:t>
            </w:r>
            <w:r>
              <w:rPr>
                <w:rFonts w:hint="eastAsia" w:ascii="宋体" w:hAnsi="宋体" w:eastAsia="宋体" w:cs="宋体"/>
                <w:b/>
                <w:bCs/>
                <w:color w:val="auto"/>
                <w:sz w:val="21"/>
                <w:szCs w:val="21"/>
                <w:lang w:val="en-US" w:eastAsia="zh-CN"/>
              </w:rPr>
              <w:t>17</w:t>
            </w:r>
            <w:r>
              <w:rPr>
                <w:rFonts w:hint="eastAsia" w:ascii="宋体" w:hAnsi="宋体" w:eastAsia="宋体" w:cs="宋体"/>
                <w:b/>
                <w:bCs/>
                <w:color w:val="auto"/>
                <w:sz w:val="21"/>
                <w:szCs w:val="21"/>
              </w:rPr>
              <w:t xml:space="preserve"> </w:t>
            </w:r>
            <w:r>
              <w:rPr>
                <w:rFonts w:hint="eastAsia" w:ascii="宋体" w:hAnsi="宋体" w:eastAsia="宋体" w:cs="宋体"/>
                <w:b/>
                <w:bCs/>
                <w:color w:val="auto"/>
                <w:sz w:val="24"/>
              </w:rPr>
              <w:t xml:space="preserve"> </w:t>
            </w:r>
            <w:r>
              <w:rPr>
                <w:rFonts w:hint="eastAsia" w:ascii="宋体" w:hAnsi="宋体" w:eastAsia="宋体" w:cs="宋体"/>
                <w:b/>
                <w:bCs/>
                <w:color w:val="auto"/>
                <w:sz w:val="21"/>
                <w:szCs w:val="21"/>
              </w:rPr>
              <w:t>区域空气质量现状评价表</w:t>
            </w:r>
          </w:p>
          <w:tbl>
            <w:tblPr>
              <w:tblStyle w:val="12"/>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1987"/>
              <w:gridCol w:w="1370"/>
              <w:gridCol w:w="1488"/>
              <w:gridCol w:w="1290"/>
              <w:gridCol w:w="9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auto"/>
                    </w:rPr>
                  </w:pPr>
                  <w:r>
                    <w:rPr>
                      <w:rFonts w:ascii="Times New Roman" w:hAnsi="Times New Roman" w:eastAsia="宋体" w:cs="Times New Roman"/>
                      <w:color w:val="auto"/>
                    </w:rPr>
                    <w:t>污染物</w:t>
                  </w:r>
                </w:p>
              </w:tc>
              <w:tc>
                <w:tcPr>
                  <w:tcW w:w="124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auto"/>
                    </w:rPr>
                  </w:pPr>
                  <w:r>
                    <w:rPr>
                      <w:rFonts w:ascii="Times New Roman" w:hAnsi="Times New Roman" w:eastAsia="宋体" w:cs="Times New Roman"/>
                      <w:color w:val="auto"/>
                    </w:rPr>
                    <w:t>年评价指标</w:t>
                  </w:r>
                </w:p>
              </w:tc>
              <w:tc>
                <w:tcPr>
                  <w:tcW w:w="85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auto"/>
                    </w:rPr>
                  </w:pPr>
                  <w:r>
                    <w:rPr>
                      <w:rFonts w:ascii="Times New Roman" w:hAnsi="Times New Roman" w:eastAsia="宋体" w:cs="Times New Roman"/>
                      <w:color w:val="auto"/>
                    </w:rPr>
                    <w:t>现状浓度/（μg/m</w:t>
                  </w:r>
                  <w:r>
                    <w:rPr>
                      <w:rFonts w:ascii="Times New Roman" w:hAnsi="Times New Roman" w:eastAsia="宋体" w:cs="Times New Roman"/>
                      <w:color w:val="auto"/>
                      <w:vertAlign w:val="superscript"/>
                    </w:rPr>
                    <w:t>3</w:t>
                  </w:r>
                  <w:r>
                    <w:rPr>
                      <w:rFonts w:ascii="Times New Roman" w:hAnsi="Times New Roman" w:eastAsia="宋体" w:cs="Times New Roman"/>
                      <w:color w:val="auto"/>
                    </w:rPr>
                    <w:t>）</w:t>
                  </w:r>
                </w:p>
              </w:tc>
              <w:tc>
                <w:tcPr>
                  <w:tcW w:w="93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auto"/>
                    </w:rPr>
                  </w:pPr>
                  <w:r>
                    <w:rPr>
                      <w:rFonts w:ascii="Times New Roman" w:hAnsi="Times New Roman" w:eastAsia="宋体" w:cs="Times New Roman"/>
                      <w:color w:val="auto"/>
                    </w:rPr>
                    <w:t>标准值/（</w:t>
                  </w:r>
                  <w:r>
                    <w:rPr>
                      <w:rFonts w:ascii="Times New Roman" w:hAnsi="Times New Roman" w:eastAsia="宋体" w:cs="Times New Roman"/>
                      <w:bCs/>
                      <w:color w:val="auto"/>
                    </w:rPr>
                    <w:t>μ</w:t>
                  </w:r>
                  <w:r>
                    <w:rPr>
                      <w:rFonts w:ascii="Times New Roman" w:hAnsi="Times New Roman" w:eastAsia="宋体" w:cs="Times New Roman"/>
                      <w:color w:val="auto"/>
                    </w:rPr>
                    <w:t>g/m</w:t>
                  </w:r>
                  <w:r>
                    <w:rPr>
                      <w:rFonts w:ascii="Times New Roman" w:hAnsi="Times New Roman" w:eastAsia="宋体" w:cs="Times New Roman"/>
                      <w:color w:val="auto"/>
                      <w:vertAlign w:val="superscript"/>
                    </w:rPr>
                    <w:t>3</w:t>
                  </w:r>
                  <w:r>
                    <w:rPr>
                      <w:rFonts w:ascii="Times New Roman" w:hAnsi="Times New Roman" w:eastAsia="宋体" w:cs="Times New Roman"/>
                      <w:color w:val="auto"/>
                    </w:rPr>
                    <w:t>）</w:t>
                  </w:r>
                </w:p>
              </w:tc>
              <w:tc>
                <w:tcPr>
                  <w:tcW w:w="809"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auto"/>
                    </w:rPr>
                  </w:pPr>
                  <w:r>
                    <w:rPr>
                      <w:rFonts w:ascii="Times New Roman" w:hAnsi="Times New Roman" w:eastAsia="宋体" w:cs="Times New Roman"/>
                      <w:color w:val="auto"/>
                    </w:rPr>
                    <w:t>占标率/%</w:t>
                  </w:r>
                </w:p>
              </w:tc>
              <w:tc>
                <w:tcPr>
                  <w:tcW w:w="59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auto"/>
                    </w:rPr>
                  </w:pPr>
                  <w:r>
                    <w:rPr>
                      <w:rFonts w:ascii="Times New Roman" w:hAnsi="Times New Roman" w:eastAsia="宋体" w:cs="Times New Roman"/>
                      <w:color w:val="auto"/>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0"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ascii="Times New Roman" w:hAnsi="Times New Roman" w:eastAsia="宋体" w:cs="Times New Roman"/>
                      <w:color w:val="auto"/>
                    </w:rPr>
                    <w:t>PM</w:t>
                  </w:r>
                  <w:r>
                    <w:rPr>
                      <w:rFonts w:ascii="Times New Roman" w:hAnsi="Times New Roman" w:eastAsia="宋体" w:cs="Times New Roman"/>
                      <w:color w:val="auto"/>
                      <w:vertAlign w:val="subscript"/>
                    </w:rPr>
                    <w:t>10</w:t>
                  </w:r>
                </w:p>
              </w:tc>
              <w:tc>
                <w:tcPr>
                  <w:tcW w:w="1246"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ascii="Times New Roman" w:hAnsi="Times New Roman" w:eastAsia="宋体" w:cs="Times New Roman"/>
                      <w:color w:val="auto"/>
                    </w:rPr>
                    <w:t>年平均质量浓度</w:t>
                  </w:r>
                </w:p>
              </w:tc>
              <w:tc>
                <w:tcPr>
                  <w:tcW w:w="859"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hint="eastAsia" w:ascii="Times New Roman" w:hAnsi="Times New Roman" w:eastAsia="宋体" w:cs="Times New Roman"/>
                      <w:color w:val="auto"/>
                    </w:rPr>
                    <w:t>89</w:t>
                  </w:r>
                </w:p>
              </w:tc>
              <w:tc>
                <w:tcPr>
                  <w:tcW w:w="933"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ascii="Times New Roman" w:hAnsi="Times New Roman" w:eastAsia="宋体" w:cs="Times New Roman"/>
                      <w:color w:val="auto"/>
                    </w:rPr>
                    <w:t>70</w:t>
                  </w:r>
                </w:p>
              </w:tc>
              <w:tc>
                <w:tcPr>
                  <w:tcW w:w="809"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hint="eastAsia" w:ascii="Times New Roman" w:hAnsi="Times New Roman" w:eastAsia="宋体" w:cs="Times New Roman"/>
                      <w:color w:val="auto"/>
                    </w:rPr>
                    <w:t>127</w:t>
                  </w:r>
                </w:p>
              </w:tc>
              <w:tc>
                <w:tcPr>
                  <w:tcW w:w="593"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ascii="Times New Roman" w:hAnsi="Times New Roman" w:eastAsia="宋体" w:cs="Times New Roman"/>
                      <w:color w:val="auto"/>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0"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ascii="Times New Roman" w:hAnsi="Times New Roman" w:eastAsia="宋体" w:cs="Times New Roman"/>
                      <w:color w:val="auto"/>
                    </w:rPr>
                    <w:t>PM</w:t>
                  </w:r>
                  <w:r>
                    <w:rPr>
                      <w:rFonts w:ascii="Times New Roman" w:hAnsi="Times New Roman" w:eastAsia="宋体" w:cs="Times New Roman"/>
                      <w:color w:val="auto"/>
                      <w:vertAlign w:val="subscript"/>
                    </w:rPr>
                    <w:t>2.5</w:t>
                  </w:r>
                </w:p>
              </w:tc>
              <w:tc>
                <w:tcPr>
                  <w:tcW w:w="1246"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ascii="Times New Roman" w:hAnsi="Times New Roman" w:eastAsia="宋体" w:cs="Times New Roman"/>
                      <w:color w:val="auto"/>
                    </w:rPr>
                    <w:t>年平均质量浓度</w:t>
                  </w:r>
                </w:p>
              </w:tc>
              <w:tc>
                <w:tcPr>
                  <w:tcW w:w="859"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hint="eastAsia" w:ascii="Times New Roman" w:hAnsi="Times New Roman" w:eastAsia="宋体" w:cs="Times New Roman"/>
                      <w:color w:val="auto"/>
                    </w:rPr>
                    <w:t>51</w:t>
                  </w:r>
                </w:p>
              </w:tc>
              <w:tc>
                <w:tcPr>
                  <w:tcW w:w="933"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ascii="Times New Roman" w:hAnsi="Times New Roman" w:eastAsia="宋体" w:cs="Times New Roman"/>
                      <w:color w:val="auto"/>
                    </w:rPr>
                    <w:t>35</w:t>
                  </w:r>
                </w:p>
              </w:tc>
              <w:tc>
                <w:tcPr>
                  <w:tcW w:w="809"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hint="eastAsia" w:ascii="Times New Roman" w:hAnsi="Times New Roman" w:eastAsia="宋体" w:cs="Times New Roman"/>
                      <w:color w:val="auto"/>
                    </w:rPr>
                    <w:t>145.7</w:t>
                  </w:r>
                </w:p>
              </w:tc>
              <w:tc>
                <w:tcPr>
                  <w:tcW w:w="593"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ascii="Times New Roman" w:hAnsi="Times New Roman" w:eastAsia="宋体" w:cs="Times New Roman"/>
                      <w:color w:val="auto"/>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0"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ascii="Times New Roman" w:hAnsi="Times New Roman" w:eastAsia="宋体" w:cs="Times New Roman"/>
                      <w:color w:val="auto"/>
                    </w:rPr>
                    <w:t>SO</w:t>
                  </w:r>
                  <w:r>
                    <w:rPr>
                      <w:rFonts w:ascii="Times New Roman" w:hAnsi="Times New Roman" w:eastAsia="宋体" w:cs="Times New Roman"/>
                      <w:color w:val="auto"/>
                      <w:vertAlign w:val="subscript"/>
                    </w:rPr>
                    <w:t>2</w:t>
                  </w:r>
                </w:p>
              </w:tc>
              <w:tc>
                <w:tcPr>
                  <w:tcW w:w="1246"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ascii="Times New Roman" w:hAnsi="Times New Roman" w:eastAsia="宋体" w:cs="Times New Roman"/>
                      <w:color w:val="auto"/>
                    </w:rPr>
                    <w:t>年平均质量浓度</w:t>
                  </w:r>
                </w:p>
              </w:tc>
              <w:tc>
                <w:tcPr>
                  <w:tcW w:w="859"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hint="eastAsia" w:ascii="Times New Roman" w:hAnsi="Times New Roman" w:eastAsia="宋体" w:cs="Times New Roman"/>
                      <w:color w:val="auto"/>
                    </w:rPr>
                    <w:t>13</w:t>
                  </w:r>
                </w:p>
              </w:tc>
              <w:tc>
                <w:tcPr>
                  <w:tcW w:w="933"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ascii="Times New Roman" w:hAnsi="Times New Roman" w:eastAsia="宋体" w:cs="Times New Roman"/>
                      <w:color w:val="auto"/>
                    </w:rPr>
                    <w:t>60</w:t>
                  </w:r>
                </w:p>
              </w:tc>
              <w:tc>
                <w:tcPr>
                  <w:tcW w:w="809"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hint="eastAsia" w:ascii="Times New Roman" w:hAnsi="Times New Roman" w:eastAsia="宋体" w:cs="Times New Roman"/>
                      <w:color w:val="auto"/>
                    </w:rPr>
                    <w:t>21.7</w:t>
                  </w:r>
                </w:p>
              </w:tc>
              <w:tc>
                <w:tcPr>
                  <w:tcW w:w="593"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ascii="Times New Roman" w:hAnsi="Times New Roman" w:eastAsia="宋体" w:cs="Times New Roman"/>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560"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ascii="Times New Roman" w:hAnsi="Times New Roman" w:eastAsia="宋体" w:cs="Times New Roman"/>
                      <w:color w:val="auto"/>
                    </w:rPr>
                    <w:t>NO</w:t>
                  </w:r>
                  <w:r>
                    <w:rPr>
                      <w:rFonts w:ascii="Times New Roman" w:hAnsi="Times New Roman" w:eastAsia="宋体" w:cs="Times New Roman"/>
                      <w:color w:val="auto"/>
                      <w:vertAlign w:val="subscript"/>
                    </w:rPr>
                    <w:t>2</w:t>
                  </w:r>
                </w:p>
              </w:tc>
              <w:tc>
                <w:tcPr>
                  <w:tcW w:w="1246"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ascii="Times New Roman" w:hAnsi="Times New Roman" w:eastAsia="宋体" w:cs="Times New Roman"/>
                      <w:color w:val="auto"/>
                    </w:rPr>
                    <w:t>年平均质量浓度</w:t>
                  </w:r>
                </w:p>
              </w:tc>
              <w:tc>
                <w:tcPr>
                  <w:tcW w:w="859"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hint="eastAsia" w:ascii="Times New Roman" w:hAnsi="Times New Roman" w:eastAsia="宋体" w:cs="Times New Roman"/>
                      <w:color w:val="auto"/>
                    </w:rPr>
                    <w:t>35</w:t>
                  </w:r>
                </w:p>
              </w:tc>
              <w:tc>
                <w:tcPr>
                  <w:tcW w:w="933"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ascii="Times New Roman" w:hAnsi="Times New Roman" w:eastAsia="宋体" w:cs="Times New Roman"/>
                      <w:color w:val="auto"/>
                    </w:rPr>
                    <w:t>40</w:t>
                  </w:r>
                </w:p>
              </w:tc>
              <w:tc>
                <w:tcPr>
                  <w:tcW w:w="809"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hint="eastAsia" w:ascii="Times New Roman" w:hAnsi="Times New Roman" w:eastAsia="宋体" w:cs="Times New Roman"/>
                      <w:color w:val="auto"/>
                    </w:rPr>
                    <w:t>87.5</w:t>
                  </w:r>
                </w:p>
              </w:tc>
              <w:tc>
                <w:tcPr>
                  <w:tcW w:w="593"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hint="eastAsia" w:ascii="Times New Roman" w:hAnsi="Times New Roman" w:eastAsia="宋体" w:cs="Times New Roman"/>
                      <w:color w:val="auto"/>
                    </w:rPr>
                    <w:t>达</w:t>
                  </w:r>
                  <w:r>
                    <w:rPr>
                      <w:rFonts w:ascii="Times New Roman" w:hAnsi="Times New Roman" w:eastAsia="宋体" w:cs="Times New Roman"/>
                      <w:color w:val="auto"/>
                    </w:rPr>
                    <w:t>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0"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ascii="Times New Roman" w:hAnsi="Times New Roman" w:eastAsia="宋体" w:cs="Times New Roman"/>
                      <w:color w:val="auto"/>
                    </w:rPr>
                    <w:t>CO</w:t>
                  </w:r>
                </w:p>
              </w:tc>
              <w:tc>
                <w:tcPr>
                  <w:tcW w:w="1246"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ascii="Times New Roman" w:hAnsi="Times New Roman" w:eastAsia="宋体" w:cs="Times New Roman"/>
                      <w:color w:val="auto"/>
                    </w:rPr>
                    <w:t>第95百分位浓度</w:t>
                  </w:r>
                </w:p>
              </w:tc>
              <w:tc>
                <w:tcPr>
                  <w:tcW w:w="859"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hint="eastAsia" w:ascii="Times New Roman" w:hAnsi="Times New Roman" w:eastAsia="宋体" w:cs="Times New Roman"/>
                      <w:color w:val="auto"/>
                    </w:rPr>
                    <w:t>1.675</w:t>
                  </w:r>
                  <w:r>
                    <w:rPr>
                      <w:rFonts w:ascii="Times New Roman" w:hAnsi="Times New Roman" w:eastAsia="宋体" w:cs="Times New Roman"/>
                      <w:color w:val="auto"/>
                    </w:rPr>
                    <w:t>mg/m</w:t>
                  </w:r>
                  <w:r>
                    <w:rPr>
                      <w:rFonts w:ascii="Times New Roman" w:hAnsi="Times New Roman" w:eastAsia="宋体" w:cs="Times New Roman"/>
                      <w:color w:val="auto"/>
                      <w:vertAlign w:val="superscript"/>
                    </w:rPr>
                    <w:t>3</w:t>
                  </w:r>
                </w:p>
              </w:tc>
              <w:tc>
                <w:tcPr>
                  <w:tcW w:w="933"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ascii="Times New Roman" w:hAnsi="Times New Roman" w:eastAsia="宋体" w:cs="Times New Roman"/>
                      <w:color w:val="auto"/>
                    </w:rPr>
                    <w:t>4mg/m</w:t>
                  </w:r>
                  <w:r>
                    <w:rPr>
                      <w:rFonts w:ascii="Times New Roman" w:hAnsi="Times New Roman" w:eastAsia="宋体" w:cs="Times New Roman"/>
                      <w:color w:val="auto"/>
                      <w:vertAlign w:val="superscript"/>
                    </w:rPr>
                    <w:t>3</w:t>
                  </w:r>
                </w:p>
              </w:tc>
              <w:tc>
                <w:tcPr>
                  <w:tcW w:w="809"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hint="eastAsia" w:ascii="Times New Roman" w:hAnsi="Times New Roman" w:eastAsia="宋体" w:cs="Times New Roman"/>
                      <w:color w:val="auto"/>
                    </w:rPr>
                    <w:t>41.9</w:t>
                  </w:r>
                </w:p>
              </w:tc>
              <w:tc>
                <w:tcPr>
                  <w:tcW w:w="593"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ascii="Times New Roman" w:hAnsi="Times New Roman" w:eastAsia="宋体" w:cs="Times New Roman"/>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0"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ascii="Times New Roman" w:hAnsi="Times New Roman" w:eastAsia="宋体" w:cs="Times New Roman"/>
                      <w:color w:val="auto"/>
                    </w:rPr>
                    <w:t>O</w:t>
                  </w:r>
                  <w:r>
                    <w:rPr>
                      <w:rFonts w:ascii="Times New Roman" w:hAnsi="Times New Roman" w:eastAsia="宋体" w:cs="Times New Roman"/>
                      <w:color w:val="auto"/>
                      <w:vertAlign w:val="subscript"/>
                    </w:rPr>
                    <w:t>3</w:t>
                  </w:r>
                </w:p>
              </w:tc>
              <w:tc>
                <w:tcPr>
                  <w:tcW w:w="1246"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ascii="Times New Roman" w:hAnsi="Times New Roman" w:eastAsia="宋体" w:cs="Times New Roman"/>
                      <w:color w:val="auto"/>
                    </w:rPr>
                    <w:t>第90百分位浓度</w:t>
                  </w:r>
                </w:p>
              </w:tc>
              <w:tc>
                <w:tcPr>
                  <w:tcW w:w="859"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hint="eastAsia" w:ascii="Times New Roman" w:hAnsi="Times New Roman" w:eastAsia="宋体" w:cs="Times New Roman"/>
                      <w:color w:val="auto"/>
                    </w:rPr>
                    <w:t>173</w:t>
                  </w:r>
                </w:p>
              </w:tc>
              <w:tc>
                <w:tcPr>
                  <w:tcW w:w="933"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ascii="Times New Roman" w:hAnsi="Times New Roman" w:eastAsia="宋体" w:cs="Times New Roman"/>
                      <w:color w:val="auto"/>
                    </w:rPr>
                    <w:t>160</w:t>
                  </w:r>
                </w:p>
              </w:tc>
              <w:tc>
                <w:tcPr>
                  <w:tcW w:w="809"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hint="eastAsia" w:ascii="Times New Roman" w:hAnsi="Times New Roman" w:eastAsia="宋体" w:cs="Times New Roman"/>
                      <w:color w:val="auto"/>
                    </w:rPr>
                    <w:t>108</w:t>
                  </w:r>
                </w:p>
              </w:tc>
              <w:tc>
                <w:tcPr>
                  <w:tcW w:w="593" w:type="pc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rPr>
                      <w:rFonts w:ascii="Times New Roman" w:hAnsi="Times New Roman" w:eastAsia="宋体" w:cs="Times New Roman"/>
                      <w:color w:val="auto"/>
                    </w:rPr>
                  </w:pPr>
                  <w:r>
                    <w:rPr>
                      <w:rFonts w:ascii="Times New Roman" w:hAnsi="Times New Roman" w:eastAsia="宋体" w:cs="Times New Roman"/>
                      <w:color w:val="auto"/>
                    </w:rPr>
                    <w:t>超标</w:t>
                  </w:r>
                </w:p>
              </w:tc>
            </w:tr>
          </w:tbl>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firstLineChars="200"/>
              <w:textAlignment w:val="auto"/>
              <w:rPr>
                <w:rFonts w:hint="eastAsia"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2020年新乡市环境空气PM</w:t>
            </w:r>
            <w:r>
              <w:rPr>
                <w:rFonts w:ascii="Times New Roman" w:hAnsi="Times New Roman" w:eastAsia="宋体" w:cs="Times New Roman"/>
                <w:color w:val="auto"/>
                <w:vertAlign w:val="subscript"/>
                <w:lang w:val="en-US" w:eastAsia="zh-CN"/>
              </w:rPr>
              <w:t>10</w:t>
            </w:r>
            <w:r>
              <w:rPr>
                <w:rFonts w:ascii="Times New Roman" w:hAnsi="Times New Roman" w:eastAsia="宋体" w:cs="Times New Roman"/>
                <w:color w:val="auto"/>
                <w:lang w:val="en-US" w:eastAsia="zh-CN"/>
              </w:rPr>
              <w:t>、PM</w:t>
            </w:r>
            <w:r>
              <w:rPr>
                <w:rFonts w:ascii="Times New Roman" w:hAnsi="Times New Roman" w:eastAsia="宋体" w:cs="Times New Roman"/>
                <w:color w:val="auto"/>
                <w:vertAlign w:val="subscript"/>
                <w:lang w:val="en-US" w:eastAsia="zh-CN"/>
              </w:rPr>
              <w:t>2.5</w:t>
            </w:r>
            <w:r>
              <w:rPr>
                <w:rFonts w:ascii="Times New Roman" w:hAnsi="Times New Roman" w:eastAsia="宋体" w:cs="Times New Roman"/>
                <w:color w:val="auto"/>
                <w:lang w:val="en-US" w:eastAsia="zh-CN"/>
              </w:rPr>
              <w:t>、二氧化硫、二氧化氮平均浓度分别为89微克/立方米、51微克/立方米、13微克/立方米、35微克/立方米，CO第95百分位浓度1.675毫克/立方米，O</w:t>
            </w:r>
            <w:r>
              <w:rPr>
                <w:rFonts w:ascii="Times New Roman" w:hAnsi="Times New Roman" w:eastAsia="宋体" w:cs="Times New Roman"/>
                <w:color w:val="auto"/>
                <w:vertAlign w:val="subscript"/>
                <w:lang w:val="en-US" w:eastAsia="zh-CN"/>
              </w:rPr>
              <w:t>3</w:t>
            </w:r>
            <w:r>
              <w:rPr>
                <w:rFonts w:ascii="Times New Roman" w:hAnsi="Times New Roman" w:eastAsia="宋体" w:cs="Times New Roman"/>
                <w:color w:val="auto"/>
                <w:lang w:val="en-US" w:eastAsia="zh-CN"/>
              </w:rPr>
              <w:t>第90百分位浓度为173微克/立方米。与上年相比，各项污染物浓度均有所下降：PM</w:t>
            </w:r>
            <w:r>
              <w:rPr>
                <w:rFonts w:ascii="Times New Roman" w:hAnsi="Times New Roman" w:eastAsia="宋体" w:cs="Times New Roman"/>
                <w:color w:val="auto"/>
                <w:vertAlign w:val="subscript"/>
                <w:lang w:val="en-US" w:eastAsia="zh-CN"/>
              </w:rPr>
              <w:t>10</w:t>
            </w:r>
            <w:r>
              <w:rPr>
                <w:rFonts w:ascii="Times New Roman" w:hAnsi="Times New Roman" w:eastAsia="宋体" w:cs="Times New Roman"/>
                <w:color w:val="auto"/>
                <w:lang w:val="en-US" w:eastAsia="zh-CN"/>
              </w:rPr>
              <w:t>平均浓度下降12微克/立方米，降幅11.9%；PM</w:t>
            </w:r>
            <w:r>
              <w:rPr>
                <w:rFonts w:ascii="Times New Roman" w:hAnsi="Times New Roman" w:eastAsia="宋体" w:cs="Times New Roman"/>
                <w:color w:val="auto"/>
                <w:vertAlign w:val="subscript"/>
                <w:lang w:val="en-US" w:eastAsia="zh-CN"/>
              </w:rPr>
              <w:t>2.5</w:t>
            </w:r>
            <w:r>
              <w:rPr>
                <w:rFonts w:ascii="Times New Roman" w:hAnsi="Times New Roman" w:eastAsia="宋体" w:cs="Times New Roman"/>
                <w:color w:val="auto"/>
                <w:lang w:val="en-US" w:eastAsia="zh-CN"/>
              </w:rPr>
              <w:t>平均浓度下降5微克/立方米，降幅8.9%；二氧化硫平均浓度下降3微克/立方米，降幅18.8%；二氧化氮平均浓度下降9微克/立方米，降幅20.5%；O</w:t>
            </w:r>
            <w:r>
              <w:rPr>
                <w:rFonts w:ascii="Times New Roman" w:hAnsi="Times New Roman" w:eastAsia="宋体" w:cs="Times New Roman"/>
                <w:color w:val="auto"/>
                <w:vertAlign w:val="subscript"/>
                <w:lang w:val="en-US" w:eastAsia="zh-CN"/>
              </w:rPr>
              <w:t>3</w:t>
            </w:r>
            <w:r>
              <w:rPr>
                <w:rFonts w:ascii="Times New Roman" w:hAnsi="Times New Roman" w:eastAsia="宋体" w:cs="Times New Roman"/>
                <w:color w:val="auto"/>
                <w:lang w:val="en-US" w:eastAsia="zh-CN"/>
              </w:rPr>
              <w:t>第90百分位浓度下降12微克/立方米，降幅6.5%，CO第95百分位浓度下降0.405毫克/立方米，降幅19.5%。</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firstLineChars="200"/>
              <w:textAlignment w:val="auto"/>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2020年，新乡市空气质量首要污染物为PM</w:t>
            </w:r>
            <w:r>
              <w:rPr>
                <w:rFonts w:ascii="Times New Roman" w:hAnsi="Times New Roman" w:eastAsia="宋体" w:cs="Times New Roman"/>
                <w:color w:val="auto"/>
                <w:vertAlign w:val="subscript"/>
                <w:lang w:val="en-US" w:eastAsia="zh-CN"/>
              </w:rPr>
              <w:t>2.5</w:t>
            </w:r>
            <w:r>
              <w:rPr>
                <w:rFonts w:ascii="Times New Roman" w:hAnsi="Times New Roman" w:eastAsia="宋体" w:cs="Times New Roman"/>
                <w:color w:val="auto"/>
                <w:lang w:val="en-US" w:eastAsia="zh-CN"/>
              </w:rPr>
              <w:t>，超标率为19.9%；其他各项污染物超标率由高到低依次为臭氧（14.2%）、PM</w:t>
            </w:r>
            <w:r>
              <w:rPr>
                <w:rFonts w:ascii="Times New Roman" w:hAnsi="Times New Roman" w:eastAsia="宋体" w:cs="Times New Roman"/>
                <w:color w:val="auto"/>
                <w:vertAlign w:val="subscript"/>
                <w:lang w:val="en-US" w:eastAsia="zh-CN"/>
              </w:rPr>
              <w:t>10</w:t>
            </w:r>
            <w:r>
              <w:rPr>
                <w:rFonts w:ascii="Times New Roman" w:hAnsi="Times New Roman" w:eastAsia="宋体" w:cs="Times New Roman"/>
                <w:color w:val="auto"/>
                <w:lang w:val="en-US" w:eastAsia="zh-CN"/>
              </w:rPr>
              <w:t>（10.1%）、二氧化氮（0.8%）。与上年相比，各类污染物超标率均有所下降，二氧化硫、一氧化碳均保持全年达标。</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firstLineChars="200"/>
              <w:textAlignment w:val="auto"/>
              <w:rPr>
                <w:rFonts w:ascii="Times New Roman" w:hAnsi="Times New Roman" w:eastAsia="宋体" w:cs="Times New Roman"/>
                <w:color w:val="auto"/>
                <w:lang w:val="en-US" w:eastAsia="zh-CN"/>
              </w:rPr>
            </w:pPr>
            <w:r>
              <w:rPr>
                <w:rFonts w:ascii="Times New Roman" w:hAnsi="Times New Roman" w:eastAsia="宋体" w:cs="Times New Roman"/>
                <w:color w:val="auto"/>
                <w:lang w:val="en-US" w:eastAsia="zh-CN"/>
              </w:rPr>
              <w:t>目前，新乡市正在实施《新乡市蓝天工程行动计划》、《新乡市202</w:t>
            </w:r>
            <w:r>
              <w:rPr>
                <w:rFonts w:hint="eastAsia" w:ascii="Times New Roman" w:hAnsi="Times New Roman" w:eastAsia="宋体" w:cs="Times New Roman"/>
                <w:color w:val="auto"/>
                <w:lang w:val="en-US" w:eastAsia="zh-CN"/>
              </w:rPr>
              <w:t>1</w:t>
            </w:r>
            <w:r>
              <w:rPr>
                <w:rFonts w:ascii="Times New Roman" w:hAnsi="Times New Roman" w:eastAsia="宋体" w:cs="Times New Roman"/>
                <w:color w:val="auto"/>
                <w:lang w:val="en-US" w:eastAsia="zh-CN"/>
              </w:rPr>
              <w:t>年大气污染防治攻坚战实施方案》等一系列措施，区域内的环境空气质量将会得到改善。项目实施过程满足环境质量底线要求。</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04" w:firstLineChars="200"/>
              <w:textAlignment w:val="auto"/>
              <w:rPr>
                <w:rFonts w:ascii="Times New Roman" w:hAnsi="Times New Roman" w:eastAsia="宋体" w:cs="Times New Roman"/>
                <w:color w:val="auto"/>
                <w:lang w:val="en-US" w:eastAsia="zh-CN"/>
              </w:rPr>
            </w:pPr>
            <w:r>
              <w:rPr>
                <w:rFonts w:hint="eastAsia" w:ascii="Times New Roman" w:hAnsi="Times New Roman" w:eastAsia="宋体" w:cs="Times New Roman"/>
                <w:spacing w:val="-4"/>
                <w:szCs w:val="21"/>
                <w:lang w:val="en-US" w:eastAsia="zh-CN"/>
              </w:rPr>
              <w:t>本项目撕碎、一次破碎、二次破碎、筛分</w:t>
            </w:r>
            <w:r>
              <w:rPr>
                <w:rFonts w:hint="eastAsia" w:cs="Times New Roman"/>
                <w:spacing w:val="-4"/>
                <w:szCs w:val="21"/>
                <w:lang w:val="en-US" w:eastAsia="zh-CN"/>
              </w:rPr>
              <w:t>、</w:t>
            </w:r>
            <w:r>
              <w:rPr>
                <w:rFonts w:hint="eastAsia" w:ascii="Times New Roman" w:hAnsi="Times New Roman" w:eastAsia="宋体" w:cs="Times New Roman"/>
                <w:spacing w:val="-4"/>
                <w:szCs w:val="21"/>
                <w:lang w:val="en-US" w:eastAsia="zh-CN"/>
              </w:rPr>
              <w:t>气流分选产生的</w:t>
            </w:r>
            <w:r>
              <w:rPr>
                <w:rFonts w:hint="default" w:ascii="Times New Roman" w:hAnsi="Times New Roman" w:eastAsia="宋体" w:cs="Times New Roman"/>
                <w:spacing w:val="-4"/>
                <w:szCs w:val="21"/>
                <w:lang w:val="en-US" w:eastAsia="zh-CN"/>
              </w:rPr>
              <w:t>粉尘</w:t>
            </w:r>
            <w:r>
              <w:rPr>
                <w:rFonts w:hint="eastAsia" w:ascii="Times New Roman" w:hAnsi="Times New Roman" w:eastAsia="宋体" w:cs="Times New Roman"/>
                <w:spacing w:val="-4"/>
                <w:szCs w:val="21"/>
                <w:lang w:val="en-US" w:eastAsia="zh-CN"/>
              </w:rPr>
              <w:t>分别</w:t>
            </w:r>
            <w:r>
              <w:rPr>
                <w:rFonts w:hint="default" w:ascii="Times New Roman" w:hAnsi="Times New Roman" w:eastAsia="宋体" w:cs="Times New Roman"/>
                <w:spacing w:val="-4"/>
                <w:szCs w:val="21"/>
                <w:lang w:val="en-US" w:eastAsia="zh-CN"/>
              </w:rPr>
              <w:t>经</w:t>
            </w:r>
            <w:r>
              <w:rPr>
                <w:rFonts w:hint="eastAsia" w:cs="Times New Roman"/>
                <w:spacing w:val="-4"/>
                <w:szCs w:val="21"/>
                <w:lang w:val="en-US" w:eastAsia="zh-CN"/>
              </w:rPr>
              <w:t>密闭负压</w:t>
            </w:r>
            <w:r>
              <w:rPr>
                <w:rFonts w:hint="default" w:ascii="Times New Roman" w:hAnsi="Times New Roman" w:eastAsia="宋体" w:cs="Times New Roman"/>
                <w:spacing w:val="-4"/>
                <w:szCs w:val="21"/>
                <w:lang w:val="en-US" w:eastAsia="zh-CN"/>
              </w:rPr>
              <w:t>收集后，</w:t>
            </w:r>
            <w:r>
              <w:rPr>
                <w:rFonts w:hint="default" w:ascii="Times New Roman" w:hAnsi="Times New Roman" w:eastAsia="宋体" w:cs="Times New Roman"/>
                <w:sz w:val="21"/>
                <w:szCs w:val="21"/>
                <w:highlight w:val="none"/>
                <w:lang w:val="en-US" w:eastAsia="zh-CN"/>
              </w:rPr>
              <w:t>经由集气管道输送至</w:t>
            </w:r>
            <w:r>
              <w:rPr>
                <w:rFonts w:hint="eastAsia" w:ascii="Times New Roman" w:hAnsi="Times New Roman" w:eastAsia="宋体" w:cs="Times New Roman"/>
                <w:sz w:val="21"/>
                <w:szCs w:val="21"/>
                <w:highlight w:val="none"/>
                <w:lang w:val="en-US" w:eastAsia="zh-CN"/>
              </w:rPr>
              <w:t>1套</w:t>
            </w:r>
            <w:r>
              <w:rPr>
                <w:rFonts w:hint="default" w:ascii="Times New Roman" w:hAnsi="Times New Roman" w:eastAsia="宋体" w:cs="Times New Roman"/>
                <w:sz w:val="21"/>
                <w:szCs w:val="21"/>
                <w:highlight w:val="none"/>
                <w:lang w:val="en-US" w:eastAsia="zh-CN"/>
              </w:rPr>
              <w:t>袋式除尘器进行处理，然后通过15m高排气筒排放，对环境空气质量的影响可以接受</w:t>
            </w:r>
            <w:r>
              <w:rPr>
                <w:rFonts w:hint="default" w:ascii="Times New Roman" w:hAnsi="Times New Roman" w:eastAsia="宋体" w:cs="Times New Roman"/>
                <w:spacing w:val="-4"/>
                <w:szCs w:val="21"/>
                <w:lang w:val="en-US" w:eastAsia="zh-CN"/>
              </w:rPr>
              <w:t>。对环境敏感点</w:t>
            </w:r>
            <w:r>
              <w:rPr>
                <w:rFonts w:hint="eastAsia" w:ascii="Times New Roman" w:hAnsi="Times New Roman" w:eastAsia="宋体" w:cs="Times New Roman"/>
                <w:spacing w:val="-4"/>
                <w:szCs w:val="21"/>
                <w:lang w:val="en-US" w:eastAsia="zh-CN"/>
              </w:rPr>
              <w:t>范岭村</w:t>
            </w:r>
            <w:r>
              <w:rPr>
                <w:rFonts w:hint="default" w:ascii="Times New Roman" w:hAnsi="Times New Roman" w:eastAsia="宋体" w:cs="Times New Roman"/>
                <w:spacing w:val="-4"/>
                <w:szCs w:val="21"/>
                <w:lang w:val="en-US" w:eastAsia="zh-CN"/>
              </w:rPr>
              <w:t>的影响较小。</w:t>
            </w:r>
          </w:p>
          <w:p>
            <w:pPr>
              <w:pStyle w:val="7"/>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firstLine="420"/>
              <w:textAlignment w:val="auto"/>
              <w:rPr>
                <w:rFonts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2、</w:t>
            </w:r>
            <w:r>
              <w:rPr>
                <w:rFonts w:ascii="Times New Roman" w:hAnsi="Times New Roman" w:cs="Times New Roman"/>
                <w:b/>
                <w:bCs/>
                <w:color w:val="auto"/>
                <w:lang w:val="en-US" w:eastAsia="zh-CN"/>
              </w:rPr>
              <w:t>地表水质量现状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420" w:firstLineChars="200"/>
              <w:textAlignment w:val="auto"/>
              <w:rPr>
                <w:rFonts w:hint="eastAsia" w:ascii="Times New Roman" w:hAnsi="Times New Roman" w:eastAsia="宋体" w:cs="Times New Roman"/>
                <w:szCs w:val="18"/>
              </w:rPr>
            </w:pPr>
            <w:r>
              <w:rPr>
                <w:rFonts w:ascii="Times New Roman" w:hAnsi="Times New Roman" w:eastAsia="宋体" w:cs="Times New Roman"/>
                <w:color w:val="auto"/>
                <w:lang w:val="en-US" w:eastAsia="zh-CN"/>
              </w:rPr>
              <w:t>根据现场勘查，</w:t>
            </w:r>
            <w:r>
              <w:rPr>
                <w:rFonts w:hint="eastAsia" w:ascii="Times New Roman" w:hAnsi="Times New Roman" w:eastAsia="宋体" w:cs="Times New Roman"/>
                <w:color w:val="auto"/>
                <w:lang w:val="en-US" w:eastAsia="zh-CN"/>
              </w:rPr>
              <w:t>本项目无废水外排，离项目最近的水体为卫河，距离约380m</w:t>
            </w:r>
            <w:r>
              <w:rPr>
                <w:rFonts w:ascii="Times New Roman" w:hAnsi="Times New Roman" w:eastAsia="宋体" w:cs="Times New Roman"/>
                <w:color w:val="auto"/>
                <w:lang w:val="en-US" w:eastAsia="zh-CN"/>
              </w:rPr>
              <w:t>，</w:t>
            </w:r>
            <w:r>
              <w:rPr>
                <w:rFonts w:hint="eastAsia" w:ascii="Times New Roman" w:hAnsi="Times New Roman" w:eastAsia="宋体" w:cs="Times New Roman"/>
                <w:szCs w:val="18"/>
              </w:rPr>
              <w:t>根据新乡市环境污染防治攻坚战三年行动实施方案（2018—2020年），该河段应执行《地表水环境质量标准》（GB3838-2002）Ⅴ类水质标准，根据新乡市环境保护局网站公示的 2020年第</w:t>
            </w:r>
            <w:r>
              <w:rPr>
                <w:rFonts w:ascii="Times New Roman" w:hAnsi="Times New Roman" w:eastAsia="宋体" w:cs="Times New Roman"/>
                <w:szCs w:val="21"/>
              </w:rPr>
              <w:t>11</w:t>
            </w:r>
            <w:r>
              <w:rPr>
                <w:rFonts w:hint="eastAsia" w:ascii="Times New Roman" w:hAnsi="Times New Roman" w:eastAsia="宋体" w:cs="Times New Roman"/>
                <w:szCs w:val="18"/>
              </w:rPr>
              <w:t>期《新乡市地表水环境责任目标断面水质月报》发布的数据，卫河小河口断面监测结果达标情况一览如下表所示。</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ascii="Times New Roman" w:hAnsi="Times New Roman" w:eastAsia="宋体" w:cs="Times New Roman"/>
                <w:b/>
                <w:sz w:val="21"/>
                <w:szCs w:val="21"/>
              </w:rPr>
            </w:pPr>
            <w:r>
              <w:rPr>
                <w:rFonts w:ascii="Times New Roman" w:hAnsi="Times New Roman" w:eastAsia="宋体" w:cs="Times New Roman"/>
                <w:b/>
                <w:sz w:val="21"/>
                <w:szCs w:val="21"/>
              </w:rPr>
              <w:t>表</w:t>
            </w:r>
            <w:r>
              <w:rPr>
                <w:rFonts w:hint="eastAsia" w:ascii="Times New Roman" w:hAnsi="Times New Roman" w:eastAsia="宋体" w:cs="Times New Roman"/>
                <w:b/>
                <w:sz w:val="21"/>
                <w:szCs w:val="21"/>
                <w:lang w:val="en-US" w:eastAsia="zh-CN"/>
              </w:rPr>
              <w:t>18</w:t>
            </w:r>
            <w:r>
              <w:rPr>
                <w:rFonts w:ascii="Times New Roman" w:hAnsi="Times New Roman" w:eastAsia="宋体" w:cs="Times New Roman"/>
                <w:b/>
                <w:sz w:val="21"/>
                <w:szCs w:val="21"/>
              </w:rPr>
              <w:t xml:space="preserve">  </w:t>
            </w:r>
            <w:r>
              <w:rPr>
                <w:rFonts w:hint="eastAsia" w:ascii="Times New Roman" w:hAnsi="Times New Roman" w:eastAsia="宋体" w:cs="Times New Roman"/>
                <w:b/>
                <w:sz w:val="21"/>
                <w:szCs w:val="21"/>
              </w:rPr>
              <w:t>卫河小河口断面</w:t>
            </w:r>
            <w:r>
              <w:rPr>
                <w:rFonts w:ascii="Times New Roman" w:hAnsi="Times New Roman" w:eastAsia="宋体" w:cs="Times New Roman"/>
                <w:b/>
                <w:sz w:val="21"/>
                <w:szCs w:val="21"/>
              </w:rPr>
              <w:t>地表水质量达标情况一览表 单位：mg/L</w:t>
            </w:r>
          </w:p>
          <w:tbl>
            <w:tblPr>
              <w:tblStyle w:val="12"/>
              <w:tblW w:w="5000"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990"/>
              <w:gridCol w:w="1996"/>
              <w:gridCol w:w="1994"/>
              <w:gridCol w:w="199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48" w:type="pct"/>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污染因子</w:t>
                  </w:r>
                </w:p>
              </w:tc>
              <w:tc>
                <w:tcPr>
                  <w:tcW w:w="1251" w:type="pct"/>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COD</w:t>
                  </w:r>
                </w:p>
              </w:tc>
              <w:tc>
                <w:tcPr>
                  <w:tcW w:w="1250" w:type="pct"/>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w:t>
                  </w:r>
                </w:p>
              </w:tc>
              <w:tc>
                <w:tcPr>
                  <w:tcW w:w="1250" w:type="pct"/>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TP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48" w:type="pct"/>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监测值</w:t>
                  </w:r>
                </w:p>
              </w:tc>
              <w:tc>
                <w:tcPr>
                  <w:tcW w:w="125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w:t>
                  </w:r>
                </w:p>
              </w:tc>
              <w:tc>
                <w:tcPr>
                  <w:tcW w:w="125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0.83</w:t>
                  </w:r>
                </w:p>
              </w:tc>
              <w:tc>
                <w:tcPr>
                  <w:tcW w:w="125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0.178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48" w:type="pct"/>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标准值</w:t>
                  </w:r>
                </w:p>
              </w:tc>
              <w:tc>
                <w:tcPr>
                  <w:tcW w:w="1251" w:type="pct"/>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40</w:t>
                  </w:r>
                </w:p>
              </w:tc>
              <w:tc>
                <w:tcPr>
                  <w:tcW w:w="1250" w:type="pct"/>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2.0</w:t>
                  </w:r>
                </w:p>
              </w:tc>
              <w:tc>
                <w:tcPr>
                  <w:tcW w:w="1250" w:type="pct"/>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c>
                <w:tcPr>
                  <w:tcW w:w="1248" w:type="pct"/>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达标情况</w:t>
                  </w:r>
                </w:p>
              </w:tc>
              <w:tc>
                <w:tcPr>
                  <w:tcW w:w="1251" w:type="pct"/>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c>
                <w:tcPr>
                  <w:tcW w:w="1250" w:type="pct"/>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c>
                <w:tcPr>
                  <w:tcW w:w="1250" w:type="pct"/>
                  <w:tcBorders>
                    <w:tl2br w:val="nil"/>
                    <w:tr2bl w:val="nil"/>
                  </w:tcBorders>
                  <w:noWrap w:val="0"/>
                  <w:vAlign w:val="center"/>
                </w:tcPr>
                <w:p>
                  <w:pPr>
                    <w:pStyle w:val="4"/>
                    <w:keepNext w:val="0"/>
                    <w:keepLines w:val="0"/>
                    <w:suppressLineNumbers w:val="0"/>
                    <w:spacing w:before="0" w:beforeAutospacing="0" w:after="0" w:afterAutospacing="0" w:line="240" w:lineRule="atLeast"/>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由上表可知，</w:t>
            </w:r>
            <w:r>
              <w:rPr>
                <w:rFonts w:hint="eastAsia" w:ascii="Times New Roman" w:hAnsi="Times New Roman" w:eastAsia="宋体" w:cs="Times New Roman"/>
                <w:color w:val="000000"/>
                <w:sz w:val="21"/>
                <w:szCs w:val="21"/>
                <w:lang w:val="en-US" w:eastAsia="zh-CN"/>
              </w:rPr>
              <w:t>2020</w:t>
            </w:r>
            <w:r>
              <w:rPr>
                <w:rFonts w:hint="default" w:ascii="Times New Roman" w:hAnsi="Times New Roman" w:eastAsia="宋体" w:cs="Times New Roman"/>
                <w:color w:val="000000"/>
                <w:sz w:val="21"/>
                <w:szCs w:val="21"/>
                <w:lang w:val="en-US" w:eastAsia="zh-CN"/>
              </w:rPr>
              <w:t>年</w:t>
            </w:r>
            <w:r>
              <w:rPr>
                <w:rFonts w:hint="eastAsia" w:ascii="Times New Roman" w:hAnsi="Times New Roman" w:eastAsia="宋体" w:cs="Times New Roman"/>
                <w:color w:val="000000"/>
                <w:sz w:val="21"/>
                <w:szCs w:val="21"/>
                <w:lang w:val="en-US" w:eastAsia="zh-CN"/>
              </w:rPr>
              <w:t>11</w:t>
            </w:r>
            <w:r>
              <w:rPr>
                <w:rFonts w:hint="default" w:ascii="Times New Roman" w:hAnsi="Times New Roman" w:eastAsia="宋体" w:cs="Times New Roman"/>
                <w:color w:val="000000"/>
                <w:sz w:val="21"/>
                <w:szCs w:val="21"/>
              </w:rPr>
              <w:t>月份</w:t>
            </w:r>
            <w:r>
              <w:rPr>
                <w:rFonts w:hint="eastAsia" w:ascii="Times New Roman" w:hAnsi="Times New Roman" w:eastAsia="宋体" w:cs="Times New Roman"/>
                <w:color w:val="000000"/>
                <w:sz w:val="21"/>
                <w:szCs w:val="21"/>
                <w:lang w:eastAsia="zh-CN"/>
              </w:rPr>
              <w:t>卫河小河口</w:t>
            </w:r>
            <w:r>
              <w:rPr>
                <w:rFonts w:hint="default" w:ascii="Times New Roman" w:hAnsi="Times New Roman" w:eastAsia="宋体" w:cs="Times New Roman"/>
                <w:color w:val="000000"/>
                <w:sz w:val="21"/>
                <w:szCs w:val="21"/>
              </w:rPr>
              <w:t>断面</w:t>
            </w:r>
            <w:r>
              <w:rPr>
                <w:rFonts w:hint="default" w:ascii="Times New Roman" w:hAnsi="Times New Roman" w:eastAsia="宋体" w:cs="Times New Roman"/>
                <w:sz w:val="21"/>
                <w:szCs w:val="21"/>
              </w:rPr>
              <w:t>数据</w:t>
            </w:r>
            <w:r>
              <w:rPr>
                <w:rFonts w:hint="default" w:ascii="Times New Roman" w:hAnsi="Times New Roman" w:eastAsia="宋体" w:cs="Times New Roman"/>
                <w:sz w:val="21"/>
                <w:szCs w:val="21"/>
                <w:lang w:eastAsia="zh-CN"/>
              </w:rPr>
              <w:t>能够达到《</w:t>
            </w:r>
            <w:r>
              <w:rPr>
                <w:rFonts w:hint="default" w:ascii="Times New Roman" w:hAnsi="Times New Roman" w:eastAsia="宋体" w:cs="Times New Roman"/>
                <w:color w:val="auto"/>
                <w:sz w:val="21"/>
                <w:szCs w:val="21"/>
              </w:rPr>
              <w:t>地表水环境质量标准》（GB3838-2002）</w:t>
            </w:r>
            <w:r>
              <w:rPr>
                <w:rFonts w:hint="default" w:ascii="Times New Roman" w:hAnsi="Times New Roman" w:eastAsia="宋体" w:cs="Times New Roman"/>
                <w:color w:val="auto"/>
                <w:sz w:val="21"/>
                <w:szCs w:val="21"/>
                <w:lang w:val="en-US" w:eastAsia="zh-CN"/>
              </w:rPr>
              <w:t>V</w:t>
            </w:r>
            <w:r>
              <w:rPr>
                <w:rFonts w:hint="default" w:ascii="Times New Roman" w:hAnsi="Times New Roman" w:eastAsia="宋体" w:cs="Times New Roman"/>
                <w:color w:val="auto"/>
                <w:sz w:val="21"/>
                <w:szCs w:val="21"/>
              </w:rPr>
              <w:t>类标准</w:t>
            </w:r>
            <w:r>
              <w:rPr>
                <w:rFonts w:hint="default" w:ascii="Times New Roman" w:hAnsi="Times New Roman" w:eastAsia="宋体" w:cs="Times New Roman"/>
                <w:sz w:val="21"/>
                <w:szCs w:val="21"/>
              </w:rPr>
              <w:t>。</w:t>
            </w:r>
          </w:p>
          <w:p>
            <w:pPr>
              <w:pStyle w:val="20"/>
              <w:keepNext w:val="0"/>
              <w:keepLines w:val="0"/>
              <w:pageBreakBefore w:val="0"/>
              <w:widowControl w:val="0"/>
              <w:numPr>
                <w:ilvl w:val="0"/>
                <w:numId w:val="0"/>
              </w:numPr>
              <w:suppressLineNumbers w:val="0"/>
              <w:kinsoku/>
              <w:wordWrap/>
              <w:overflowPunct/>
              <w:topLinePunct w:val="0"/>
              <w:autoSpaceDE/>
              <w:autoSpaceDN/>
              <w:bidi w:val="0"/>
              <w:adjustRightInd/>
              <w:spacing w:before="0" w:beforeAutospacing="0" w:after="0" w:afterAutospacing="0" w:line="520" w:lineRule="exact"/>
              <w:ind w:left="0" w:right="0" w:firstLine="420" w:firstLineChars="200"/>
              <w:textAlignment w:val="auto"/>
              <w:rPr>
                <w:rFonts w:ascii="Times New Roman" w:hAnsi="Times New Roman" w:cs="Times New Roman"/>
                <w:b/>
                <w:bCs/>
                <w:color w:val="auto"/>
                <w:lang w:val="en-US" w:eastAsia="zh-CN"/>
              </w:rPr>
            </w:pPr>
            <w:r>
              <w:rPr>
                <w:rFonts w:hint="eastAsia" w:ascii="Times New Roman" w:hAnsi="Times New Roman" w:eastAsia="宋体" w:cs="Times New Roman"/>
                <w:color w:val="auto"/>
                <w:sz w:val="21"/>
                <w:szCs w:val="21"/>
                <w:highlight w:val="none"/>
                <w:lang w:eastAsia="zh-CN"/>
              </w:rPr>
              <w:t>本项目无生产废水产生；</w:t>
            </w:r>
            <w:r>
              <w:rPr>
                <w:rFonts w:hint="default" w:ascii="Times New Roman" w:hAnsi="Times New Roman" w:eastAsia="宋体" w:cs="Times New Roman"/>
                <w:sz w:val="21"/>
                <w:szCs w:val="21"/>
                <w:highlight w:val="none"/>
                <w:lang w:val="en-US" w:eastAsia="zh-CN"/>
              </w:rPr>
              <w:t>生活污水</w:t>
            </w:r>
            <w:r>
              <w:rPr>
                <w:rFonts w:hint="eastAsia" w:ascii="Times New Roman" w:hAnsi="Times New Roman" w:eastAsia="宋体" w:cs="Times New Roman"/>
                <w:sz w:val="21"/>
                <w:szCs w:val="21"/>
                <w:highlight w:val="none"/>
                <w:lang w:val="en-US" w:eastAsia="zh-CN"/>
              </w:rPr>
              <w:t>经过</w:t>
            </w:r>
            <w:r>
              <w:rPr>
                <w:rFonts w:hint="default" w:ascii="Times New Roman" w:hAnsi="Times New Roman" w:eastAsia="宋体" w:cs="Times New Roman"/>
                <w:sz w:val="21"/>
                <w:szCs w:val="21"/>
                <w:highlight w:val="none"/>
                <w:lang w:val="en-US" w:eastAsia="zh-CN"/>
              </w:rPr>
              <w:t>化粪池进行收集，</w:t>
            </w:r>
            <w:r>
              <w:rPr>
                <w:rFonts w:hint="default" w:ascii="Times New Roman" w:hAnsi="Times New Roman" w:eastAsia="宋体" w:cs="Times New Roman"/>
                <w:sz w:val="21"/>
                <w:szCs w:val="21"/>
                <w:highlight w:val="none"/>
                <w:lang w:eastAsia="zh-CN"/>
              </w:rPr>
              <w:t>定期清掏肥田</w:t>
            </w:r>
            <w:r>
              <w:rPr>
                <w:rFonts w:hint="eastAsia" w:ascii="Times New Roman" w:hAnsi="Times New Roman" w:eastAsia="宋体" w:cs="Times New Roman"/>
                <w:sz w:val="21"/>
                <w:szCs w:val="21"/>
                <w:highlight w:val="none"/>
                <w:lang w:eastAsia="zh-CN"/>
              </w:rPr>
              <w:t>，</w:t>
            </w:r>
            <w:r>
              <w:rPr>
                <w:rFonts w:hint="eastAsia" w:ascii="Times New Roman" w:hAnsi="Times New Roman" w:eastAsia="宋体" w:cs="Times New Roman"/>
                <w:sz w:val="21"/>
                <w:szCs w:val="21"/>
                <w:highlight w:val="none"/>
                <w:lang w:val="en-US" w:eastAsia="zh-CN"/>
              </w:rPr>
              <w:t>不外排</w:t>
            </w:r>
            <w:r>
              <w:rPr>
                <w:rFonts w:hint="default" w:ascii="Times New Roman" w:hAnsi="Times New Roman" w:eastAsia="宋体" w:cs="Times New Roman"/>
                <w:b w:val="0"/>
                <w:bCs w:val="0"/>
                <w:color w:val="auto"/>
                <w:sz w:val="21"/>
                <w:szCs w:val="21"/>
                <w:u w:val="none"/>
                <w:lang w:val="en-US" w:eastAsia="zh-CN"/>
              </w:rPr>
              <w:t>。</w:t>
            </w:r>
            <w:r>
              <w:rPr>
                <w:rFonts w:hint="default" w:ascii="Times New Roman" w:hAnsi="Times New Roman" w:eastAsia="宋体" w:cs="Times New Roman"/>
                <w:b w:val="0"/>
                <w:bCs w:val="0"/>
                <w:color w:val="auto"/>
                <w:sz w:val="21"/>
                <w:szCs w:val="21"/>
                <w:u w:val="none"/>
              </w:rPr>
              <w:t>对区域地表水环境质量</w:t>
            </w:r>
            <w:r>
              <w:rPr>
                <w:rFonts w:hint="default" w:ascii="Times New Roman" w:hAnsi="Times New Roman" w:eastAsia="宋体" w:cs="Times New Roman"/>
                <w:b w:val="0"/>
                <w:bCs w:val="0"/>
                <w:color w:val="auto"/>
                <w:sz w:val="21"/>
                <w:szCs w:val="21"/>
                <w:u w:val="none"/>
                <w:lang w:eastAsia="zh-CN"/>
              </w:rPr>
              <w:t>的影响</w:t>
            </w:r>
            <w:r>
              <w:rPr>
                <w:rFonts w:hint="eastAsia" w:ascii="Times New Roman" w:hAnsi="Times New Roman" w:cs="Times New Roman"/>
                <w:b w:val="0"/>
                <w:bCs w:val="0"/>
                <w:color w:val="auto"/>
                <w:sz w:val="21"/>
                <w:szCs w:val="21"/>
                <w:u w:val="none"/>
                <w:lang w:eastAsia="zh-CN"/>
              </w:rPr>
              <w:t>较小</w:t>
            </w:r>
            <w:r>
              <w:rPr>
                <w:rFonts w:hint="default" w:ascii="Times New Roman" w:hAnsi="Times New Roman" w:eastAsia="宋体" w:cs="Times New Roman"/>
                <w:b w:val="0"/>
                <w:bCs w:val="0"/>
                <w:color w:val="auto"/>
                <w:sz w:val="21"/>
                <w:szCs w:val="21"/>
                <w:u w:val="none"/>
              </w:rPr>
              <w:t>。</w:t>
            </w:r>
          </w:p>
          <w:p>
            <w:pPr>
              <w:pStyle w:val="7"/>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firstLine="420"/>
              <w:textAlignment w:val="auto"/>
              <w:rPr>
                <w:rFonts w:ascii="Times New Roman" w:hAnsi="Times New Roman" w:cs="Times New Roman"/>
                <w:b/>
                <w:bCs/>
                <w:color w:val="auto"/>
                <w:lang w:val="en-US" w:eastAsia="zh-CN"/>
              </w:rPr>
            </w:pPr>
            <w:r>
              <w:rPr>
                <w:rFonts w:ascii="Times New Roman" w:hAnsi="Times New Roman" w:cs="Times New Roman"/>
                <w:b/>
                <w:bCs/>
                <w:color w:val="auto"/>
                <w:lang w:val="en-US" w:eastAsia="zh-CN"/>
              </w:rPr>
              <w:t>3、声环境质量现状</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520" w:lineRule="exact"/>
              <w:ind w:left="0" w:leftChars="0" w:right="0" w:firstLine="420" w:firstLineChars="20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建设项目所在区域为</w:t>
            </w:r>
            <w:r>
              <w:rPr>
                <w:rFonts w:hint="eastAsia" w:ascii="Times New Roman" w:hAnsi="Times New Roman"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en-US" w:eastAsia="zh-CN"/>
              </w:rPr>
              <w:t>类声环境功能区，各厂界应执行《声环境质量标准》（GB3096-2008）</w:t>
            </w:r>
            <w:r>
              <w:rPr>
                <w:rFonts w:hint="eastAsia" w:ascii="Times New Roman" w:hAnsi="Times New Roman"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en-US" w:eastAsia="zh-CN"/>
              </w:rPr>
              <w:t>类标准（昼间≤6</w:t>
            </w:r>
            <w:r>
              <w:rPr>
                <w:rFonts w:hint="eastAsia" w:ascii="Times New Roman" w:hAnsi="Times New Roman" w:eastAsia="宋体" w:cs="Times New Roman"/>
                <w:sz w:val="21"/>
                <w:szCs w:val="21"/>
                <w:highlight w:val="none"/>
                <w:lang w:val="en-US" w:eastAsia="zh-CN"/>
              </w:rPr>
              <w:t>0</w:t>
            </w:r>
            <w:r>
              <w:rPr>
                <w:rFonts w:hint="default" w:ascii="Times New Roman" w:hAnsi="Times New Roman" w:eastAsia="宋体" w:cs="Times New Roman"/>
                <w:sz w:val="21"/>
                <w:szCs w:val="21"/>
                <w:highlight w:val="none"/>
                <w:lang w:val="en-US" w:eastAsia="zh-CN"/>
              </w:rPr>
              <w:t>dB（A）夜间≤5</w:t>
            </w:r>
            <w:r>
              <w:rPr>
                <w:rFonts w:hint="eastAsia" w:ascii="Times New Roman" w:hAnsi="Times New Roman" w:eastAsia="宋体" w:cs="Times New Roman"/>
                <w:sz w:val="21"/>
                <w:szCs w:val="21"/>
                <w:highlight w:val="none"/>
                <w:lang w:val="en-US" w:eastAsia="zh-CN"/>
              </w:rPr>
              <w:t>0</w:t>
            </w:r>
            <w:r>
              <w:rPr>
                <w:rFonts w:hint="default" w:ascii="Times New Roman" w:hAnsi="Times New Roman" w:eastAsia="宋体" w:cs="Times New Roman"/>
                <w:sz w:val="21"/>
                <w:szCs w:val="21"/>
                <w:highlight w:val="none"/>
                <w:lang w:val="en-US" w:eastAsia="zh-CN"/>
              </w:rPr>
              <w:t>B（A））。项目50米范围内无环境敏感点。</w:t>
            </w:r>
          </w:p>
          <w:p>
            <w:pPr>
              <w:pStyle w:val="7"/>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firstLine="420"/>
              <w:textAlignment w:val="auto"/>
              <w:rPr>
                <w:rFonts w:ascii="Times New Roman" w:hAnsi="Times New Roman" w:cs="Times New Roman"/>
                <w:b/>
                <w:bCs/>
                <w:color w:val="auto"/>
                <w:lang w:val="en-US" w:eastAsia="zh-CN"/>
              </w:rPr>
            </w:pPr>
            <w:r>
              <w:rPr>
                <w:rFonts w:ascii="Times New Roman" w:hAnsi="Times New Roman" w:cs="Times New Roman"/>
                <w:b/>
                <w:bCs/>
                <w:color w:val="auto"/>
                <w:lang w:val="en-US" w:eastAsia="zh-CN"/>
              </w:rPr>
              <w:t>4、地下水、土壤环境质量现状</w:t>
            </w:r>
          </w:p>
          <w:p>
            <w:pPr>
              <w:pStyle w:val="7"/>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firstLine="420"/>
              <w:textAlignment w:val="auto"/>
              <w:rPr>
                <w:rFonts w:ascii="Times New Roman" w:hAnsi="Times New Roman" w:cs="Times New Roman"/>
                <w:b w:val="0"/>
                <w:bCs w:val="0"/>
                <w:color w:val="auto"/>
                <w:lang w:val="en-US" w:eastAsia="zh-CN"/>
              </w:rPr>
            </w:pPr>
            <w:r>
              <w:rPr>
                <w:rFonts w:ascii="Times New Roman" w:hAnsi="Times New Roman" w:cs="Times New Roman"/>
                <w:b w:val="0"/>
                <w:bCs w:val="0"/>
                <w:color w:val="auto"/>
                <w:lang w:val="en-US" w:eastAsia="zh-CN"/>
              </w:rPr>
              <w:t>根据《建设项目环境影响报告表编制技术指南（污染影响类）（试行）》，原则上不开展地下水和土壤环境质量现状调查，且本项目不存在地下水、土壤污染途径，因此不进行地下水、土壤质量现状调查。</w:t>
            </w:r>
          </w:p>
          <w:p>
            <w:pPr>
              <w:pStyle w:val="7"/>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firstLine="420"/>
              <w:textAlignment w:val="auto"/>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5、生态环境质量现状</w:t>
            </w:r>
          </w:p>
          <w:p>
            <w:pPr>
              <w:pStyle w:val="7"/>
              <w:keepNext w:val="0"/>
              <w:keepLines w:val="0"/>
              <w:pageBreakBefore w:val="0"/>
              <w:widowControl/>
              <w:suppressLineNumbers w:val="0"/>
              <w:kinsoku/>
              <w:wordWrap/>
              <w:overflowPunct/>
              <w:topLinePunct w:val="0"/>
              <w:autoSpaceDE/>
              <w:autoSpaceDN/>
              <w:bidi w:val="0"/>
              <w:adjustRightInd/>
              <w:spacing w:before="0" w:beforeAutospacing="0" w:after="0" w:afterAutospacing="0" w:line="520" w:lineRule="exact"/>
              <w:ind w:left="0" w:firstLine="420"/>
              <w:textAlignment w:val="auto"/>
              <w:rPr>
                <w:rFonts w:ascii="Times New Roman" w:hAnsi="Times New Roman" w:cs="Times New Roman"/>
                <w:color w:val="FF0000"/>
                <w:lang w:val="en-US" w:eastAsia="zh-CN"/>
              </w:rPr>
            </w:pPr>
            <w:r>
              <w:rPr>
                <w:rFonts w:hint="eastAsia" w:ascii="Times New Roman" w:hAnsi="Times New Roman" w:cs="Times New Roman"/>
                <w:b w:val="0"/>
                <w:bCs w:val="0"/>
                <w:color w:val="auto"/>
                <w:lang w:val="en-US" w:eastAsia="zh-CN"/>
              </w:rPr>
              <w:t>评价区域内生态环境主要以人工生态环境为主，主要植被为农作物和人工栽培的树木。区域内无珍稀野生植被和野生动物。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保护</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FF0000"/>
                <w:kern w:val="0"/>
                <w:szCs w:val="21"/>
              </w:rPr>
            </w:pPr>
            <w:r>
              <w:rPr>
                <w:rFonts w:hint="eastAsia" w:ascii="宋体" w:hAnsi="宋体" w:eastAsia="宋体" w:cs="宋体"/>
                <w:color w:val="auto"/>
                <w:kern w:val="0"/>
                <w:szCs w:val="21"/>
              </w:rPr>
              <w:t>目标</w:t>
            </w:r>
          </w:p>
        </w:tc>
        <w:tc>
          <w:tcPr>
            <w:tcW w:w="81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420" w:firstLineChars="200"/>
              <w:textAlignment w:val="auto"/>
              <w:rPr>
                <w:rFonts w:ascii="Times New Roman" w:hAnsi="Times New Roman" w:eastAsia="宋体" w:cs="Times New Roman"/>
                <w:b w:val="0"/>
                <w:bCs w:val="0"/>
                <w:color w:val="auto"/>
                <w:kern w:val="0"/>
                <w:sz w:val="21"/>
                <w:szCs w:val="20"/>
                <w:lang w:val="en-US" w:eastAsia="zh-CN" w:bidi="ar-SA"/>
              </w:rPr>
            </w:pPr>
            <w:r>
              <w:rPr>
                <w:rFonts w:ascii="Times New Roman" w:hAnsi="Times New Roman" w:eastAsia="宋体" w:cs="Times New Roman"/>
                <w:b w:val="0"/>
                <w:bCs w:val="0"/>
                <w:color w:val="auto"/>
                <w:kern w:val="0"/>
                <w:sz w:val="21"/>
                <w:szCs w:val="20"/>
                <w:lang w:val="en-US" w:eastAsia="zh-CN" w:bidi="ar-SA"/>
              </w:rPr>
              <w:t>根据《建设项目环境影响报告表编制技术指南（污染影响类）（试行）》，本项目厂界外500米内存在大气环境保护目标，50米范围内不存在声环境保护目标，500米范围内不存在地下水环境保护目标。本项目不新增用地且用地范围内不含有生态环境保护目标，因此本项目涉及大气环境的环境保护目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420" w:firstLineChars="200"/>
              <w:textAlignment w:val="auto"/>
              <w:rPr>
                <w:rFonts w:ascii="Times New Roman" w:hAnsi="Times New Roman" w:eastAsia="宋体" w:cs="Times New Roman"/>
                <w:b w:val="0"/>
                <w:bCs w:val="0"/>
                <w:color w:val="auto"/>
                <w:kern w:val="0"/>
                <w:sz w:val="21"/>
                <w:szCs w:val="20"/>
                <w:lang w:val="en-US" w:eastAsia="zh-CN" w:bidi="ar-SA"/>
              </w:rPr>
            </w:pPr>
            <w:r>
              <w:rPr>
                <w:rFonts w:ascii="Times New Roman" w:hAnsi="Times New Roman" w:eastAsia="宋体" w:cs="Times New Roman"/>
                <w:b w:val="0"/>
                <w:bCs w:val="0"/>
                <w:color w:val="auto"/>
                <w:kern w:val="0"/>
                <w:sz w:val="21"/>
                <w:szCs w:val="20"/>
                <w:lang w:val="en-US" w:eastAsia="zh-CN" w:bidi="ar-SA"/>
              </w:rPr>
              <w:t>本项目厂界周围环境保护目标和保护级别见下表。</w:t>
            </w:r>
          </w:p>
          <w:p>
            <w:pPr>
              <w:keepNext w:val="0"/>
              <w:keepLines w:val="0"/>
              <w:suppressLineNumbers w:val="0"/>
              <w:spacing w:before="0" w:beforeAutospacing="0" w:after="0" w:afterAutospacing="0" w:line="460" w:lineRule="exact"/>
              <w:ind w:left="0" w:right="0"/>
              <w:jc w:val="center"/>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表1</w:t>
            </w:r>
            <w:r>
              <w:rPr>
                <w:rFonts w:hint="eastAsia" w:ascii="Times New Roman" w:hAnsi="Times New Roman" w:eastAsia="宋体" w:cs="Times New Roman"/>
                <w:b/>
                <w:bCs w:val="0"/>
                <w:color w:val="000000"/>
                <w:sz w:val="21"/>
                <w:szCs w:val="21"/>
                <w:highlight w:val="none"/>
                <w:lang w:val="en-US" w:eastAsia="zh-CN"/>
              </w:rPr>
              <w:t>9</w:t>
            </w:r>
            <w:r>
              <w:rPr>
                <w:rFonts w:hint="default" w:ascii="Times New Roman" w:hAnsi="Times New Roman" w:eastAsia="宋体" w:cs="Times New Roman"/>
                <w:b/>
                <w:bCs w:val="0"/>
                <w:color w:val="000000"/>
                <w:sz w:val="21"/>
                <w:szCs w:val="21"/>
                <w:highlight w:val="none"/>
              </w:rPr>
              <w:t xml:space="preserve"> </w:t>
            </w:r>
            <w:r>
              <w:rPr>
                <w:rFonts w:hint="eastAsia" w:ascii="Times New Roman" w:hAnsi="Times New Roman" w:eastAsia="宋体" w:cs="Times New Roman"/>
                <w:b/>
                <w:bCs w:val="0"/>
                <w:color w:val="000000"/>
                <w:sz w:val="21"/>
                <w:szCs w:val="21"/>
                <w:highlight w:val="none"/>
                <w:lang w:val="en-US" w:eastAsia="zh-CN"/>
              </w:rPr>
              <w:t xml:space="preserve"> </w:t>
            </w:r>
            <w:r>
              <w:rPr>
                <w:rFonts w:hint="default" w:ascii="Times New Roman" w:hAnsi="Times New Roman" w:eastAsia="宋体" w:cs="Times New Roman"/>
                <w:b/>
                <w:bCs w:val="0"/>
                <w:color w:val="000000"/>
                <w:sz w:val="21"/>
                <w:szCs w:val="21"/>
                <w:highlight w:val="none"/>
              </w:rPr>
              <w:t>厂界周围保护目标概况</w:t>
            </w:r>
          </w:p>
          <w:tbl>
            <w:tblPr>
              <w:tblStyle w:val="12"/>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57" w:type="dxa"/>
                <w:bottom w:w="0" w:type="dxa"/>
                <w:right w:w="57" w:type="dxa"/>
              </w:tblCellMar>
            </w:tblPr>
            <w:tblGrid>
              <w:gridCol w:w="992"/>
              <w:gridCol w:w="1434"/>
              <w:gridCol w:w="992"/>
              <w:gridCol w:w="992"/>
              <w:gridCol w:w="566"/>
              <w:gridCol w:w="851"/>
              <w:gridCol w:w="214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7" w:type="dxa"/>
                  <w:bottom w:w="0" w:type="dxa"/>
                  <w:right w:w="57" w:type="dxa"/>
                </w:tblCellMar>
              </w:tblPrEx>
              <w:trPr>
                <w:trHeight w:val="397" w:hRule="atLeast"/>
                <w:jc w:val="center"/>
              </w:trPr>
              <w:tc>
                <w:tcPr>
                  <w:tcW w:w="622"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保护类别</w:t>
                  </w:r>
                </w:p>
              </w:tc>
              <w:tc>
                <w:tcPr>
                  <w:tcW w:w="899"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环境保护目标名称</w:t>
                  </w:r>
                </w:p>
              </w:tc>
              <w:tc>
                <w:tcPr>
                  <w:tcW w:w="622"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保护对象</w:t>
                  </w:r>
                </w:p>
              </w:tc>
              <w:tc>
                <w:tcPr>
                  <w:tcW w:w="622"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保护内容</w:t>
                  </w:r>
                </w:p>
              </w:tc>
              <w:tc>
                <w:tcPr>
                  <w:tcW w:w="355"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方向</w:t>
                  </w:r>
                </w:p>
              </w:tc>
              <w:tc>
                <w:tcPr>
                  <w:tcW w:w="53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距离(</w:t>
                  </w:r>
                  <w:r>
                    <w:rPr>
                      <w:rFonts w:hint="default" w:ascii="Times New Roman" w:hAnsi="Times New Roman" w:eastAsia="宋体" w:cs="Times New Roman"/>
                      <w:color w:val="000000"/>
                      <w:sz w:val="21"/>
                      <w:szCs w:val="21"/>
                    </w:rPr>
                    <w:t>m)</w:t>
                  </w:r>
                </w:p>
              </w:tc>
              <w:tc>
                <w:tcPr>
                  <w:tcW w:w="1345"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保护级别</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7" w:type="dxa"/>
                  <w:bottom w:w="0" w:type="dxa"/>
                  <w:right w:w="57" w:type="dxa"/>
                </w:tblCellMar>
              </w:tblPrEx>
              <w:trPr>
                <w:trHeight w:val="397" w:hRule="atLeast"/>
                <w:jc w:val="center"/>
              </w:trPr>
              <w:tc>
                <w:tcPr>
                  <w:tcW w:w="622"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color w:val="000000"/>
                      <w:sz w:val="21"/>
                      <w:szCs w:val="21"/>
                    </w:rPr>
                  </w:pPr>
                </w:p>
              </w:tc>
              <w:tc>
                <w:tcPr>
                  <w:tcW w:w="899"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color w:val="000000"/>
                      <w:sz w:val="21"/>
                      <w:szCs w:val="21"/>
                    </w:rPr>
                  </w:pPr>
                </w:p>
              </w:tc>
              <w:tc>
                <w:tcPr>
                  <w:tcW w:w="622"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color w:val="000000"/>
                      <w:sz w:val="21"/>
                      <w:szCs w:val="21"/>
                    </w:rPr>
                  </w:pPr>
                </w:p>
              </w:tc>
              <w:tc>
                <w:tcPr>
                  <w:tcW w:w="622"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color w:val="000000"/>
                      <w:sz w:val="21"/>
                      <w:szCs w:val="21"/>
                    </w:rPr>
                  </w:pPr>
                </w:p>
              </w:tc>
              <w:tc>
                <w:tcPr>
                  <w:tcW w:w="355"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color w:val="000000"/>
                      <w:sz w:val="21"/>
                      <w:szCs w:val="21"/>
                    </w:rPr>
                  </w:pPr>
                </w:p>
              </w:tc>
              <w:tc>
                <w:tcPr>
                  <w:tcW w:w="533"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color w:val="000000"/>
                      <w:sz w:val="21"/>
                      <w:szCs w:val="21"/>
                    </w:rPr>
                  </w:pPr>
                </w:p>
              </w:tc>
              <w:tc>
                <w:tcPr>
                  <w:tcW w:w="1345"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7" w:type="dxa"/>
                  <w:bottom w:w="0" w:type="dxa"/>
                  <w:right w:w="57" w:type="dxa"/>
                </w:tblCellMar>
              </w:tblPrEx>
              <w:trPr>
                <w:trHeight w:val="397" w:hRule="atLeast"/>
                <w:jc w:val="center"/>
              </w:trPr>
              <w:tc>
                <w:tcPr>
                  <w:tcW w:w="622" w:type="pct"/>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大气环境</w:t>
                  </w:r>
                </w:p>
              </w:tc>
              <w:tc>
                <w:tcPr>
                  <w:tcW w:w="899"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范岭村</w:t>
                  </w:r>
                </w:p>
              </w:tc>
              <w:tc>
                <w:tcPr>
                  <w:tcW w:w="62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居民区</w:t>
                  </w:r>
                </w:p>
              </w:tc>
              <w:tc>
                <w:tcPr>
                  <w:tcW w:w="62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居民</w:t>
                  </w:r>
                </w:p>
              </w:tc>
              <w:tc>
                <w:tcPr>
                  <w:tcW w:w="355"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西</w:t>
                  </w:r>
                </w:p>
              </w:tc>
              <w:tc>
                <w:tcPr>
                  <w:tcW w:w="53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r>
                    <w:rPr>
                      <w:rFonts w:hint="eastAsia" w:ascii="Times New Roman" w:hAnsi="Times New Roman" w:eastAsia="宋体" w:cs="Times New Roman"/>
                      <w:sz w:val="21"/>
                      <w:szCs w:val="21"/>
                      <w:lang w:val="en-US" w:eastAsia="zh-CN"/>
                    </w:rPr>
                    <w:t>23</w:t>
                  </w:r>
                </w:p>
              </w:tc>
              <w:tc>
                <w:tcPr>
                  <w:tcW w:w="1345"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《环境空气质量标准》（GB3095-2012）二级</w:t>
                  </w:r>
                </w:p>
              </w:tc>
            </w:tr>
          </w:tbl>
          <w:p>
            <w:pPr>
              <w:keepNext w:val="0"/>
              <w:keepLines w:val="0"/>
              <w:suppressLineNumbers w:val="0"/>
              <w:spacing w:before="0" w:beforeAutospacing="0" w:after="0" w:afterAutospacing="0"/>
              <w:ind w:left="0" w:right="0"/>
              <w:rPr>
                <w:rFonts w:ascii="Times New Roman" w:hAnsi="Times New Roman" w:eastAsia="宋体" w:cs="Times New Roman"/>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污染</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物排</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放控</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制标</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准</w:t>
            </w:r>
          </w:p>
        </w:tc>
        <w:tc>
          <w:tcPr>
            <w:tcW w:w="8190" w:type="dxa"/>
            <w:noWrap w:val="0"/>
            <w:vAlign w:val="center"/>
          </w:tcPr>
          <w:p>
            <w:pPr>
              <w:keepNext w:val="0"/>
              <w:keepLines w:val="0"/>
              <w:suppressLineNumbers w:val="0"/>
              <w:snapToGrid w:val="0"/>
              <w:spacing w:before="0" w:beforeAutospacing="0" w:after="0" w:afterAutospacing="0" w:line="520" w:lineRule="exact"/>
              <w:ind w:left="0" w:right="0" w:firstLine="420" w:firstLineChars="200"/>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项目</w:t>
            </w:r>
            <w:r>
              <w:rPr>
                <w:rFonts w:hint="eastAsia" w:ascii="Times New Roman" w:hAnsi="Times New Roman" w:eastAsia="宋体" w:cs="Times New Roman"/>
                <w:color w:val="auto"/>
                <w:sz w:val="21"/>
                <w:szCs w:val="21"/>
                <w:highlight w:val="none"/>
                <w:lang w:eastAsia="zh-CN"/>
              </w:rPr>
              <w:t>污染物排放</w:t>
            </w:r>
            <w:r>
              <w:rPr>
                <w:rFonts w:hint="default" w:ascii="Times New Roman" w:hAnsi="Times New Roman" w:eastAsia="宋体" w:cs="Times New Roman"/>
                <w:color w:val="auto"/>
                <w:sz w:val="21"/>
                <w:szCs w:val="21"/>
                <w:highlight w:val="none"/>
              </w:rPr>
              <w:t>执行标准见下表。</w:t>
            </w:r>
          </w:p>
          <w:p>
            <w:pPr>
              <w:keepNext w:val="0"/>
              <w:keepLines w:val="0"/>
              <w:suppressLineNumbers w:val="0"/>
              <w:spacing w:before="0" w:beforeAutospacing="0" w:after="0" w:afterAutospacing="0" w:line="520" w:lineRule="exact"/>
              <w:ind w:left="0" w:right="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w:t>
            </w:r>
            <w:r>
              <w:rPr>
                <w:rFonts w:hint="eastAsia" w:ascii="Times New Roman" w:hAnsi="Times New Roman" w:eastAsia="宋体" w:cs="Times New Roman"/>
                <w:b/>
                <w:color w:val="auto"/>
                <w:sz w:val="21"/>
                <w:szCs w:val="21"/>
                <w:lang w:val="en-US" w:eastAsia="zh-CN"/>
              </w:rPr>
              <w:t xml:space="preserve">20 </w:t>
            </w:r>
            <w:r>
              <w:rPr>
                <w:rFonts w:ascii="Times New Roman" w:hAnsi="Times New Roman" w:eastAsia="宋体" w:cs="Times New Roman"/>
                <w:b/>
                <w:color w:val="auto"/>
                <w:sz w:val="21"/>
                <w:szCs w:val="21"/>
              </w:rPr>
              <w:t xml:space="preserve"> 污染物排放执行标准</w:t>
            </w:r>
          </w:p>
          <w:tbl>
            <w:tblPr>
              <w:tblStyle w:val="12"/>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85" w:type="dxa"/>
                <w:bottom w:w="0" w:type="dxa"/>
                <w:right w:w="85" w:type="dxa"/>
              </w:tblCellMar>
            </w:tblPr>
            <w:tblGrid>
              <w:gridCol w:w="938"/>
              <w:gridCol w:w="3189"/>
              <w:gridCol w:w="850"/>
              <w:gridCol w:w="1667"/>
              <w:gridCol w:w="133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85" w:type="dxa"/>
                  <w:bottom w:w="0" w:type="dxa"/>
                  <w:right w:w="85" w:type="dxa"/>
                </w:tblCellMar>
              </w:tblPrEx>
              <w:trPr>
                <w:trHeight w:val="397" w:hRule="atLeast"/>
                <w:jc w:val="center"/>
              </w:trPr>
              <w:tc>
                <w:tcPr>
                  <w:tcW w:w="938"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污染物</w:t>
                  </w:r>
                </w:p>
              </w:tc>
              <w:tc>
                <w:tcPr>
                  <w:tcW w:w="3189"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标准名称</w:t>
                  </w:r>
                </w:p>
              </w:tc>
              <w:tc>
                <w:tcPr>
                  <w:tcW w:w="2517"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污染因子</w:t>
                  </w:r>
                </w:p>
              </w:tc>
              <w:tc>
                <w:tcPr>
                  <w:tcW w:w="1330"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标准限值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85" w:type="dxa"/>
                  <w:bottom w:w="0" w:type="dxa"/>
                  <w:right w:w="85" w:type="dxa"/>
                </w:tblCellMar>
              </w:tblPrEx>
              <w:trPr>
                <w:trHeight w:val="397" w:hRule="atLeast"/>
                <w:jc w:val="center"/>
              </w:trPr>
              <w:tc>
                <w:tcPr>
                  <w:tcW w:w="938"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废气</w:t>
                  </w:r>
                </w:p>
              </w:tc>
              <w:tc>
                <w:tcPr>
                  <w:tcW w:w="3189"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kern w:val="0"/>
                      <w:szCs w:val="21"/>
                    </w:rPr>
                  </w:pPr>
                  <w:r>
                    <w:rPr>
                      <w:rFonts w:ascii="Times New Roman" w:hAnsi="Times New Roman" w:eastAsia="宋体" w:cs="Times New Roman"/>
                      <w:color w:val="000000"/>
                      <w:szCs w:val="21"/>
                      <w:shd w:val="clear" w:color="auto" w:fill="FFFFFF"/>
                    </w:rPr>
                    <w:t>《</w:t>
                  </w:r>
                  <w:r>
                    <w:rPr>
                      <w:rFonts w:hint="eastAsia" w:ascii="Times New Roman" w:hAnsi="Times New Roman" w:eastAsia="宋体" w:cs="Times New Roman"/>
                      <w:color w:val="000000"/>
                      <w:szCs w:val="21"/>
                      <w:shd w:val="clear" w:color="auto" w:fill="FFFFFF"/>
                    </w:rPr>
                    <w:t>电池工业污染物排放标准</w:t>
                  </w:r>
                  <w:r>
                    <w:rPr>
                      <w:rFonts w:ascii="Times New Roman" w:hAnsi="Times New Roman" w:eastAsia="宋体" w:cs="Times New Roman"/>
                      <w:color w:val="000000"/>
                      <w:szCs w:val="21"/>
                      <w:shd w:val="clear" w:color="auto" w:fill="FFFFFF"/>
                    </w:rPr>
                    <w:t>》（GB</w:t>
                  </w:r>
                  <w:r>
                    <w:rPr>
                      <w:rFonts w:hint="eastAsia" w:ascii="Times New Roman" w:hAnsi="Times New Roman" w:eastAsia="宋体" w:cs="Times New Roman"/>
                      <w:color w:val="000000"/>
                      <w:szCs w:val="21"/>
                      <w:shd w:val="clear" w:color="auto" w:fill="FFFFFF"/>
                    </w:rPr>
                    <w:t>30484-2013</w:t>
                  </w:r>
                  <w:r>
                    <w:rPr>
                      <w:rFonts w:ascii="Times New Roman" w:hAnsi="Times New Roman" w:eastAsia="宋体" w:cs="Times New Roman"/>
                      <w:color w:val="000000"/>
                      <w:szCs w:val="21"/>
                      <w:shd w:val="clear" w:color="auto" w:fill="FFFFFF"/>
                    </w:rPr>
                    <w:t>）</w:t>
                  </w:r>
                </w:p>
              </w:tc>
              <w:tc>
                <w:tcPr>
                  <w:tcW w:w="85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166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有组织</w:t>
                  </w:r>
                </w:p>
              </w:tc>
              <w:tc>
                <w:tcPr>
                  <w:tcW w:w="1330"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kern w:val="0"/>
                      <w:szCs w:val="21"/>
                    </w:rPr>
                  </w:pPr>
                  <w:r>
                    <w:rPr>
                      <w:rFonts w:hint="eastAsia" w:ascii="Times New Roman" w:hAnsi="Times New Roman" w:eastAsia="宋体" w:cs="Times New Roman"/>
                      <w:color w:val="000000"/>
                      <w:szCs w:val="21"/>
                      <w:lang w:val="en-US" w:eastAsia="zh-CN"/>
                    </w:rPr>
                    <w:t>30</w:t>
                  </w:r>
                  <w:r>
                    <w:rPr>
                      <w:rFonts w:ascii="Times New Roman" w:hAnsi="Times New Roman" w:eastAsia="宋体" w:cs="Times New Roman"/>
                      <w:color w:val="000000"/>
                      <w:szCs w:val="21"/>
                    </w:rPr>
                    <w:t>mg/m</w:t>
                  </w:r>
                  <w:r>
                    <w:rPr>
                      <w:rFonts w:ascii="Times New Roman" w:hAnsi="Times New Roman" w:eastAsia="宋体" w:cs="Times New Roman"/>
                      <w:color w:val="000000"/>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85" w:type="dxa"/>
                  <w:bottom w:w="0" w:type="dxa"/>
                  <w:right w:w="85" w:type="dxa"/>
                </w:tblCellMar>
              </w:tblPrEx>
              <w:trPr>
                <w:trHeight w:val="397" w:hRule="atLeast"/>
                <w:jc w:val="center"/>
              </w:trPr>
              <w:tc>
                <w:tcPr>
                  <w:tcW w:w="938"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ascii="Times New Roman" w:hAnsi="Times New Roman" w:eastAsia="宋体" w:cs="Times New Roman"/>
                      <w:color w:val="000000"/>
                      <w:szCs w:val="21"/>
                    </w:rPr>
                  </w:pPr>
                </w:p>
              </w:tc>
              <w:tc>
                <w:tcPr>
                  <w:tcW w:w="3189"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ascii="Times New Roman" w:hAnsi="Times New Roman" w:eastAsia="宋体" w:cs="Times New Roman"/>
                      <w:color w:val="000000"/>
                      <w:kern w:val="0"/>
                      <w:szCs w:val="21"/>
                    </w:rPr>
                  </w:pPr>
                </w:p>
              </w:tc>
              <w:tc>
                <w:tcPr>
                  <w:tcW w:w="850"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ascii="Times New Roman" w:hAnsi="Times New Roman" w:eastAsia="宋体" w:cs="Times New Roman"/>
                      <w:szCs w:val="21"/>
                    </w:rPr>
                  </w:pPr>
                </w:p>
              </w:tc>
              <w:tc>
                <w:tcPr>
                  <w:tcW w:w="1667"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rPr>
                  </w:pPr>
                  <w:r>
                    <w:rPr>
                      <w:rFonts w:ascii="Times New Roman" w:hAnsi="Times New Roman" w:eastAsia="宋体" w:cs="Times New Roman"/>
                      <w:szCs w:val="21"/>
                    </w:rPr>
                    <w:t>无组织</w:t>
                  </w:r>
                </w:p>
              </w:tc>
              <w:tc>
                <w:tcPr>
                  <w:tcW w:w="1330"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lang w:val="en-US" w:eastAsia="zh-CN"/>
                    </w:rPr>
                    <w:t>3</w:t>
                  </w:r>
                  <w:r>
                    <w:rPr>
                      <w:rFonts w:ascii="Times New Roman" w:hAnsi="Times New Roman" w:eastAsia="宋体" w:cs="Times New Roman"/>
                      <w:color w:val="000000"/>
                      <w:szCs w:val="21"/>
                    </w:rPr>
                    <w:t>mg/m</w:t>
                  </w:r>
                  <w:r>
                    <w:rPr>
                      <w:rFonts w:ascii="Times New Roman" w:hAnsi="Times New Roman" w:eastAsia="宋体" w:cs="Times New Roman"/>
                      <w:color w:val="000000"/>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85" w:type="dxa"/>
                  <w:bottom w:w="0" w:type="dxa"/>
                  <w:right w:w="85" w:type="dxa"/>
                </w:tblCellMar>
              </w:tblPrEx>
              <w:trPr>
                <w:trHeight w:val="408" w:hRule="atLeast"/>
                <w:jc w:val="center"/>
              </w:trPr>
              <w:tc>
                <w:tcPr>
                  <w:tcW w:w="938"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ascii="Times New Roman" w:hAnsi="Times New Roman" w:eastAsia="宋体" w:cs="Times New Roman"/>
                      <w:color w:val="000000"/>
                      <w:szCs w:val="21"/>
                    </w:rPr>
                  </w:pPr>
                </w:p>
              </w:tc>
              <w:tc>
                <w:tcPr>
                  <w:tcW w:w="3189" w:type="dxa"/>
                  <w:vMerge w:val="restart"/>
                  <w:tcBorders>
                    <w:tl2br w:val="nil"/>
                    <w:tr2bl w:val="nil"/>
                  </w:tcBorders>
                  <w:vAlign w:val="center"/>
                </w:tcPr>
                <w:p>
                  <w:pPr>
                    <w:pStyle w:val="4"/>
                    <w:keepNext w:val="0"/>
                    <w:keepLines w:val="0"/>
                    <w:suppressLineNumbers w:val="0"/>
                    <w:snapToGrid w:val="0"/>
                    <w:spacing w:before="0" w:beforeAutospacing="0" w:after="0" w:afterAutospacing="0"/>
                    <w:ind w:left="0" w:right="0"/>
                    <w:jc w:val="center"/>
                    <w:rPr>
                      <w:rFonts w:ascii="Times New Roman" w:hAnsi="Times New Roman" w:eastAsia="宋体" w:cs="Times New Roman"/>
                      <w:b w:val="0"/>
                      <w:bCs/>
                      <w:kern w:val="2"/>
                      <w:sz w:val="21"/>
                      <w:szCs w:val="21"/>
                      <w:lang w:val="en-US" w:eastAsia="zh-CN" w:bidi="ar-SA"/>
                    </w:rPr>
                  </w:pPr>
                  <w:r>
                    <w:rPr>
                      <w:rFonts w:hint="eastAsia" w:ascii="宋体" w:hAnsi="宋体" w:eastAsia="宋体" w:cs="宋体"/>
                      <w:b w:val="0"/>
                      <w:bCs/>
                      <w:sz w:val="21"/>
                      <w:szCs w:val="21"/>
                    </w:rPr>
                    <w:t>《新乡市生态环境局关于进一步规范工业企业颗粒物排放限值的通知》</w:t>
                  </w:r>
                </w:p>
              </w:tc>
              <w:tc>
                <w:tcPr>
                  <w:tcW w:w="850" w:type="dxa"/>
                  <w:vMerge w:val="restart"/>
                  <w:tcBorders>
                    <w:tl2br w:val="nil"/>
                    <w:tr2bl w:val="nil"/>
                  </w:tcBorders>
                  <w:vAlign w:val="center"/>
                </w:tcPr>
                <w:p>
                  <w:pPr>
                    <w:pStyle w:val="4"/>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b w:val="0"/>
                      <w:sz w:val="21"/>
                      <w:szCs w:val="21"/>
                      <w:lang w:eastAsia="zh-CN"/>
                    </w:rPr>
                    <w:t>颗粒物</w:t>
                  </w:r>
                </w:p>
              </w:tc>
              <w:tc>
                <w:tcPr>
                  <w:tcW w:w="1667" w:type="dxa"/>
                  <w:tcBorders>
                    <w:bottom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eastAsia="zh-CN"/>
                    </w:rPr>
                    <w:t>有组织</w:t>
                  </w:r>
                </w:p>
              </w:tc>
              <w:tc>
                <w:tcPr>
                  <w:tcW w:w="1330" w:type="dxa"/>
                  <w:tcBorders>
                    <w:bottom w:val="single" w:color="auto" w:sz="4" w:space="0"/>
                    <w:tl2br w:val="nil"/>
                    <w:tr2bl w:val="nil"/>
                  </w:tcBorders>
                  <w:vAlign w:val="center"/>
                </w:tcPr>
                <w:p>
                  <w:pPr>
                    <w:pStyle w:val="4"/>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 w:val="0"/>
                      <w:kern w:val="2"/>
                      <w:sz w:val="21"/>
                      <w:szCs w:val="21"/>
                      <w:lang w:val="en-US" w:eastAsia="zh-CN" w:bidi="ar-SA"/>
                    </w:rPr>
                  </w:pPr>
                  <w:r>
                    <w:rPr>
                      <w:rFonts w:hint="eastAsia" w:ascii="Times New Roman" w:hAnsi="Times New Roman" w:eastAsia="宋体"/>
                      <w:b w:val="0"/>
                      <w:sz w:val="21"/>
                      <w:szCs w:val="21"/>
                      <w:lang w:eastAsia="zh-CN"/>
                    </w:rPr>
                    <w:t>10mg/m</w:t>
                  </w:r>
                  <w:r>
                    <w:rPr>
                      <w:rFonts w:hint="eastAsia" w:ascii="Times New Roman" w:hAnsi="Times New Roman" w:eastAsia="宋体"/>
                      <w:b w:val="0"/>
                      <w:sz w:val="21"/>
                      <w:szCs w:val="21"/>
                      <w:vertAlign w:val="superscript"/>
                      <w:lang w:eastAsia="zh-CN"/>
                    </w:rPr>
                    <w:t>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85" w:type="dxa"/>
                  <w:bottom w:w="0" w:type="dxa"/>
                  <w:right w:w="85" w:type="dxa"/>
                </w:tblCellMar>
              </w:tblPrEx>
              <w:trPr>
                <w:trHeight w:val="429" w:hRule="atLeast"/>
                <w:jc w:val="center"/>
              </w:trPr>
              <w:tc>
                <w:tcPr>
                  <w:tcW w:w="938"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ascii="Times New Roman" w:hAnsi="Times New Roman" w:eastAsia="宋体" w:cs="Times New Roman"/>
                      <w:color w:val="000000"/>
                      <w:szCs w:val="21"/>
                    </w:rPr>
                  </w:pPr>
                </w:p>
              </w:tc>
              <w:tc>
                <w:tcPr>
                  <w:tcW w:w="3189" w:type="dxa"/>
                  <w:vMerge w:val="continue"/>
                  <w:tcBorders>
                    <w:tl2br w:val="nil"/>
                    <w:tr2bl w:val="nil"/>
                  </w:tcBorders>
                  <w:vAlign w:val="center"/>
                </w:tcPr>
                <w:p>
                  <w:pPr>
                    <w:pStyle w:val="4"/>
                    <w:keepNext w:val="0"/>
                    <w:keepLines w:val="0"/>
                    <w:suppressLineNumbers w:val="0"/>
                    <w:snapToGrid w:val="0"/>
                    <w:spacing w:before="0" w:beforeAutospacing="0" w:after="0" w:afterAutospacing="0"/>
                    <w:ind w:left="0" w:right="0"/>
                    <w:jc w:val="center"/>
                    <w:rPr>
                      <w:rFonts w:hint="eastAsia" w:ascii="宋体" w:hAnsi="宋体" w:eastAsia="宋体" w:cs="宋体"/>
                      <w:b w:val="0"/>
                      <w:bCs/>
                      <w:sz w:val="21"/>
                      <w:szCs w:val="21"/>
                    </w:rPr>
                  </w:pPr>
                </w:p>
              </w:tc>
              <w:tc>
                <w:tcPr>
                  <w:tcW w:w="850" w:type="dxa"/>
                  <w:vMerge w:val="continue"/>
                  <w:tcBorders>
                    <w:tl2br w:val="nil"/>
                    <w:tr2bl w:val="nil"/>
                  </w:tcBorders>
                  <w:vAlign w:val="center"/>
                </w:tcPr>
                <w:p>
                  <w:pPr>
                    <w:pStyle w:val="4"/>
                    <w:keepNext w:val="0"/>
                    <w:keepLines w:val="0"/>
                    <w:suppressLineNumbers w:val="0"/>
                    <w:snapToGrid w:val="0"/>
                    <w:spacing w:before="0" w:beforeAutospacing="0" w:after="0" w:afterAutospacing="0"/>
                    <w:ind w:left="0" w:right="0"/>
                    <w:jc w:val="center"/>
                    <w:rPr>
                      <w:rFonts w:hint="eastAsia" w:ascii="Times New Roman" w:hAnsi="Times New Roman" w:eastAsia="宋体"/>
                      <w:b w:val="0"/>
                      <w:sz w:val="21"/>
                      <w:szCs w:val="21"/>
                      <w:lang w:eastAsia="zh-CN"/>
                    </w:rPr>
                  </w:pPr>
                </w:p>
              </w:tc>
              <w:tc>
                <w:tcPr>
                  <w:tcW w:w="1667" w:type="dxa"/>
                  <w:tcBorders>
                    <w:top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eastAsia="zh-CN"/>
                    </w:rPr>
                  </w:pPr>
                  <w:r>
                    <w:rPr>
                      <w:rFonts w:ascii="Times New Roman" w:hAnsi="Times New Roman" w:eastAsia="宋体" w:cs="Times New Roman"/>
                      <w:szCs w:val="21"/>
                    </w:rPr>
                    <w:t>无组织</w:t>
                  </w:r>
                </w:p>
              </w:tc>
              <w:tc>
                <w:tcPr>
                  <w:tcW w:w="1330" w:type="dxa"/>
                  <w:tcBorders>
                    <w:top w:val="single" w:color="auto" w:sz="4" w:space="0"/>
                    <w:tl2br w:val="nil"/>
                    <w:tr2bl w:val="nil"/>
                  </w:tcBorders>
                  <w:vAlign w:val="center"/>
                </w:tcPr>
                <w:p>
                  <w:pPr>
                    <w:pStyle w:val="4"/>
                    <w:keepNext w:val="0"/>
                    <w:keepLines w:val="0"/>
                    <w:suppressLineNumbers w:val="0"/>
                    <w:snapToGrid w:val="0"/>
                    <w:spacing w:before="0" w:beforeAutospacing="0" w:after="0" w:afterAutospacing="0"/>
                    <w:ind w:left="0" w:right="0"/>
                    <w:jc w:val="center"/>
                    <w:rPr>
                      <w:rFonts w:hint="eastAsia" w:ascii="Times New Roman" w:hAnsi="Times New Roman" w:eastAsia="宋体"/>
                      <w:b w:val="0"/>
                      <w:sz w:val="21"/>
                      <w:szCs w:val="21"/>
                      <w:lang w:eastAsia="zh-CN"/>
                    </w:rPr>
                  </w:pPr>
                  <w:r>
                    <w:rPr>
                      <w:rFonts w:hint="eastAsia" w:ascii="Times New Roman" w:hAnsi="Times New Roman" w:eastAsia="宋体"/>
                      <w:b w:val="0"/>
                      <w:sz w:val="21"/>
                      <w:szCs w:val="21"/>
                      <w:lang w:eastAsia="zh-CN"/>
                    </w:rPr>
                    <w:t>0.5mg/m</w:t>
                  </w:r>
                  <w:r>
                    <w:rPr>
                      <w:rFonts w:hint="eastAsia" w:ascii="Times New Roman" w:hAnsi="Times New Roman" w:eastAsia="宋体"/>
                      <w:b w:val="0"/>
                      <w:sz w:val="21"/>
                      <w:szCs w:val="21"/>
                      <w:vertAlign w:val="superscript"/>
                      <w:lang w:eastAsia="zh-CN"/>
                    </w:rPr>
                    <w:t>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85" w:type="dxa"/>
                  <w:bottom w:w="0" w:type="dxa"/>
                  <w:right w:w="85" w:type="dxa"/>
                </w:tblCellMar>
              </w:tblPrEx>
              <w:trPr>
                <w:trHeight w:val="397" w:hRule="atLeast"/>
                <w:jc w:val="center"/>
              </w:trPr>
              <w:tc>
                <w:tcPr>
                  <w:tcW w:w="938"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废水</w:t>
                  </w:r>
                </w:p>
              </w:tc>
              <w:tc>
                <w:tcPr>
                  <w:tcW w:w="7036"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本项目无生产废水产生；生活废水经化粪池处理后定期清运不外排</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85" w:type="dxa"/>
                  <w:bottom w:w="0" w:type="dxa"/>
                  <w:right w:w="85" w:type="dxa"/>
                </w:tblCellMar>
              </w:tblPrEx>
              <w:trPr>
                <w:trHeight w:val="397" w:hRule="atLeast"/>
                <w:jc w:val="center"/>
              </w:trPr>
              <w:tc>
                <w:tcPr>
                  <w:tcW w:w="938"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噪声</w:t>
                  </w:r>
                </w:p>
              </w:tc>
              <w:tc>
                <w:tcPr>
                  <w:tcW w:w="3189"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《工业企业厂界环境噪声排放标准》（GB12348-2008）2类</w:t>
                  </w:r>
                </w:p>
              </w:tc>
              <w:tc>
                <w:tcPr>
                  <w:tcW w:w="2517" w:type="dxa"/>
                  <w:gridSpan w:val="2"/>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噪声</w:t>
                  </w:r>
                </w:p>
              </w:tc>
              <w:tc>
                <w:tcPr>
                  <w:tcW w:w="1330"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昼间60dB(A)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85" w:type="dxa"/>
                  <w:bottom w:w="0" w:type="dxa"/>
                  <w:right w:w="85" w:type="dxa"/>
                </w:tblCellMar>
              </w:tblPrEx>
              <w:trPr>
                <w:trHeight w:val="397" w:hRule="atLeast"/>
                <w:jc w:val="center"/>
              </w:trPr>
              <w:tc>
                <w:tcPr>
                  <w:tcW w:w="938"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ascii="Times New Roman" w:hAnsi="Times New Roman" w:eastAsia="宋体" w:cs="Times New Roman"/>
                      <w:color w:val="000000"/>
                      <w:szCs w:val="21"/>
                    </w:rPr>
                  </w:pPr>
                </w:p>
              </w:tc>
              <w:tc>
                <w:tcPr>
                  <w:tcW w:w="3189"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ascii="Times New Roman" w:hAnsi="Times New Roman" w:eastAsia="宋体" w:cs="Times New Roman"/>
                      <w:color w:val="000000"/>
                      <w:szCs w:val="21"/>
                    </w:rPr>
                  </w:pPr>
                </w:p>
              </w:tc>
              <w:tc>
                <w:tcPr>
                  <w:tcW w:w="2517" w:type="dxa"/>
                  <w:gridSpan w:val="2"/>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ascii="Times New Roman" w:hAnsi="Times New Roman" w:eastAsia="宋体" w:cs="Times New Roman"/>
                      <w:color w:val="000000"/>
                      <w:szCs w:val="21"/>
                    </w:rPr>
                  </w:pPr>
                </w:p>
              </w:tc>
              <w:tc>
                <w:tcPr>
                  <w:tcW w:w="1330"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夜间50dB(A)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85" w:type="dxa"/>
                  <w:bottom w:w="0" w:type="dxa"/>
                  <w:right w:w="85" w:type="dxa"/>
                </w:tblCellMar>
              </w:tblPrEx>
              <w:trPr>
                <w:trHeight w:val="397" w:hRule="atLeast"/>
                <w:jc w:val="center"/>
              </w:trPr>
              <w:tc>
                <w:tcPr>
                  <w:tcW w:w="938"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固废</w:t>
                  </w:r>
                </w:p>
              </w:tc>
              <w:tc>
                <w:tcPr>
                  <w:tcW w:w="7036" w:type="dxa"/>
                  <w:gridSpan w:val="4"/>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4"/>
                      <w:szCs w:val="24"/>
                      <w:lang w:eastAsia="zh-CN"/>
                    </w:rPr>
                  </w:pPr>
                  <w:r>
                    <w:rPr>
                      <w:rFonts w:ascii="Times New Roman" w:hAnsi="Times New Roman" w:eastAsia="宋体" w:cs="Times New Roman"/>
                      <w:color w:val="000000"/>
                      <w:szCs w:val="21"/>
                    </w:rPr>
                    <w:t>《一般工业固体废物贮存和填埋场污染控制标准》（GB18599-2020）中的</w:t>
                  </w:r>
                  <w:r>
                    <w:rPr>
                      <w:rFonts w:hint="eastAsia" w:ascii="Times New Roman" w:hAnsi="Times New Roman" w:eastAsia="宋体" w:cs="Times New Roman"/>
                      <w:color w:val="000000"/>
                      <w:szCs w:val="21"/>
                      <w:lang w:eastAsia="zh-CN"/>
                    </w:rPr>
                    <w:t>有关规定</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85" w:type="dxa"/>
                  <w:bottom w:w="0" w:type="dxa"/>
                  <w:right w:w="85" w:type="dxa"/>
                </w:tblCellMar>
              </w:tblPrEx>
              <w:trPr>
                <w:trHeight w:val="397" w:hRule="atLeast"/>
                <w:jc w:val="center"/>
              </w:trPr>
              <w:tc>
                <w:tcPr>
                  <w:tcW w:w="938"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000000"/>
                      <w:szCs w:val="21"/>
                    </w:rPr>
                  </w:pPr>
                </w:p>
              </w:tc>
              <w:tc>
                <w:tcPr>
                  <w:tcW w:w="7036" w:type="dxa"/>
                  <w:gridSpan w:val="4"/>
                  <w:tcBorders>
                    <w:tl2br w:val="nil"/>
                    <w:tr2bl w:val="nil"/>
                  </w:tcBorders>
                  <w:vAlign w:val="center"/>
                </w:tcPr>
                <w:p>
                  <w:pPr>
                    <w:keepNext w:val="0"/>
                    <w:keepLines w:val="0"/>
                    <w:widowControl/>
                    <w:suppressLineNumbers w:val="0"/>
                    <w:spacing w:before="0" w:beforeAutospacing="0" w:after="0" w:afterAutospacing="0"/>
                    <w:ind w:left="0" w:right="0"/>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《危险废物贮存污染控制标准》（GB 18597-2001）及其修改单</w:t>
                  </w:r>
                </w:p>
              </w:tc>
            </w:tr>
          </w:tbl>
          <w:p>
            <w:pPr>
              <w:keepNext w:val="0"/>
              <w:keepLines w:val="0"/>
              <w:suppressLineNumbers w:val="0"/>
              <w:spacing w:before="0" w:beforeAutospacing="0" w:after="0" w:afterAutospacing="0"/>
              <w:ind w:left="0" w:right="0"/>
              <w:rPr>
                <w:rFonts w:ascii="Times New Roman" w:hAnsi="Times New Roman" w:eastAsia="宋体" w:cs="Times New Roman"/>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kern w:val="0"/>
                <w:szCs w:val="21"/>
              </w:rPr>
            </w:pPr>
            <w:r>
              <w:rPr>
                <w:rFonts w:ascii="Times New Roman" w:hAnsi="Times New Roman" w:eastAsia="宋体" w:cs="Times New Roman"/>
                <w:kern w:val="0"/>
                <w:szCs w:val="21"/>
              </w:rPr>
              <w:t>总量</w:t>
            </w:r>
          </w:p>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kern w:val="0"/>
                <w:szCs w:val="21"/>
              </w:rPr>
            </w:pPr>
            <w:r>
              <w:rPr>
                <w:rFonts w:ascii="Times New Roman" w:hAnsi="Times New Roman" w:eastAsia="宋体" w:cs="Times New Roman"/>
                <w:kern w:val="0"/>
                <w:szCs w:val="21"/>
              </w:rPr>
              <w:t>控制</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ascii="Times New Roman" w:hAnsi="Times New Roman" w:eastAsia="宋体" w:cs="Times New Roman"/>
                <w:kern w:val="0"/>
                <w:szCs w:val="21"/>
              </w:rPr>
              <w:t>指标</w:t>
            </w:r>
          </w:p>
        </w:tc>
        <w:tc>
          <w:tcPr>
            <w:tcW w:w="81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jc w:val="both"/>
              <w:textAlignment w:val="auto"/>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auto"/>
                <w:sz w:val="21"/>
                <w:szCs w:val="21"/>
                <w:lang w:val="en-US" w:eastAsia="zh-CN"/>
              </w:rPr>
              <w:t>本项目属于新建项目，废气涉及污染因子为颗粒物，废水不排外。项目涉及主要污染物排放总量指标：颗粒物0.0849t/a。</w:t>
            </w:r>
          </w:p>
          <w:p>
            <w:pPr>
              <w:pStyle w:val="3"/>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520" w:lineRule="exact"/>
              <w:ind w:left="0" w:right="0" w:firstLine="420" w:firstLineChars="20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根据《河南省生态环境厅关于印发建设项目主要污染物排放总量指标管理工作内部规程的通知》规定，建设项目环境影响评价文件中应明确建设项目主要污染物排放总量指标及替代方案。本项目属于新建项目，新增污染物排放量为COD0t/a、氨氮0t/a、SO</w:t>
            </w:r>
            <w:r>
              <w:rPr>
                <w:rFonts w:hint="default" w:ascii="Times New Roman" w:hAnsi="Times New Roman" w:eastAsia="宋体" w:cs="Times New Roman"/>
                <w:b w:val="0"/>
                <w:bCs w:val="0"/>
                <w:color w:val="auto"/>
                <w:kern w:val="2"/>
                <w:sz w:val="21"/>
                <w:szCs w:val="21"/>
                <w:vertAlign w:val="subscript"/>
                <w:lang w:val="en-US" w:eastAsia="zh-CN" w:bidi="ar-SA"/>
              </w:rPr>
              <w:t>2</w:t>
            </w:r>
            <w:r>
              <w:rPr>
                <w:rFonts w:hint="default" w:ascii="Times New Roman" w:hAnsi="Times New Roman" w:eastAsia="宋体" w:cs="Times New Roman"/>
                <w:b w:val="0"/>
                <w:bCs w:val="0"/>
                <w:color w:val="auto"/>
                <w:kern w:val="2"/>
                <w:sz w:val="21"/>
                <w:szCs w:val="21"/>
                <w:lang w:val="en-US" w:eastAsia="zh-CN" w:bidi="ar-SA"/>
              </w:rPr>
              <w:t>0t/a、NOx0t/a、颗粒物</w:t>
            </w:r>
            <w:r>
              <w:rPr>
                <w:rFonts w:hint="eastAsia" w:ascii="Times New Roman" w:hAnsi="Times New Roman" w:eastAsia="宋体" w:cs="Times New Roman"/>
                <w:b w:val="0"/>
                <w:bCs w:val="0"/>
                <w:color w:val="auto"/>
                <w:kern w:val="2"/>
                <w:sz w:val="21"/>
                <w:szCs w:val="21"/>
                <w:lang w:val="en-US" w:eastAsia="zh-CN" w:bidi="ar-SA"/>
              </w:rPr>
              <w:t>0.0849</w:t>
            </w:r>
            <w:r>
              <w:rPr>
                <w:rFonts w:hint="default" w:ascii="Times New Roman" w:hAnsi="Times New Roman" w:eastAsia="宋体" w:cs="Times New Roman"/>
                <w:b w:val="0"/>
                <w:bCs w:val="0"/>
                <w:color w:val="auto"/>
                <w:kern w:val="2"/>
                <w:sz w:val="21"/>
                <w:szCs w:val="21"/>
                <w:lang w:val="en-US" w:eastAsia="zh-CN" w:bidi="ar-SA"/>
              </w:rPr>
              <w:t>t/a、VOCs0t/a、铅0t/a、铬0t/a、镉0t/a、汞0t/a、砷0t/a。该项目重点污染物预支增量需要进行双倍替代，项目废气排放所需替代量颗粒物</w:t>
            </w:r>
            <w:r>
              <w:rPr>
                <w:rFonts w:hint="eastAsia" w:ascii="Times New Roman" w:hAnsi="Times New Roman" w:eastAsia="宋体" w:cs="Times New Roman"/>
                <w:b w:val="0"/>
                <w:bCs w:val="0"/>
                <w:color w:val="auto"/>
                <w:kern w:val="2"/>
                <w:sz w:val="21"/>
                <w:szCs w:val="21"/>
                <w:lang w:val="en-US" w:eastAsia="zh-CN" w:bidi="ar-SA"/>
              </w:rPr>
              <w:t>0.1698</w:t>
            </w:r>
            <w:r>
              <w:rPr>
                <w:rFonts w:hint="default" w:ascii="Times New Roman" w:hAnsi="Times New Roman" w:eastAsia="宋体" w:cs="Times New Roman"/>
                <w:b w:val="0"/>
                <w:bCs w:val="0"/>
                <w:color w:val="auto"/>
                <w:kern w:val="2"/>
                <w:sz w:val="21"/>
                <w:szCs w:val="21"/>
                <w:lang w:val="en-US" w:eastAsia="zh-CN" w:bidi="ar-SA"/>
              </w:rPr>
              <w:t>t/a，从</w:t>
            </w:r>
            <w:r>
              <w:rPr>
                <w:rFonts w:hint="eastAsia" w:ascii="Times New Roman" w:hAnsi="Times New Roman" w:eastAsia="宋体" w:cs="Times New Roman"/>
                <w:b w:val="0"/>
                <w:bCs w:val="0"/>
                <w:color w:val="auto"/>
                <w:kern w:val="2"/>
                <w:sz w:val="21"/>
                <w:szCs w:val="21"/>
                <w:lang w:val="en-US" w:eastAsia="zh-CN" w:bidi="ar-SA"/>
              </w:rPr>
              <w:t>新乡市奥柯建材有限公司导热油炉、煤气发生炉拆改</w:t>
            </w:r>
            <w:r>
              <w:rPr>
                <w:rFonts w:hint="default" w:ascii="Times New Roman" w:hAnsi="Times New Roman" w:eastAsia="宋体" w:cs="Times New Roman"/>
                <w:b w:val="0"/>
                <w:bCs w:val="0"/>
                <w:color w:val="auto"/>
                <w:kern w:val="2"/>
                <w:sz w:val="21"/>
                <w:szCs w:val="21"/>
                <w:lang w:val="en-US" w:eastAsia="zh-CN" w:bidi="ar-SA"/>
              </w:rPr>
              <w:t>剩余减排量（颗粒物</w:t>
            </w:r>
            <w:r>
              <w:rPr>
                <w:rFonts w:hint="eastAsia" w:ascii="Times New Roman" w:hAnsi="Times New Roman" w:eastAsia="宋体" w:cs="Times New Roman"/>
                <w:b w:val="0"/>
                <w:bCs w:val="0"/>
                <w:color w:val="auto"/>
                <w:kern w:val="2"/>
                <w:sz w:val="21"/>
                <w:szCs w:val="21"/>
                <w:lang w:val="en-US" w:eastAsia="zh-CN" w:bidi="ar-SA"/>
              </w:rPr>
              <w:t>4.5603</w:t>
            </w:r>
            <w:r>
              <w:rPr>
                <w:rFonts w:hint="default" w:ascii="Times New Roman" w:hAnsi="Times New Roman" w:eastAsia="宋体" w:cs="Times New Roman"/>
                <w:b w:val="0"/>
                <w:bCs w:val="0"/>
                <w:color w:val="auto"/>
                <w:kern w:val="2"/>
                <w:sz w:val="21"/>
                <w:szCs w:val="21"/>
                <w:lang w:val="en-US" w:eastAsia="zh-CN" w:bidi="ar-SA"/>
              </w:rPr>
              <w:t>t/a）中扣除。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jc w:val="both"/>
              <w:textAlignment w:val="auto"/>
              <w:rPr>
                <w:rFonts w:hint="eastAsia" w:ascii="Times New Roman" w:hAnsi="Times New Roman" w:eastAsia="宋体" w:cs="Times New Roman"/>
                <w:color w:val="auto"/>
                <w:sz w:val="21"/>
                <w:szCs w:val="21"/>
                <w:lang w:val="en-US" w:eastAsia="zh-CN"/>
              </w:rPr>
            </w:pPr>
          </w:p>
          <w:p>
            <w:pPr>
              <w:pStyle w:val="2"/>
              <w:keepNext w:val="0"/>
              <w:keepLines w:val="0"/>
              <w:suppressLineNumbers w:val="0"/>
              <w:spacing w:before="0" w:beforeAutospacing="0" w:afterAutospacing="0"/>
              <w:ind w:right="0"/>
              <w:rPr>
                <w:rFonts w:hint="eastAsia" w:eastAsia="宋体" w:cs="Times New Roman"/>
                <w:b w:val="0"/>
                <w:bCs w:val="0"/>
                <w:color w:val="auto"/>
                <w:kern w:val="2"/>
                <w:sz w:val="21"/>
                <w:szCs w:val="21"/>
                <w:lang w:val="en-US" w:eastAsia="zh-CN" w:bidi="ar-SA"/>
              </w:rPr>
            </w:pPr>
          </w:p>
          <w:p>
            <w:pPr>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kern w:val="2"/>
                <w:sz w:val="21"/>
                <w:szCs w:val="21"/>
                <w:lang w:val="en-US" w:eastAsia="zh-CN" w:bidi="ar-SA"/>
              </w:rPr>
            </w:pPr>
          </w:p>
          <w:p>
            <w:pPr>
              <w:pStyle w:val="2"/>
              <w:keepNext w:val="0"/>
              <w:keepLines w:val="0"/>
              <w:suppressLineNumbers w:val="0"/>
              <w:spacing w:before="0" w:beforeAutospacing="0" w:afterAutospacing="0"/>
              <w:ind w:right="0"/>
              <w:rPr>
                <w:rFonts w:hint="eastAsia" w:eastAsia="宋体" w:cs="Times New Roman"/>
                <w:b w:val="0"/>
                <w:bCs w:val="0"/>
                <w:color w:val="auto"/>
                <w:kern w:val="2"/>
                <w:sz w:val="21"/>
                <w:szCs w:val="21"/>
                <w:lang w:val="en-US" w:eastAsia="zh-CN" w:bidi="ar-SA"/>
              </w:rPr>
            </w:pPr>
          </w:p>
          <w:p>
            <w:pPr>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kern w:val="2"/>
                <w:sz w:val="21"/>
                <w:szCs w:val="21"/>
                <w:lang w:val="en-US" w:eastAsia="zh-CN" w:bidi="ar-SA"/>
              </w:rPr>
            </w:pPr>
          </w:p>
          <w:p>
            <w:pPr>
              <w:pStyle w:val="2"/>
              <w:keepNext w:val="0"/>
              <w:keepLines w:val="0"/>
              <w:suppressLineNumbers w:val="0"/>
              <w:spacing w:before="0" w:beforeAutospacing="0" w:afterAutospacing="0"/>
              <w:ind w:right="0"/>
              <w:rPr>
                <w:rFonts w:hint="eastAsia" w:eastAsia="宋体" w:cs="Times New Roman"/>
                <w:b w:val="0"/>
                <w:bCs w:val="0"/>
                <w:color w:val="auto"/>
                <w:kern w:val="2"/>
                <w:sz w:val="21"/>
                <w:szCs w:val="21"/>
                <w:lang w:val="en-US" w:eastAsia="zh-CN" w:bidi="ar-SA"/>
              </w:rPr>
            </w:pPr>
          </w:p>
          <w:p>
            <w:pPr>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kern w:val="2"/>
                <w:sz w:val="21"/>
                <w:szCs w:val="21"/>
                <w:lang w:val="en-US" w:eastAsia="zh-CN" w:bidi="ar-SA"/>
              </w:rPr>
            </w:pPr>
          </w:p>
          <w:p>
            <w:pPr>
              <w:pStyle w:val="2"/>
              <w:keepNext w:val="0"/>
              <w:keepLines w:val="0"/>
              <w:suppressLineNumbers w:val="0"/>
              <w:spacing w:before="0" w:beforeAutospacing="0" w:afterAutospacing="0"/>
              <w:ind w:right="0"/>
              <w:rPr>
                <w:rFonts w:hint="eastAsia" w:eastAsia="宋体" w:cs="Times New Roman"/>
                <w:b w:val="0"/>
                <w:bCs w:val="0"/>
                <w:color w:val="auto"/>
                <w:kern w:val="2"/>
                <w:sz w:val="21"/>
                <w:szCs w:val="21"/>
                <w:lang w:val="en-US" w:eastAsia="zh-CN" w:bidi="ar-SA"/>
              </w:rPr>
            </w:pPr>
          </w:p>
          <w:p>
            <w:pPr>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kern w:val="2"/>
                <w:sz w:val="21"/>
                <w:szCs w:val="21"/>
                <w:lang w:val="en-US" w:eastAsia="zh-CN" w:bidi="ar-SA"/>
              </w:rPr>
            </w:pPr>
          </w:p>
          <w:p>
            <w:pPr>
              <w:pStyle w:val="2"/>
              <w:keepNext w:val="0"/>
              <w:keepLines w:val="0"/>
              <w:suppressLineNumbers w:val="0"/>
              <w:spacing w:before="0" w:beforeAutospacing="0" w:afterAutospacing="0"/>
              <w:ind w:right="0"/>
              <w:rPr>
                <w:rFonts w:hint="eastAsia" w:eastAsia="宋体" w:cs="Times New Roman"/>
                <w:b w:val="0"/>
                <w:bCs w:val="0"/>
                <w:color w:val="auto"/>
                <w:kern w:val="2"/>
                <w:sz w:val="21"/>
                <w:szCs w:val="21"/>
                <w:lang w:val="en-US" w:eastAsia="zh-CN" w:bidi="ar-SA"/>
              </w:rPr>
            </w:pPr>
          </w:p>
          <w:p>
            <w:pPr>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kern w:val="2"/>
                <w:sz w:val="21"/>
                <w:szCs w:val="21"/>
                <w:lang w:val="en-US" w:eastAsia="zh-CN" w:bidi="ar-SA"/>
              </w:rPr>
            </w:pPr>
          </w:p>
          <w:p>
            <w:pPr>
              <w:pStyle w:val="2"/>
              <w:keepNext w:val="0"/>
              <w:keepLines w:val="0"/>
              <w:suppressLineNumbers w:val="0"/>
              <w:spacing w:before="0" w:beforeAutospacing="0" w:afterAutospacing="0"/>
              <w:ind w:right="0"/>
              <w:rPr>
                <w:rFonts w:hint="eastAsia" w:eastAsia="宋体" w:cs="Times New Roman"/>
                <w:b w:val="0"/>
                <w:bCs w:val="0"/>
                <w:color w:val="auto"/>
                <w:kern w:val="2"/>
                <w:sz w:val="21"/>
                <w:szCs w:val="21"/>
                <w:lang w:val="en-US" w:eastAsia="zh-CN" w:bidi="ar-SA"/>
              </w:rPr>
            </w:pPr>
          </w:p>
          <w:p>
            <w:pPr>
              <w:keepNext w:val="0"/>
              <w:keepLines w:val="0"/>
              <w:suppressLineNumbers w:val="0"/>
              <w:spacing w:before="0" w:beforeAutospacing="0" w:after="0" w:afterAutospacing="0"/>
              <w:ind w:left="0" w:right="0"/>
              <w:rPr>
                <w:rFonts w:hint="eastAsia" w:ascii="Times New Roman" w:hAnsi="Times New Roman" w:eastAsia="宋体" w:cs="Times New Roman"/>
                <w:b w:val="0"/>
                <w:bCs w:val="0"/>
                <w:color w:val="auto"/>
                <w:kern w:val="2"/>
                <w:sz w:val="21"/>
                <w:szCs w:val="21"/>
                <w:lang w:val="en-US" w:eastAsia="zh-CN" w:bidi="ar-SA"/>
              </w:rPr>
            </w:pPr>
          </w:p>
          <w:p>
            <w:pPr>
              <w:pStyle w:val="2"/>
              <w:keepNext w:val="0"/>
              <w:keepLines w:val="0"/>
              <w:suppressLineNumbers w:val="0"/>
              <w:spacing w:before="0" w:beforeAutospacing="0" w:afterAutospacing="0"/>
              <w:ind w:right="0"/>
              <w:rPr>
                <w:rFonts w:hint="eastAsia" w:eastAsia="宋体" w:cs="Times New Roman"/>
                <w:b w:val="0"/>
                <w:bCs w:val="0"/>
                <w:color w:val="auto"/>
                <w:kern w:val="2"/>
                <w:sz w:val="21"/>
                <w:szCs w:val="21"/>
                <w:lang w:val="en-US" w:eastAsia="zh-CN" w:bidi="ar-SA"/>
              </w:rPr>
            </w:pPr>
          </w:p>
          <w:p>
            <w:pPr>
              <w:pStyle w:val="10"/>
              <w:keepNext w:val="0"/>
              <w:keepLines w:val="0"/>
              <w:suppressLineNumbers w:val="0"/>
              <w:spacing w:before="0" w:beforeAutospacing="0"/>
              <w:ind w:left="0" w:right="0"/>
              <w:rPr>
                <w:rFonts w:hint="eastAsia" w:eastAsia="宋体" w:cs="Times New Roman"/>
                <w:b w:val="0"/>
                <w:bCs w:val="0"/>
                <w:color w:val="auto"/>
                <w:kern w:val="2"/>
                <w:sz w:val="21"/>
                <w:szCs w:val="21"/>
                <w:lang w:val="en-US" w:eastAsia="zh-CN" w:bidi="ar-SA"/>
              </w:rPr>
            </w:pPr>
          </w:p>
          <w:p>
            <w:pPr>
              <w:keepNext w:val="0"/>
              <w:keepLines w:val="0"/>
              <w:suppressLineNumbers w:val="0"/>
              <w:spacing w:before="0" w:beforeAutospacing="0" w:after="0" w:afterAutospacing="0"/>
              <w:ind w:left="0" w:right="0"/>
              <w:rPr>
                <w:rFonts w:ascii="Times New Roman" w:hAnsi="Times New Roman" w:eastAsia="宋体" w:cs="Times New Roman"/>
                <w:color w:val="FF0000"/>
              </w:rPr>
            </w:pPr>
          </w:p>
        </w:tc>
      </w:tr>
    </w:tbl>
    <w:p>
      <w:pPr>
        <w:pStyle w:val="11"/>
        <w:jc w:val="center"/>
        <w:outlineLvl w:val="0"/>
        <w:rPr>
          <w:rFonts w:ascii="黑体" w:hAnsi="黑体" w:eastAsia="黑体"/>
          <w:snapToGrid w:val="0"/>
          <w:sz w:val="30"/>
          <w:szCs w:val="30"/>
        </w:rPr>
      </w:pPr>
      <w:r>
        <w:rPr>
          <w:rFonts w:hint="eastAsia" w:ascii="黑体" w:hAnsi="黑体" w:eastAsia="黑体"/>
          <w:snapToGrid w:val="0"/>
          <w:sz w:val="30"/>
          <w:szCs w:val="30"/>
        </w:rPr>
        <w:t>四、主要环境影响和保护措施</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noWrap w:val="0"/>
            <w:tcMar>
              <w:left w:w="28" w:type="dxa"/>
              <w:right w:w="28" w:type="dxa"/>
            </w:tcMar>
            <w:vAlign w:val="center"/>
          </w:tcPr>
          <w:p>
            <w:pPr>
              <w:pStyle w:val="11"/>
              <w:keepNext w:val="0"/>
              <w:keepLines w:val="0"/>
              <w:suppressLineNumbers w:val="0"/>
              <w:adjustRightInd w:val="0"/>
              <w:snapToGrid w:val="0"/>
              <w:spacing w:before="0" w:beforeAutospacing="0" w:after="0" w:afterAutospacing="0"/>
              <w:ind w:left="0" w:right="0"/>
              <w:jc w:val="center"/>
              <w:rPr>
                <w:rFonts w:hint="eastAsia" w:cs="宋体"/>
                <w:kern w:val="2"/>
                <w:sz w:val="21"/>
                <w:szCs w:val="21"/>
                <w:lang w:val="en-US" w:eastAsia="zh-CN"/>
              </w:rPr>
            </w:pPr>
            <w:r>
              <w:rPr>
                <w:rFonts w:hint="eastAsia" w:cs="宋体"/>
                <w:kern w:val="2"/>
                <w:sz w:val="21"/>
                <w:szCs w:val="21"/>
                <w:lang w:val="en-US" w:eastAsia="zh-CN"/>
              </w:rPr>
              <w:t>施工</w:t>
            </w:r>
          </w:p>
          <w:p>
            <w:pPr>
              <w:pStyle w:val="11"/>
              <w:keepNext w:val="0"/>
              <w:keepLines w:val="0"/>
              <w:suppressLineNumbers w:val="0"/>
              <w:adjustRightInd w:val="0"/>
              <w:snapToGrid w:val="0"/>
              <w:spacing w:before="0" w:beforeAutospacing="0" w:after="0" w:afterAutospacing="0"/>
              <w:ind w:left="0" w:right="0"/>
              <w:jc w:val="center"/>
              <w:rPr>
                <w:rFonts w:hint="eastAsia" w:cs="宋体"/>
                <w:kern w:val="2"/>
                <w:sz w:val="21"/>
                <w:szCs w:val="21"/>
                <w:lang w:val="en-US" w:eastAsia="zh-CN"/>
              </w:rPr>
            </w:pPr>
            <w:r>
              <w:rPr>
                <w:rFonts w:hint="eastAsia" w:cs="宋体"/>
                <w:kern w:val="2"/>
                <w:sz w:val="21"/>
                <w:szCs w:val="21"/>
                <w:lang w:val="en-US" w:eastAsia="zh-CN"/>
              </w:rPr>
              <w:t>期环</w:t>
            </w:r>
          </w:p>
          <w:p>
            <w:pPr>
              <w:pStyle w:val="11"/>
              <w:keepNext w:val="0"/>
              <w:keepLines w:val="0"/>
              <w:suppressLineNumbers w:val="0"/>
              <w:adjustRightInd w:val="0"/>
              <w:snapToGrid w:val="0"/>
              <w:spacing w:before="0" w:beforeAutospacing="0" w:after="0" w:afterAutospacing="0"/>
              <w:ind w:left="0" w:right="0"/>
              <w:jc w:val="center"/>
              <w:rPr>
                <w:rFonts w:hint="eastAsia" w:cs="宋体"/>
                <w:kern w:val="2"/>
                <w:sz w:val="21"/>
                <w:szCs w:val="21"/>
                <w:lang w:val="en-US" w:eastAsia="zh-CN"/>
              </w:rPr>
            </w:pPr>
            <w:r>
              <w:rPr>
                <w:rFonts w:hint="eastAsia" w:cs="宋体"/>
                <w:kern w:val="2"/>
                <w:sz w:val="21"/>
                <w:szCs w:val="21"/>
                <w:lang w:val="en-US" w:eastAsia="zh-CN"/>
              </w:rPr>
              <w:t>境保</w:t>
            </w:r>
          </w:p>
          <w:p>
            <w:pPr>
              <w:pStyle w:val="11"/>
              <w:keepNext w:val="0"/>
              <w:keepLines w:val="0"/>
              <w:suppressLineNumbers w:val="0"/>
              <w:adjustRightInd w:val="0"/>
              <w:snapToGrid w:val="0"/>
              <w:spacing w:before="0" w:beforeAutospacing="0" w:after="0" w:afterAutospacing="0"/>
              <w:ind w:left="0" w:right="0"/>
              <w:jc w:val="center"/>
              <w:rPr>
                <w:rFonts w:hint="eastAsia" w:cs="宋体"/>
                <w:kern w:val="2"/>
                <w:sz w:val="21"/>
                <w:szCs w:val="21"/>
                <w:lang w:val="en-US" w:eastAsia="zh-CN"/>
              </w:rPr>
            </w:pPr>
            <w:r>
              <w:rPr>
                <w:rFonts w:hint="eastAsia" w:cs="宋体"/>
                <w:kern w:val="2"/>
                <w:sz w:val="21"/>
                <w:szCs w:val="21"/>
                <w:lang w:val="en-US" w:eastAsia="zh-CN"/>
              </w:rPr>
              <w:t>护措</w:t>
            </w:r>
          </w:p>
          <w:p>
            <w:pPr>
              <w:pStyle w:val="11"/>
              <w:keepNext w:val="0"/>
              <w:keepLines w:val="0"/>
              <w:suppressLineNumbers w:val="0"/>
              <w:adjustRightInd w:val="0"/>
              <w:snapToGrid w:val="0"/>
              <w:spacing w:before="0" w:beforeAutospacing="0" w:after="0" w:afterAutospacing="0"/>
              <w:ind w:left="0" w:right="0"/>
              <w:jc w:val="center"/>
              <w:rPr>
                <w:rFonts w:hint="eastAsia" w:cs="宋体"/>
                <w:bCs/>
                <w:kern w:val="2"/>
                <w:sz w:val="21"/>
                <w:szCs w:val="21"/>
                <w:lang w:val="en-US" w:eastAsia="zh-CN"/>
              </w:rPr>
            </w:pPr>
            <w:r>
              <w:rPr>
                <w:rFonts w:hint="eastAsia" w:cs="宋体"/>
                <w:kern w:val="2"/>
                <w:sz w:val="21"/>
                <w:szCs w:val="21"/>
                <w:lang w:val="en-US" w:eastAsia="zh-CN"/>
              </w:rPr>
              <w:t>施</w:t>
            </w:r>
          </w:p>
        </w:tc>
        <w:tc>
          <w:tcPr>
            <w:tcW w:w="8162" w:type="dxa"/>
            <w:noWrap w:val="0"/>
            <w:vAlign w:val="center"/>
          </w:tcPr>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lang w:val="en-US" w:eastAsia="zh-CN"/>
              </w:rPr>
            </w:pPr>
            <w:r>
              <w:rPr>
                <w:lang w:val="en-US" w:eastAsia="zh-CN"/>
              </w:rPr>
              <w:t>本项目施工期存在的主要环境问题为施工期扬尘、噪声、废水及固废。</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lang w:val="en-US" w:eastAsia="zh-CN"/>
              </w:rPr>
            </w:pPr>
            <w:r>
              <w:rPr>
                <w:lang w:val="en-US" w:eastAsia="zh-CN"/>
              </w:rPr>
              <w:t>1、施工期大气环境影响分析</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lang w:val="en-US" w:eastAsia="zh-CN"/>
              </w:rPr>
            </w:pPr>
            <w:r>
              <w:rPr>
                <w:lang w:val="en-US" w:eastAsia="zh-CN"/>
              </w:rPr>
              <w:t>施工期的大气污染主要为施工扬尘，产生扬尘的作业主要有建材运输、装卸、堆放等过程，扬尘产生量约为</w:t>
            </w:r>
            <w:r>
              <w:rPr>
                <w:rFonts w:hint="eastAsia"/>
                <w:lang w:val="en-US" w:eastAsia="zh-CN"/>
              </w:rPr>
              <w:t>1.5</w:t>
            </w:r>
            <w:r>
              <w:rPr>
                <w:lang w:val="en-US" w:eastAsia="zh-CN"/>
              </w:rPr>
              <w:t>t。扬尘的污染程度与风速、粉尘粒径、粉尘含水量和汽车行驶速度等因素有关，起尘量随汽车速度和风速增大而呈增大或呈级数增大，扬尘的污染范围也相应扩大。施工扬尘会造成局地降尘量增多，同时施工过程中运送建筑材料和机械设备的车辆扬尘，可能对沿途居民、农作物带来一定的污染影响。这种污染也是局部的、短期的，工程完成之后，施工对大气的影响就会消失。根据《新乡市蓝天工程行动计划》、《河南省2020年大气污染防治攻坚战实施方案》、《新乡市环境污染防治攻坚战三年行动实施方案（2018-2020年）》，施工期扬尘治理应满足以下要求：</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lang w:val="en-US" w:eastAsia="zh-CN"/>
              </w:rPr>
            </w:pPr>
            <w:r>
              <w:rPr>
                <w:rFonts w:hint="eastAsia"/>
                <w:lang w:val="en-US" w:eastAsia="zh-CN"/>
              </w:rPr>
              <w:t>①</w:t>
            </w:r>
            <w:r>
              <w:rPr>
                <w:lang w:val="en-US" w:eastAsia="zh-CN"/>
              </w:rPr>
              <w:t>建筑施工禁止使用散装水泥；</w:t>
            </w:r>
            <w:r>
              <w:rPr>
                <w:rFonts w:hint="eastAsia"/>
                <w:lang w:val="en-US" w:eastAsia="zh-CN"/>
              </w:rPr>
              <w:t>②</w:t>
            </w:r>
            <w:r>
              <w:rPr>
                <w:lang w:val="en-US" w:eastAsia="zh-CN"/>
              </w:rPr>
              <w:t>建筑施工现场必须全封闭设置围挡墙，严禁敞开式作业；</w:t>
            </w:r>
            <w:r>
              <w:rPr>
                <w:rFonts w:hint="eastAsia"/>
                <w:lang w:val="en-US" w:eastAsia="zh-CN"/>
              </w:rPr>
              <w:t>③</w:t>
            </w:r>
            <w:r>
              <w:rPr>
                <w:lang w:val="en-US" w:eastAsia="zh-CN"/>
              </w:rPr>
              <w:t>施工现场道路、作业区必须进行地面硬化，出口必须设置定型化自动冲洗设施，出入车辆必须冲洗干净；</w:t>
            </w:r>
            <w:r>
              <w:rPr>
                <w:rFonts w:hint="eastAsia"/>
                <w:lang w:val="en-US" w:eastAsia="zh-CN"/>
              </w:rPr>
              <w:t>④</w:t>
            </w:r>
            <w:r>
              <w:rPr>
                <w:lang w:val="en-US" w:eastAsia="zh-CN"/>
              </w:rPr>
              <w:t>施工中产生的物料堆应采取遮挡、洒水、喷洒覆盖剂或其他防尘措施；</w:t>
            </w:r>
            <w:r>
              <w:rPr>
                <w:rFonts w:hint="eastAsia"/>
                <w:lang w:val="en-US" w:eastAsia="zh-CN"/>
              </w:rPr>
              <w:t>⑤</w:t>
            </w:r>
            <w:r>
              <w:rPr>
                <w:lang w:val="en-US" w:eastAsia="zh-CN"/>
              </w:rPr>
              <w:t>运输车辆采取密闭措施，且装载时不宜过满，以减少运输过程中由于泥土的散落造成的扬尘；</w:t>
            </w:r>
            <w:r>
              <w:rPr>
                <w:rFonts w:hint="eastAsia"/>
                <w:lang w:val="en-US" w:eastAsia="zh-CN"/>
              </w:rPr>
              <w:t>⑥</w:t>
            </w:r>
            <w:r>
              <w:rPr>
                <w:lang w:val="en-US" w:eastAsia="zh-CN"/>
              </w:rPr>
              <w:t>企业应在厂区门口树立标识牌，对本项目采取的环保治理措施进行公示，接受公众监督。控制措施为：建议施工堆场设置防护网，定期洒水、及时清运，建材入库存放，减少扬尘影响；建筑垃圾保湿运送定点倾倒，建材运输车辆采取帆布压盖等措施，施工期扬尘对大气环境的影响较小。</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lang w:val="en-US" w:eastAsia="zh-CN"/>
              </w:rPr>
            </w:pPr>
            <w:r>
              <w:rPr>
                <w:lang w:val="en-US" w:eastAsia="zh-CN"/>
              </w:rPr>
              <w:t>2、施工期水环境影响分析</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lang w:val="en-US" w:eastAsia="zh-CN"/>
              </w:rPr>
            </w:pPr>
            <w:r>
              <w:rPr>
                <w:lang w:val="en-US" w:eastAsia="zh-CN"/>
              </w:rPr>
              <w:t>项目施工期施工人员均不在厂区内居住，故施工期废水主要为施工机械设备运转的冷却水和洗涤水及暴雨前期的地表径流水。暴雨地表径流冲刷浮土、建筑砂石、垃圾、弃土等，不但会夹带大量泥沙，而且会携带水泥、油类等污染物。评价建议在施工工地周界设置排水明沟和临时集水池，施工期产生的废水经沉淀后用于厂区洒水降尘，不外排。</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lang w:val="en-US" w:eastAsia="zh-CN"/>
              </w:rPr>
            </w:pPr>
            <w:r>
              <w:rPr>
                <w:lang w:val="en-US" w:eastAsia="zh-CN"/>
              </w:rPr>
              <w:t>3、施工期声环境影响分析</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lang w:val="en-US" w:eastAsia="zh-CN"/>
              </w:rPr>
            </w:pPr>
            <w:r>
              <w:rPr>
                <w:lang w:val="en-US" w:eastAsia="zh-CN"/>
              </w:rPr>
              <w:t>施工期主要噪声源有装载机、挖掘机以及交通运输车辆的汽车噪声，声级在70-90dB(A)之间。施工期噪声影响虽然是暂时的，但是施工过程中采用的施工机械一般都具有噪声高、无规则等特点，对周围环境产生一定的影响。施工机械在不同距离处的噪声级见下表。</w:t>
            </w:r>
          </w:p>
          <w:p>
            <w:pPr>
              <w:pStyle w:val="7"/>
              <w:keepNext w:val="0"/>
              <w:keepLines w:val="0"/>
              <w:suppressLineNumbers w:val="0"/>
              <w:spacing w:before="0" w:beforeAutospacing="0" w:after="0" w:afterAutospacing="0"/>
              <w:ind w:left="0" w:leftChars="0" w:firstLine="0" w:firstLineChars="0"/>
              <w:jc w:val="center"/>
              <w:rPr>
                <w:b/>
                <w:bCs/>
                <w:lang w:val="en-US" w:eastAsia="zh-CN"/>
              </w:rPr>
            </w:pPr>
            <w:r>
              <w:rPr>
                <w:b/>
                <w:bCs/>
                <w:lang w:val="en-US" w:eastAsia="zh-CN"/>
              </w:rPr>
              <w:t>表</w:t>
            </w:r>
            <w:r>
              <w:rPr>
                <w:rFonts w:hint="eastAsia"/>
                <w:b/>
                <w:bCs/>
                <w:lang w:val="en-US" w:eastAsia="zh-CN"/>
              </w:rPr>
              <w:t xml:space="preserve">21  </w:t>
            </w:r>
            <w:r>
              <w:rPr>
                <w:b/>
                <w:bCs/>
                <w:lang w:val="en-US" w:eastAsia="zh-CN"/>
              </w:rPr>
              <w:t>距施工机械不同距离处的声级   单位：dB（A）</w:t>
            </w:r>
          </w:p>
          <w:tbl>
            <w:tblPr>
              <w:tblStyle w:val="12"/>
              <w:tblW w:w="4995"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675"/>
              <w:gridCol w:w="879"/>
              <w:gridCol w:w="785"/>
              <w:gridCol w:w="718"/>
              <w:gridCol w:w="718"/>
              <w:gridCol w:w="718"/>
              <w:gridCol w:w="718"/>
              <w:gridCol w:w="845"/>
              <w:gridCol w:w="845"/>
              <w:gridCol w:w="518"/>
              <w:gridCol w:w="51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7" w:hRule="atLeast"/>
              </w:trPr>
              <w:tc>
                <w:tcPr>
                  <w:tcW w:w="896" w:type="dxa"/>
                  <w:vMerge w:val="restart"/>
                  <w:tcBorders>
                    <w:tl2br w:val="nil"/>
                    <w:tr2bl w:val="nil"/>
                  </w:tcBorders>
                  <w:noWrap w:val="0"/>
                  <w:vAlign w:val="center"/>
                </w:tcPr>
                <w:p>
                  <w:pPr>
                    <w:pStyle w:val="4"/>
                    <w:keepNext w:val="0"/>
                    <w:keepLines w:val="0"/>
                    <w:suppressLineNumbers w:val="0"/>
                    <w:spacing w:before="0" w:beforeAutospacing="0" w:after="0" w:afterAutospacing="0"/>
                    <w:ind w:left="0" w:right="0"/>
                  </w:pPr>
                  <w:r>
                    <w:t>序号</w:t>
                  </w:r>
                </w:p>
              </w:tc>
              <w:tc>
                <w:tcPr>
                  <w:tcW w:w="1281" w:type="dxa"/>
                  <w:vMerge w:val="restart"/>
                  <w:tcBorders>
                    <w:tl2br w:val="nil"/>
                    <w:tr2bl w:val="nil"/>
                  </w:tcBorders>
                  <w:noWrap w:val="0"/>
                  <w:vAlign w:val="center"/>
                </w:tcPr>
                <w:p>
                  <w:pPr>
                    <w:pStyle w:val="4"/>
                    <w:keepNext w:val="0"/>
                    <w:keepLines w:val="0"/>
                    <w:suppressLineNumbers w:val="0"/>
                    <w:spacing w:before="0" w:beforeAutospacing="0" w:after="0" w:afterAutospacing="0"/>
                    <w:ind w:left="0" w:right="0"/>
                  </w:pPr>
                  <w:r>
                    <w:t>设备名称</w:t>
                  </w:r>
                </w:p>
              </w:tc>
              <w:tc>
                <w:tcPr>
                  <w:tcW w:w="6387" w:type="dxa"/>
                  <w:gridSpan w:val="7"/>
                  <w:tcBorders>
                    <w:tl2br w:val="nil"/>
                    <w:tr2bl w:val="nil"/>
                  </w:tcBorders>
                  <w:noWrap w:val="0"/>
                  <w:vAlign w:val="center"/>
                </w:tcPr>
                <w:p>
                  <w:pPr>
                    <w:pStyle w:val="4"/>
                    <w:keepNext w:val="0"/>
                    <w:keepLines w:val="0"/>
                    <w:suppressLineNumbers w:val="0"/>
                    <w:spacing w:before="0" w:beforeAutospacing="0" w:after="0" w:afterAutospacing="0"/>
                    <w:ind w:left="0" w:right="0"/>
                  </w:pPr>
                  <w:r>
                    <w:t>噪声级</w:t>
                  </w:r>
                </w:p>
              </w:tc>
              <w:tc>
                <w:tcPr>
                  <w:tcW w:w="1198" w:type="dxa"/>
                  <w:gridSpan w:val="2"/>
                  <w:tcBorders>
                    <w:tl2br w:val="nil"/>
                    <w:tr2bl w:val="nil"/>
                  </w:tcBorders>
                  <w:noWrap w:val="0"/>
                  <w:vAlign w:val="center"/>
                </w:tcPr>
                <w:p>
                  <w:pPr>
                    <w:pStyle w:val="4"/>
                    <w:keepNext w:val="0"/>
                    <w:keepLines w:val="0"/>
                    <w:suppressLineNumbers w:val="0"/>
                    <w:spacing w:before="0" w:beforeAutospacing="0" w:after="0" w:afterAutospacing="0"/>
                    <w:ind w:left="0" w:right="0"/>
                  </w:pPr>
                  <w:r>
                    <w:t>限值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7" w:hRule="atLeast"/>
              </w:trPr>
              <w:tc>
                <w:tcPr>
                  <w:tcW w:w="896" w:type="dxa"/>
                  <w:vMerge w:val="continue"/>
                  <w:tcBorders>
                    <w:tl2br w:val="nil"/>
                    <w:tr2bl w:val="nil"/>
                  </w:tcBorders>
                  <w:noWrap w:val="0"/>
                  <w:vAlign w:val="center"/>
                </w:tcPr>
                <w:p>
                  <w:pPr>
                    <w:pStyle w:val="4"/>
                    <w:keepNext w:val="0"/>
                    <w:keepLines w:val="0"/>
                    <w:suppressLineNumbers w:val="0"/>
                    <w:spacing w:before="0" w:beforeAutospacing="0" w:after="0" w:afterAutospacing="0"/>
                    <w:ind w:left="0" w:right="0"/>
                  </w:pPr>
                </w:p>
              </w:tc>
              <w:tc>
                <w:tcPr>
                  <w:tcW w:w="1281" w:type="dxa"/>
                  <w:vMerge w:val="continue"/>
                  <w:tcBorders>
                    <w:tl2br w:val="nil"/>
                    <w:tr2bl w:val="nil"/>
                  </w:tcBorders>
                  <w:noWrap w:val="0"/>
                  <w:vAlign w:val="center"/>
                </w:tcPr>
                <w:p>
                  <w:pPr>
                    <w:pStyle w:val="4"/>
                    <w:keepNext w:val="0"/>
                    <w:keepLines w:val="0"/>
                    <w:suppressLineNumbers w:val="0"/>
                    <w:spacing w:before="0" w:beforeAutospacing="0" w:after="0" w:afterAutospacing="0"/>
                    <w:ind w:left="0" w:right="0"/>
                  </w:pPr>
                </w:p>
              </w:tc>
              <w:tc>
                <w:tcPr>
                  <w:tcW w:w="1103" w:type="dxa"/>
                  <w:tcBorders>
                    <w:tl2br w:val="nil"/>
                    <w:tr2bl w:val="nil"/>
                  </w:tcBorders>
                  <w:noWrap w:val="0"/>
                  <w:vAlign w:val="center"/>
                </w:tcPr>
                <w:p>
                  <w:pPr>
                    <w:pStyle w:val="4"/>
                    <w:keepNext w:val="0"/>
                    <w:keepLines w:val="0"/>
                    <w:suppressLineNumbers w:val="0"/>
                    <w:spacing w:before="0" w:beforeAutospacing="0" w:after="0" w:afterAutospacing="0"/>
                    <w:ind w:left="0" w:right="0"/>
                  </w:pPr>
                  <w:r>
                    <w:t>源强</w:t>
                  </w:r>
                </w:p>
              </w:tc>
              <w:tc>
                <w:tcPr>
                  <w:tcW w:w="832" w:type="dxa"/>
                  <w:tcBorders>
                    <w:tl2br w:val="nil"/>
                    <w:tr2bl w:val="nil"/>
                  </w:tcBorders>
                  <w:noWrap w:val="0"/>
                  <w:vAlign w:val="center"/>
                </w:tcPr>
                <w:p>
                  <w:pPr>
                    <w:pStyle w:val="4"/>
                    <w:keepNext w:val="0"/>
                    <w:keepLines w:val="0"/>
                    <w:suppressLineNumbers w:val="0"/>
                    <w:spacing w:before="0" w:beforeAutospacing="0" w:after="0" w:afterAutospacing="0"/>
                    <w:ind w:left="0" w:right="0"/>
                  </w:pPr>
                  <w:r>
                    <w:t>10m</w:t>
                  </w:r>
                </w:p>
              </w:tc>
              <w:tc>
                <w:tcPr>
                  <w:tcW w:w="832" w:type="dxa"/>
                  <w:tcBorders>
                    <w:tl2br w:val="nil"/>
                    <w:tr2bl w:val="nil"/>
                  </w:tcBorders>
                  <w:noWrap w:val="0"/>
                  <w:vAlign w:val="center"/>
                </w:tcPr>
                <w:p>
                  <w:pPr>
                    <w:pStyle w:val="4"/>
                    <w:keepNext w:val="0"/>
                    <w:keepLines w:val="0"/>
                    <w:suppressLineNumbers w:val="0"/>
                    <w:spacing w:before="0" w:beforeAutospacing="0" w:after="0" w:afterAutospacing="0"/>
                    <w:ind w:left="0" w:right="0"/>
                  </w:pPr>
                  <w:r>
                    <w:t>2</w:t>
                  </w:r>
                  <w:r>
                    <w:rPr>
                      <w:rFonts w:hint="eastAsia"/>
                    </w:rPr>
                    <w:t>0</w:t>
                  </w:r>
                  <w:r>
                    <w:t>m</w:t>
                  </w:r>
                </w:p>
              </w:tc>
              <w:tc>
                <w:tcPr>
                  <w:tcW w:w="832" w:type="dxa"/>
                  <w:tcBorders>
                    <w:tl2br w:val="nil"/>
                    <w:tr2bl w:val="nil"/>
                  </w:tcBorders>
                  <w:noWrap w:val="0"/>
                  <w:vAlign w:val="center"/>
                </w:tcPr>
                <w:p>
                  <w:pPr>
                    <w:pStyle w:val="4"/>
                    <w:keepNext w:val="0"/>
                    <w:keepLines w:val="0"/>
                    <w:suppressLineNumbers w:val="0"/>
                    <w:spacing w:before="0" w:beforeAutospacing="0" w:after="0" w:afterAutospacing="0"/>
                    <w:ind w:left="0" w:right="0"/>
                  </w:pPr>
                  <w:r>
                    <w:t>30m</w:t>
                  </w:r>
                </w:p>
              </w:tc>
              <w:tc>
                <w:tcPr>
                  <w:tcW w:w="832" w:type="dxa"/>
                  <w:tcBorders>
                    <w:tl2br w:val="nil"/>
                    <w:tr2bl w:val="nil"/>
                  </w:tcBorders>
                  <w:noWrap w:val="0"/>
                  <w:vAlign w:val="center"/>
                </w:tcPr>
                <w:p>
                  <w:pPr>
                    <w:pStyle w:val="4"/>
                    <w:keepNext w:val="0"/>
                    <w:keepLines w:val="0"/>
                    <w:suppressLineNumbers w:val="0"/>
                    <w:spacing w:before="0" w:beforeAutospacing="0" w:after="0" w:afterAutospacing="0"/>
                    <w:ind w:left="0" w:right="0"/>
                  </w:pPr>
                  <w:r>
                    <w:t>50m</w:t>
                  </w:r>
                </w:p>
              </w:tc>
              <w:tc>
                <w:tcPr>
                  <w:tcW w:w="978" w:type="dxa"/>
                  <w:tcBorders>
                    <w:tl2br w:val="nil"/>
                    <w:tr2bl w:val="nil"/>
                  </w:tcBorders>
                  <w:noWrap w:val="0"/>
                  <w:vAlign w:val="center"/>
                </w:tcPr>
                <w:p>
                  <w:pPr>
                    <w:pStyle w:val="4"/>
                    <w:keepNext w:val="0"/>
                    <w:keepLines w:val="0"/>
                    <w:suppressLineNumbers w:val="0"/>
                    <w:spacing w:before="0" w:beforeAutospacing="0" w:after="0" w:afterAutospacing="0"/>
                    <w:ind w:left="0" w:right="0"/>
                  </w:pPr>
                  <w:r>
                    <w:t>100m</w:t>
                  </w:r>
                </w:p>
              </w:tc>
              <w:tc>
                <w:tcPr>
                  <w:tcW w:w="978" w:type="dxa"/>
                  <w:tcBorders>
                    <w:tl2br w:val="nil"/>
                    <w:tr2bl w:val="nil"/>
                  </w:tcBorders>
                  <w:noWrap w:val="0"/>
                  <w:vAlign w:val="center"/>
                </w:tcPr>
                <w:p>
                  <w:pPr>
                    <w:pStyle w:val="4"/>
                    <w:keepNext w:val="0"/>
                    <w:keepLines w:val="0"/>
                    <w:suppressLineNumbers w:val="0"/>
                    <w:spacing w:before="0" w:beforeAutospacing="0" w:after="0" w:afterAutospacing="0"/>
                    <w:ind w:left="0" w:right="0"/>
                  </w:pPr>
                  <w:r>
                    <w:t>200m</w:t>
                  </w:r>
                </w:p>
              </w:tc>
              <w:tc>
                <w:tcPr>
                  <w:tcW w:w="599" w:type="dxa"/>
                  <w:tcBorders>
                    <w:tl2br w:val="nil"/>
                    <w:tr2bl w:val="nil"/>
                  </w:tcBorders>
                  <w:noWrap w:val="0"/>
                  <w:vAlign w:val="center"/>
                </w:tcPr>
                <w:p>
                  <w:pPr>
                    <w:pStyle w:val="4"/>
                    <w:keepNext w:val="0"/>
                    <w:keepLines w:val="0"/>
                    <w:suppressLineNumbers w:val="0"/>
                    <w:spacing w:before="0" w:beforeAutospacing="0" w:after="0" w:afterAutospacing="0"/>
                    <w:ind w:left="0" w:right="0"/>
                  </w:pPr>
                  <w:r>
                    <w:t>昼</w:t>
                  </w:r>
                </w:p>
              </w:tc>
              <w:tc>
                <w:tcPr>
                  <w:tcW w:w="599" w:type="dxa"/>
                  <w:tcBorders>
                    <w:tl2br w:val="nil"/>
                    <w:tr2bl w:val="nil"/>
                  </w:tcBorders>
                  <w:noWrap w:val="0"/>
                  <w:vAlign w:val="center"/>
                </w:tcPr>
                <w:p>
                  <w:pPr>
                    <w:pStyle w:val="4"/>
                    <w:keepNext w:val="0"/>
                    <w:keepLines w:val="0"/>
                    <w:suppressLineNumbers w:val="0"/>
                    <w:spacing w:before="0" w:beforeAutospacing="0" w:after="0" w:afterAutospacing="0"/>
                    <w:ind w:left="0" w:right="0"/>
                  </w:pPr>
                  <w:r>
                    <w:t>夜</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7" w:hRule="atLeast"/>
              </w:trPr>
              <w:tc>
                <w:tcPr>
                  <w:tcW w:w="896" w:type="dxa"/>
                  <w:tcBorders>
                    <w:tl2br w:val="nil"/>
                    <w:tr2bl w:val="nil"/>
                  </w:tcBorders>
                  <w:noWrap w:val="0"/>
                  <w:vAlign w:val="center"/>
                </w:tcPr>
                <w:p>
                  <w:pPr>
                    <w:pStyle w:val="4"/>
                    <w:keepNext w:val="0"/>
                    <w:keepLines w:val="0"/>
                    <w:suppressLineNumbers w:val="0"/>
                    <w:spacing w:before="0" w:beforeAutospacing="0" w:after="0" w:afterAutospacing="0"/>
                    <w:ind w:left="0" w:right="0"/>
                  </w:pPr>
                  <w:r>
                    <w:t>1</w:t>
                  </w:r>
                </w:p>
              </w:tc>
              <w:tc>
                <w:tcPr>
                  <w:tcW w:w="1281" w:type="dxa"/>
                  <w:tcBorders>
                    <w:tl2br w:val="nil"/>
                    <w:tr2bl w:val="nil"/>
                  </w:tcBorders>
                  <w:noWrap w:val="0"/>
                  <w:vAlign w:val="center"/>
                </w:tcPr>
                <w:p>
                  <w:pPr>
                    <w:pStyle w:val="4"/>
                    <w:keepNext w:val="0"/>
                    <w:keepLines w:val="0"/>
                    <w:suppressLineNumbers w:val="0"/>
                    <w:spacing w:before="0" w:beforeAutospacing="0" w:after="0" w:afterAutospacing="0"/>
                    <w:ind w:left="0" w:right="0"/>
                  </w:pPr>
                  <w:r>
                    <w:t>装载机</w:t>
                  </w:r>
                </w:p>
              </w:tc>
              <w:tc>
                <w:tcPr>
                  <w:tcW w:w="1103" w:type="dxa"/>
                  <w:tcBorders>
                    <w:tl2br w:val="nil"/>
                    <w:tr2bl w:val="nil"/>
                  </w:tcBorders>
                  <w:noWrap w:val="0"/>
                  <w:vAlign w:val="center"/>
                </w:tcPr>
                <w:p>
                  <w:pPr>
                    <w:pStyle w:val="4"/>
                    <w:keepNext w:val="0"/>
                    <w:keepLines w:val="0"/>
                    <w:suppressLineNumbers w:val="0"/>
                    <w:spacing w:before="0" w:beforeAutospacing="0" w:after="0" w:afterAutospacing="0"/>
                    <w:ind w:left="0" w:right="0"/>
                  </w:pPr>
                  <w:r>
                    <w:t>85</w:t>
                  </w:r>
                </w:p>
              </w:tc>
              <w:tc>
                <w:tcPr>
                  <w:tcW w:w="832" w:type="dxa"/>
                  <w:tcBorders>
                    <w:tl2br w:val="nil"/>
                    <w:tr2bl w:val="nil"/>
                  </w:tcBorders>
                  <w:noWrap w:val="0"/>
                  <w:vAlign w:val="center"/>
                </w:tcPr>
                <w:p>
                  <w:pPr>
                    <w:pStyle w:val="4"/>
                    <w:keepNext w:val="0"/>
                    <w:keepLines w:val="0"/>
                    <w:suppressLineNumbers w:val="0"/>
                    <w:spacing w:before="0" w:beforeAutospacing="0" w:after="0" w:afterAutospacing="0"/>
                    <w:ind w:left="0" w:right="0"/>
                  </w:pPr>
                  <w:r>
                    <w:t>65</w:t>
                  </w:r>
                </w:p>
              </w:tc>
              <w:tc>
                <w:tcPr>
                  <w:tcW w:w="832" w:type="dxa"/>
                  <w:tcBorders>
                    <w:tl2br w:val="nil"/>
                    <w:tr2bl w:val="nil"/>
                  </w:tcBorders>
                  <w:noWrap w:val="0"/>
                  <w:vAlign w:val="center"/>
                </w:tcPr>
                <w:p>
                  <w:pPr>
                    <w:pStyle w:val="4"/>
                    <w:keepNext w:val="0"/>
                    <w:keepLines w:val="0"/>
                    <w:suppressLineNumbers w:val="0"/>
                    <w:spacing w:before="0" w:beforeAutospacing="0" w:after="0" w:afterAutospacing="0"/>
                    <w:ind w:left="0" w:right="0"/>
                  </w:pPr>
                  <w:r>
                    <w:t>59</w:t>
                  </w:r>
                </w:p>
              </w:tc>
              <w:tc>
                <w:tcPr>
                  <w:tcW w:w="832" w:type="dxa"/>
                  <w:tcBorders>
                    <w:tl2br w:val="nil"/>
                    <w:tr2bl w:val="nil"/>
                  </w:tcBorders>
                  <w:noWrap w:val="0"/>
                  <w:vAlign w:val="center"/>
                </w:tcPr>
                <w:p>
                  <w:pPr>
                    <w:pStyle w:val="4"/>
                    <w:keepNext w:val="0"/>
                    <w:keepLines w:val="0"/>
                    <w:suppressLineNumbers w:val="0"/>
                    <w:spacing w:before="0" w:beforeAutospacing="0" w:after="0" w:afterAutospacing="0"/>
                    <w:ind w:left="0" w:right="0"/>
                  </w:pPr>
                  <w:r>
                    <w:t>55.5</w:t>
                  </w:r>
                </w:p>
              </w:tc>
              <w:tc>
                <w:tcPr>
                  <w:tcW w:w="832" w:type="dxa"/>
                  <w:tcBorders>
                    <w:tl2br w:val="nil"/>
                    <w:tr2bl w:val="nil"/>
                  </w:tcBorders>
                  <w:noWrap w:val="0"/>
                  <w:vAlign w:val="center"/>
                </w:tcPr>
                <w:p>
                  <w:pPr>
                    <w:pStyle w:val="4"/>
                    <w:keepNext w:val="0"/>
                    <w:keepLines w:val="0"/>
                    <w:suppressLineNumbers w:val="0"/>
                    <w:spacing w:before="0" w:beforeAutospacing="0" w:after="0" w:afterAutospacing="0"/>
                    <w:ind w:left="0" w:right="0"/>
                  </w:pPr>
                  <w:r>
                    <w:t>51</w:t>
                  </w:r>
                </w:p>
              </w:tc>
              <w:tc>
                <w:tcPr>
                  <w:tcW w:w="978" w:type="dxa"/>
                  <w:tcBorders>
                    <w:tl2br w:val="nil"/>
                    <w:tr2bl w:val="nil"/>
                  </w:tcBorders>
                  <w:noWrap w:val="0"/>
                  <w:vAlign w:val="center"/>
                </w:tcPr>
                <w:p>
                  <w:pPr>
                    <w:pStyle w:val="4"/>
                    <w:keepNext w:val="0"/>
                    <w:keepLines w:val="0"/>
                    <w:suppressLineNumbers w:val="0"/>
                    <w:spacing w:before="0" w:beforeAutospacing="0" w:after="0" w:afterAutospacing="0"/>
                    <w:ind w:left="0" w:right="0"/>
                  </w:pPr>
                  <w:r>
                    <w:t>45</w:t>
                  </w:r>
                </w:p>
              </w:tc>
              <w:tc>
                <w:tcPr>
                  <w:tcW w:w="978" w:type="dxa"/>
                  <w:tcBorders>
                    <w:tl2br w:val="nil"/>
                    <w:tr2bl w:val="nil"/>
                  </w:tcBorders>
                  <w:noWrap w:val="0"/>
                  <w:vAlign w:val="center"/>
                </w:tcPr>
                <w:p>
                  <w:pPr>
                    <w:pStyle w:val="4"/>
                    <w:keepNext w:val="0"/>
                    <w:keepLines w:val="0"/>
                    <w:suppressLineNumbers w:val="0"/>
                    <w:spacing w:before="0" w:beforeAutospacing="0" w:after="0" w:afterAutospacing="0"/>
                    <w:ind w:left="0" w:right="0"/>
                  </w:pPr>
                  <w:r>
                    <w:t>39</w:t>
                  </w:r>
                </w:p>
              </w:tc>
              <w:tc>
                <w:tcPr>
                  <w:tcW w:w="599" w:type="dxa"/>
                  <w:tcBorders>
                    <w:tl2br w:val="nil"/>
                    <w:tr2bl w:val="nil"/>
                  </w:tcBorders>
                  <w:noWrap w:val="0"/>
                  <w:vAlign w:val="center"/>
                </w:tcPr>
                <w:p>
                  <w:pPr>
                    <w:pStyle w:val="4"/>
                    <w:keepNext w:val="0"/>
                    <w:keepLines w:val="0"/>
                    <w:suppressLineNumbers w:val="0"/>
                    <w:spacing w:before="0" w:beforeAutospacing="0" w:after="0" w:afterAutospacing="0"/>
                    <w:ind w:left="0" w:right="0"/>
                  </w:pPr>
                  <w:r>
                    <w:t>75</w:t>
                  </w:r>
                </w:p>
              </w:tc>
              <w:tc>
                <w:tcPr>
                  <w:tcW w:w="599" w:type="dxa"/>
                  <w:tcBorders>
                    <w:tl2br w:val="nil"/>
                    <w:tr2bl w:val="nil"/>
                  </w:tcBorders>
                  <w:noWrap w:val="0"/>
                  <w:vAlign w:val="center"/>
                </w:tcPr>
                <w:p>
                  <w:pPr>
                    <w:pStyle w:val="4"/>
                    <w:keepNext w:val="0"/>
                    <w:keepLines w:val="0"/>
                    <w:suppressLineNumbers w:val="0"/>
                    <w:spacing w:before="0" w:beforeAutospacing="0" w:after="0" w:afterAutospacing="0"/>
                    <w:ind w:left="0" w:right="0"/>
                  </w:pPr>
                  <w:r>
                    <w:t>55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7" w:hRule="atLeast"/>
              </w:trPr>
              <w:tc>
                <w:tcPr>
                  <w:tcW w:w="896" w:type="dxa"/>
                  <w:tcBorders>
                    <w:tl2br w:val="nil"/>
                    <w:tr2bl w:val="nil"/>
                  </w:tcBorders>
                  <w:noWrap w:val="0"/>
                  <w:vAlign w:val="center"/>
                </w:tcPr>
                <w:p>
                  <w:pPr>
                    <w:pStyle w:val="4"/>
                    <w:keepNext w:val="0"/>
                    <w:keepLines w:val="0"/>
                    <w:suppressLineNumbers w:val="0"/>
                    <w:spacing w:before="0" w:beforeAutospacing="0" w:after="0" w:afterAutospacing="0"/>
                    <w:ind w:left="0" w:right="0"/>
                  </w:pPr>
                  <w:r>
                    <w:t>2</w:t>
                  </w:r>
                </w:p>
              </w:tc>
              <w:tc>
                <w:tcPr>
                  <w:tcW w:w="1281" w:type="dxa"/>
                  <w:tcBorders>
                    <w:tl2br w:val="nil"/>
                    <w:tr2bl w:val="nil"/>
                  </w:tcBorders>
                  <w:noWrap w:val="0"/>
                  <w:vAlign w:val="center"/>
                </w:tcPr>
                <w:p>
                  <w:pPr>
                    <w:pStyle w:val="4"/>
                    <w:keepNext w:val="0"/>
                    <w:keepLines w:val="0"/>
                    <w:suppressLineNumbers w:val="0"/>
                    <w:spacing w:before="0" w:beforeAutospacing="0" w:after="0" w:afterAutospacing="0"/>
                    <w:ind w:left="0" w:right="0"/>
                  </w:pPr>
                  <w:r>
                    <w:t>挖掘机</w:t>
                  </w:r>
                </w:p>
              </w:tc>
              <w:tc>
                <w:tcPr>
                  <w:tcW w:w="1103" w:type="dxa"/>
                  <w:tcBorders>
                    <w:tl2br w:val="nil"/>
                    <w:tr2bl w:val="nil"/>
                  </w:tcBorders>
                  <w:noWrap w:val="0"/>
                  <w:vAlign w:val="center"/>
                </w:tcPr>
                <w:p>
                  <w:pPr>
                    <w:pStyle w:val="4"/>
                    <w:keepNext w:val="0"/>
                    <w:keepLines w:val="0"/>
                    <w:suppressLineNumbers w:val="0"/>
                    <w:spacing w:before="0" w:beforeAutospacing="0" w:after="0" w:afterAutospacing="0"/>
                    <w:ind w:left="0" w:right="0"/>
                  </w:pPr>
                  <w:r>
                    <w:t>90</w:t>
                  </w:r>
                </w:p>
              </w:tc>
              <w:tc>
                <w:tcPr>
                  <w:tcW w:w="832" w:type="dxa"/>
                  <w:tcBorders>
                    <w:tl2br w:val="nil"/>
                    <w:tr2bl w:val="nil"/>
                  </w:tcBorders>
                  <w:noWrap w:val="0"/>
                  <w:vAlign w:val="center"/>
                </w:tcPr>
                <w:p>
                  <w:pPr>
                    <w:pStyle w:val="4"/>
                    <w:keepNext w:val="0"/>
                    <w:keepLines w:val="0"/>
                    <w:suppressLineNumbers w:val="0"/>
                    <w:spacing w:before="0" w:beforeAutospacing="0" w:after="0" w:afterAutospacing="0"/>
                    <w:ind w:left="0" w:right="0"/>
                  </w:pPr>
                  <w:r>
                    <w:t>70</w:t>
                  </w:r>
                </w:p>
              </w:tc>
              <w:tc>
                <w:tcPr>
                  <w:tcW w:w="832" w:type="dxa"/>
                  <w:tcBorders>
                    <w:tl2br w:val="nil"/>
                    <w:tr2bl w:val="nil"/>
                  </w:tcBorders>
                  <w:noWrap w:val="0"/>
                  <w:vAlign w:val="center"/>
                </w:tcPr>
                <w:p>
                  <w:pPr>
                    <w:pStyle w:val="4"/>
                    <w:keepNext w:val="0"/>
                    <w:keepLines w:val="0"/>
                    <w:suppressLineNumbers w:val="0"/>
                    <w:spacing w:before="0" w:beforeAutospacing="0" w:after="0" w:afterAutospacing="0"/>
                    <w:ind w:left="0" w:right="0"/>
                  </w:pPr>
                  <w:r>
                    <w:t>64</w:t>
                  </w:r>
                </w:p>
              </w:tc>
              <w:tc>
                <w:tcPr>
                  <w:tcW w:w="832" w:type="dxa"/>
                  <w:tcBorders>
                    <w:tl2br w:val="nil"/>
                    <w:tr2bl w:val="nil"/>
                  </w:tcBorders>
                  <w:noWrap w:val="0"/>
                  <w:vAlign w:val="center"/>
                </w:tcPr>
                <w:p>
                  <w:pPr>
                    <w:pStyle w:val="4"/>
                    <w:keepNext w:val="0"/>
                    <w:keepLines w:val="0"/>
                    <w:suppressLineNumbers w:val="0"/>
                    <w:spacing w:before="0" w:beforeAutospacing="0" w:after="0" w:afterAutospacing="0"/>
                    <w:ind w:left="0" w:right="0"/>
                  </w:pPr>
                  <w:r>
                    <w:t>60</w:t>
                  </w:r>
                </w:p>
              </w:tc>
              <w:tc>
                <w:tcPr>
                  <w:tcW w:w="832" w:type="dxa"/>
                  <w:tcBorders>
                    <w:tl2br w:val="nil"/>
                    <w:tr2bl w:val="nil"/>
                  </w:tcBorders>
                  <w:noWrap w:val="0"/>
                  <w:vAlign w:val="center"/>
                </w:tcPr>
                <w:p>
                  <w:pPr>
                    <w:pStyle w:val="4"/>
                    <w:keepNext w:val="0"/>
                    <w:keepLines w:val="0"/>
                    <w:suppressLineNumbers w:val="0"/>
                    <w:spacing w:before="0" w:beforeAutospacing="0" w:after="0" w:afterAutospacing="0"/>
                    <w:ind w:left="0" w:right="0"/>
                  </w:pPr>
                  <w:r>
                    <w:t>55</w:t>
                  </w:r>
                </w:p>
              </w:tc>
              <w:tc>
                <w:tcPr>
                  <w:tcW w:w="978" w:type="dxa"/>
                  <w:tcBorders>
                    <w:tl2br w:val="nil"/>
                    <w:tr2bl w:val="nil"/>
                  </w:tcBorders>
                  <w:noWrap w:val="0"/>
                  <w:vAlign w:val="center"/>
                </w:tcPr>
                <w:p>
                  <w:pPr>
                    <w:pStyle w:val="4"/>
                    <w:keepNext w:val="0"/>
                    <w:keepLines w:val="0"/>
                    <w:suppressLineNumbers w:val="0"/>
                    <w:spacing w:before="0" w:beforeAutospacing="0" w:after="0" w:afterAutospacing="0"/>
                    <w:ind w:left="0" w:right="0"/>
                  </w:pPr>
                  <w:r>
                    <w:t>50</w:t>
                  </w:r>
                </w:p>
              </w:tc>
              <w:tc>
                <w:tcPr>
                  <w:tcW w:w="978" w:type="dxa"/>
                  <w:tcBorders>
                    <w:tl2br w:val="nil"/>
                    <w:tr2bl w:val="nil"/>
                  </w:tcBorders>
                  <w:noWrap w:val="0"/>
                  <w:vAlign w:val="center"/>
                </w:tcPr>
                <w:p>
                  <w:pPr>
                    <w:pStyle w:val="4"/>
                    <w:keepNext w:val="0"/>
                    <w:keepLines w:val="0"/>
                    <w:suppressLineNumbers w:val="0"/>
                    <w:spacing w:before="0" w:beforeAutospacing="0" w:after="0" w:afterAutospacing="0"/>
                    <w:ind w:left="0" w:right="0"/>
                  </w:pPr>
                  <w:r>
                    <w:t>44</w:t>
                  </w:r>
                </w:p>
              </w:tc>
              <w:tc>
                <w:tcPr>
                  <w:tcW w:w="599" w:type="dxa"/>
                  <w:tcBorders>
                    <w:tl2br w:val="nil"/>
                    <w:tr2bl w:val="nil"/>
                  </w:tcBorders>
                  <w:noWrap w:val="0"/>
                  <w:vAlign w:val="center"/>
                </w:tcPr>
                <w:p>
                  <w:pPr>
                    <w:pStyle w:val="4"/>
                    <w:keepNext w:val="0"/>
                    <w:keepLines w:val="0"/>
                    <w:suppressLineNumbers w:val="0"/>
                    <w:spacing w:before="0" w:beforeAutospacing="0" w:after="0" w:afterAutospacing="0"/>
                    <w:ind w:left="0" w:right="0"/>
                  </w:pPr>
                  <w:r>
                    <w:t>75</w:t>
                  </w:r>
                </w:p>
              </w:tc>
              <w:tc>
                <w:tcPr>
                  <w:tcW w:w="599" w:type="dxa"/>
                  <w:tcBorders>
                    <w:tl2br w:val="nil"/>
                    <w:tr2bl w:val="nil"/>
                  </w:tcBorders>
                  <w:noWrap w:val="0"/>
                  <w:vAlign w:val="center"/>
                </w:tcPr>
                <w:p>
                  <w:pPr>
                    <w:pStyle w:val="4"/>
                    <w:keepNext w:val="0"/>
                    <w:keepLines w:val="0"/>
                    <w:suppressLineNumbers w:val="0"/>
                    <w:spacing w:before="0" w:beforeAutospacing="0" w:after="0" w:afterAutospacing="0"/>
                    <w:ind w:left="0" w:right="0"/>
                  </w:pPr>
                  <w:r>
                    <w:t>55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57" w:hRule="atLeast"/>
              </w:trPr>
              <w:tc>
                <w:tcPr>
                  <w:tcW w:w="896" w:type="dxa"/>
                  <w:tcBorders>
                    <w:tl2br w:val="nil"/>
                    <w:tr2bl w:val="nil"/>
                  </w:tcBorders>
                  <w:noWrap w:val="0"/>
                  <w:vAlign w:val="center"/>
                </w:tcPr>
                <w:p>
                  <w:pPr>
                    <w:pStyle w:val="4"/>
                    <w:keepNext w:val="0"/>
                    <w:keepLines w:val="0"/>
                    <w:suppressLineNumbers w:val="0"/>
                    <w:spacing w:before="0" w:beforeAutospacing="0" w:after="0" w:afterAutospacing="0"/>
                    <w:ind w:left="0" w:right="0"/>
                  </w:pPr>
                  <w:r>
                    <w:t>3</w:t>
                  </w:r>
                </w:p>
              </w:tc>
              <w:tc>
                <w:tcPr>
                  <w:tcW w:w="1281" w:type="dxa"/>
                  <w:tcBorders>
                    <w:tl2br w:val="nil"/>
                    <w:tr2bl w:val="nil"/>
                  </w:tcBorders>
                  <w:noWrap w:val="0"/>
                  <w:vAlign w:val="center"/>
                </w:tcPr>
                <w:p>
                  <w:pPr>
                    <w:pStyle w:val="4"/>
                    <w:keepNext w:val="0"/>
                    <w:keepLines w:val="0"/>
                    <w:suppressLineNumbers w:val="0"/>
                    <w:spacing w:before="0" w:beforeAutospacing="0" w:after="0" w:afterAutospacing="0"/>
                    <w:ind w:left="0" w:right="0"/>
                  </w:pPr>
                  <w:r>
                    <w:t>载重汽车</w:t>
                  </w:r>
                </w:p>
              </w:tc>
              <w:tc>
                <w:tcPr>
                  <w:tcW w:w="1103" w:type="dxa"/>
                  <w:tcBorders>
                    <w:tl2br w:val="nil"/>
                    <w:tr2bl w:val="nil"/>
                  </w:tcBorders>
                  <w:noWrap w:val="0"/>
                  <w:vAlign w:val="center"/>
                </w:tcPr>
                <w:p>
                  <w:pPr>
                    <w:pStyle w:val="4"/>
                    <w:keepNext w:val="0"/>
                    <w:keepLines w:val="0"/>
                    <w:suppressLineNumbers w:val="0"/>
                    <w:spacing w:before="0" w:beforeAutospacing="0" w:after="0" w:afterAutospacing="0"/>
                    <w:ind w:left="0" w:right="0"/>
                  </w:pPr>
                  <w:r>
                    <w:t>82</w:t>
                  </w:r>
                </w:p>
              </w:tc>
              <w:tc>
                <w:tcPr>
                  <w:tcW w:w="832" w:type="dxa"/>
                  <w:tcBorders>
                    <w:tl2br w:val="nil"/>
                    <w:tr2bl w:val="nil"/>
                  </w:tcBorders>
                  <w:noWrap w:val="0"/>
                  <w:vAlign w:val="center"/>
                </w:tcPr>
                <w:p>
                  <w:pPr>
                    <w:pStyle w:val="4"/>
                    <w:keepNext w:val="0"/>
                    <w:keepLines w:val="0"/>
                    <w:suppressLineNumbers w:val="0"/>
                    <w:spacing w:before="0" w:beforeAutospacing="0" w:after="0" w:afterAutospacing="0"/>
                    <w:ind w:left="0" w:right="0"/>
                  </w:pPr>
                  <w:r>
                    <w:t>62</w:t>
                  </w:r>
                </w:p>
              </w:tc>
              <w:tc>
                <w:tcPr>
                  <w:tcW w:w="832" w:type="dxa"/>
                  <w:tcBorders>
                    <w:tl2br w:val="nil"/>
                    <w:tr2bl w:val="nil"/>
                  </w:tcBorders>
                  <w:noWrap w:val="0"/>
                  <w:vAlign w:val="center"/>
                </w:tcPr>
                <w:p>
                  <w:pPr>
                    <w:pStyle w:val="4"/>
                    <w:keepNext w:val="0"/>
                    <w:keepLines w:val="0"/>
                    <w:suppressLineNumbers w:val="0"/>
                    <w:spacing w:before="0" w:beforeAutospacing="0" w:after="0" w:afterAutospacing="0"/>
                    <w:ind w:left="0" w:right="0"/>
                  </w:pPr>
                  <w:r>
                    <w:t>56</w:t>
                  </w:r>
                </w:p>
              </w:tc>
              <w:tc>
                <w:tcPr>
                  <w:tcW w:w="832" w:type="dxa"/>
                  <w:tcBorders>
                    <w:tl2br w:val="nil"/>
                    <w:tr2bl w:val="nil"/>
                  </w:tcBorders>
                  <w:noWrap w:val="0"/>
                  <w:vAlign w:val="center"/>
                </w:tcPr>
                <w:p>
                  <w:pPr>
                    <w:pStyle w:val="4"/>
                    <w:keepNext w:val="0"/>
                    <w:keepLines w:val="0"/>
                    <w:suppressLineNumbers w:val="0"/>
                    <w:spacing w:before="0" w:beforeAutospacing="0" w:after="0" w:afterAutospacing="0"/>
                    <w:ind w:left="0" w:right="0"/>
                  </w:pPr>
                  <w:r>
                    <w:t>52</w:t>
                  </w:r>
                </w:p>
              </w:tc>
              <w:tc>
                <w:tcPr>
                  <w:tcW w:w="832" w:type="dxa"/>
                  <w:tcBorders>
                    <w:tl2br w:val="nil"/>
                    <w:tr2bl w:val="nil"/>
                  </w:tcBorders>
                  <w:noWrap w:val="0"/>
                  <w:vAlign w:val="center"/>
                </w:tcPr>
                <w:p>
                  <w:pPr>
                    <w:pStyle w:val="4"/>
                    <w:keepNext w:val="0"/>
                    <w:keepLines w:val="0"/>
                    <w:suppressLineNumbers w:val="0"/>
                    <w:spacing w:before="0" w:beforeAutospacing="0" w:after="0" w:afterAutospacing="0"/>
                    <w:ind w:left="0" w:right="0"/>
                  </w:pPr>
                  <w:r>
                    <w:t>48</w:t>
                  </w:r>
                </w:p>
              </w:tc>
              <w:tc>
                <w:tcPr>
                  <w:tcW w:w="978" w:type="dxa"/>
                  <w:tcBorders>
                    <w:tl2br w:val="nil"/>
                    <w:tr2bl w:val="nil"/>
                  </w:tcBorders>
                  <w:noWrap w:val="0"/>
                  <w:vAlign w:val="center"/>
                </w:tcPr>
                <w:p>
                  <w:pPr>
                    <w:pStyle w:val="4"/>
                    <w:keepNext w:val="0"/>
                    <w:keepLines w:val="0"/>
                    <w:suppressLineNumbers w:val="0"/>
                    <w:spacing w:before="0" w:beforeAutospacing="0" w:after="0" w:afterAutospacing="0"/>
                    <w:ind w:left="0" w:right="0"/>
                  </w:pPr>
                  <w:r>
                    <w:t>42</w:t>
                  </w:r>
                </w:p>
              </w:tc>
              <w:tc>
                <w:tcPr>
                  <w:tcW w:w="978" w:type="dxa"/>
                  <w:tcBorders>
                    <w:tl2br w:val="nil"/>
                    <w:tr2bl w:val="nil"/>
                  </w:tcBorders>
                  <w:noWrap w:val="0"/>
                  <w:vAlign w:val="center"/>
                </w:tcPr>
                <w:p>
                  <w:pPr>
                    <w:pStyle w:val="4"/>
                    <w:keepNext w:val="0"/>
                    <w:keepLines w:val="0"/>
                    <w:suppressLineNumbers w:val="0"/>
                    <w:spacing w:before="0" w:beforeAutospacing="0" w:after="0" w:afterAutospacing="0"/>
                    <w:ind w:left="0" w:right="0"/>
                  </w:pPr>
                  <w:r>
                    <w:t>36</w:t>
                  </w:r>
                </w:p>
              </w:tc>
              <w:tc>
                <w:tcPr>
                  <w:tcW w:w="599" w:type="dxa"/>
                  <w:tcBorders>
                    <w:tl2br w:val="nil"/>
                    <w:tr2bl w:val="nil"/>
                  </w:tcBorders>
                  <w:noWrap w:val="0"/>
                  <w:vAlign w:val="center"/>
                </w:tcPr>
                <w:p>
                  <w:pPr>
                    <w:pStyle w:val="4"/>
                    <w:keepNext w:val="0"/>
                    <w:keepLines w:val="0"/>
                    <w:suppressLineNumbers w:val="0"/>
                    <w:spacing w:before="0" w:beforeAutospacing="0" w:after="0" w:afterAutospacing="0"/>
                    <w:ind w:left="0" w:right="0"/>
                  </w:pPr>
                  <w:r>
                    <w:t>65</w:t>
                  </w:r>
                </w:p>
              </w:tc>
              <w:tc>
                <w:tcPr>
                  <w:tcW w:w="599" w:type="dxa"/>
                  <w:tcBorders>
                    <w:tl2br w:val="nil"/>
                    <w:tr2bl w:val="nil"/>
                  </w:tcBorders>
                  <w:noWrap w:val="0"/>
                  <w:vAlign w:val="center"/>
                </w:tcPr>
                <w:p>
                  <w:pPr>
                    <w:pStyle w:val="4"/>
                    <w:keepNext w:val="0"/>
                    <w:keepLines w:val="0"/>
                    <w:suppressLineNumbers w:val="0"/>
                    <w:spacing w:before="0" w:beforeAutospacing="0" w:after="0" w:afterAutospacing="0"/>
                    <w:ind w:left="0" w:right="0"/>
                  </w:pPr>
                  <w:r>
                    <w:t>55</w:t>
                  </w:r>
                </w:p>
              </w:tc>
            </w:tr>
          </w:tbl>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lang w:val="en-US" w:eastAsia="zh-CN"/>
              </w:rPr>
            </w:pPr>
            <w:r>
              <w:rPr>
                <w:lang w:val="en-US" w:eastAsia="zh-CN"/>
              </w:rPr>
              <w:t>由上表可知，单台施工机械约在100m以外噪声值才基本能达到施工阶段场界噪声限值。施工期间，施工机械是组合使用的，噪声影响更大。施工期间应严格控制施工期的噪声。另外，各种施工车辆运行产生的交通噪声短期内将对道路沿线产生一定影响。评价要求建设单位在施工期采取以下相应措施：</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lang w:val="en-US" w:eastAsia="zh-CN"/>
              </w:rPr>
            </w:pPr>
            <w:r>
              <w:rPr>
                <w:lang w:val="en-US" w:eastAsia="zh-CN"/>
              </w:rPr>
              <w:t>（1）合理安排高噪声设备运行时间；</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lang w:val="en-US" w:eastAsia="zh-CN"/>
              </w:rPr>
            </w:pPr>
            <w:r>
              <w:rPr>
                <w:lang w:val="en-US" w:eastAsia="zh-CN"/>
              </w:rPr>
              <w:t>（2）优先选择性能良好的高效低噪施工设备。日常应注意对施工设备的维修保养，使各种施工机械保持良好的运行状态，以减少噪声的产生。</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lang w:val="en-US" w:eastAsia="zh-CN"/>
              </w:rPr>
            </w:pPr>
            <w:r>
              <w:rPr>
                <w:lang w:val="en-US" w:eastAsia="zh-CN"/>
              </w:rPr>
              <w:t>（3）合理安排施工人员的作业时间、作业方式，减少接触高噪音的时间，对距离噪声源较近的人员，除采取必要的个人保护措施外，应适当缩短劳动作业时间。</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lang w:val="en-US" w:eastAsia="zh-CN"/>
              </w:rPr>
            </w:pPr>
            <w:r>
              <w:rPr>
                <w:lang w:val="en-US" w:eastAsia="zh-CN"/>
              </w:rPr>
              <w:t>4、施工期固体废弃物影响分析</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lang w:val="en-US" w:eastAsia="zh-CN"/>
              </w:rPr>
            </w:pPr>
            <w:r>
              <w:rPr>
                <w:lang w:val="en-US" w:eastAsia="zh-CN"/>
              </w:rPr>
              <w:t>施工期间产生的固废污染主要为少量的施工人员生活垃圾，统一收集到指定的垃圾箱内，由环卫部门及时处理，对周围环境无影响。</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lang w:val="en-US" w:eastAsia="zh-CN"/>
              </w:rPr>
            </w:pPr>
            <w:r>
              <w:rPr>
                <w:lang w:val="en-US" w:eastAsia="zh-CN"/>
              </w:rPr>
              <w:t>5、施工期生态影响分析</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lang w:val="en-US" w:eastAsia="zh-CN"/>
              </w:rPr>
            </w:pPr>
            <w:r>
              <w:rPr>
                <w:lang w:val="en-US" w:eastAsia="zh-CN"/>
              </w:rPr>
              <w:t>本项目建设</w:t>
            </w:r>
            <w:r>
              <w:rPr>
                <w:rFonts w:hint="eastAsia"/>
                <w:lang w:val="en-US" w:eastAsia="zh-CN"/>
              </w:rPr>
              <w:t>厂棚及配套设施</w:t>
            </w:r>
            <w:r>
              <w:rPr>
                <w:lang w:val="en-US" w:eastAsia="zh-CN"/>
              </w:rPr>
              <w:t>，项目在施工和道路硬化的过程中会破坏原有的农田植被，不可避免的面临一定的水土流失问题。评价要求对开挖裸露面及时恢复植被，进行绿化处理；临时堆放场要设置围墙，做好防护工作，以减少水土流失；雨季施工时，应备有工程帆布覆盖，防止汛期造成水土大量流失，减少雨水冲刷。</w:t>
            </w:r>
          </w:p>
          <w:p>
            <w:pPr>
              <w:keepNext w:val="0"/>
              <w:keepLines w:val="0"/>
              <w:suppressLineNumbers w:val="0"/>
              <w:spacing w:before="0" w:beforeAutospacing="0" w:after="0" w:afterAutospacing="0"/>
              <w:ind w:left="0" w:right="0"/>
              <w:rPr>
                <w:rFonts w:ascii="Times New Roman" w:hAnsi="Times New Roman" w:eastAsia="宋体" w:cs="Times New Roman"/>
              </w:rPr>
            </w:pPr>
          </w:p>
          <w:p>
            <w:pPr>
              <w:keepNext w:val="0"/>
              <w:keepLines w:val="0"/>
              <w:suppressLineNumbers w:val="0"/>
              <w:spacing w:before="0" w:beforeAutospacing="0" w:after="0" w:afterAutospacing="0"/>
              <w:ind w:left="0" w:right="0"/>
              <w:rPr>
                <w:rFonts w:ascii="Times New Roman" w:hAnsi="Times New Roman" w:eastAsia="宋体" w:cs="Times New Roman"/>
              </w:rPr>
            </w:pPr>
          </w:p>
          <w:p>
            <w:pPr>
              <w:pStyle w:val="3"/>
              <w:keepLines w:val="0"/>
              <w:suppressLineNumbers w:val="0"/>
              <w:spacing w:beforeAutospacing="0" w:afterAutospacing="0"/>
              <w:ind w:right="0"/>
            </w:pPr>
          </w:p>
          <w:p>
            <w:pPr>
              <w:keepNext w:val="0"/>
              <w:keepLines w:val="0"/>
              <w:suppressLineNumbers w:val="0"/>
              <w:spacing w:before="0" w:beforeAutospacing="0" w:after="0" w:afterAutospacing="0"/>
              <w:ind w:left="0" w:right="0"/>
              <w:rPr>
                <w:rFonts w:ascii="Times New Roman" w:hAnsi="Times New Roman" w:eastAsia="宋体" w:cs="Times New Roman"/>
              </w:rPr>
            </w:pPr>
          </w:p>
          <w:p>
            <w:pPr>
              <w:pStyle w:val="3"/>
              <w:keepLines w:val="0"/>
              <w:suppressLineNumbers w:val="0"/>
              <w:spacing w:beforeAutospacing="0" w:afterAutospacing="0"/>
              <w:ind w:right="0"/>
            </w:pPr>
          </w:p>
          <w:p>
            <w:pPr>
              <w:keepNext w:val="0"/>
              <w:keepLines w:val="0"/>
              <w:suppressLineNumbers w:val="0"/>
              <w:spacing w:before="0" w:beforeAutospacing="0" w:after="0" w:afterAutospacing="0"/>
              <w:ind w:left="0" w:right="0"/>
              <w:rPr>
                <w:rFonts w:ascii="Times New Roman" w:hAnsi="Times New Roman" w:eastAsia="宋体" w:cs="Times New Roman"/>
              </w:rPr>
            </w:pPr>
          </w:p>
          <w:p>
            <w:pPr>
              <w:pStyle w:val="3"/>
              <w:keepLines w:val="0"/>
              <w:suppressLineNumbers w:val="0"/>
              <w:spacing w:beforeAutospacing="0" w:afterAutospacing="0"/>
              <w:ind w:right="0"/>
            </w:pPr>
          </w:p>
          <w:p>
            <w:pPr>
              <w:keepNext w:val="0"/>
              <w:keepLines w:val="0"/>
              <w:suppressLineNumbers w:val="0"/>
              <w:spacing w:before="0" w:beforeAutospacing="0" w:after="0" w:afterAutospacing="0"/>
              <w:ind w:left="0" w:right="0"/>
              <w:rPr>
                <w:rFonts w:ascii="Times New Roman" w:hAnsi="Times New Roman" w:eastAsia="宋体" w:cs="Times New Roman"/>
              </w:rPr>
            </w:pPr>
          </w:p>
          <w:p>
            <w:pPr>
              <w:pStyle w:val="3"/>
              <w:keepLines w:val="0"/>
              <w:suppressLineNumbers w:val="0"/>
              <w:spacing w:beforeAutospacing="0" w:afterAutospacing="0"/>
              <w:ind w:right="0"/>
            </w:pPr>
          </w:p>
          <w:p>
            <w:pPr>
              <w:keepNext w:val="0"/>
              <w:keepLines w:val="0"/>
              <w:suppressLineNumbers w:val="0"/>
              <w:spacing w:before="0" w:beforeAutospacing="0" w:after="0" w:afterAutospacing="0"/>
              <w:ind w:left="0" w:right="0"/>
              <w:rPr>
                <w:rFonts w:ascii="Times New Roman" w:hAnsi="Times New Roman" w:eastAsia="宋体" w:cs="Times New Roman"/>
              </w:rPr>
            </w:pPr>
          </w:p>
          <w:p>
            <w:pPr>
              <w:pStyle w:val="3"/>
              <w:keepLines w:val="0"/>
              <w:suppressLineNumbers w:val="0"/>
              <w:spacing w:beforeAutospacing="0" w:afterAutospacing="0"/>
              <w:ind w:right="0"/>
            </w:pPr>
          </w:p>
          <w:p>
            <w:pPr>
              <w:keepNext w:val="0"/>
              <w:keepLines w:val="0"/>
              <w:suppressLineNumbers w:val="0"/>
              <w:spacing w:before="0" w:beforeAutospacing="0" w:after="0" w:afterAutospacing="0"/>
              <w:ind w:left="0" w:right="0"/>
              <w:rPr>
                <w:rFonts w:ascii="Times New Roman" w:hAnsi="Times New Roman" w:eastAsia="宋体" w:cs="Times New Roman"/>
              </w:rPr>
            </w:pPr>
          </w:p>
          <w:p>
            <w:pPr>
              <w:pStyle w:val="3"/>
              <w:keepLines w:val="0"/>
              <w:suppressLineNumbers w:val="0"/>
              <w:spacing w:beforeAutospacing="0" w:afterAutospacing="0"/>
              <w:ind w:right="0"/>
            </w:pPr>
          </w:p>
          <w:p>
            <w:pPr>
              <w:keepNext w:val="0"/>
              <w:keepLines w:val="0"/>
              <w:suppressLineNumbers w:val="0"/>
              <w:spacing w:before="0" w:beforeAutospacing="0" w:after="0" w:afterAutospacing="0"/>
              <w:ind w:left="0" w:right="0"/>
              <w:rPr>
                <w:rFonts w:ascii="Times New Roman" w:hAnsi="Times New Roman" w:eastAsia="宋体" w:cs="Times New Roman"/>
              </w:rPr>
            </w:pPr>
          </w:p>
          <w:p>
            <w:pPr>
              <w:pStyle w:val="3"/>
              <w:keepLines w:val="0"/>
              <w:suppressLineNumbers w:val="0"/>
              <w:spacing w:beforeAutospacing="0" w:afterAutospacing="0"/>
              <w:ind w:right="0"/>
            </w:pPr>
          </w:p>
          <w:p>
            <w:pPr>
              <w:keepNext w:val="0"/>
              <w:keepLines w:val="0"/>
              <w:suppressLineNumbers w:val="0"/>
              <w:spacing w:before="0" w:beforeAutospacing="0" w:after="0" w:afterAutospacing="0"/>
              <w:ind w:left="0" w:right="0"/>
              <w:rPr>
                <w:rFonts w:ascii="Times New Roman" w:hAnsi="Times New Roman" w:eastAsia="宋体" w:cs="Times New Roman"/>
              </w:rPr>
            </w:pPr>
          </w:p>
          <w:p>
            <w:pPr>
              <w:pStyle w:val="3"/>
              <w:keepLines w:val="0"/>
              <w:suppressLineNumbers w:val="0"/>
              <w:spacing w:beforeAutospacing="0" w:afterAutospacing="0"/>
              <w:ind w:right="0"/>
            </w:pPr>
          </w:p>
          <w:p>
            <w:pPr>
              <w:keepNext w:val="0"/>
              <w:keepLines w:val="0"/>
              <w:suppressLineNumbers w:val="0"/>
              <w:spacing w:before="0" w:beforeAutospacing="0" w:after="0" w:afterAutospacing="0"/>
              <w:ind w:left="0" w:right="0"/>
              <w:rPr>
                <w:rFonts w:ascii="Times New Roman" w:hAnsi="Times New Roman" w:eastAsia="宋体" w:cs="Times New Roman"/>
              </w:rPr>
            </w:pPr>
          </w:p>
          <w:p>
            <w:pPr>
              <w:pStyle w:val="3"/>
              <w:keepLines w:val="0"/>
              <w:suppressLineNumbers w:val="0"/>
              <w:spacing w:beforeAutospacing="0" w:afterAutospacing="0"/>
              <w:ind w:right="0"/>
            </w:pPr>
          </w:p>
          <w:p>
            <w:pPr>
              <w:keepNext w:val="0"/>
              <w:keepLines w:val="0"/>
              <w:suppressLineNumbers w:val="0"/>
              <w:spacing w:before="0" w:beforeAutospacing="0" w:after="0" w:afterAutospacing="0"/>
              <w:ind w:left="0" w:right="0"/>
              <w:rPr>
                <w:rFonts w:ascii="Times New Roman" w:hAnsi="Times New Roman" w:eastAsia="宋体" w:cs="Times New Roman"/>
              </w:rPr>
            </w:pPr>
          </w:p>
          <w:p>
            <w:pPr>
              <w:keepNext w:val="0"/>
              <w:keepLines w:val="0"/>
              <w:suppressLineNumbers w:val="0"/>
              <w:spacing w:before="0" w:beforeAutospacing="0" w:after="0" w:afterAutospacing="0"/>
              <w:ind w:left="0" w:right="0"/>
              <w:rPr>
                <w:rFonts w:ascii="Times New Roman" w:hAnsi="Times New Roman" w:eastAsia="宋体" w:cs="Times New Roman"/>
              </w:rPr>
            </w:pPr>
          </w:p>
          <w:p>
            <w:pPr>
              <w:keepNext w:val="0"/>
              <w:keepLines w:val="0"/>
              <w:suppressLineNumbers w:val="0"/>
              <w:spacing w:before="0" w:beforeAutospacing="0" w:after="0" w:afterAutospacing="0"/>
              <w:ind w:left="0" w:right="0"/>
              <w:rPr>
                <w:rFonts w:ascii="Times New Roman" w:hAnsi="Times New Roman" w:eastAsia="宋体" w:cs="Times New Roman"/>
              </w:rPr>
            </w:pPr>
          </w:p>
          <w:p>
            <w:pPr>
              <w:keepNext w:val="0"/>
              <w:keepLines w:val="0"/>
              <w:suppressLineNumbers w:val="0"/>
              <w:spacing w:before="0" w:beforeAutospacing="0" w:after="0" w:afterAutospacing="0"/>
              <w:ind w:left="0" w:right="0"/>
              <w:rPr>
                <w:rFonts w:ascii="Times New Roman" w:hAnsi="Times New Roman" w:eastAsia="宋体" w:cs="Times New Roman"/>
              </w:rPr>
            </w:pPr>
          </w:p>
          <w:p>
            <w:pPr>
              <w:keepNext w:val="0"/>
              <w:keepLines w:val="0"/>
              <w:suppressLineNumbers w:val="0"/>
              <w:spacing w:before="0" w:beforeAutospacing="0" w:after="0" w:afterAutospacing="0"/>
              <w:ind w:left="0" w:right="0"/>
              <w:rPr>
                <w:rFonts w:ascii="Times New Roman" w:hAnsi="Times New Roman" w:eastAsia="宋体" w:cs="Times New Roman"/>
              </w:rPr>
            </w:pPr>
          </w:p>
          <w:p>
            <w:pPr>
              <w:keepNext w:val="0"/>
              <w:keepLines w:val="0"/>
              <w:suppressLineNumbers w:val="0"/>
              <w:spacing w:before="0" w:beforeAutospacing="0" w:after="0" w:afterAutospacing="0"/>
              <w:ind w:left="0" w:right="0"/>
              <w:rPr>
                <w:rFonts w:ascii="Times New Roman" w:hAnsi="Times New Roman" w:eastAsia="宋体" w:cs="Times New Roman"/>
              </w:rPr>
            </w:pPr>
          </w:p>
          <w:p>
            <w:pPr>
              <w:keepNext w:val="0"/>
              <w:keepLines w:val="0"/>
              <w:suppressLineNumbers w:val="0"/>
              <w:spacing w:before="0" w:beforeAutospacing="0" w:after="0" w:afterAutospacing="0"/>
              <w:ind w:left="0" w:right="0"/>
              <w:rPr>
                <w:rFonts w:ascii="Times New Roman" w:hAnsi="Times New Roman" w:eastAsia="宋体" w:cs="Times New Roman"/>
              </w:rPr>
            </w:pPr>
          </w:p>
          <w:p>
            <w:pPr>
              <w:keepNext w:val="0"/>
              <w:keepLines w:val="0"/>
              <w:suppressLineNumbers w:val="0"/>
              <w:spacing w:before="0" w:beforeAutospacing="0" w:after="0" w:afterAutospacing="0"/>
              <w:ind w:left="0" w:right="0"/>
              <w:rPr>
                <w:rFonts w:ascii="Times New Roman" w:hAnsi="Times New Roman" w:eastAsia="宋体" w:cs="Times New Roman"/>
              </w:rPr>
            </w:pPr>
          </w:p>
          <w:p>
            <w:pPr>
              <w:keepNext w:val="0"/>
              <w:keepLines w:val="0"/>
              <w:suppressLineNumbers w:val="0"/>
              <w:spacing w:before="0" w:beforeAutospacing="0" w:after="0" w:afterAutospacing="0"/>
              <w:ind w:left="0" w:right="0"/>
              <w:rPr>
                <w:rFonts w:ascii="Times New Roman" w:hAnsi="Times New Roman" w:eastAsia="宋体" w:cs="Times New Roman"/>
              </w:rPr>
            </w:pPr>
          </w:p>
          <w:p>
            <w:pPr>
              <w:keepNext w:val="0"/>
              <w:keepLines w:val="0"/>
              <w:suppressLineNumbers w:val="0"/>
              <w:spacing w:before="0" w:beforeAutospacing="0" w:after="0" w:afterAutospacing="0"/>
              <w:ind w:left="0" w:right="0"/>
              <w:rPr>
                <w:rFonts w:ascii="Times New Roman" w:hAnsi="Times New Roman" w:eastAsia="宋体" w:cs="Times New Roman"/>
              </w:rPr>
            </w:pPr>
          </w:p>
          <w:p>
            <w:pPr>
              <w:keepNext w:val="0"/>
              <w:keepLines w:val="0"/>
              <w:suppressLineNumbers w:val="0"/>
              <w:spacing w:before="0" w:beforeAutospacing="0" w:after="0" w:afterAutospacing="0"/>
              <w:ind w:left="0" w:right="0"/>
              <w:rPr>
                <w:rFonts w:ascii="Times New Roman" w:hAnsi="Times New Roman" w:eastAsia="宋体" w:cs="Times New Roman"/>
              </w:rPr>
            </w:pPr>
          </w:p>
          <w:p>
            <w:pPr>
              <w:keepNext w:val="0"/>
              <w:keepLines w:val="0"/>
              <w:suppressLineNumbers w:val="0"/>
              <w:spacing w:before="0" w:beforeAutospacing="0" w:after="0" w:afterAutospacing="0"/>
              <w:ind w:left="0" w:right="0"/>
              <w:rPr>
                <w:rFonts w:ascii="Times New Roman" w:hAnsi="Times New Roman" w:eastAsia="宋体" w:cs="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57" w:hRule="atLeast"/>
          <w:jc w:val="center"/>
        </w:trPr>
        <w:tc>
          <w:tcPr>
            <w:tcW w:w="746"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szCs w:val="21"/>
              </w:rPr>
            </w:pPr>
            <w:r>
              <w:rPr>
                <w:rFonts w:hint="eastAsia" w:ascii="宋体" w:hAnsi="宋体" w:eastAsia="宋体" w:cs="宋体"/>
                <w:bCs/>
                <w:szCs w:val="21"/>
              </w:rPr>
              <w:t>运营</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szCs w:val="21"/>
              </w:rPr>
            </w:pPr>
            <w:r>
              <w:rPr>
                <w:rFonts w:hint="eastAsia" w:ascii="宋体" w:hAnsi="宋体" w:eastAsia="宋体" w:cs="宋体"/>
                <w:bCs/>
                <w:szCs w:val="21"/>
              </w:rPr>
              <w:t>期环</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szCs w:val="21"/>
              </w:rPr>
            </w:pPr>
            <w:r>
              <w:rPr>
                <w:rFonts w:hint="eastAsia" w:ascii="宋体" w:hAnsi="宋体" w:eastAsia="宋体" w:cs="宋体"/>
                <w:bCs/>
                <w:szCs w:val="21"/>
              </w:rPr>
              <w:t>境影</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szCs w:val="21"/>
              </w:rPr>
            </w:pPr>
            <w:r>
              <w:rPr>
                <w:rFonts w:hint="eastAsia" w:ascii="宋体" w:hAnsi="宋体" w:eastAsia="宋体" w:cs="宋体"/>
                <w:bCs/>
                <w:szCs w:val="21"/>
              </w:rPr>
              <w:t>响和</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szCs w:val="21"/>
              </w:rPr>
            </w:pPr>
            <w:r>
              <w:rPr>
                <w:rFonts w:hint="eastAsia" w:ascii="宋体" w:hAnsi="宋体" w:eastAsia="宋体" w:cs="宋体"/>
                <w:bCs/>
                <w:szCs w:val="21"/>
              </w:rPr>
              <w:t>保护</w:t>
            </w:r>
          </w:p>
          <w:p>
            <w:pPr>
              <w:keepNext w:val="0"/>
              <w:keepLines w:val="0"/>
              <w:suppressLineNumbers w:val="0"/>
              <w:adjustRightInd w:val="0"/>
              <w:snapToGrid w:val="0"/>
              <w:spacing w:before="0" w:beforeAutospacing="0" w:after="0" w:afterAutospacing="0"/>
              <w:ind w:left="0" w:right="0"/>
              <w:jc w:val="center"/>
              <w:rPr>
                <w:rFonts w:ascii="宋体" w:hAnsi="宋体" w:eastAsia="宋体" w:cs="宋体"/>
                <w:bCs/>
                <w:szCs w:val="21"/>
              </w:rPr>
            </w:pPr>
            <w:r>
              <w:rPr>
                <w:rFonts w:hint="eastAsia" w:ascii="宋体" w:hAnsi="宋体" w:eastAsia="宋体" w:cs="宋体"/>
                <w:bCs/>
                <w:szCs w:val="21"/>
              </w:rPr>
              <w:t>措施</w:t>
            </w:r>
          </w:p>
        </w:tc>
        <w:tc>
          <w:tcPr>
            <w:tcW w:w="816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textAlignment w:val="auto"/>
              <w:rPr>
                <w:rFonts w:ascii="Times New Roman" w:hAnsi="Times New Roman" w:eastAsia="宋体" w:cs="Times New Roman"/>
                <w:b/>
                <w:bCs/>
                <w:sz w:val="21"/>
                <w:szCs w:val="21"/>
              </w:rPr>
            </w:pPr>
            <w:r>
              <w:rPr>
                <w:rFonts w:hint="eastAsia" w:ascii="Times New Roman" w:hAnsi="Times New Roman" w:eastAsia="宋体" w:cs="Times New Roman"/>
                <w:b/>
                <w:bCs/>
                <w:sz w:val="21"/>
                <w:szCs w:val="21"/>
                <w:lang w:eastAsia="zh-CN"/>
              </w:rPr>
              <w:t>一</w:t>
            </w:r>
            <w:r>
              <w:rPr>
                <w:rFonts w:hint="eastAsia" w:ascii="Times New Roman" w:hAnsi="Times New Roman" w:eastAsia="宋体" w:cs="Times New Roman"/>
                <w:b/>
                <w:bCs/>
                <w:sz w:val="21"/>
                <w:szCs w:val="21"/>
              </w:rPr>
              <w:t>、废气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ascii="Times New Roman" w:hAnsi="Times New Roman" w:eastAsia="宋体" w:cs="Times New Roman"/>
                <w:sz w:val="21"/>
                <w:szCs w:val="21"/>
              </w:rPr>
            </w:pPr>
            <w:r>
              <w:rPr>
                <w:rFonts w:ascii="Times New Roman" w:hAnsi="Times New Roman" w:eastAsia="宋体" w:cs="Times New Roman"/>
                <w:sz w:val="21"/>
                <w:szCs w:val="21"/>
              </w:rPr>
              <w:t>本项目运营期间对环境主要影响表现在废气、噪声、固体废物等方面，具体分析如下：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本项目废气主要为</w:t>
            </w:r>
            <w:r>
              <w:rPr>
                <w:rFonts w:hint="eastAsia" w:ascii="Times New Roman" w:hAnsi="Times New Roman" w:eastAsia="宋体" w:cs="Times New Roman"/>
                <w:sz w:val="21"/>
                <w:szCs w:val="21"/>
                <w:lang w:eastAsia="zh-CN"/>
              </w:rPr>
              <w:t>撕碎、</w:t>
            </w:r>
            <w:r>
              <w:rPr>
                <w:rFonts w:hint="eastAsia" w:ascii="Times New Roman" w:hAnsi="Times New Roman" w:eastAsia="宋体" w:cs="Times New Roman"/>
                <w:sz w:val="21"/>
                <w:szCs w:val="21"/>
              </w:rPr>
              <w:t>一次破碎、二次破碎、气流分选、筛分产生的粉尘。</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20" w:lineRule="exact"/>
              <w:ind w:left="420" w:leftChars="200" w:right="0" w:rightChars="0"/>
              <w:textAlignment w:val="auto"/>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rPr>
              <w:t>废气源强分析：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本项目废气主要来自废正极片和废负极片</w:t>
            </w:r>
            <w:r>
              <w:rPr>
                <w:rFonts w:hint="eastAsia" w:ascii="Times New Roman" w:hAnsi="Times New Roman" w:eastAsia="宋体" w:cs="Times New Roman"/>
                <w:sz w:val="21"/>
                <w:szCs w:val="21"/>
                <w:lang w:eastAsia="zh-CN"/>
              </w:rPr>
              <w:t>撕碎、</w:t>
            </w:r>
            <w:r>
              <w:rPr>
                <w:rFonts w:hint="eastAsia" w:ascii="Times New Roman" w:hAnsi="Times New Roman" w:eastAsia="宋体" w:cs="Times New Roman"/>
                <w:sz w:val="21"/>
                <w:szCs w:val="21"/>
              </w:rPr>
              <w:t>破碎、气流分选、筛分等工序产生的粉尘。</w:t>
            </w:r>
            <w:r>
              <w:rPr>
                <w:rFonts w:hint="eastAsia" w:ascii="Times New Roman" w:hAnsi="Times New Roman" w:eastAsia="宋体" w:cs="Times New Roman"/>
                <w:sz w:val="21"/>
                <w:szCs w:val="21"/>
                <w:lang w:eastAsia="zh-CN"/>
              </w:rPr>
              <w:t>本项目厂房全部密闭，物料采用输送带密闭输送，生产线设置一套负压风送收集系统</w:t>
            </w:r>
            <w:r>
              <w:rPr>
                <w:rFonts w:hint="eastAsia" w:ascii="Times New Roman" w:hAnsi="Times New Roman" w:eastAsia="宋体" w:cs="Times New Roman"/>
                <w:sz w:val="21"/>
                <w:szCs w:val="21"/>
                <w:lang w:val="en-US" w:eastAsia="zh-CN"/>
              </w:rPr>
              <w:t>+袋式除尘器，收集撕碎、粉碎、气流分选、筛分等工段粉尘。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textAlignment w:val="auto"/>
              <w:rPr>
                <w:rFonts w:hint="eastAsia" w:ascii="Times New Roman" w:hAnsi="Times New Roman" w:eastAsia="宋体" w:cs="Times New Roman"/>
                <w:b/>
                <w:bCs/>
                <w:sz w:val="21"/>
                <w:szCs w:val="21"/>
                <w:highlight w:val="none"/>
                <w:lang w:eastAsia="zh-CN"/>
              </w:rPr>
            </w:pPr>
            <w:r>
              <w:rPr>
                <w:rFonts w:hint="eastAsia" w:ascii="Times New Roman" w:hAnsi="Times New Roman" w:eastAsia="宋体" w:cs="Times New Roman"/>
                <w:b/>
                <w:bCs/>
                <w:sz w:val="21"/>
                <w:szCs w:val="21"/>
                <w:highlight w:val="none"/>
                <w:lang w:eastAsia="zh-CN"/>
              </w:rPr>
              <w:t>（</w:t>
            </w:r>
            <w:r>
              <w:rPr>
                <w:rFonts w:hint="eastAsia" w:ascii="Times New Roman" w:hAnsi="Times New Roman" w:eastAsia="宋体" w:cs="Times New Roman"/>
                <w:b/>
                <w:bCs/>
                <w:sz w:val="21"/>
                <w:szCs w:val="21"/>
                <w:highlight w:val="none"/>
                <w:lang w:val="en-US" w:eastAsia="zh-CN"/>
              </w:rPr>
              <w:t>1</w:t>
            </w:r>
            <w:r>
              <w:rPr>
                <w:rFonts w:hint="eastAsia" w:ascii="Times New Roman" w:hAnsi="Times New Roman" w:eastAsia="宋体" w:cs="Times New Roman"/>
                <w:b/>
                <w:bCs/>
                <w:sz w:val="21"/>
                <w:szCs w:val="21"/>
                <w:highlight w:val="none"/>
                <w:lang w:eastAsia="zh-CN"/>
              </w:rPr>
              <w:t>）生产过程（破碎、粉碎、筛分、气流分选、包装等）产生的粉尘</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420" w:firstLineChars="200"/>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评价废气污染物源强的确定方法根据《逸散性工业粉尘控制技术》产污系数及设计资料确定，同时参考《河南再亮新能源再生有限公司2万吨/年废锂电池回收利用项目</w:t>
            </w:r>
            <w:r>
              <w:rPr>
                <w:rFonts w:hint="eastAsia" w:ascii="Times New Roman" w:hAnsi="Times New Roman" w:eastAsia="宋体" w:cs="Times New Roman"/>
                <w:sz w:val="21"/>
                <w:szCs w:val="21"/>
                <w:lang w:val="zh-CN"/>
              </w:rPr>
              <w:t>竣工环境保护验收监测报告</w:t>
            </w:r>
            <w:r>
              <w:rPr>
                <w:rFonts w:hint="eastAsia" w:ascii="Times New Roman" w:hAnsi="Times New Roman" w:eastAsia="宋体" w:cs="Times New Roman"/>
                <w:sz w:val="21"/>
                <w:szCs w:val="21"/>
              </w:rPr>
              <w:t>》、《南城众邦新能源材料有限公司年处理废旧锂电池10000吨再生综合利用项目</w:t>
            </w:r>
            <w:r>
              <w:rPr>
                <w:rFonts w:hint="eastAsia" w:ascii="Times New Roman" w:hAnsi="Times New Roman" w:eastAsia="宋体" w:cs="Times New Roman"/>
                <w:sz w:val="21"/>
                <w:szCs w:val="21"/>
                <w:lang w:val="zh-CN"/>
              </w:rPr>
              <w:t>竣工环境保护验收监测报告</w:t>
            </w:r>
            <w:r>
              <w:rPr>
                <w:rFonts w:hint="eastAsia" w:ascii="Times New Roman" w:hAnsi="Times New Roman" w:eastAsia="宋体" w:cs="Times New Roman"/>
                <w:sz w:val="21"/>
                <w:szCs w:val="21"/>
              </w:rPr>
              <w:t>》等同行业验收监测数据综合分析。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420" w:firstLineChars="200"/>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系数表见下：</w:t>
            </w:r>
          </w:p>
          <w:p>
            <w:pPr>
              <w:pStyle w:val="2"/>
              <w:keepNext w:val="0"/>
              <w:keepLines w:val="0"/>
              <w:pageBreakBefore w:val="0"/>
              <w:widowControl w:val="0"/>
              <w:suppressLineNumbers w:val="0"/>
              <w:kinsoku/>
              <w:wordWrap/>
              <w:overflowPunct/>
              <w:topLinePunct w:val="0"/>
              <w:autoSpaceDE/>
              <w:autoSpaceDN/>
              <w:bidi w:val="0"/>
              <w:spacing w:before="0" w:beforeAutospacing="0" w:afterAutospacing="0" w:line="240" w:lineRule="auto"/>
              <w:ind w:left="0" w:leftChars="0" w:right="0"/>
              <w:jc w:val="center"/>
              <w:textAlignment w:val="auto"/>
              <w:rPr>
                <w:rFonts w:hint="default" w:eastAsia="宋体"/>
                <w:b/>
                <w:bCs/>
                <w:sz w:val="21"/>
                <w:szCs w:val="21"/>
                <w:lang w:val="en-US" w:eastAsia="zh-CN"/>
              </w:rPr>
            </w:pPr>
            <w:r>
              <w:rPr>
                <w:rFonts w:hint="eastAsia"/>
                <w:b/>
                <w:bCs/>
                <w:sz w:val="21"/>
                <w:szCs w:val="21"/>
                <w:lang w:eastAsia="zh-CN"/>
              </w:rPr>
              <w:t>表</w:t>
            </w:r>
            <w:r>
              <w:rPr>
                <w:rFonts w:hint="eastAsia"/>
                <w:b/>
                <w:bCs/>
                <w:sz w:val="21"/>
                <w:szCs w:val="21"/>
                <w:lang w:val="en-US" w:eastAsia="zh-CN"/>
              </w:rPr>
              <w:t>22  粉尘产生系数表</w:t>
            </w:r>
          </w:p>
          <w:tbl>
            <w:tblPr>
              <w:tblStyle w:val="1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70"/>
              <w:gridCol w:w="39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sz w:val="21"/>
                      <w:szCs w:val="21"/>
                      <w:vertAlign w:val="baseline"/>
                      <w:lang w:eastAsia="zh-CN"/>
                    </w:rPr>
                  </w:pPr>
                  <w:r>
                    <w:rPr>
                      <w:rFonts w:hint="eastAsia" w:ascii="Times New Roman" w:hAnsi="Times New Roman" w:eastAsia="宋体" w:cs="Times New Roman"/>
                      <w:b/>
                      <w:bCs/>
                      <w:sz w:val="21"/>
                      <w:szCs w:val="21"/>
                      <w:vertAlign w:val="baseline"/>
                      <w:lang w:eastAsia="zh-CN"/>
                    </w:rPr>
                    <w:t>工序</w:t>
                  </w:r>
                </w:p>
              </w:tc>
              <w:tc>
                <w:tcPr>
                  <w:tcW w:w="397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sz w:val="21"/>
                      <w:szCs w:val="21"/>
                      <w:vertAlign w:val="baseline"/>
                      <w:lang w:eastAsia="zh-CN"/>
                    </w:rPr>
                  </w:pPr>
                  <w:r>
                    <w:rPr>
                      <w:rFonts w:hint="eastAsia" w:ascii="Times New Roman" w:hAnsi="Times New Roman" w:eastAsia="宋体" w:cs="Times New Roman"/>
                      <w:b/>
                      <w:bCs/>
                      <w:sz w:val="21"/>
                      <w:szCs w:val="21"/>
                      <w:vertAlign w:val="baseline"/>
                      <w:lang w:eastAsia="zh-CN"/>
                    </w:rPr>
                    <w:t>产物系数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97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撕碎</w:t>
                  </w:r>
                </w:p>
              </w:tc>
              <w:tc>
                <w:tcPr>
                  <w:tcW w:w="397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vertAlign w:val="baseline"/>
                      <w:lang w:val="en-US" w:eastAsia="zh-CN"/>
                    </w:rPr>
                  </w:pPr>
                  <w:r>
                    <w:rPr>
                      <w:rFonts w:ascii="Times New Roman" w:hAnsi="Times New Roman" w:eastAsia="宋体" w:cs="Times New Roman"/>
                      <w:color w:val="000000"/>
                      <w:szCs w:val="21"/>
                    </w:rPr>
                    <w:t>0.25kg/t</w:t>
                  </w:r>
                  <w:r>
                    <w:rPr>
                      <w:rStyle w:val="21"/>
                      <w:rFonts w:hint="default" w:cs="Times New Roman"/>
                    </w:rPr>
                    <w:t>物料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破碎</w:t>
                  </w:r>
                </w:p>
              </w:tc>
              <w:tc>
                <w:tcPr>
                  <w:tcW w:w="397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szCs w:val="21"/>
                      <w:vertAlign w:val="baseline"/>
                    </w:rPr>
                  </w:pPr>
                  <w:r>
                    <w:rPr>
                      <w:rFonts w:ascii="Times New Roman" w:hAnsi="Times New Roman" w:eastAsia="宋体" w:cs="Times New Roman"/>
                      <w:color w:val="000000"/>
                      <w:szCs w:val="21"/>
                    </w:rPr>
                    <w:t>0.25kg/t</w:t>
                  </w:r>
                  <w:r>
                    <w:rPr>
                      <w:rStyle w:val="21"/>
                      <w:rFonts w:hint="default" w:cs="Times New Roman"/>
                    </w:rPr>
                    <w:t>物料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97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筛分</w:t>
                  </w:r>
                </w:p>
              </w:tc>
              <w:tc>
                <w:tcPr>
                  <w:tcW w:w="397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szCs w:val="21"/>
                      <w:vertAlign w:val="baseline"/>
                    </w:rPr>
                  </w:pP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lang w:val="en-US" w:eastAsia="zh-CN"/>
                    </w:rPr>
                    <w:t>5</w:t>
                  </w:r>
                  <w:r>
                    <w:rPr>
                      <w:rFonts w:ascii="Times New Roman" w:hAnsi="Times New Roman" w:eastAsia="宋体" w:cs="Times New Roman"/>
                      <w:color w:val="000000"/>
                      <w:szCs w:val="21"/>
                    </w:rPr>
                    <w:t>kg/t</w:t>
                  </w:r>
                  <w:r>
                    <w:rPr>
                      <w:rStyle w:val="21"/>
                      <w:rFonts w:hint="default" w:cs="Times New Roman"/>
                    </w:rPr>
                    <w:t>物料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气流分选</w:t>
                  </w:r>
                </w:p>
              </w:tc>
              <w:tc>
                <w:tcPr>
                  <w:tcW w:w="397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szCs w:val="21"/>
                      <w:vertAlign w:val="baseline"/>
                    </w:rPr>
                  </w:pP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lang w:val="en-US" w:eastAsia="zh-CN"/>
                    </w:rPr>
                    <w:t>7</w:t>
                  </w:r>
                  <w:r>
                    <w:rPr>
                      <w:rFonts w:ascii="Times New Roman" w:hAnsi="Times New Roman" w:eastAsia="宋体" w:cs="Times New Roman"/>
                      <w:color w:val="000000"/>
                      <w:szCs w:val="21"/>
                    </w:rPr>
                    <w:t>5kg/t</w:t>
                  </w:r>
                  <w:r>
                    <w:rPr>
                      <w:rStyle w:val="21"/>
                      <w:rFonts w:hint="default" w:cs="Times New Roman"/>
                    </w:rPr>
                    <w:t>物料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混合搅拌</w:t>
                  </w:r>
                </w:p>
              </w:tc>
              <w:tc>
                <w:tcPr>
                  <w:tcW w:w="397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0.02kg/t物料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97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包装</w:t>
                  </w:r>
                </w:p>
              </w:tc>
              <w:tc>
                <w:tcPr>
                  <w:tcW w:w="397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szCs w:val="21"/>
                      <w:vertAlign w:val="baseline"/>
                    </w:rPr>
                  </w:pPr>
                  <w:r>
                    <w:rPr>
                      <w:rFonts w:hint="eastAsia" w:ascii="Times New Roman" w:hAnsi="Times New Roman" w:eastAsia="宋体" w:cs="Times New Roman"/>
                      <w:color w:val="000000"/>
                      <w:szCs w:val="21"/>
                      <w:lang w:val="en-US" w:eastAsia="zh-CN"/>
                    </w:rPr>
                    <w:t>0.02</w:t>
                  </w:r>
                  <w:r>
                    <w:rPr>
                      <w:rFonts w:ascii="Times New Roman" w:hAnsi="Times New Roman" w:eastAsia="宋体" w:cs="Times New Roman"/>
                      <w:color w:val="000000"/>
                      <w:szCs w:val="21"/>
                    </w:rPr>
                    <w:t>kg/t</w:t>
                  </w:r>
                  <w:r>
                    <w:rPr>
                      <w:rStyle w:val="21"/>
                      <w:rFonts w:hint="default" w:cs="Times New Roman"/>
                    </w:rPr>
                    <w:t>物料</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textAlignment w:val="auto"/>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①撕碎工序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固体原料先经过人工分拣出</w:t>
            </w:r>
            <w:r>
              <w:rPr>
                <w:rFonts w:hint="eastAsia" w:ascii="Times New Roman" w:hAnsi="Times New Roman" w:eastAsia="宋体" w:cs="Times New Roman"/>
                <w:sz w:val="21"/>
                <w:szCs w:val="21"/>
                <w:lang w:val="en-US" w:eastAsia="zh-CN"/>
              </w:rPr>
              <w:t>50t的废料后，剩下可用物料（9950t）</w:t>
            </w:r>
            <w:r>
              <w:rPr>
                <w:rFonts w:hint="eastAsia" w:ascii="Times New Roman" w:hAnsi="Times New Roman" w:eastAsia="宋体" w:cs="Times New Roman"/>
                <w:sz w:val="21"/>
                <w:szCs w:val="21"/>
                <w:lang w:eastAsia="zh-CN"/>
              </w:rPr>
              <w:t>经密闭输送带送进撕碎机中撕碎，该过程会产生粉尘，粉尘经集气管道负压收集后送至袋式除尘器（</w:t>
            </w:r>
            <w:r>
              <w:rPr>
                <w:rFonts w:hint="eastAsia" w:ascii="Times New Roman" w:hAnsi="Times New Roman" w:eastAsia="宋体" w:cs="Times New Roman"/>
                <w:sz w:val="21"/>
                <w:szCs w:val="21"/>
                <w:lang w:val="en-US" w:eastAsia="zh-CN"/>
              </w:rPr>
              <w:t>MF001</w:t>
            </w:r>
            <w:r>
              <w:rPr>
                <w:rFonts w:hint="eastAsia" w:ascii="Times New Roman" w:hAnsi="Times New Roman" w:eastAsia="宋体" w:cs="Times New Roman"/>
                <w:sz w:val="21"/>
                <w:szCs w:val="21"/>
                <w:lang w:eastAsia="zh-CN"/>
              </w:rPr>
              <w:t>）处理后经排气筒（</w:t>
            </w:r>
            <w:r>
              <w:rPr>
                <w:rFonts w:hint="eastAsia" w:ascii="Times New Roman" w:hAnsi="Times New Roman" w:eastAsia="宋体" w:cs="Times New Roman"/>
                <w:sz w:val="21"/>
                <w:szCs w:val="21"/>
                <w:lang w:val="en-US" w:eastAsia="zh-CN"/>
              </w:rPr>
              <w:t>DA001</w:t>
            </w:r>
            <w:r>
              <w:rPr>
                <w:rFonts w:hint="eastAsia" w:ascii="Times New Roman" w:hAnsi="Times New Roman" w:eastAsia="宋体" w:cs="Times New Roman"/>
                <w:sz w:val="21"/>
                <w:szCs w:val="21"/>
                <w:lang w:eastAsia="zh-CN"/>
              </w:rPr>
              <w:t>）</w:t>
            </w:r>
            <w:bookmarkStart w:id="2" w:name="_GoBack"/>
            <w:bookmarkEnd w:id="2"/>
            <w:r>
              <w:rPr>
                <w:rFonts w:hint="eastAsia" w:ascii="Times New Roman" w:hAnsi="Times New Roman" w:eastAsia="宋体" w:cs="Times New Roman"/>
                <w:sz w:val="21"/>
                <w:szCs w:val="21"/>
                <w:lang w:eastAsia="zh-CN"/>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本</w:t>
            </w:r>
            <w:r>
              <w:rPr>
                <w:rFonts w:hint="eastAsia" w:ascii="Times New Roman" w:hAnsi="Times New Roman" w:eastAsia="宋体" w:cs="Times New Roman"/>
                <w:sz w:val="21"/>
                <w:szCs w:val="21"/>
                <w:lang w:eastAsia="zh-CN"/>
              </w:rPr>
              <w:t>工段产污系数</w:t>
            </w:r>
            <w:r>
              <w:rPr>
                <w:rFonts w:hint="eastAsia" w:ascii="Times New Roman" w:hAnsi="Times New Roman" w:eastAsia="宋体" w:cs="Times New Roman"/>
                <w:sz w:val="21"/>
                <w:szCs w:val="21"/>
                <w:lang w:val="en-US" w:eastAsia="zh-CN"/>
              </w:rPr>
              <w:t>0.25kg/t物料，颗粒物（含石墨粉和磷酸铁锂）产生量为2.488t。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textAlignment w:val="auto"/>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②一次破碎</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jc w:val="both"/>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撕碎工序后的物料（</w:t>
            </w:r>
            <w:r>
              <w:rPr>
                <w:rFonts w:hint="eastAsia" w:ascii="Times New Roman" w:hAnsi="Times New Roman" w:eastAsia="宋体" w:cs="Times New Roman"/>
                <w:sz w:val="21"/>
                <w:szCs w:val="21"/>
                <w:lang w:val="en-US" w:eastAsia="zh-CN"/>
              </w:rPr>
              <w:t>9947.512t</w:t>
            </w:r>
            <w:r>
              <w:rPr>
                <w:rFonts w:hint="eastAsia" w:ascii="Times New Roman" w:hAnsi="Times New Roman" w:eastAsia="宋体" w:cs="Times New Roman"/>
                <w:sz w:val="21"/>
                <w:szCs w:val="21"/>
                <w:lang w:eastAsia="zh-CN"/>
              </w:rPr>
              <w:t>）经过密闭输送带送至破碎机、</w:t>
            </w:r>
            <w:r>
              <w:rPr>
                <w:rFonts w:hint="eastAsia" w:ascii="Times New Roman" w:hAnsi="Times New Roman" w:eastAsia="宋体" w:cs="Times New Roman"/>
                <w:sz w:val="21"/>
                <w:szCs w:val="21"/>
                <w:lang w:val="en-US" w:eastAsia="zh-CN"/>
              </w:rPr>
              <w:t>U型铰刀进行一次破碎处理，该过程会产生粉尘，</w:t>
            </w:r>
            <w:r>
              <w:rPr>
                <w:rFonts w:hint="eastAsia" w:ascii="Times New Roman" w:hAnsi="Times New Roman" w:eastAsia="宋体" w:cs="Times New Roman"/>
                <w:sz w:val="21"/>
                <w:szCs w:val="21"/>
                <w:lang w:eastAsia="zh-CN"/>
              </w:rPr>
              <w:t>粉尘经集气管道负压收集后送至袋式除尘器（</w:t>
            </w:r>
            <w:r>
              <w:rPr>
                <w:rFonts w:hint="eastAsia" w:ascii="Times New Roman" w:hAnsi="Times New Roman" w:eastAsia="宋体" w:cs="Times New Roman"/>
                <w:sz w:val="21"/>
                <w:szCs w:val="21"/>
                <w:lang w:val="en-US" w:eastAsia="zh-CN"/>
              </w:rPr>
              <w:t>MF001</w:t>
            </w:r>
            <w:r>
              <w:rPr>
                <w:rFonts w:hint="eastAsia" w:ascii="Times New Roman" w:hAnsi="Times New Roman" w:eastAsia="宋体" w:cs="Times New Roman"/>
                <w:sz w:val="21"/>
                <w:szCs w:val="21"/>
                <w:lang w:eastAsia="zh-CN"/>
              </w:rPr>
              <w:t>）处理后经排气筒（</w:t>
            </w:r>
            <w:r>
              <w:rPr>
                <w:rFonts w:hint="eastAsia" w:ascii="Times New Roman" w:hAnsi="Times New Roman" w:eastAsia="宋体" w:cs="Times New Roman"/>
                <w:sz w:val="21"/>
                <w:szCs w:val="21"/>
                <w:lang w:val="en-US" w:eastAsia="zh-CN"/>
              </w:rPr>
              <w:t>DA001</w:t>
            </w:r>
            <w:r>
              <w:rPr>
                <w:rFonts w:hint="eastAsia" w:ascii="Times New Roman" w:hAnsi="Times New Roman" w:eastAsia="宋体" w:cs="Times New Roman"/>
                <w:sz w:val="21"/>
                <w:szCs w:val="21"/>
                <w:lang w:eastAsia="zh-CN"/>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jc w:val="both"/>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本</w:t>
            </w:r>
            <w:r>
              <w:rPr>
                <w:rFonts w:hint="eastAsia" w:ascii="Times New Roman" w:hAnsi="Times New Roman" w:eastAsia="宋体" w:cs="Times New Roman"/>
                <w:sz w:val="21"/>
                <w:szCs w:val="21"/>
                <w:lang w:eastAsia="zh-CN"/>
              </w:rPr>
              <w:t>工段产物系数</w:t>
            </w:r>
            <w:r>
              <w:rPr>
                <w:rFonts w:hint="eastAsia" w:ascii="Times New Roman" w:hAnsi="Times New Roman" w:eastAsia="宋体" w:cs="Times New Roman"/>
                <w:sz w:val="21"/>
                <w:szCs w:val="21"/>
                <w:lang w:val="en-US" w:eastAsia="zh-CN"/>
              </w:rPr>
              <w:t>0.25kg/t物料，颗粒物（含石墨粉和磷酸铁锂）产生量为2.487t。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textAlignment w:val="auto"/>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③气流分选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420" w:firstLineChars="200"/>
              <w:jc w:val="both"/>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一次破碎后的物料（</w:t>
            </w:r>
            <w:r>
              <w:rPr>
                <w:rFonts w:hint="eastAsia" w:ascii="Times New Roman" w:hAnsi="Times New Roman" w:eastAsia="宋体" w:cs="Times New Roman"/>
                <w:sz w:val="21"/>
                <w:szCs w:val="21"/>
                <w:lang w:val="en-US" w:eastAsia="zh-CN"/>
              </w:rPr>
              <w:t>9945.025t</w:t>
            </w:r>
            <w:r>
              <w:rPr>
                <w:rFonts w:hint="eastAsia" w:ascii="Times New Roman" w:hAnsi="Times New Roman" w:eastAsia="宋体" w:cs="Times New Roman"/>
                <w:sz w:val="21"/>
                <w:szCs w:val="21"/>
                <w:lang w:eastAsia="zh-CN"/>
              </w:rPr>
              <w:t>）在经过密闭式皮带输送机送至分选机，采用气流方式将物料进行初步的分选，该过程会产生粉尘、铝颗粒（</w:t>
            </w:r>
            <w:r>
              <w:rPr>
                <w:rFonts w:hint="eastAsia" w:ascii="Times New Roman" w:hAnsi="Times New Roman" w:eastAsia="宋体" w:cs="Times New Roman"/>
                <w:sz w:val="21"/>
                <w:szCs w:val="21"/>
                <w:lang w:val="en-US" w:eastAsia="zh-CN"/>
              </w:rPr>
              <w:t>373.125t</w:t>
            </w:r>
            <w:r>
              <w:rPr>
                <w:rFonts w:hint="eastAsia" w:ascii="Times New Roman" w:hAnsi="Times New Roman" w:eastAsia="宋体" w:cs="Times New Roman"/>
                <w:sz w:val="21"/>
                <w:szCs w:val="21"/>
                <w:lang w:eastAsia="zh-CN"/>
              </w:rPr>
              <w:t>）和铜颗粒（</w:t>
            </w:r>
            <w:r>
              <w:rPr>
                <w:rFonts w:hint="eastAsia" w:ascii="Times New Roman" w:hAnsi="Times New Roman" w:eastAsia="宋体" w:cs="Times New Roman"/>
                <w:sz w:val="21"/>
                <w:szCs w:val="21"/>
                <w:lang w:val="en-US" w:eastAsia="zh-CN"/>
              </w:rPr>
              <w:t>870.625t</w:t>
            </w:r>
            <w:r>
              <w:rPr>
                <w:rFonts w:hint="eastAsia" w:ascii="Times New Roman" w:hAnsi="Times New Roman" w:eastAsia="宋体" w:cs="Times New Roman"/>
                <w:sz w:val="21"/>
                <w:szCs w:val="21"/>
                <w:lang w:eastAsia="zh-CN"/>
              </w:rPr>
              <w:t>），粉尘经集气管道负压抽风送至袋式除尘器（</w:t>
            </w:r>
            <w:r>
              <w:rPr>
                <w:rFonts w:hint="eastAsia" w:ascii="Times New Roman" w:hAnsi="Times New Roman" w:eastAsia="宋体" w:cs="Times New Roman"/>
                <w:sz w:val="21"/>
                <w:szCs w:val="21"/>
                <w:lang w:val="en-US" w:eastAsia="zh-CN"/>
              </w:rPr>
              <w:t>MF001</w:t>
            </w:r>
            <w:r>
              <w:rPr>
                <w:rFonts w:hint="eastAsia" w:ascii="Times New Roman" w:hAnsi="Times New Roman" w:eastAsia="宋体" w:cs="Times New Roman"/>
                <w:sz w:val="21"/>
                <w:szCs w:val="21"/>
                <w:lang w:eastAsia="zh-CN"/>
              </w:rPr>
              <w:t>）处理后经排气筒（</w:t>
            </w:r>
            <w:r>
              <w:rPr>
                <w:rFonts w:hint="eastAsia" w:ascii="Times New Roman" w:hAnsi="Times New Roman" w:eastAsia="宋体" w:cs="Times New Roman"/>
                <w:sz w:val="21"/>
                <w:szCs w:val="21"/>
                <w:lang w:val="en-US" w:eastAsia="zh-CN"/>
              </w:rPr>
              <w:t>DA001</w:t>
            </w:r>
            <w:r>
              <w:rPr>
                <w:rFonts w:hint="eastAsia" w:ascii="Times New Roman" w:hAnsi="Times New Roman" w:eastAsia="宋体" w:cs="Times New Roman"/>
                <w:sz w:val="21"/>
                <w:szCs w:val="21"/>
                <w:lang w:eastAsia="zh-CN"/>
              </w:rPr>
              <w:t>）排放。</w:t>
            </w:r>
          </w:p>
          <w:p>
            <w:pPr>
              <w:pStyle w:val="2"/>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leftChars="0" w:right="0"/>
              <w:textAlignment w:val="auto"/>
              <w:rPr>
                <w:rFonts w:hint="eastAsia"/>
                <w:lang w:eastAsia="zh-CN"/>
              </w:rPr>
            </w:pPr>
            <w:r>
              <w:rPr>
                <w:rFonts w:hint="eastAsia"/>
                <w:sz w:val="21"/>
                <w:szCs w:val="21"/>
              </w:rPr>
              <w:t>本</w:t>
            </w:r>
            <w:r>
              <w:rPr>
                <w:rFonts w:hint="eastAsia"/>
                <w:sz w:val="21"/>
                <w:szCs w:val="21"/>
                <w:lang w:eastAsia="zh-CN"/>
              </w:rPr>
              <w:t>工段产污系数</w:t>
            </w:r>
            <w:r>
              <w:rPr>
                <w:rFonts w:hint="eastAsia"/>
                <w:sz w:val="21"/>
                <w:szCs w:val="21"/>
                <w:lang w:val="en-US" w:eastAsia="zh-CN"/>
              </w:rPr>
              <w:t>0.75kg/t物料，颗粒物</w:t>
            </w:r>
            <w:r>
              <w:rPr>
                <w:rFonts w:hint="eastAsia" w:ascii="Times New Roman" w:hAnsi="Times New Roman" w:eastAsia="宋体" w:cs="Times New Roman"/>
                <w:sz w:val="21"/>
                <w:szCs w:val="21"/>
                <w:lang w:val="en-US" w:eastAsia="zh-CN"/>
              </w:rPr>
              <w:t>（含石墨粉和磷酸铁锂）</w:t>
            </w:r>
            <w:r>
              <w:rPr>
                <w:rFonts w:hint="eastAsia"/>
                <w:sz w:val="21"/>
                <w:szCs w:val="21"/>
                <w:lang w:val="en-US" w:eastAsia="zh-CN"/>
              </w:rPr>
              <w:t>产生量为7.459t。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textAlignment w:val="auto"/>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④搅拌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420" w:firstLineChars="200"/>
              <w:jc w:val="both"/>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经过气流分选后的物料（</w:t>
            </w:r>
            <w:r>
              <w:rPr>
                <w:rFonts w:hint="eastAsia" w:ascii="Times New Roman" w:hAnsi="Times New Roman" w:eastAsia="宋体" w:cs="Times New Roman"/>
                <w:sz w:val="21"/>
                <w:szCs w:val="21"/>
                <w:lang w:val="en-US" w:eastAsia="zh-CN"/>
              </w:rPr>
              <w:t>8693.8155t</w:t>
            </w:r>
            <w:r>
              <w:rPr>
                <w:rFonts w:hint="eastAsia" w:ascii="Times New Roman" w:hAnsi="Times New Roman" w:eastAsia="宋体" w:cs="Times New Roman"/>
                <w:sz w:val="21"/>
                <w:szCs w:val="21"/>
                <w:lang w:eastAsia="zh-CN"/>
              </w:rPr>
              <w:t>）在经过密闭输送机送至密闭滚筒干式搅拌机，使物料搅拌均匀，该过程会产生粉尘，粉尘经集气管道负压抽风送至袋式除尘器（</w:t>
            </w:r>
            <w:r>
              <w:rPr>
                <w:rFonts w:hint="eastAsia" w:ascii="Times New Roman" w:hAnsi="Times New Roman" w:eastAsia="宋体" w:cs="Times New Roman"/>
                <w:sz w:val="21"/>
                <w:szCs w:val="21"/>
                <w:lang w:val="en-US" w:eastAsia="zh-CN"/>
              </w:rPr>
              <w:t>MF001</w:t>
            </w:r>
            <w:r>
              <w:rPr>
                <w:rFonts w:hint="eastAsia" w:ascii="Times New Roman" w:hAnsi="Times New Roman" w:eastAsia="宋体" w:cs="Times New Roman"/>
                <w:sz w:val="21"/>
                <w:szCs w:val="21"/>
                <w:lang w:eastAsia="zh-CN"/>
              </w:rPr>
              <w:t>）处理后经排气筒（</w:t>
            </w:r>
            <w:r>
              <w:rPr>
                <w:rFonts w:hint="eastAsia" w:ascii="Times New Roman" w:hAnsi="Times New Roman" w:eastAsia="宋体" w:cs="Times New Roman"/>
                <w:sz w:val="21"/>
                <w:szCs w:val="21"/>
                <w:lang w:val="en-US" w:eastAsia="zh-CN"/>
              </w:rPr>
              <w:t>DA001</w:t>
            </w:r>
            <w:r>
              <w:rPr>
                <w:rFonts w:hint="eastAsia" w:ascii="Times New Roman" w:hAnsi="Times New Roman" w:eastAsia="宋体" w:cs="Times New Roman"/>
                <w:sz w:val="21"/>
                <w:szCs w:val="21"/>
                <w:lang w:eastAsia="zh-CN"/>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本工段产污系数</w:t>
            </w:r>
            <w:r>
              <w:rPr>
                <w:rFonts w:hint="eastAsia" w:ascii="Times New Roman" w:hAnsi="Times New Roman" w:eastAsia="宋体" w:cs="Times New Roman"/>
                <w:sz w:val="21"/>
                <w:szCs w:val="21"/>
                <w:lang w:val="en-US" w:eastAsia="zh-CN"/>
              </w:rPr>
              <w:t>0.02kg/t物料，颗粒物（含石墨粉和磷酸铁锂）产生量为0.174t。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jc w:val="both"/>
              <w:textAlignment w:val="auto"/>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⑤一次筛分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jc w:val="both"/>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经搅拌后的物料（</w:t>
            </w:r>
            <w:r>
              <w:rPr>
                <w:rFonts w:hint="eastAsia" w:ascii="Times New Roman" w:hAnsi="Times New Roman" w:eastAsia="宋体" w:cs="Times New Roman"/>
                <w:sz w:val="21"/>
                <w:szCs w:val="21"/>
                <w:lang w:val="en-US" w:eastAsia="zh-CN"/>
              </w:rPr>
              <w:t>8693.6415t</w:t>
            </w:r>
            <w:r>
              <w:rPr>
                <w:rFonts w:hint="eastAsia" w:ascii="Times New Roman" w:hAnsi="Times New Roman" w:eastAsia="宋体" w:cs="Times New Roman"/>
                <w:sz w:val="21"/>
                <w:szCs w:val="21"/>
                <w:lang w:eastAsia="zh-CN"/>
              </w:rPr>
              <w:t>）进入振动筛分机筛分，根据物料的粒径大小将物料分离，被筛选出来的部分磷酸铁锂（含导电剂和粘结剂）（</w:t>
            </w:r>
            <w:r>
              <w:rPr>
                <w:rFonts w:hint="eastAsia" w:ascii="Times New Roman" w:hAnsi="Times New Roman" w:eastAsia="宋体" w:cs="Times New Roman"/>
                <w:sz w:val="21"/>
                <w:szCs w:val="21"/>
                <w:lang w:val="en-US" w:eastAsia="zh-CN"/>
              </w:rPr>
              <w:t>2086.3455t</w:t>
            </w:r>
            <w:r>
              <w:rPr>
                <w:rFonts w:hint="eastAsia" w:ascii="Times New Roman" w:hAnsi="Times New Roman" w:eastAsia="宋体" w:cs="Times New Roman"/>
                <w:sz w:val="21"/>
                <w:szCs w:val="21"/>
                <w:lang w:eastAsia="zh-CN"/>
              </w:rPr>
              <w:t>）和部分石墨粉（含导电剂和粘结剂）（</w:t>
            </w:r>
            <w:r>
              <w:rPr>
                <w:rFonts w:hint="eastAsia" w:ascii="Times New Roman" w:hAnsi="Times New Roman" w:eastAsia="宋体" w:cs="Times New Roman"/>
                <w:sz w:val="21"/>
                <w:szCs w:val="21"/>
                <w:lang w:val="en-US" w:eastAsia="zh-CN"/>
              </w:rPr>
              <w:t>1588.8505t</w:t>
            </w:r>
            <w:r>
              <w:rPr>
                <w:rFonts w:hint="eastAsia" w:ascii="Times New Roman" w:hAnsi="Times New Roman" w:eastAsia="宋体" w:cs="Times New Roman"/>
                <w:sz w:val="21"/>
                <w:szCs w:val="21"/>
                <w:lang w:eastAsia="zh-CN"/>
              </w:rPr>
              <w:t>）被风送系统收集装包，该过程会产生粉尘，粉尘经集气管道负压抽风送至袋式除尘器（</w:t>
            </w:r>
            <w:r>
              <w:rPr>
                <w:rFonts w:hint="eastAsia" w:ascii="Times New Roman" w:hAnsi="Times New Roman" w:eastAsia="宋体" w:cs="Times New Roman"/>
                <w:sz w:val="21"/>
                <w:szCs w:val="21"/>
                <w:lang w:val="en-US" w:eastAsia="zh-CN"/>
              </w:rPr>
              <w:t>MF001</w:t>
            </w:r>
            <w:r>
              <w:rPr>
                <w:rFonts w:hint="eastAsia" w:ascii="Times New Roman" w:hAnsi="Times New Roman" w:eastAsia="宋体" w:cs="Times New Roman"/>
                <w:sz w:val="21"/>
                <w:szCs w:val="21"/>
                <w:lang w:eastAsia="zh-CN"/>
              </w:rPr>
              <w:t>）处理后经排气筒（</w:t>
            </w:r>
            <w:r>
              <w:rPr>
                <w:rFonts w:hint="eastAsia" w:ascii="Times New Roman" w:hAnsi="Times New Roman" w:eastAsia="宋体" w:cs="Times New Roman"/>
                <w:sz w:val="21"/>
                <w:szCs w:val="21"/>
                <w:lang w:val="en-US" w:eastAsia="zh-CN"/>
              </w:rPr>
              <w:t>DA001</w:t>
            </w:r>
            <w:r>
              <w:rPr>
                <w:rFonts w:hint="eastAsia" w:ascii="Times New Roman" w:hAnsi="Times New Roman" w:eastAsia="宋体" w:cs="Times New Roman"/>
                <w:sz w:val="21"/>
                <w:szCs w:val="21"/>
                <w:lang w:eastAsia="zh-CN"/>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jc w:val="both"/>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本工段产污系数</w:t>
            </w:r>
            <w:r>
              <w:rPr>
                <w:rFonts w:hint="eastAsia" w:ascii="Times New Roman" w:hAnsi="Times New Roman" w:eastAsia="宋体" w:cs="Times New Roman"/>
                <w:sz w:val="21"/>
                <w:szCs w:val="21"/>
                <w:lang w:val="en-US" w:eastAsia="zh-CN"/>
              </w:rPr>
              <w:t>0.5kg/t物料，颗粒物（含石墨粉和磷酸铁锂）产生量为4.347t。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jc w:val="both"/>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b/>
                <w:bCs/>
                <w:sz w:val="21"/>
                <w:szCs w:val="21"/>
                <w:lang w:eastAsia="zh-CN"/>
              </w:rPr>
              <w:t>⑥磁选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jc w:val="both"/>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为防止物料中可能存在螺丝等金属制品，对筛选后的物料（</w:t>
            </w:r>
            <w:r>
              <w:rPr>
                <w:rFonts w:hint="eastAsia" w:ascii="Times New Roman" w:hAnsi="Times New Roman" w:eastAsia="宋体" w:cs="Times New Roman"/>
                <w:sz w:val="21"/>
                <w:szCs w:val="21"/>
                <w:lang w:val="en-US" w:eastAsia="zh-CN"/>
              </w:rPr>
              <w:t>5014.0985t</w:t>
            </w:r>
            <w:r>
              <w:rPr>
                <w:rFonts w:hint="eastAsia" w:ascii="Times New Roman" w:hAnsi="Times New Roman" w:eastAsia="宋体" w:cs="Times New Roman"/>
                <w:sz w:val="21"/>
                <w:szCs w:val="21"/>
                <w:lang w:eastAsia="zh-CN"/>
              </w:rPr>
              <w:t>）进行磁选，分离出物料中铁（</w:t>
            </w:r>
            <w:r>
              <w:rPr>
                <w:rFonts w:hint="eastAsia" w:ascii="Times New Roman" w:hAnsi="Times New Roman" w:eastAsia="宋体" w:cs="Times New Roman"/>
                <w:sz w:val="21"/>
                <w:szCs w:val="21"/>
                <w:lang w:val="en-US" w:eastAsia="zh-CN"/>
              </w:rPr>
              <w:t>0.5t</w:t>
            </w:r>
            <w:r>
              <w:rPr>
                <w:rFonts w:hint="eastAsia" w:ascii="Times New Roman" w:hAnsi="Times New Roman" w:eastAsia="宋体" w:cs="Times New Roman"/>
                <w:sz w:val="21"/>
                <w:szCs w:val="21"/>
                <w:lang w:eastAsia="zh-CN"/>
              </w:rPr>
              <w:t>），该过程只产生噪声。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jc w:val="both"/>
              <w:textAlignment w:val="auto"/>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⑦二次破碎</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jc w:val="both"/>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物料（</w:t>
            </w:r>
            <w:r>
              <w:rPr>
                <w:rFonts w:hint="eastAsia" w:ascii="Times New Roman" w:hAnsi="Times New Roman" w:eastAsia="宋体" w:cs="Times New Roman"/>
                <w:sz w:val="21"/>
                <w:szCs w:val="21"/>
                <w:lang w:val="en-US" w:eastAsia="zh-CN"/>
              </w:rPr>
              <w:t>5013.5985t</w:t>
            </w:r>
            <w:r>
              <w:rPr>
                <w:rFonts w:hint="eastAsia" w:ascii="Times New Roman" w:hAnsi="Times New Roman" w:eastAsia="宋体" w:cs="Times New Roman"/>
                <w:sz w:val="21"/>
                <w:szCs w:val="21"/>
                <w:lang w:eastAsia="zh-CN"/>
              </w:rPr>
              <w:t>）通过密闭输送带送入密闭的粉碎机中，进行二次破碎，该过程会产生粉尘，粉尘经集气管道负压抽风送至袋式除尘器（</w:t>
            </w:r>
            <w:r>
              <w:rPr>
                <w:rFonts w:hint="eastAsia" w:ascii="Times New Roman" w:hAnsi="Times New Roman" w:eastAsia="宋体" w:cs="Times New Roman"/>
                <w:sz w:val="21"/>
                <w:szCs w:val="21"/>
                <w:lang w:val="en-US" w:eastAsia="zh-CN"/>
              </w:rPr>
              <w:t>MF001</w:t>
            </w:r>
            <w:r>
              <w:rPr>
                <w:rFonts w:hint="eastAsia" w:ascii="Times New Roman" w:hAnsi="Times New Roman" w:eastAsia="宋体" w:cs="Times New Roman"/>
                <w:sz w:val="21"/>
                <w:szCs w:val="21"/>
                <w:lang w:eastAsia="zh-CN"/>
              </w:rPr>
              <w:t>）处理后经排气筒（</w:t>
            </w:r>
            <w:r>
              <w:rPr>
                <w:rFonts w:hint="eastAsia" w:ascii="Times New Roman" w:hAnsi="Times New Roman" w:eastAsia="宋体" w:cs="Times New Roman"/>
                <w:sz w:val="21"/>
                <w:szCs w:val="21"/>
                <w:lang w:val="en-US" w:eastAsia="zh-CN"/>
              </w:rPr>
              <w:t>DA001</w:t>
            </w:r>
            <w:r>
              <w:rPr>
                <w:rFonts w:hint="eastAsia" w:ascii="Times New Roman" w:hAnsi="Times New Roman" w:eastAsia="宋体" w:cs="Times New Roman"/>
                <w:sz w:val="21"/>
                <w:szCs w:val="21"/>
                <w:lang w:eastAsia="zh-CN"/>
              </w:rPr>
              <w:t>）排放。</w:t>
            </w:r>
          </w:p>
          <w:p>
            <w:pPr>
              <w:pStyle w:val="2"/>
              <w:keepNext w:val="0"/>
              <w:keepLines w:val="0"/>
              <w:pageBreakBefore w:val="0"/>
              <w:widowControl w:val="0"/>
              <w:suppressLineNumbers w:val="0"/>
              <w:kinsoku/>
              <w:wordWrap/>
              <w:overflowPunct/>
              <w:topLinePunct w:val="0"/>
              <w:autoSpaceDE/>
              <w:autoSpaceDN/>
              <w:bidi w:val="0"/>
              <w:spacing w:before="0" w:beforeAutospacing="0" w:afterAutospacing="0" w:line="520" w:lineRule="exact"/>
              <w:ind w:left="0" w:leftChars="0" w:right="0" w:firstLine="420" w:firstLineChars="200"/>
              <w:textAlignment w:val="auto"/>
              <w:rPr>
                <w:rFonts w:hint="eastAsia"/>
                <w:lang w:eastAsia="zh-CN"/>
              </w:rPr>
            </w:pPr>
            <w:r>
              <w:rPr>
                <w:rFonts w:hint="eastAsia" w:cs="Times New Roman"/>
                <w:sz w:val="21"/>
                <w:szCs w:val="21"/>
                <w:lang w:eastAsia="zh-CN"/>
              </w:rPr>
              <w:t>本工段产污系数</w:t>
            </w:r>
            <w:r>
              <w:rPr>
                <w:rFonts w:hint="eastAsia" w:cs="Times New Roman"/>
                <w:sz w:val="21"/>
                <w:szCs w:val="21"/>
                <w:lang w:val="en-US" w:eastAsia="zh-CN"/>
              </w:rPr>
              <w:t>0.25kg/t物料，颗粒物</w:t>
            </w:r>
            <w:r>
              <w:rPr>
                <w:rFonts w:hint="eastAsia" w:ascii="Times New Roman" w:hAnsi="Times New Roman" w:eastAsia="宋体" w:cs="Times New Roman"/>
                <w:sz w:val="21"/>
                <w:szCs w:val="21"/>
                <w:lang w:val="en-US" w:eastAsia="zh-CN"/>
              </w:rPr>
              <w:t>（含石墨粉和磷酸铁锂）</w:t>
            </w:r>
            <w:r>
              <w:rPr>
                <w:rFonts w:hint="eastAsia" w:cs="Times New Roman"/>
                <w:sz w:val="21"/>
                <w:szCs w:val="21"/>
                <w:lang w:val="en-US" w:eastAsia="zh-CN"/>
              </w:rPr>
              <w:t>产生量为1.254t。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jc w:val="both"/>
              <w:textAlignment w:val="auto"/>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⑧气流分选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420" w:firstLineChars="200"/>
              <w:jc w:val="both"/>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二次破碎后的物料（</w:t>
            </w:r>
            <w:r>
              <w:rPr>
                <w:rFonts w:hint="eastAsia" w:ascii="Times New Roman" w:hAnsi="Times New Roman" w:eastAsia="宋体" w:cs="Times New Roman"/>
                <w:sz w:val="21"/>
                <w:szCs w:val="21"/>
                <w:lang w:val="en-US" w:eastAsia="zh-CN"/>
              </w:rPr>
              <w:t>5012.3445t</w:t>
            </w:r>
            <w:r>
              <w:rPr>
                <w:rFonts w:hint="eastAsia" w:ascii="Times New Roman" w:hAnsi="Times New Roman" w:eastAsia="宋体" w:cs="Times New Roman"/>
                <w:sz w:val="21"/>
                <w:szCs w:val="21"/>
                <w:lang w:eastAsia="zh-CN"/>
              </w:rPr>
              <w:t>）在经过密闭式皮带输送机送至分选机，采用气流方式将物料进行二次分选，该过程会产生粉尘、铝颗粒（</w:t>
            </w:r>
            <w:r>
              <w:rPr>
                <w:rFonts w:hint="eastAsia" w:ascii="Times New Roman" w:hAnsi="Times New Roman" w:eastAsia="宋体" w:cs="Times New Roman"/>
                <w:sz w:val="21"/>
                <w:szCs w:val="21"/>
                <w:lang w:val="en-US" w:eastAsia="zh-CN"/>
              </w:rPr>
              <w:t>373.125t</w:t>
            </w:r>
            <w:r>
              <w:rPr>
                <w:rFonts w:hint="eastAsia" w:ascii="Times New Roman" w:hAnsi="Times New Roman" w:eastAsia="宋体" w:cs="Times New Roman"/>
                <w:sz w:val="21"/>
                <w:szCs w:val="21"/>
                <w:lang w:eastAsia="zh-CN"/>
              </w:rPr>
              <w:t>）和铜颗粒（</w:t>
            </w:r>
            <w:r>
              <w:rPr>
                <w:rFonts w:hint="eastAsia" w:ascii="Times New Roman" w:hAnsi="Times New Roman" w:eastAsia="宋体" w:cs="Times New Roman"/>
                <w:sz w:val="21"/>
                <w:szCs w:val="21"/>
                <w:lang w:val="en-US" w:eastAsia="zh-CN"/>
              </w:rPr>
              <w:t>870.625t</w:t>
            </w:r>
            <w:r>
              <w:rPr>
                <w:rFonts w:hint="eastAsia" w:ascii="Times New Roman" w:hAnsi="Times New Roman" w:eastAsia="宋体" w:cs="Times New Roman"/>
                <w:sz w:val="21"/>
                <w:szCs w:val="21"/>
                <w:lang w:eastAsia="zh-CN"/>
              </w:rPr>
              <w:t>），粉尘经集气管道负压抽风送至袋式除尘器（</w:t>
            </w:r>
            <w:r>
              <w:rPr>
                <w:rFonts w:hint="eastAsia" w:ascii="Times New Roman" w:hAnsi="Times New Roman" w:eastAsia="宋体" w:cs="Times New Roman"/>
                <w:sz w:val="21"/>
                <w:szCs w:val="21"/>
                <w:lang w:val="en-US" w:eastAsia="zh-CN"/>
              </w:rPr>
              <w:t>MF001</w:t>
            </w:r>
            <w:r>
              <w:rPr>
                <w:rFonts w:hint="eastAsia" w:ascii="Times New Roman" w:hAnsi="Times New Roman" w:eastAsia="宋体" w:cs="Times New Roman"/>
                <w:sz w:val="21"/>
                <w:szCs w:val="21"/>
                <w:lang w:eastAsia="zh-CN"/>
              </w:rPr>
              <w:t>）处理后经排气筒（</w:t>
            </w:r>
            <w:r>
              <w:rPr>
                <w:rFonts w:hint="eastAsia" w:ascii="Times New Roman" w:hAnsi="Times New Roman" w:eastAsia="宋体" w:cs="Times New Roman"/>
                <w:sz w:val="21"/>
                <w:szCs w:val="21"/>
                <w:lang w:val="en-US" w:eastAsia="zh-CN"/>
              </w:rPr>
              <w:t>DA001</w:t>
            </w:r>
            <w:r>
              <w:rPr>
                <w:rFonts w:hint="eastAsia" w:ascii="Times New Roman" w:hAnsi="Times New Roman" w:eastAsia="宋体" w:cs="Times New Roman"/>
                <w:sz w:val="21"/>
                <w:szCs w:val="21"/>
                <w:lang w:eastAsia="zh-CN"/>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jc w:val="both"/>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本</w:t>
            </w:r>
            <w:r>
              <w:rPr>
                <w:rFonts w:hint="eastAsia" w:ascii="Times New Roman" w:hAnsi="Times New Roman" w:eastAsia="宋体" w:cs="Times New Roman"/>
                <w:sz w:val="21"/>
                <w:szCs w:val="21"/>
                <w:lang w:eastAsia="zh-CN"/>
              </w:rPr>
              <w:t>工段产污系数</w:t>
            </w:r>
            <w:r>
              <w:rPr>
                <w:rFonts w:hint="eastAsia" w:ascii="Times New Roman" w:hAnsi="Times New Roman" w:eastAsia="宋体" w:cs="Times New Roman"/>
                <w:sz w:val="21"/>
                <w:szCs w:val="21"/>
                <w:lang w:val="en-US" w:eastAsia="zh-CN"/>
              </w:rPr>
              <w:t>0.75kg/t物料，颗粒物（含石墨粉和磷酸铁锂）产生量为3.759t。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jc w:val="both"/>
              <w:textAlignment w:val="auto"/>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⑨二次筛分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420" w:firstLineChars="200"/>
              <w:jc w:val="both"/>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经分选后的物料（</w:t>
            </w:r>
            <w:r>
              <w:rPr>
                <w:rFonts w:hint="eastAsia" w:ascii="Times New Roman" w:hAnsi="Times New Roman" w:eastAsia="宋体" w:cs="Times New Roman"/>
                <w:sz w:val="21"/>
                <w:szCs w:val="21"/>
                <w:lang w:val="en-US" w:eastAsia="zh-CN"/>
              </w:rPr>
              <w:t>3764.8353t</w:t>
            </w:r>
            <w:r>
              <w:rPr>
                <w:rFonts w:hint="eastAsia" w:ascii="Times New Roman" w:hAnsi="Times New Roman" w:eastAsia="宋体" w:cs="Times New Roman"/>
                <w:sz w:val="21"/>
                <w:szCs w:val="21"/>
                <w:lang w:eastAsia="zh-CN"/>
              </w:rPr>
              <w:t>）进入振动筛分机筛分，根据物料的粒径大小将物料分离，被筛选出来的部分磷酸铁锂（含导电剂和粘结剂）（</w:t>
            </w:r>
            <w:r>
              <w:rPr>
                <w:rFonts w:hint="eastAsia" w:ascii="Times New Roman" w:hAnsi="Times New Roman" w:eastAsia="宋体" w:cs="Times New Roman"/>
                <w:sz w:val="21"/>
                <w:szCs w:val="21"/>
                <w:lang w:val="en-US" w:eastAsia="zh-CN"/>
              </w:rPr>
              <w:t>2081.541t</w:t>
            </w:r>
            <w:r>
              <w:rPr>
                <w:rFonts w:hint="eastAsia" w:ascii="Times New Roman" w:hAnsi="Times New Roman" w:eastAsia="宋体" w:cs="Times New Roman"/>
                <w:sz w:val="21"/>
                <w:szCs w:val="21"/>
                <w:lang w:eastAsia="zh-CN"/>
              </w:rPr>
              <w:t>）、部分石墨粉（</w:t>
            </w:r>
            <w:r>
              <w:rPr>
                <w:rFonts w:hint="eastAsia" w:ascii="Times New Roman" w:hAnsi="Times New Roman" w:eastAsia="宋体" w:cs="Times New Roman"/>
                <w:sz w:val="21"/>
                <w:szCs w:val="21"/>
                <w:lang w:val="en-US" w:eastAsia="zh-CN"/>
              </w:rPr>
              <w:t>1584.2948t</w:t>
            </w:r>
            <w:r>
              <w:rPr>
                <w:rFonts w:hint="eastAsia" w:ascii="Times New Roman" w:hAnsi="Times New Roman" w:eastAsia="宋体" w:cs="Times New Roman"/>
                <w:sz w:val="21"/>
                <w:szCs w:val="21"/>
                <w:lang w:eastAsia="zh-CN"/>
              </w:rPr>
              <w:t>）和其他（隔膜纸等）（</w:t>
            </w:r>
            <w:r>
              <w:rPr>
                <w:rFonts w:hint="eastAsia" w:ascii="Times New Roman" w:hAnsi="Times New Roman" w:eastAsia="宋体" w:cs="Times New Roman"/>
                <w:sz w:val="21"/>
                <w:szCs w:val="21"/>
                <w:lang w:val="en-US" w:eastAsia="zh-CN"/>
              </w:rPr>
              <w:t>99t</w:t>
            </w:r>
            <w:r>
              <w:rPr>
                <w:rFonts w:hint="eastAsia" w:ascii="Times New Roman" w:hAnsi="Times New Roman" w:eastAsia="宋体" w:cs="Times New Roman"/>
                <w:sz w:val="21"/>
                <w:szCs w:val="21"/>
                <w:lang w:eastAsia="zh-CN"/>
              </w:rPr>
              <w:t>）被风送系统收集装包，该过程会产生粉尘，粉尘经集气管道负压抽风送至袋式除尘器（</w:t>
            </w:r>
            <w:r>
              <w:rPr>
                <w:rFonts w:hint="eastAsia" w:ascii="Times New Roman" w:hAnsi="Times New Roman" w:eastAsia="宋体" w:cs="Times New Roman"/>
                <w:sz w:val="21"/>
                <w:szCs w:val="21"/>
                <w:lang w:val="en-US" w:eastAsia="zh-CN"/>
              </w:rPr>
              <w:t>MF001</w:t>
            </w:r>
            <w:r>
              <w:rPr>
                <w:rFonts w:hint="eastAsia" w:ascii="Times New Roman" w:hAnsi="Times New Roman" w:eastAsia="宋体" w:cs="Times New Roman"/>
                <w:sz w:val="21"/>
                <w:szCs w:val="21"/>
                <w:lang w:eastAsia="zh-CN"/>
              </w:rPr>
              <w:t>）处理后经排气筒（</w:t>
            </w:r>
            <w:r>
              <w:rPr>
                <w:rFonts w:hint="eastAsia" w:ascii="Times New Roman" w:hAnsi="Times New Roman" w:eastAsia="宋体" w:cs="Times New Roman"/>
                <w:sz w:val="21"/>
                <w:szCs w:val="21"/>
                <w:lang w:val="en-US" w:eastAsia="zh-CN"/>
              </w:rPr>
              <w:t>DA001</w:t>
            </w:r>
            <w:r>
              <w:rPr>
                <w:rFonts w:hint="eastAsia" w:ascii="Times New Roman" w:hAnsi="Times New Roman" w:eastAsia="宋体" w:cs="Times New Roman"/>
                <w:sz w:val="21"/>
                <w:szCs w:val="21"/>
                <w:lang w:eastAsia="zh-CN"/>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420" w:firstLineChars="200"/>
              <w:jc w:val="both"/>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本工段产污系数</w:t>
            </w:r>
            <w:r>
              <w:rPr>
                <w:rFonts w:hint="eastAsia" w:ascii="Times New Roman" w:hAnsi="Times New Roman" w:eastAsia="宋体" w:cs="Times New Roman"/>
                <w:sz w:val="21"/>
                <w:szCs w:val="21"/>
                <w:lang w:val="en-US" w:eastAsia="zh-CN"/>
              </w:rPr>
              <w:t>0.5kg/t物料，颗粒物（含石墨粉和磷酸铁锂）产生量为1.884t。</w:t>
            </w:r>
          </w:p>
          <w:p>
            <w:pPr>
              <w:pStyle w:val="2"/>
              <w:keepNext w:val="0"/>
              <w:keepLines w:val="0"/>
              <w:pageBreakBefore w:val="0"/>
              <w:widowControl w:val="0"/>
              <w:suppressLineNumbers w:val="0"/>
              <w:kinsoku/>
              <w:wordWrap/>
              <w:overflowPunct/>
              <w:topLinePunct w:val="0"/>
              <w:autoSpaceDE/>
              <w:autoSpaceDN/>
              <w:bidi w:val="0"/>
              <w:spacing w:before="0" w:beforeAutospacing="0" w:afterAutospacing="0" w:line="520" w:lineRule="exact"/>
              <w:ind w:left="0" w:leftChars="0" w:right="0"/>
              <w:jc w:val="center"/>
              <w:textAlignment w:val="auto"/>
              <w:rPr>
                <w:rFonts w:hint="eastAsia" w:ascii="Times New Roman" w:hAnsi="Times New Roman" w:eastAsia="宋体" w:cs="Times New Roman"/>
                <w:b/>
                <w:bCs/>
                <w:kern w:val="2"/>
                <w:sz w:val="21"/>
                <w:szCs w:val="21"/>
                <w:lang w:val="en-US" w:eastAsia="zh-CN" w:bidi="ar-SA"/>
              </w:rPr>
            </w:pPr>
            <w:r>
              <w:rPr>
                <w:rFonts w:hint="eastAsia" w:cs="Times New Roman"/>
                <w:b/>
                <w:bCs/>
                <w:kern w:val="2"/>
                <w:sz w:val="21"/>
                <w:szCs w:val="21"/>
                <w:lang w:val="en-US" w:eastAsia="zh-CN" w:bidi="ar-SA"/>
              </w:rPr>
              <w:t xml:space="preserve">表23  </w:t>
            </w:r>
            <w:r>
              <w:rPr>
                <w:rFonts w:hint="eastAsia" w:ascii="Times New Roman" w:hAnsi="Times New Roman" w:eastAsia="宋体" w:cs="Times New Roman"/>
                <w:b/>
                <w:bCs/>
                <w:kern w:val="2"/>
                <w:sz w:val="21"/>
                <w:szCs w:val="21"/>
                <w:lang w:val="en-US" w:eastAsia="zh-CN" w:bidi="ar-SA"/>
              </w:rPr>
              <w:t>生产线粉尘产生情况一览表</w:t>
            </w:r>
          </w:p>
          <w:tbl>
            <w:tblPr>
              <w:tblStyle w:val="12"/>
              <w:tblW w:w="47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79"/>
              <w:gridCol w:w="1944"/>
              <w:gridCol w:w="1950"/>
              <w:gridCol w:w="19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167"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hint="eastAsia" w:ascii="Times New Roman" w:hAnsi="Times New Roman" w:eastAsia="宋体" w:cs="Times New Roman"/>
                      <w:szCs w:val="21"/>
                    </w:rPr>
                    <w:t>工序</w:t>
                  </w:r>
                </w:p>
              </w:tc>
              <w:tc>
                <w:tcPr>
                  <w:tcW w:w="1275"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ascii="Times New Roman" w:hAnsi="Times New Roman" w:eastAsia="宋体" w:cs="Times New Roman"/>
                      <w:szCs w:val="21"/>
                    </w:rPr>
                    <w:t>产污系数</w:t>
                  </w:r>
                </w:p>
              </w:tc>
              <w:tc>
                <w:tcPr>
                  <w:tcW w:w="1279"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szCs w:val="21"/>
                    </w:rPr>
                  </w:pPr>
                  <w:r>
                    <w:rPr>
                      <w:rFonts w:ascii="Times New Roman" w:hAnsi="Times New Roman" w:eastAsia="宋体" w:cs="Times New Roman"/>
                      <w:szCs w:val="21"/>
                    </w:rPr>
                    <w:t>物料处理量</w:t>
                  </w:r>
                  <w:r>
                    <w:rPr>
                      <w:rFonts w:hint="eastAsia" w:ascii="Times New Roman" w:hAnsi="Times New Roman" w:eastAsia="宋体" w:cs="Times New Roman"/>
                      <w:szCs w:val="21"/>
                    </w:rPr>
                    <w:t>（t/a）</w:t>
                  </w:r>
                </w:p>
              </w:tc>
              <w:tc>
                <w:tcPr>
                  <w:tcW w:w="1278"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颗粒物（含石墨粉和磷酸铁锂）产生量（</w:t>
                  </w:r>
                  <w:r>
                    <w:rPr>
                      <w:rFonts w:hint="eastAsia" w:ascii="Times New Roman" w:hAnsi="Times New Roman" w:eastAsia="宋体" w:cs="Times New Roman"/>
                      <w:szCs w:val="21"/>
                      <w:lang w:val="en-US" w:eastAsia="zh-CN"/>
                    </w:rPr>
                    <w:t>t/a</w:t>
                  </w:r>
                  <w:r>
                    <w:rPr>
                      <w:rFonts w:hint="eastAsia" w:ascii="Times New Roman" w:hAnsi="Times New Roman" w:eastAsia="宋体" w:cs="Times New Roman"/>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7"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撕碎</w:t>
                  </w:r>
                </w:p>
              </w:tc>
              <w:tc>
                <w:tcPr>
                  <w:tcW w:w="127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kern w:val="2"/>
                      <w:sz w:val="21"/>
                      <w:szCs w:val="21"/>
                      <w:vertAlign w:val="baseline"/>
                      <w:lang w:val="en-US" w:eastAsia="zh-CN" w:bidi="ar-SA"/>
                    </w:rPr>
                  </w:pPr>
                  <w:r>
                    <w:rPr>
                      <w:rFonts w:ascii="Times New Roman" w:hAnsi="Times New Roman" w:eastAsia="宋体" w:cs="Times New Roman"/>
                      <w:color w:val="000000"/>
                      <w:szCs w:val="21"/>
                    </w:rPr>
                    <w:t>0.25kg/t</w:t>
                  </w:r>
                  <w:r>
                    <w:rPr>
                      <w:rStyle w:val="21"/>
                      <w:rFonts w:hint="default" w:cs="Times New Roman"/>
                    </w:rPr>
                    <w:t>物料</w:t>
                  </w:r>
                </w:p>
              </w:tc>
              <w:tc>
                <w:tcPr>
                  <w:tcW w:w="127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9950</w:t>
                  </w:r>
                </w:p>
              </w:tc>
              <w:tc>
                <w:tcPr>
                  <w:tcW w:w="127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2.488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7"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一次破碎</w:t>
                  </w:r>
                </w:p>
              </w:tc>
              <w:tc>
                <w:tcPr>
                  <w:tcW w:w="127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21"/>
                      <w:szCs w:val="21"/>
                      <w:vertAlign w:val="baseline"/>
                      <w:lang w:val="en-US" w:eastAsia="zh-CN" w:bidi="ar-SA"/>
                    </w:rPr>
                  </w:pPr>
                  <w:r>
                    <w:rPr>
                      <w:rFonts w:ascii="Times New Roman" w:hAnsi="Times New Roman" w:eastAsia="宋体" w:cs="Times New Roman"/>
                      <w:color w:val="000000"/>
                      <w:szCs w:val="21"/>
                    </w:rPr>
                    <w:t>0.25kg/t</w:t>
                  </w:r>
                  <w:r>
                    <w:rPr>
                      <w:rStyle w:val="21"/>
                      <w:rFonts w:hint="default" w:cs="Times New Roman"/>
                    </w:rPr>
                    <w:t>物料</w:t>
                  </w:r>
                </w:p>
              </w:tc>
              <w:tc>
                <w:tcPr>
                  <w:tcW w:w="127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9947.512</w:t>
                  </w:r>
                </w:p>
              </w:tc>
              <w:tc>
                <w:tcPr>
                  <w:tcW w:w="127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2.487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7"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气流分选</w:t>
                  </w:r>
                </w:p>
              </w:tc>
              <w:tc>
                <w:tcPr>
                  <w:tcW w:w="127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ascii="Times New Roman" w:hAnsi="Times New Roman" w:eastAsia="宋体" w:cs="Times New Roman"/>
                      <w:color w:val="000000"/>
                      <w:szCs w:val="21"/>
                    </w:rPr>
                  </w:pP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lang w:val="en-US" w:eastAsia="zh-CN"/>
                    </w:rPr>
                    <w:t>7</w:t>
                  </w:r>
                  <w:r>
                    <w:rPr>
                      <w:rFonts w:ascii="Times New Roman" w:hAnsi="Times New Roman" w:eastAsia="宋体" w:cs="Times New Roman"/>
                      <w:color w:val="000000"/>
                      <w:szCs w:val="21"/>
                    </w:rPr>
                    <w:t>5kg/t</w:t>
                  </w:r>
                  <w:r>
                    <w:rPr>
                      <w:rStyle w:val="21"/>
                      <w:rFonts w:hint="default" w:cs="Times New Roman"/>
                    </w:rPr>
                    <w:t>物料</w:t>
                  </w:r>
                </w:p>
              </w:tc>
              <w:tc>
                <w:tcPr>
                  <w:tcW w:w="127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9945.025</w:t>
                  </w:r>
                </w:p>
              </w:tc>
              <w:tc>
                <w:tcPr>
                  <w:tcW w:w="127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7.459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7"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混合搅拌</w:t>
                  </w:r>
                </w:p>
              </w:tc>
              <w:tc>
                <w:tcPr>
                  <w:tcW w:w="127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ascii="Times New Roman" w:hAnsi="Times New Roman" w:eastAsia="宋体" w:cs="Times New Roman"/>
                      <w:color w:val="000000"/>
                      <w:szCs w:val="21"/>
                    </w:rPr>
                  </w:pPr>
                  <w:r>
                    <w:rPr>
                      <w:rFonts w:hint="eastAsia" w:ascii="Times New Roman" w:hAnsi="Times New Roman" w:eastAsia="宋体" w:cs="Times New Roman"/>
                      <w:color w:val="000000"/>
                      <w:szCs w:val="21"/>
                      <w:lang w:val="en-US" w:eastAsia="zh-CN"/>
                    </w:rPr>
                    <w:t>0.02kg/t物料</w:t>
                  </w:r>
                </w:p>
              </w:tc>
              <w:tc>
                <w:tcPr>
                  <w:tcW w:w="127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8693.8155</w:t>
                  </w:r>
                </w:p>
              </w:tc>
              <w:tc>
                <w:tcPr>
                  <w:tcW w:w="127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0.174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7"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一次筛分</w:t>
                  </w:r>
                </w:p>
              </w:tc>
              <w:tc>
                <w:tcPr>
                  <w:tcW w:w="127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21"/>
                      <w:szCs w:val="21"/>
                      <w:vertAlign w:val="baseline"/>
                      <w:lang w:val="en-US" w:eastAsia="zh-CN" w:bidi="ar-SA"/>
                    </w:rPr>
                  </w:pP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lang w:val="en-US" w:eastAsia="zh-CN"/>
                    </w:rPr>
                    <w:t>5</w:t>
                  </w:r>
                  <w:r>
                    <w:rPr>
                      <w:rFonts w:ascii="Times New Roman" w:hAnsi="Times New Roman" w:eastAsia="宋体" w:cs="Times New Roman"/>
                      <w:color w:val="000000"/>
                      <w:szCs w:val="21"/>
                    </w:rPr>
                    <w:t>kg/t</w:t>
                  </w:r>
                  <w:r>
                    <w:rPr>
                      <w:rStyle w:val="21"/>
                      <w:rFonts w:hint="default" w:cs="Times New Roman"/>
                    </w:rPr>
                    <w:t>物料</w:t>
                  </w:r>
                </w:p>
              </w:tc>
              <w:tc>
                <w:tcPr>
                  <w:tcW w:w="127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8693.6415</w:t>
                  </w:r>
                </w:p>
              </w:tc>
              <w:tc>
                <w:tcPr>
                  <w:tcW w:w="127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4.347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7"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二次破碎</w:t>
                  </w:r>
                </w:p>
              </w:tc>
              <w:tc>
                <w:tcPr>
                  <w:tcW w:w="127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ascii="Times New Roman" w:hAnsi="Times New Roman" w:eastAsia="宋体" w:cs="Times New Roman"/>
                      <w:color w:val="000000"/>
                      <w:szCs w:val="21"/>
                    </w:rPr>
                  </w:pPr>
                  <w:r>
                    <w:rPr>
                      <w:rFonts w:ascii="Times New Roman" w:hAnsi="Times New Roman" w:eastAsia="宋体" w:cs="Times New Roman"/>
                      <w:color w:val="000000"/>
                      <w:szCs w:val="21"/>
                    </w:rPr>
                    <w:t>0.25kg/t</w:t>
                  </w:r>
                  <w:r>
                    <w:rPr>
                      <w:rStyle w:val="21"/>
                      <w:rFonts w:hint="default" w:cs="Times New Roman"/>
                    </w:rPr>
                    <w:t>物料</w:t>
                  </w:r>
                </w:p>
              </w:tc>
              <w:tc>
                <w:tcPr>
                  <w:tcW w:w="127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5013.5985</w:t>
                  </w:r>
                </w:p>
              </w:tc>
              <w:tc>
                <w:tcPr>
                  <w:tcW w:w="127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1.254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7"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气流分选</w:t>
                  </w:r>
                </w:p>
              </w:tc>
              <w:tc>
                <w:tcPr>
                  <w:tcW w:w="127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21"/>
                      <w:szCs w:val="21"/>
                      <w:vertAlign w:val="baseline"/>
                      <w:lang w:val="en-US" w:eastAsia="zh-CN" w:bidi="ar-SA"/>
                    </w:rPr>
                  </w:pP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lang w:val="en-US" w:eastAsia="zh-CN"/>
                    </w:rPr>
                    <w:t>7</w:t>
                  </w:r>
                  <w:r>
                    <w:rPr>
                      <w:rFonts w:ascii="Times New Roman" w:hAnsi="Times New Roman" w:eastAsia="宋体" w:cs="Times New Roman"/>
                      <w:color w:val="000000"/>
                      <w:szCs w:val="21"/>
                    </w:rPr>
                    <w:t>5kg/t</w:t>
                  </w:r>
                  <w:r>
                    <w:rPr>
                      <w:rStyle w:val="21"/>
                      <w:rFonts w:hint="default" w:cs="Times New Roman"/>
                    </w:rPr>
                    <w:t>物料</w:t>
                  </w:r>
                </w:p>
              </w:tc>
              <w:tc>
                <w:tcPr>
                  <w:tcW w:w="127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5012.3445</w:t>
                  </w:r>
                </w:p>
              </w:tc>
              <w:tc>
                <w:tcPr>
                  <w:tcW w:w="127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3.759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7"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二次筛选</w:t>
                  </w:r>
                </w:p>
              </w:tc>
              <w:tc>
                <w:tcPr>
                  <w:tcW w:w="1275" w:type="pc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lang w:val="en-US" w:eastAsia="zh-CN"/>
                    </w:rPr>
                    <w:t>5</w:t>
                  </w:r>
                  <w:r>
                    <w:rPr>
                      <w:rFonts w:ascii="Times New Roman" w:hAnsi="Times New Roman" w:eastAsia="宋体" w:cs="Times New Roman"/>
                      <w:color w:val="000000"/>
                      <w:szCs w:val="21"/>
                    </w:rPr>
                    <w:t>kg/t</w:t>
                  </w:r>
                  <w:r>
                    <w:rPr>
                      <w:rStyle w:val="21"/>
                      <w:rFonts w:hint="default" w:cs="Times New Roman"/>
                    </w:rPr>
                    <w:t>物料</w:t>
                  </w:r>
                </w:p>
              </w:tc>
              <w:tc>
                <w:tcPr>
                  <w:tcW w:w="127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3764.8353</w:t>
                  </w:r>
                </w:p>
              </w:tc>
              <w:tc>
                <w:tcPr>
                  <w:tcW w:w="127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1.884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21" w:type="pct"/>
                  <w:gridSpan w:val="3"/>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总计</w:t>
                  </w:r>
                </w:p>
              </w:tc>
              <w:tc>
                <w:tcPr>
                  <w:tcW w:w="1278" w:type="pct"/>
                  <w:tcBorders>
                    <w:tl2br w:val="nil"/>
                    <w:tr2bl w:val="nil"/>
                  </w:tcBorders>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23.85</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jc w:val="left"/>
              <w:textAlignment w:val="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sz w:val="21"/>
                <w:szCs w:val="21"/>
                <w:lang w:val="en-US" w:eastAsia="zh-CN"/>
              </w:rPr>
              <w:t>本项目生产车间和设备均密闭，粉尘经集气管道负压收集，收集效率按照100%计，则有组织废气产生量为23.85t/a，产生速率为4.97</w:t>
            </w:r>
            <w:r>
              <w:rPr>
                <w:rFonts w:hint="eastAsia" w:ascii="Times New Roman" w:hAnsi="Times New Roman" w:eastAsia="宋体" w:cs="Times New Roman"/>
                <w:kern w:val="0"/>
                <w:sz w:val="21"/>
                <w:szCs w:val="21"/>
              </w:rPr>
              <w:t>mg/m</w:t>
            </w:r>
            <w:r>
              <w:rPr>
                <w:rFonts w:hint="eastAsia" w:ascii="Times New Roman" w:hAnsi="Times New Roman" w:eastAsia="宋体" w:cs="Times New Roman"/>
                <w:kern w:val="0"/>
                <w:sz w:val="21"/>
                <w:szCs w:val="21"/>
                <w:vertAlign w:val="superscript"/>
              </w:rPr>
              <w:t>3</w:t>
            </w:r>
            <w:r>
              <w:rPr>
                <w:rFonts w:hint="eastAsia" w:ascii="Times New Roman" w:hAnsi="Times New Roman" w:eastAsia="宋体" w:cs="Times New Roman"/>
                <w:kern w:val="0"/>
                <w:sz w:val="21"/>
                <w:szCs w:val="21"/>
                <w:lang w:eastAsia="zh-CN"/>
              </w:rPr>
              <w:t>；</w:t>
            </w:r>
            <w:r>
              <w:rPr>
                <w:rFonts w:hint="eastAsia" w:ascii="Times New Roman" w:hAnsi="Times New Roman" w:eastAsia="宋体" w:cs="Times New Roman"/>
                <w:sz w:val="21"/>
                <w:szCs w:val="21"/>
                <w:lang w:val="en-US" w:eastAsia="zh-CN"/>
              </w:rPr>
              <w:t>粉尘收集后经袋</w:t>
            </w:r>
            <w:r>
              <w:rPr>
                <w:rFonts w:hint="eastAsia" w:ascii="Times New Roman" w:hAnsi="Times New Roman" w:eastAsia="宋体" w:cs="Times New Roman"/>
                <w:sz w:val="21"/>
                <w:szCs w:val="21"/>
                <w:lang w:eastAsia="zh-CN"/>
              </w:rPr>
              <w:t>式除尘器（</w:t>
            </w:r>
            <w:r>
              <w:rPr>
                <w:rFonts w:hint="eastAsia" w:ascii="Times New Roman" w:hAnsi="Times New Roman" w:eastAsia="宋体" w:cs="Times New Roman"/>
                <w:sz w:val="21"/>
                <w:szCs w:val="21"/>
                <w:lang w:val="en-US" w:eastAsia="zh-CN"/>
              </w:rPr>
              <w:t>MF001</w:t>
            </w:r>
            <w:r>
              <w:rPr>
                <w:rFonts w:hint="eastAsia" w:ascii="Times New Roman" w:hAnsi="Times New Roman" w:eastAsia="宋体" w:cs="Times New Roman"/>
                <w:sz w:val="21"/>
                <w:szCs w:val="21"/>
                <w:lang w:eastAsia="zh-CN"/>
              </w:rPr>
              <w:t>）处理后通过排气筒（</w:t>
            </w:r>
            <w:r>
              <w:rPr>
                <w:rFonts w:hint="eastAsia" w:ascii="Times New Roman" w:hAnsi="Times New Roman" w:eastAsia="宋体" w:cs="Times New Roman"/>
                <w:sz w:val="21"/>
                <w:szCs w:val="21"/>
                <w:lang w:val="en-US" w:eastAsia="zh-CN"/>
              </w:rPr>
              <w:t>DA001</w:t>
            </w:r>
            <w:r>
              <w:rPr>
                <w:rFonts w:hint="eastAsia" w:ascii="Times New Roman" w:hAnsi="Times New Roman" w:eastAsia="宋体" w:cs="Times New Roman"/>
                <w:sz w:val="21"/>
                <w:szCs w:val="21"/>
                <w:lang w:eastAsia="zh-CN"/>
              </w:rPr>
              <w:t>）排放，项目袋式除尘器风机风量为</w:t>
            </w:r>
            <w:r>
              <w:rPr>
                <w:rFonts w:hint="eastAsia" w:ascii="Times New Roman" w:hAnsi="Times New Roman" w:eastAsia="宋体" w:cs="Times New Roman"/>
                <w:sz w:val="21"/>
                <w:szCs w:val="21"/>
                <w:lang w:val="en-US" w:eastAsia="zh-CN"/>
              </w:rPr>
              <w:t>2000</w:t>
            </w:r>
            <w:r>
              <w:rPr>
                <w:rFonts w:hint="eastAsia" w:ascii="Times New Roman" w:hAnsi="Times New Roman" w:eastAsia="宋体" w:cs="Times New Roman"/>
                <w:kern w:val="0"/>
                <w:sz w:val="21"/>
                <w:szCs w:val="21"/>
              </w:rPr>
              <w:t>m</w:t>
            </w:r>
            <w:r>
              <w:rPr>
                <w:rFonts w:hint="eastAsia" w:ascii="Times New Roman" w:hAnsi="Times New Roman" w:eastAsia="宋体" w:cs="Times New Roman"/>
                <w:kern w:val="0"/>
                <w:sz w:val="21"/>
                <w:szCs w:val="21"/>
                <w:vertAlign w:val="superscript"/>
              </w:rPr>
              <w:t>3</w:t>
            </w:r>
            <w:r>
              <w:rPr>
                <w:rFonts w:hint="eastAsia" w:ascii="Times New Roman" w:hAnsi="Times New Roman" w:eastAsia="宋体" w:cs="Times New Roman"/>
                <w:kern w:val="0"/>
                <w:sz w:val="21"/>
                <w:szCs w:val="21"/>
              </w:rPr>
              <w:t>/h</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sz w:val="21"/>
                <w:szCs w:val="21"/>
                <w:lang w:eastAsia="zh-CN"/>
              </w:rPr>
              <w:t>除尘器处理效率为</w:t>
            </w:r>
            <w:r>
              <w:rPr>
                <w:rFonts w:hint="eastAsia" w:ascii="Times New Roman" w:hAnsi="Times New Roman" w:eastAsia="宋体" w:cs="Times New Roman"/>
                <w:sz w:val="21"/>
                <w:szCs w:val="21"/>
                <w:lang w:val="en-US" w:eastAsia="zh-CN"/>
              </w:rPr>
              <w:t>99.7%，则有组织废气排放量为0.072t/a，排放速率0.015kg/h，排放浓度为7.5</w:t>
            </w:r>
            <w:r>
              <w:rPr>
                <w:rFonts w:hint="eastAsia" w:ascii="Times New Roman" w:hAnsi="Times New Roman" w:eastAsia="宋体" w:cs="Times New Roman"/>
                <w:kern w:val="0"/>
                <w:sz w:val="21"/>
                <w:szCs w:val="21"/>
              </w:rPr>
              <w:t>mg/m</w:t>
            </w:r>
            <w:r>
              <w:rPr>
                <w:rFonts w:hint="eastAsia" w:ascii="Times New Roman" w:hAnsi="Times New Roman" w:eastAsia="宋体" w:cs="Times New Roman"/>
                <w:kern w:val="0"/>
                <w:sz w:val="21"/>
                <w:szCs w:val="21"/>
                <w:vertAlign w:val="superscript"/>
              </w:rPr>
              <w:t>3</w:t>
            </w:r>
            <w:r>
              <w:rPr>
                <w:rFonts w:hint="eastAsia" w:ascii="Times New Roman" w:hAnsi="Times New Roman" w:eastAsia="宋体" w:cs="Times New Roman"/>
                <w:kern w:val="0"/>
                <w:sz w:val="21"/>
                <w:szCs w:val="21"/>
                <w:vertAlign w:val="baseline"/>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jc w:val="left"/>
              <w:textAlignment w:val="auto"/>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w:t>
            </w:r>
            <w:r>
              <w:rPr>
                <w:rFonts w:hint="eastAsia" w:ascii="Times New Roman" w:hAnsi="Times New Roman" w:eastAsia="宋体" w:cs="Times New Roman"/>
                <w:b/>
                <w:bCs/>
                <w:sz w:val="21"/>
                <w:szCs w:val="21"/>
                <w:lang w:val="en-US" w:eastAsia="zh-CN"/>
              </w:rPr>
              <w:t>2</w:t>
            </w:r>
            <w:r>
              <w:rPr>
                <w:rFonts w:hint="eastAsia" w:ascii="Times New Roman" w:hAnsi="Times New Roman" w:eastAsia="宋体" w:cs="Times New Roman"/>
                <w:b/>
                <w:bCs/>
                <w:sz w:val="21"/>
                <w:szCs w:val="21"/>
                <w:lang w:eastAsia="zh-CN"/>
              </w:rPr>
              <w:t>）无组织废气</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本项目生产线为全封闭负压收集系统，正负极片在粉碎、筛分、分选等过程均在密封负压环境下完成，生产线无明显无组织排放点，但是项目在包装转运、换袋过程中不可避免有少量粉尘在车间内无组织排放。评价根据</w:t>
            </w:r>
            <w:r>
              <w:rPr>
                <w:rFonts w:hint="eastAsia" w:ascii="Times New Roman" w:hAnsi="Times New Roman" w:eastAsia="宋体" w:cs="Times New Roman"/>
                <w:sz w:val="21"/>
                <w:szCs w:val="21"/>
                <w:lang w:eastAsia="zh-CN"/>
              </w:rPr>
              <w:t>粉状产品总</w:t>
            </w:r>
            <w:r>
              <w:rPr>
                <w:rFonts w:hint="eastAsia" w:ascii="Times New Roman" w:hAnsi="Times New Roman" w:eastAsia="宋体" w:cs="Times New Roman"/>
                <w:sz w:val="21"/>
                <w:szCs w:val="21"/>
              </w:rPr>
              <w:t>转运量的估算系数0.02‰计算，</w:t>
            </w:r>
            <w:r>
              <w:rPr>
                <w:rFonts w:hint="eastAsia" w:ascii="Times New Roman" w:hAnsi="Times New Roman" w:eastAsia="宋体" w:cs="Times New Roman"/>
                <w:sz w:val="21"/>
                <w:szCs w:val="21"/>
                <w:lang w:eastAsia="zh-CN"/>
              </w:rPr>
              <w:t>粉状产品总转运量</w:t>
            </w:r>
            <w:r>
              <w:rPr>
                <w:rFonts w:hint="eastAsia" w:ascii="Times New Roman" w:hAnsi="Times New Roman" w:eastAsia="宋体" w:cs="Times New Roman"/>
                <w:sz w:val="21"/>
                <w:szCs w:val="21"/>
              </w:rPr>
              <w:t>最大量约为</w:t>
            </w:r>
            <w:r>
              <w:rPr>
                <w:rFonts w:hint="eastAsia" w:ascii="Times New Roman" w:hAnsi="Times New Roman" w:eastAsia="宋体" w:cs="Times New Roman"/>
                <w:sz w:val="21"/>
                <w:szCs w:val="21"/>
                <w:lang w:val="en-US" w:eastAsia="zh-CN"/>
              </w:rPr>
              <w:t>6467.5</w:t>
            </w:r>
            <w:r>
              <w:rPr>
                <w:rFonts w:hint="eastAsia" w:ascii="Times New Roman" w:hAnsi="Times New Roman" w:eastAsia="宋体" w:cs="Times New Roman"/>
                <w:sz w:val="21"/>
                <w:szCs w:val="21"/>
              </w:rPr>
              <w:t>t/a，则本项目无组织粉尘最大产生量为</w:t>
            </w:r>
            <w:r>
              <w:rPr>
                <w:rFonts w:hint="eastAsia" w:ascii="Times New Roman" w:hAnsi="Times New Roman" w:eastAsia="宋体" w:cs="Times New Roman"/>
                <w:sz w:val="21"/>
                <w:szCs w:val="21"/>
                <w:lang w:val="en-US" w:eastAsia="zh-CN"/>
              </w:rPr>
              <w:t>0.129</w:t>
            </w:r>
            <w:r>
              <w:rPr>
                <w:rFonts w:hint="eastAsia" w:ascii="Times New Roman" w:hAnsi="Times New Roman" w:eastAsia="宋体" w:cs="Times New Roman"/>
                <w:sz w:val="21"/>
                <w:szCs w:val="21"/>
              </w:rPr>
              <w:t>t/a</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项目产生粉尘质量较大，大多沉降于生产车间内，逸散到车间外的粉尘很少，根据《逸散性工业粉尘控制技术》，车间阻隔可减少无组织约70%~90%，本项目取</w:t>
            </w:r>
            <w:r>
              <w:rPr>
                <w:rFonts w:hint="eastAsia" w:ascii="Times New Roman" w:hAnsi="Times New Roman" w:eastAsia="宋体" w:cs="Times New Roman"/>
                <w:sz w:val="21"/>
                <w:szCs w:val="21"/>
                <w:lang w:eastAsia="zh-CN"/>
              </w:rPr>
              <w:t>最大值</w:t>
            </w:r>
            <w:r>
              <w:rPr>
                <w:rFonts w:hint="eastAsia" w:ascii="Times New Roman" w:hAnsi="Times New Roman" w:eastAsia="宋体" w:cs="Times New Roman"/>
                <w:sz w:val="21"/>
                <w:szCs w:val="21"/>
                <w:lang w:val="en-US" w:eastAsia="zh-CN"/>
              </w:rPr>
              <w:t>9</w:t>
            </w:r>
            <w:r>
              <w:rPr>
                <w:rFonts w:hint="eastAsia" w:ascii="Times New Roman" w:hAnsi="Times New Roman" w:eastAsia="宋体" w:cs="Times New Roman"/>
                <w:sz w:val="21"/>
                <w:szCs w:val="21"/>
              </w:rPr>
              <w:t>0%，则无组织粉尘最大排放量为</w:t>
            </w:r>
            <w:r>
              <w:rPr>
                <w:rFonts w:hint="eastAsia" w:ascii="Times New Roman" w:hAnsi="Times New Roman" w:eastAsia="宋体" w:cs="Times New Roman"/>
                <w:sz w:val="21"/>
                <w:szCs w:val="21"/>
                <w:lang w:val="en-US" w:eastAsia="zh-CN"/>
              </w:rPr>
              <w:t>0.0129t/a。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textAlignment w:val="auto"/>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w:t>
            </w:r>
            <w:r>
              <w:rPr>
                <w:rFonts w:hint="eastAsia" w:ascii="Times New Roman" w:hAnsi="Times New Roman" w:eastAsia="宋体" w:cs="Times New Roman"/>
                <w:b/>
                <w:bCs/>
                <w:sz w:val="21"/>
                <w:szCs w:val="21"/>
                <w:lang w:val="en-US" w:eastAsia="zh-CN"/>
              </w:rPr>
              <w:t>3</w:t>
            </w:r>
            <w:r>
              <w:rPr>
                <w:rFonts w:hint="eastAsia" w:ascii="Times New Roman" w:hAnsi="Times New Roman" w:eastAsia="宋体" w:cs="Times New Roman"/>
                <w:b/>
                <w:bCs/>
                <w:sz w:val="21"/>
                <w:szCs w:val="21"/>
              </w:rPr>
              <w:t>）技术可行性分析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根据《排污许可证申请与核发技术规范 废弃资源加工工业》附录A，本项目属于其他废弃资源，主要污染物为颗粒物，可行技术为布袋除尘。本项目颗粒物使用袋式除尘器处理，治理措施有效可行。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w:t>
            </w:r>
            <w:r>
              <w:rPr>
                <w:rFonts w:hint="eastAsia"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lang w:val="en-US" w:eastAsia="zh-CN"/>
              </w:rPr>
              <w:t>）大气环境防护距离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根据《环境影响评价技术导则 大气环境》（HJ2.2-2018）第8.7.5.1条规定，对于项目厂界浓度满足大气污染物厂界浓度限值，但厂界外大气污染物短期贡献浓度超过环境质量浓度限值的，可以自厂界向外设置一定范围的大气环境防护距离。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本次评价采用AERMOD模型预测项目大气环境防护距离，根据预测结果显示，项目无超标点，不涉及大气环境防护距离的设定</w:t>
            </w:r>
            <w:r>
              <w:rPr>
                <w:rFonts w:hint="eastAsia" w:ascii="Times New Roman" w:hAnsi="Times New Roman" w:eastAsia="宋体" w:cs="Times New Roman"/>
                <w:sz w:val="21"/>
                <w:szCs w:val="21"/>
                <w:lang w:eastAsia="zh-CN"/>
              </w:rPr>
              <w:t>，对敏感点范岭村影响较小</w:t>
            </w:r>
            <w:r>
              <w:rPr>
                <w:rFonts w:hint="default" w:ascii="Times New Roman" w:hAnsi="Times New Roman" w:eastAsia="宋体" w:cs="Times New Roman"/>
                <w:sz w:val="21"/>
                <w:szCs w:val="21"/>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2、本项目废气产排情况汇总</w:t>
            </w:r>
          </w:p>
          <w:p>
            <w:pPr>
              <w:keepNext w:val="0"/>
              <w:keepLines w:val="0"/>
              <w:numPr>
                <w:ilvl w:val="0"/>
                <w:numId w:val="0"/>
              </w:numPr>
              <w:suppressLineNumbers w:val="0"/>
              <w:spacing w:before="0" w:beforeAutospacing="0" w:after="0" w:afterAutospacing="0" w:line="520" w:lineRule="exact"/>
              <w:ind w:left="0" w:right="0" w:firstLine="420" w:firstLineChars="200"/>
              <w:jc w:val="both"/>
              <w:rPr>
                <w:rFonts w:hint="eastAsia" w:ascii="Times New Roman" w:hAnsi="Times New Roman" w:eastAsia="宋体" w:cs="Times New Roman"/>
                <w:bCs/>
                <w:kern w:val="0"/>
                <w:sz w:val="21"/>
                <w:szCs w:val="21"/>
                <w:lang w:val="en-US" w:eastAsia="zh-CN"/>
              </w:rPr>
            </w:pPr>
            <w:r>
              <w:rPr>
                <w:rFonts w:hint="eastAsia" w:ascii="Times New Roman" w:hAnsi="Times New Roman" w:eastAsia="宋体" w:cs="Times New Roman"/>
                <w:bCs/>
                <w:kern w:val="0"/>
                <w:sz w:val="21"/>
                <w:szCs w:val="21"/>
                <w:highlight w:val="none"/>
                <w:lang w:val="en-US" w:eastAsia="zh-CN"/>
              </w:rPr>
              <w:t>（1）废气产排情况一览表如下：</w:t>
            </w:r>
          </w:p>
          <w:p>
            <w:pPr>
              <w:keepNext w:val="0"/>
              <w:keepLines w:val="0"/>
              <w:suppressLineNumbers w:val="0"/>
              <w:spacing w:before="0" w:beforeAutospacing="0" w:after="0" w:afterAutospacing="0" w:line="520" w:lineRule="exact"/>
              <w:ind w:left="0" w:right="0"/>
              <w:jc w:val="center"/>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表</w:t>
            </w:r>
            <w:r>
              <w:rPr>
                <w:rFonts w:hint="eastAsia" w:ascii="Times New Roman" w:hAnsi="Times New Roman" w:eastAsia="宋体" w:cs="Times New Roman"/>
                <w:b/>
                <w:bCs/>
                <w:sz w:val="21"/>
                <w:szCs w:val="21"/>
                <w:lang w:val="en-US" w:eastAsia="zh-CN"/>
              </w:rPr>
              <w:t xml:space="preserve">24  </w:t>
            </w:r>
            <w:r>
              <w:rPr>
                <w:rFonts w:hint="eastAsia" w:ascii="Times New Roman" w:hAnsi="Times New Roman" w:eastAsia="宋体" w:cs="Times New Roman"/>
                <w:b/>
                <w:bCs/>
                <w:sz w:val="21"/>
                <w:szCs w:val="21"/>
                <w:lang w:eastAsia="zh-CN"/>
              </w:rPr>
              <w:t>废气产生及排放情况</w:t>
            </w:r>
          </w:p>
          <w:tbl>
            <w:tblPr>
              <w:tblStyle w:val="1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86"/>
              <w:gridCol w:w="1323"/>
              <w:gridCol w:w="861"/>
              <w:gridCol w:w="996"/>
              <w:gridCol w:w="912"/>
              <w:gridCol w:w="996"/>
              <w:gridCol w:w="992"/>
              <w:gridCol w:w="10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8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废气类别</w:t>
                  </w:r>
                </w:p>
              </w:tc>
              <w:tc>
                <w:tcPr>
                  <w:tcW w:w="1323"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产污工段</w:t>
                  </w:r>
                </w:p>
              </w:tc>
              <w:tc>
                <w:tcPr>
                  <w:tcW w:w="861"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污染物</w:t>
                  </w:r>
                </w:p>
              </w:tc>
              <w:tc>
                <w:tcPr>
                  <w:tcW w:w="996"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产生量</w:t>
                  </w:r>
                </w:p>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t/a</w:t>
                  </w:r>
                  <w:r>
                    <w:rPr>
                      <w:rFonts w:hint="eastAsia" w:ascii="Times New Roman" w:hAnsi="Times New Roman" w:eastAsia="宋体" w:cs="Times New Roman"/>
                      <w:sz w:val="21"/>
                      <w:szCs w:val="21"/>
                      <w:lang w:eastAsia="zh-CN"/>
                    </w:rPr>
                    <w:t>）</w:t>
                  </w:r>
                </w:p>
              </w:tc>
              <w:tc>
                <w:tcPr>
                  <w:tcW w:w="912"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处理效率</w:t>
                  </w:r>
                </w:p>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eastAsia="zh-CN"/>
                    </w:rPr>
                    <w:t>）</w:t>
                  </w:r>
                </w:p>
              </w:tc>
              <w:tc>
                <w:tcPr>
                  <w:tcW w:w="996"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排放量</w:t>
                  </w:r>
                </w:p>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t/a</w:t>
                  </w:r>
                  <w:r>
                    <w:rPr>
                      <w:rFonts w:hint="eastAsia" w:ascii="Times New Roman" w:hAnsi="Times New Roman" w:eastAsia="宋体" w:cs="Times New Roman"/>
                      <w:sz w:val="21"/>
                      <w:szCs w:val="21"/>
                      <w:lang w:eastAsia="zh-CN"/>
                    </w:rPr>
                    <w:t>）</w:t>
                  </w:r>
                </w:p>
              </w:tc>
              <w:tc>
                <w:tcPr>
                  <w:tcW w:w="992"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排放速率（</w:t>
                  </w:r>
                  <w:r>
                    <w:rPr>
                      <w:rFonts w:hint="eastAsia" w:ascii="Times New Roman" w:hAnsi="Times New Roman" w:eastAsia="宋体" w:cs="Times New Roman"/>
                      <w:sz w:val="21"/>
                      <w:szCs w:val="21"/>
                      <w:lang w:val="en-US" w:eastAsia="zh-CN"/>
                    </w:rPr>
                    <w:t>kg/h</w:t>
                  </w:r>
                  <w:r>
                    <w:rPr>
                      <w:rFonts w:hint="eastAsia" w:ascii="Times New Roman" w:hAnsi="Times New Roman" w:eastAsia="宋体" w:cs="Times New Roman"/>
                      <w:sz w:val="21"/>
                      <w:szCs w:val="21"/>
                      <w:lang w:eastAsia="zh-CN"/>
                    </w:rPr>
                    <w:t>）</w:t>
                  </w:r>
                </w:p>
              </w:tc>
              <w:tc>
                <w:tcPr>
                  <w:tcW w:w="108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排放浓度（</w:t>
                  </w:r>
                  <w:r>
                    <w:rPr>
                      <w:rFonts w:hint="eastAsia" w:ascii="Times New Roman" w:hAnsi="Times New Roman" w:eastAsia="宋体" w:cs="Times New Roman"/>
                      <w:color w:val="auto"/>
                      <w:sz w:val="21"/>
                      <w:szCs w:val="21"/>
                      <w:lang w:val="en-US" w:eastAsia="zh-CN"/>
                    </w:rPr>
                    <w:t>mg/m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8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有组织</w:t>
                  </w:r>
                </w:p>
              </w:tc>
              <w:tc>
                <w:tcPr>
                  <w:tcW w:w="132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正负极片生产线</w:t>
                  </w:r>
                </w:p>
              </w:tc>
              <w:tc>
                <w:tcPr>
                  <w:tcW w:w="86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99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23.85</w:t>
                  </w:r>
                </w:p>
              </w:tc>
              <w:tc>
                <w:tcPr>
                  <w:tcW w:w="91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99.7</w:t>
                  </w:r>
                </w:p>
              </w:tc>
              <w:tc>
                <w:tcPr>
                  <w:tcW w:w="99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0.072</w:t>
                  </w:r>
                </w:p>
              </w:tc>
              <w:tc>
                <w:tcPr>
                  <w:tcW w:w="99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0.015</w:t>
                  </w:r>
                </w:p>
              </w:tc>
              <w:tc>
                <w:tcPr>
                  <w:tcW w:w="108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86"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无组织</w:t>
                  </w:r>
                </w:p>
              </w:tc>
              <w:tc>
                <w:tcPr>
                  <w:tcW w:w="1323"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正负极片生产线</w:t>
                  </w:r>
                </w:p>
              </w:tc>
              <w:tc>
                <w:tcPr>
                  <w:tcW w:w="861"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99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0.129</w:t>
                  </w:r>
                </w:p>
              </w:tc>
              <w:tc>
                <w:tcPr>
                  <w:tcW w:w="91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90</w:t>
                  </w:r>
                </w:p>
              </w:tc>
              <w:tc>
                <w:tcPr>
                  <w:tcW w:w="99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0.0129</w:t>
                  </w:r>
                </w:p>
              </w:tc>
              <w:tc>
                <w:tcPr>
                  <w:tcW w:w="992"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0.0027</w:t>
                  </w:r>
                </w:p>
              </w:tc>
              <w:tc>
                <w:tcPr>
                  <w:tcW w:w="1080"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ascii="Times New Roman" w:hAnsi="Times New Roman" w:eastAsia="宋体" w:cs="Times New Roman"/>
                <w:sz w:val="21"/>
                <w:szCs w:val="21"/>
              </w:rPr>
            </w:pPr>
            <w:r>
              <w:rPr>
                <w:rFonts w:ascii="Times New Roman" w:hAnsi="Times New Roman" w:eastAsia="宋体" w:cs="Times New Roman"/>
                <w:sz w:val="21"/>
                <w:szCs w:val="21"/>
              </w:rPr>
              <w:t>由上表可知，</w:t>
            </w:r>
            <w:r>
              <w:rPr>
                <w:rFonts w:hint="eastAsia" w:ascii="Times New Roman" w:hAnsi="Times New Roman" w:eastAsia="宋体" w:cs="Times New Roman"/>
                <w:sz w:val="21"/>
                <w:szCs w:val="21"/>
              </w:rPr>
              <w:t>生产线颗粒物排放浓度均符合《新乡市生态环境局关于进一步规范工业企业颗粒物排放限值的通知》（有组织10mg/m</w:t>
            </w:r>
            <w:r>
              <w:rPr>
                <w:rFonts w:hint="eastAsia" w:ascii="Times New Roman" w:hAnsi="Times New Roman" w:eastAsia="宋体" w:cs="Times New Roman"/>
                <w:sz w:val="21"/>
                <w:szCs w:val="21"/>
                <w:vertAlign w:val="superscript"/>
              </w:rPr>
              <w:t>3</w:t>
            </w:r>
            <w:r>
              <w:rPr>
                <w:rFonts w:hint="eastAsia" w:ascii="Times New Roman" w:hAnsi="Times New Roman" w:eastAsia="宋体" w:cs="Times New Roman"/>
                <w:sz w:val="21"/>
                <w:szCs w:val="21"/>
              </w:rPr>
              <w:t>）的要求及</w:t>
            </w:r>
            <w:r>
              <w:rPr>
                <w:rFonts w:ascii="Times New Roman" w:hAnsi="Times New Roman" w:eastAsia="宋体" w:cs="Times New Roman"/>
                <w:sz w:val="21"/>
                <w:szCs w:val="21"/>
              </w:rPr>
              <w:t>《</w:t>
            </w:r>
            <w:r>
              <w:rPr>
                <w:rFonts w:hint="eastAsia" w:ascii="Times New Roman" w:hAnsi="Times New Roman" w:eastAsia="宋体" w:cs="Times New Roman"/>
                <w:sz w:val="21"/>
                <w:szCs w:val="21"/>
              </w:rPr>
              <w:t>电池工业污染物排放标准</w:t>
            </w:r>
            <w:r>
              <w:rPr>
                <w:rFonts w:ascii="Times New Roman" w:hAnsi="Times New Roman" w:eastAsia="宋体" w:cs="Times New Roman"/>
                <w:sz w:val="21"/>
                <w:szCs w:val="21"/>
              </w:rPr>
              <w:t>》（GB</w:t>
            </w:r>
            <w:r>
              <w:rPr>
                <w:rFonts w:hint="eastAsia" w:ascii="Times New Roman" w:hAnsi="Times New Roman" w:eastAsia="宋体" w:cs="Times New Roman"/>
                <w:sz w:val="21"/>
                <w:szCs w:val="21"/>
              </w:rPr>
              <w:t>30484-2013</w:t>
            </w:r>
            <w:r>
              <w:rPr>
                <w:rFonts w:ascii="Times New Roman" w:hAnsi="Times New Roman" w:eastAsia="宋体" w:cs="Times New Roman"/>
                <w:sz w:val="21"/>
                <w:szCs w:val="21"/>
              </w:rPr>
              <w:t>）</w:t>
            </w:r>
            <w:r>
              <w:rPr>
                <w:rFonts w:hint="eastAsia" w:ascii="Times New Roman" w:hAnsi="Times New Roman" w:eastAsia="宋体" w:cs="Times New Roman"/>
                <w:sz w:val="21"/>
                <w:szCs w:val="21"/>
              </w:rPr>
              <w:t>表5</w:t>
            </w:r>
            <w:r>
              <w:rPr>
                <w:rFonts w:hint="default" w:ascii="Times New Roman" w:hAnsi="Times New Roman" w:eastAsia="宋体" w:cs="Times New Roman"/>
                <w:sz w:val="21"/>
                <w:szCs w:val="21"/>
                <w:lang w:val="en-US" w:eastAsia="zh-CN"/>
              </w:rPr>
              <w:t>（锂电池30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rPr>
              <w:t>的要求。</w:t>
            </w:r>
          </w:p>
          <w:p>
            <w:pPr>
              <w:pStyle w:val="22"/>
              <w:keepNext w:val="0"/>
              <w:keepLines w:val="0"/>
              <w:numPr>
                <w:ilvl w:val="0"/>
                <w:numId w:val="0"/>
              </w:numPr>
              <w:suppressLineNumbers w:val="0"/>
              <w:spacing w:before="0" w:beforeAutospacing="0" w:after="0" w:afterAutospacing="0"/>
              <w:ind w:left="420" w:leftChars="200" w:right="0"/>
              <w:rPr>
                <w:rFonts w:hint="eastAsia" w:ascii="宋体" w:hAnsi="宋体" w:eastAsia="宋体" w:cs="宋体"/>
                <w:bCs/>
                <w:sz w:val="21"/>
                <w:szCs w:val="21"/>
                <w:lang w:val="en-US" w:eastAsia="zh-CN"/>
              </w:rPr>
            </w:pP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2）</w:t>
            </w:r>
            <w:r>
              <w:rPr>
                <w:rFonts w:hint="eastAsia" w:ascii="宋体" w:hAnsi="宋体" w:eastAsia="宋体" w:cs="宋体"/>
                <w:bCs/>
                <w:sz w:val="21"/>
                <w:szCs w:val="21"/>
                <w:lang w:eastAsia="zh-CN"/>
              </w:rPr>
              <w:t>废气排放口基本情况及监测要求</w:t>
            </w:r>
          </w:p>
          <w:p>
            <w:pPr>
              <w:pStyle w:val="22"/>
              <w:keepNext w:val="0"/>
              <w:keepLines w:val="0"/>
              <w:numPr>
                <w:ilvl w:val="0"/>
                <w:numId w:val="0"/>
              </w:numPr>
              <w:suppressLineNumbers w:val="0"/>
              <w:spacing w:before="0" w:beforeAutospacing="0" w:after="0" w:afterAutospacing="0"/>
              <w:ind w:left="420" w:leftChars="200" w:right="0" w:firstLine="210" w:firstLineChars="1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①</w:t>
            </w:r>
            <w:r>
              <w:rPr>
                <w:rFonts w:hint="eastAsia" w:ascii="宋体" w:hAnsi="宋体" w:eastAsia="宋体" w:cs="宋体"/>
                <w:color w:val="auto"/>
                <w:sz w:val="21"/>
                <w:szCs w:val="21"/>
                <w:lang w:eastAsia="zh-CN"/>
              </w:rPr>
              <w:t>废气排放口基本情况</w:t>
            </w:r>
          </w:p>
          <w:p>
            <w:pPr>
              <w:keepNext w:val="0"/>
              <w:keepLines w:val="0"/>
              <w:suppressLineNumbers w:val="0"/>
              <w:spacing w:before="0" w:beforeAutospacing="0" w:after="0" w:afterAutospacing="0" w:line="520" w:lineRule="exact"/>
              <w:ind w:left="0" w:right="0" w:firstLine="420" w:firstLineChars="20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本项目废气排放口基本情况见下表：</w:t>
            </w:r>
          </w:p>
          <w:p>
            <w:pPr>
              <w:keepNext w:val="0"/>
              <w:keepLines w:val="0"/>
              <w:suppressLineNumbers w:val="0"/>
              <w:spacing w:before="0" w:beforeAutospacing="0" w:after="0" w:afterAutospacing="0" w:line="520" w:lineRule="exact"/>
              <w:ind w:left="0" w:right="0"/>
              <w:jc w:val="center"/>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表</w:t>
            </w:r>
            <w:r>
              <w:rPr>
                <w:rFonts w:hint="eastAsia" w:ascii="Times New Roman" w:hAnsi="Times New Roman" w:eastAsia="宋体" w:cs="Times New Roman"/>
                <w:b/>
                <w:bCs/>
                <w:sz w:val="21"/>
                <w:szCs w:val="21"/>
                <w:lang w:val="en-US" w:eastAsia="zh-CN"/>
              </w:rPr>
              <w:t xml:space="preserve">25  </w:t>
            </w:r>
            <w:r>
              <w:rPr>
                <w:rFonts w:hint="eastAsia" w:ascii="Times New Roman" w:hAnsi="Times New Roman" w:eastAsia="宋体" w:cs="Times New Roman"/>
                <w:b/>
                <w:bCs/>
                <w:sz w:val="21"/>
                <w:szCs w:val="21"/>
                <w:lang w:eastAsia="zh-CN"/>
              </w:rPr>
              <w:t>废气排放口基本情况</w:t>
            </w:r>
          </w:p>
          <w:tbl>
            <w:tblPr>
              <w:tblStyle w:val="1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04"/>
              <w:gridCol w:w="984"/>
              <w:gridCol w:w="797"/>
              <w:gridCol w:w="2597"/>
              <w:gridCol w:w="911"/>
              <w:gridCol w:w="955"/>
              <w:gridCol w:w="8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4"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排放口编号</w:t>
                  </w:r>
                </w:p>
              </w:tc>
              <w:tc>
                <w:tcPr>
                  <w:tcW w:w="984"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排放口名称</w:t>
                  </w:r>
                </w:p>
              </w:tc>
              <w:tc>
                <w:tcPr>
                  <w:tcW w:w="797"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污染物类型</w:t>
                  </w:r>
                </w:p>
              </w:tc>
              <w:tc>
                <w:tcPr>
                  <w:tcW w:w="2597"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排放口地理坐标</w:t>
                  </w:r>
                </w:p>
              </w:tc>
              <w:tc>
                <w:tcPr>
                  <w:tcW w:w="911"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排气筒高度（</w:t>
                  </w:r>
                  <w:r>
                    <w:rPr>
                      <w:rFonts w:hint="eastAsia"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lang w:eastAsia="zh-CN"/>
                    </w:rPr>
                    <w:t>）</w:t>
                  </w:r>
                </w:p>
              </w:tc>
              <w:tc>
                <w:tcPr>
                  <w:tcW w:w="955"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排气筒内径（</w:t>
                  </w:r>
                  <w:r>
                    <w:rPr>
                      <w:rFonts w:hint="eastAsia"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lang w:eastAsia="zh-CN"/>
                    </w:rPr>
                    <w:t>）</w:t>
                  </w:r>
                </w:p>
              </w:tc>
              <w:tc>
                <w:tcPr>
                  <w:tcW w:w="898"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烟气出口温度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0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DA001</w:t>
                  </w:r>
                </w:p>
              </w:tc>
              <w:tc>
                <w:tcPr>
                  <w:tcW w:w="98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废气总排口</w:t>
                  </w:r>
                </w:p>
              </w:tc>
              <w:tc>
                <w:tcPr>
                  <w:tcW w:w="797"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颗粒物</w:t>
                  </w:r>
                </w:p>
              </w:tc>
              <w:tc>
                <w:tcPr>
                  <w:tcW w:w="2597"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经度：</w:t>
                  </w:r>
                  <w:r>
                    <w:rPr>
                      <w:rFonts w:hint="eastAsia" w:ascii="Times New Roman" w:hAnsi="Times New Roman" w:eastAsia="宋体" w:cs="Times New Roman"/>
                      <w:color w:val="auto"/>
                      <w:sz w:val="21"/>
                      <w:szCs w:val="21"/>
                      <w:highlight w:val="none"/>
                      <w:lang w:val="en-US" w:eastAsia="zh-CN"/>
                    </w:rPr>
                    <w:t>113</w:t>
                  </w:r>
                  <w:r>
                    <w:rPr>
                      <w:rFonts w:hint="default" w:ascii="Times New Roman" w:hAnsi="Times New Roman" w:eastAsia="宋体" w:cs="Times New Roman"/>
                      <w:color w:val="auto"/>
                      <w:sz w:val="21"/>
                      <w:szCs w:val="21"/>
                      <w:highlight w:val="none"/>
                      <w:lang w:val="en-US" w:eastAsia="zh-CN"/>
                    </w:rPr>
                    <w:t>度</w:t>
                  </w:r>
                  <w:r>
                    <w:rPr>
                      <w:rFonts w:hint="eastAsia" w:ascii="Times New Roman" w:hAnsi="Times New Roman" w:eastAsia="宋体" w:cs="Times New Roman"/>
                      <w:color w:val="auto"/>
                      <w:sz w:val="21"/>
                      <w:szCs w:val="21"/>
                      <w:highlight w:val="none"/>
                      <w:lang w:val="en-US" w:eastAsia="zh-CN"/>
                    </w:rPr>
                    <w:t>74</w:t>
                  </w:r>
                  <w:r>
                    <w:rPr>
                      <w:rFonts w:hint="default" w:ascii="Times New Roman" w:hAnsi="Times New Roman" w:eastAsia="宋体" w:cs="Times New Roman"/>
                      <w:color w:val="auto"/>
                      <w:sz w:val="21"/>
                      <w:szCs w:val="21"/>
                      <w:highlight w:val="none"/>
                      <w:lang w:val="en-US" w:eastAsia="zh-CN"/>
                    </w:rPr>
                    <w:t>分</w:t>
                  </w:r>
                  <w:r>
                    <w:rPr>
                      <w:rFonts w:hint="eastAsia" w:ascii="Times New Roman" w:hAnsi="Times New Roman" w:eastAsia="宋体" w:cs="Times New Roman"/>
                      <w:color w:val="auto"/>
                      <w:sz w:val="21"/>
                      <w:szCs w:val="21"/>
                      <w:highlight w:val="none"/>
                      <w:lang w:val="en-US" w:eastAsia="zh-CN"/>
                    </w:rPr>
                    <w:t>73</w:t>
                  </w:r>
                  <w:r>
                    <w:rPr>
                      <w:rFonts w:hint="default" w:ascii="Times New Roman" w:hAnsi="Times New Roman" w:eastAsia="宋体" w:cs="Times New Roman"/>
                      <w:color w:val="auto"/>
                      <w:sz w:val="21"/>
                      <w:szCs w:val="21"/>
                      <w:highlight w:val="none"/>
                      <w:lang w:val="en-US" w:eastAsia="zh-CN"/>
                    </w:rPr>
                    <w:t>秒</w:t>
                  </w:r>
                </w:p>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 w:val="0"/>
                      <w:bCs w:val="0"/>
                      <w:color w:val="auto"/>
                      <w:kern w:val="2"/>
                      <w:sz w:val="21"/>
                      <w:szCs w:val="21"/>
                      <w:highlight w:val="none"/>
                      <w:lang w:val="en-US" w:eastAsia="zh-CN" w:bidi="ar-SA"/>
                    </w:rPr>
                    <w:t>纬度：35</w:t>
                  </w:r>
                  <w:r>
                    <w:rPr>
                      <w:rFonts w:hint="default" w:ascii="Times New Roman" w:hAnsi="Times New Roman" w:eastAsia="宋体" w:cs="Times New Roman"/>
                      <w:b w:val="0"/>
                      <w:bCs w:val="0"/>
                      <w:color w:val="auto"/>
                      <w:kern w:val="2"/>
                      <w:sz w:val="21"/>
                      <w:szCs w:val="21"/>
                      <w:highlight w:val="none"/>
                      <w:lang w:val="en-US" w:eastAsia="zh-CN" w:bidi="ar-SA"/>
                    </w:rPr>
                    <w:t>度</w:t>
                  </w:r>
                  <w:r>
                    <w:rPr>
                      <w:rFonts w:hint="eastAsia" w:ascii="Times New Roman" w:hAnsi="Times New Roman" w:eastAsia="宋体" w:cs="Times New Roman"/>
                      <w:b w:val="0"/>
                      <w:bCs w:val="0"/>
                      <w:color w:val="auto"/>
                      <w:kern w:val="2"/>
                      <w:sz w:val="21"/>
                      <w:szCs w:val="21"/>
                      <w:highlight w:val="none"/>
                      <w:lang w:val="en-US" w:eastAsia="zh-CN" w:bidi="ar-SA"/>
                    </w:rPr>
                    <w:t>34</w:t>
                  </w:r>
                  <w:r>
                    <w:rPr>
                      <w:rFonts w:hint="default" w:ascii="Times New Roman" w:hAnsi="Times New Roman" w:eastAsia="宋体" w:cs="Times New Roman"/>
                      <w:b w:val="0"/>
                      <w:bCs w:val="0"/>
                      <w:color w:val="auto"/>
                      <w:kern w:val="2"/>
                      <w:sz w:val="21"/>
                      <w:szCs w:val="21"/>
                      <w:highlight w:val="none"/>
                      <w:lang w:val="en-US" w:eastAsia="zh-CN" w:bidi="ar-SA"/>
                    </w:rPr>
                    <w:t>分</w:t>
                  </w:r>
                  <w:r>
                    <w:rPr>
                      <w:rFonts w:hint="eastAsia" w:ascii="Times New Roman" w:hAnsi="Times New Roman" w:eastAsia="宋体" w:cs="Times New Roman"/>
                      <w:b w:val="0"/>
                      <w:bCs w:val="0"/>
                      <w:color w:val="auto"/>
                      <w:kern w:val="2"/>
                      <w:sz w:val="21"/>
                      <w:szCs w:val="21"/>
                      <w:highlight w:val="none"/>
                      <w:lang w:val="en-US" w:eastAsia="zh-CN" w:bidi="ar-SA"/>
                    </w:rPr>
                    <w:t>36</w:t>
                  </w:r>
                  <w:r>
                    <w:rPr>
                      <w:rFonts w:hint="default" w:ascii="Times New Roman" w:hAnsi="Times New Roman" w:eastAsia="宋体" w:cs="Times New Roman"/>
                      <w:b w:val="0"/>
                      <w:bCs w:val="0"/>
                      <w:color w:val="auto"/>
                      <w:kern w:val="2"/>
                      <w:sz w:val="21"/>
                      <w:szCs w:val="21"/>
                      <w:highlight w:val="none"/>
                      <w:lang w:val="en-US" w:eastAsia="zh-CN" w:bidi="ar-SA"/>
                    </w:rPr>
                    <w:t>秒</w:t>
                  </w:r>
                </w:p>
              </w:tc>
              <w:tc>
                <w:tcPr>
                  <w:tcW w:w="91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c>
                <w:tcPr>
                  <w:tcW w:w="95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w:t>
                  </w:r>
                </w:p>
              </w:tc>
              <w:tc>
                <w:tcPr>
                  <w:tcW w:w="898"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常温</w:t>
                  </w:r>
                </w:p>
              </w:tc>
            </w:tr>
          </w:tbl>
          <w:p>
            <w:pPr>
              <w:keepNext w:val="0"/>
              <w:keepLines w:val="0"/>
              <w:suppressLineNumbers w:val="0"/>
              <w:spacing w:before="0" w:beforeAutospacing="0" w:after="0" w:afterAutospacing="0" w:line="520" w:lineRule="exact"/>
              <w:ind w:left="0" w:right="0" w:firstLine="420" w:firstLineChars="200"/>
              <w:jc w:val="both"/>
              <w:rPr>
                <w:rFonts w:hint="eastAsia" w:ascii="宋体" w:hAnsi="宋体" w:eastAsia="宋体" w:cs="宋体"/>
                <w:color w:val="auto"/>
                <w:sz w:val="21"/>
                <w:szCs w:val="21"/>
                <w:lang w:eastAsia="zh-CN"/>
              </w:rPr>
            </w:pPr>
            <w:r>
              <w:rPr>
                <w:rFonts w:hint="eastAsia" w:ascii="宋体" w:hAnsi="宋体" w:eastAsia="宋体" w:cs="宋体"/>
                <w:color w:val="auto"/>
                <w:sz w:val="21"/>
                <w:szCs w:val="21"/>
              </w:rPr>
              <w:t>②</w:t>
            </w:r>
            <w:r>
              <w:rPr>
                <w:rFonts w:hint="eastAsia" w:ascii="宋体" w:hAnsi="宋体" w:eastAsia="宋体" w:cs="宋体"/>
                <w:color w:val="auto"/>
                <w:sz w:val="21"/>
                <w:szCs w:val="21"/>
                <w:lang w:eastAsia="zh-CN"/>
              </w:rPr>
              <w:t>监测要求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根据本项目特点，项目运营期需要进行污染源监测和环境质量监测，根据《排污单位自行监测技术指南 废弃资源加工工业》表32，本项目为锂电极片回收，属于其他废弃资源，本项目生产工艺主要为粉碎分选，则具体监测计划见下表：</w:t>
            </w:r>
          </w:p>
          <w:p>
            <w:pPr>
              <w:keepNext w:val="0"/>
              <w:keepLines w:val="0"/>
              <w:suppressLineNumbers w:val="0"/>
              <w:spacing w:before="0" w:beforeAutospacing="0" w:after="0" w:afterAutospacing="0" w:line="520" w:lineRule="exact"/>
              <w:ind w:left="0" w:right="0"/>
              <w:jc w:val="center"/>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表</w:t>
            </w:r>
            <w:r>
              <w:rPr>
                <w:rFonts w:hint="eastAsia" w:ascii="Times New Roman" w:hAnsi="Times New Roman" w:eastAsia="宋体" w:cs="Times New Roman"/>
                <w:b/>
                <w:bCs/>
                <w:sz w:val="21"/>
                <w:szCs w:val="21"/>
                <w:lang w:val="en-US" w:eastAsia="zh-CN"/>
              </w:rPr>
              <w:t xml:space="preserve">26  </w:t>
            </w:r>
            <w:r>
              <w:rPr>
                <w:rFonts w:hint="eastAsia" w:ascii="Times New Roman" w:hAnsi="Times New Roman" w:eastAsia="宋体" w:cs="Times New Roman"/>
                <w:b/>
                <w:bCs/>
                <w:sz w:val="21"/>
                <w:szCs w:val="21"/>
                <w:lang w:eastAsia="zh-CN"/>
              </w:rPr>
              <w:t>废气监测内容及频次一览表</w:t>
            </w:r>
          </w:p>
          <w:tbl>
            <w:tblPr>
              <w:tblStyle w:val="12"/>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1513"/>
              <w:gridCol w:w="1573"/>
              <w:gridCol w:w="2084"/>
              <w:gridCol w:w="2776"/>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513"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eastAsia="zh-CN"/>
                    </w:rPr>
                    <w:t>监测</w:t>
                  </w:r>
                  <w:r>
                    <w:rPr>
                      <w:rFonts w:hint="eastAsia" w:ascii="Times New Roman" w:hAnsi="Times New Roman" w:eastAsia="宋体" w:cs="Times New Roman"/>
                      <w:sz w:val="21"/>
                      <w:szCs w:val="21"/>
                    </w:rPr>
                    <w:t>类别</w:t>
                  </w:r>
                </w:p>
              </w:tc>
              <w:tc>
                <w:tcPr>
                  <w:tcW w:w="1573"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监测点位</w:t>
                  </w:r>
                </w:p>
              </w:tc>
              <w:tc>
                <w:tcPr>
                  <w:tcW w:w="2084"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监测因子</w:t>
                  </w:r>
                </w:p>
              </w:tc>
              <w:tc>
                <w:tcPr>
                  <w:tcW w:w="2776"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513"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eastAsia="zh-CN"/>
                    </w:rPr>
                    <w:t>有组织</w:t>
                  </w:r>
                  <w:r>
                    <w:rPr>
                      <w:rFonts w:hint="eastAsia" w:ascii="Times New Roman" w:hAnsi="Times New Roman" w:eastAsia="宋体" w:cs="Times New Roman"/>
                      <w:sz w:val="21"/>
                      <w:szCs w:val="21"/>
                    </w:rPr>
                    <w:t>废气</w:t>
                  </w:r>
                </w:p>
              </w:tc>
              <w:tc>
                <w:tcPr>
                  <w:tcW w:w="157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废气排放口</w:t>
                  </w:r>
                </w:p>
              </w:tc>
              <w:tc>
                <w:tcPr>
                  <w:tcW w:w="2084"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颗粒物</w:t>
                  </w:r>
                </w:p>
              </w:tc>
              <w:tc>
                <w:tcPr>
                  <w:tcW w:w="2776" w:type="dxa"/>
                  <w:noWrap w:val="0"/>
                  <w:vAlign w:val="center"/>
                </w:tcPr>
                <w:p>
                  <w:pPr>
                    <w:keepNext w:val="0"/>
                    <w:keepLines w:val="0"/>
                    <w:suppressLineNumbers w:val="0"/>
                    <w:tabs>
                      <w:tab w:val="left" w:pos="927"/>
                      <w:tab w:val="center" w:pos="1607"/>
                    </w:tabs>
                    <w:spacing w:before="0" w:beforeAutospacing="0" w:after="0" w:afterAutospacing="0"/>
                    <w:ind w:left="0" w:right="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每</w:t>
                  </w:r>
                  <w:r>
                    <w:rPr>
                      <w:rFonts w:hint="eastAsia" w:ascii="Times New Roman" w:hAnsi="Times New Roman" w:eastAsia="宋体" w:cs="Times New Roman"/>
                      <w:sz w:val="21"/>
                      <w:szCs w:val="21"/>
                    </w:rPr>
                    <w:t>年1次，每次2天</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513"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无组织废气</w:t>
                  </w:r>
                </w:p>
              </w:tc>
              <w:tc>
                <w:tcPr>
                  <w:tcW w:w="1573"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上风向一个点，下风向三个点</w:t>
                  </w:r>
                </w:p>
              </w:tc>
              <w:tc>
                <w:tcPr>
                  <w:tcW w:w="2084"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颗粒物</w:t>
                  </w:r>
                </w:p>
              </w:tc>
              <w:tc>
                <w:tcPr>
                  <w:tcW w:w="2776" w:type="dxa"/>
                  <w:noWrap w:val="0"/>
                  <w:vAlign w:val="center"/>
                </w:tcPr>
                <w:p>
                  <w:pPr>
                    <w:keepNext w:val="0"/>
                    <w:keepLines w:val="0"/>
                    <w:suppressLineNumbers w:val="0"/>
                    <w:tabs>
                      <w:tab w:val="left" w:pos="927"/>
                      <w:tab w:val="center" w:pos="1607"/>
                    </w:tabs>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每</w:t>
                  </w:r>
                  <w:r>
                    <w:rPr>
                      <w:rFonts w:hint="eastAsia" w:ascii="Times New Roman" w:hAnsi="Times New Roman" w:eastAsia="宋体" w:cs="Times New Roman"/>
                      <w:sz w:val="21"/>
                      <w:szCs w:val="21"/>
                    </w:rPr>
                    <w:t>年1次，每次2天</w:t>
                  </w:r>
                </w:p>
              </w:tc>
            </w:tr>
          </w:tbl>
          <w:p>
            <w:pPr>
              <w:pStyle w:val="23"/>
              <w:keepNext w:val="0"/>
              <w:keepLines w:val="0"/>
              <w:suppressLineNumbers w:val="0"/>
              <w:spacing w:before="0" w:beforeAutospacing="0" w:after="0" w:afterAutospacing="0" w:line="520" w:lineRule="exact"/>
              <w:ind w:left="0" w:right="0" w:firstLine="420" w:firstLineChars="200"/>
              <w:rPr>
                <w:rFonts w:hint="eastAsia" w:ascii="宋体" w:hAnsi="宋体" w:eastAsia="宋体" w:cs="宋体"/>
                <w:bCs/>
                <w:kern w:val="0"/>
                <w:sz w:val="21"/>
                <w:szCs w:val="21"/>
                <w:lang w:val="en-US" w:eastAsia="zh-CN"/>
              </w:rPr>
            </w:pPr>
            <w:r>
              <w:rPr>
                <w:rFonts w:hint="eastAsia" w:ascii="宋体" w:hAnsi="宋体" w:eastAsia="宋体" w:cs="宋体"/>
                <w:bCs/>
                <w:kern w:val="0"/>
                <w:sz w:val="21"/>
                <w:szCs w:val="21"/>
                <w:lang w:eastAsia="zh-CN"/>
              </w:rPr>
              <w:t>③</w:t>
            </w:r>
            <w:r>
              <w:rPr>
                <w:rFonts w:hint="eastAsia" w:ascii="宋体" w:hAnsi="宋体" w:eastAsia="宋体" w:cs="宋体"/>
                <w:bCs/>
                <w:kern w:val="0"/>
                <w:sz w:val="21"/>
                <w:szCs w:val="21"/>
                <w:lang w:val="en-US" w:eastAsia="zh-CN"/>
              </w:rPr>
              <w:t>废气排放量核算</w:t>
            </w:r>
          </w:p>
          <w:p>
            <w:pPr>
              <w:pStyle w:val="23"/>
              <w:keepNext w:val="0"/>
              <w:keepLines w:val="0"/>
              <w:suppressLineNumbers w:val="0"/>
              <w:spacing w:before="0" w:beforeAutospacing="0" w:after="0" w:afterAutospacing="0" w:line="520" w:lineRule="exact"/>
              <w:ind w:left="0" w:right="0" w:firstLine="420" w:firstLineChars="200"/>
              <w:rPr>
                <w:rFonts w:hint="eastAsia"/>
                <w:color w:val="auto"/>
                <w:kern w:val="2"/>
                <w:sz w:val="21"/>
                <w:szCs w:val="21"/>
              </w:rPr>
            </w:pPr>
            <w:r>
              <w:rPr>
                <w:rFonts w:hint="eastAsia"/>
                <w:color w:val="auto"/>
                <w:kern w:val="2"/>
                <w:sz w:val="21"/>
                <w:szCs w:val="21"/>
                <w:lang w:val="en-US" w:eastAsia="zh-CN"/>
              </w:rPr>
              <w:t>大气污染物年排放量</w:t>
            </w:r>
            <w:r>
              <w:rPr>
                <w:rFonts w:hint="eastAsia"/>
                <w:color w:val="auto"/>
                <w:kern w:val="2"/>
                <w:sz w:val="21"/>
                <w:szCs w:val="21"/>
              </w:rPr>
              <w:t>见下表。</w:t>
            </w:r>
          </w:p>
          <w:p>
            <w:pPr>
              <w:keepNext w:val="0"/>
              <w:keepLines w:val="0"/>
              <w:suppressLineNumbers w:val="0"/>
              <w:spacing w:before="0" w:beforeAutospacing="0" w:after="0" w:afterAutospacing="0" w:line="520" w:lineRule="exact"/>
              <w:ind w:left="0" w:right="0"/>
              <w:jc w:val="center"/>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表</w:t>
            </w:r>
            <w:r>
              <w:rPr>
                <w:rFonts w:hint="eastAsia" w:ascii="Times New Roman" w:hAnsi="Times New Roman" w:eastAsia="宋体" w:cs="Times New Roman"/>
                <w:b/>
                <w:bCs/>
                <w:sz w:val="21"/>
                <w:szCs w:val="21"/>
                <w:lang w:val="en-US" w:eastAsia="zh-CN"/>
              </w:rPr>
              <w:t>27  大气污染物年排放量</w:t>
            </w:r>
            <w:r>
              <w:rPr>
                <w:rFonts w:hint="eastAsia" w:ascii="Times New Roman" w:hAnsi="Times New Roman" w:eastAsia="宋体" w:cs="Times New Roman"/>
                <w:b/>
                <w:bCs/>
                <w:sz w:val="21"/>
                <w:szCs w:val="21"/>
                <w:lang w:eastAsia="zh-CN"/>
              </w:rPr>
              <w:t>一览表</w:t>
            </w:r>
          </w:p>
          <w:tbl>
            <w:tblPr>
              <w:tblStyle w:val="12"/>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1599"/>
              <w:gridCol w:w="1718"/>
              <w:gridCol w:w="2295"/>
              <w:gridCol w:w="2334"/>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599"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废气</w:t>
                  </w:r>
                  <w:r>
                    <w:rPr>
                      <w:rFonts w:hint="eastAsia" w:ascii="Times New Roman" w:hAnsi="Times New Roman" w:eastAsia="宋体" w:cs="Times New Roman"/>
                      <w:sz w:val="21"/>
                      <w:szCs w:val="21"/>
                    </w:rPr>
                    <w:t>类别</w:t>
                  </w:r>
                </w:p>
              </w:tc>
              <w:tc>
                <w:tcPr>
                  <w:tcW w:w="1718"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产污工序</w:t>
                  </w:r>
                </w:p>
              </w:tc>
              <w:tc>
                <w:tcPr>
                  <w:tcW w:w="229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污染因子</w:t>
                  </w:r>
                </w:p>
              </w:tc>
              <w:tc>
                <w:tcPr>
                  <w:tcW w:w="2334"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排放量（t/a）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599"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eastAsia="zh-CN"/>
                    </w:rPr>
                    <w:t>有组织</w:t>
                  </w:r>
                  <w:r>
                    <w:rPr>
                      <w:rFonts w:hint="eastAsia" w:ascii="Times New Roman" w:hAnsi="Times New Roman" w:eastAsia="宋体" w:cs="Times New Roman"/>
                      <w:sz w:val="21"/>
                      <w:szCs w:val="21"/>
                    </w:rPr>
                    <w:t>废气</w:t>
                  </w:r>
                </w:p>
              </w:tc>
              <w:tc>
                <w:tcPr>
                  <w:tcW w:w="171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正负极片生产线</w:t>
                  </w:r>
                </w:p>
              </w:tc>
              <w:tc>
                <w:tcPr>
                  <w:tcW w:w="2295"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233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0.072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1599"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无组织废气</w:t>
                  </w:r>
                </w:p>
              </w:tc>
              <w:tc>
                <w:tcPr>
                  <w:tcW w:w="1718"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正负极片生产线</w:t>
                  </w:r>
                </w:p>
              </w:tc>
              <w:tc>
                <w:tcPr>
                  <w:tcW w:w="2295"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233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0.0129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7" w:hRule="atLeast"/>
                <w:jc w:val="center"/>
              </w:trPr>
              <w:tc>
                <w:tcPr>
                  <w:tcW w:w="5612"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总计</w:t>
                  </w:r>
                </w:p>
              </w:tc>
              <w:tc>
                <w:tcPr>
                  <w:tcW w:w="233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0.0849</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22" w:firstLineChars="200"/>
              <w:jc w:val="both"/>
              <w:textAlignment w:val="auto"/>
              <w:outlineLvl w:val="9"/>
              <w:rPr>
                <w:rFonts w:hint="default"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3、</w:t>
            </w:r>
            <w:r>
              <w:rPr>
                <w:rFonts w:hint="default" w:ascii="宋体" w:hAnsi="宋体" w:eastAsia="宋体" w:cs="宋体"/>
                <w:b/>
                <w:bCs/>
                <w:color w:val="auto"/>
                <w:kern w:val="2"/>
                <w:sz w:val="21"/>
                <w:szCs w:val="21"/>
                <w:lang w:val="en-US" w:eastAsia="zh-CN" w:bidi="ar-SA"/>
              </w:rPr>
              <w:t>非正常排放分析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20" w:firstLineChars="200"/>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非正常工况排污主要包括生产设备的正常开、停车和设备检修时，以及环保设施达不到设计要求时的排放的污染物。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20" w:firstLineChars="200"/>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本</w:t>
            </w:r>
            <w:r>
              <w:rPr>
                <w:rFonts w:hint="default" w:ascii="Times New Roman" w:hAnsi="Times New Roman" w:eastAsia="宋体" w:cs="Times New Roman"/>
                <w:color w:val="auto"/>
                <w:kern w:val="2"/>
                <w:sz w:val="21"/>
                <w:szCs w:val="24"/>
                <w:lang w:val="en-US" w:eastAsia="zh-CN" w:bidi="ar-SA"/>
              </w:rPr>
              <w:t>项目生产过程中产生的非正常排放主要是生产过程设备</w:t>
            </w:r>
            <w:r>
              <w:rPr>
                <w:rFonts w:hint="eastAsia" w:ascii="Times New Roman" w:hAnsi="Times New Roman" w:eastAsia="宋体" w:cs="Times New Roman"/>
                <w:color w:val="auto"/>
                <w:kern w:val="2"/>
                <w:sz w:val="21"/>
                <w:szCs w:val="24"/>
                <w:lang w:val="en-US" w:eastAsia="zh-CN" w:bidi="ar-SA"/>
              </w:rPr>
              <w:t>的正常开、停车和设备</w:t>
            </w:r>
            <w:r>
              <w:rPr>
                <w:rFonts w:hint="default" w:ascii="Times New Roman" w:hAnsi="Times New Roman" w:eastAsia="宋体" w:cs="Times New Roman"/>
                <w:color w:val="auto"/>
                <w:kern w:val="2"/>
                <w:sz w:val="21"/>
                <w:szCs w:val="24"/>
                <w:lang w:val="en-US" w:eastAsia="zh-CN" w:bidi="ar-SA"/>
              </w:rPr>
              <w:t>检修</w:t>
            </w:r>
            <w:r>
              <w:rPr>
                <w:rFonts w:hint="eastAsia" w:ascii="Times New Roman" w:hAnsi="Times New Roman" w:eastAsia="宋体" w:cs="Times New Roman"/>
                <w:color w:val="auto"/>
                <w:kern w:val="2"/>
                <w:sz w:val="21"/>
                <w:szCs w:val="24"/>
                <w:lang w:val="en-US" w:eastAsia="zh-CN" w:bidi="ar-SA"/>
              </w:rPr>
              <w:t>时，</w:t>
            </w:r>
            <w:r>
              <w:rPr>
                <w:rFonts w:hint="default" w:ascii="Times New Roman" w:hAnsi="Times New Roman" w:eastAsia="宋体" w:cs="Times New Roman"/>
                <w:color w:val="auto"/>
                <w:kern w:val="2"/>
                <w:sz w:val="21"/>
                <w:szCs w:val="24"/>
                <w:lang w:val="en-US" w:eastAsia="zh-CN" w:bidi="ar-SA"/>
              </w:rPr>
              <w:t>导致污染物排放控制措施达不到应有效率时引起的污染物排放，本项目废气污染物颗粒物，废气治理措施出现故障，废气处理效率按照</w:t>
            </w:r>
            <w:r>
              <w:rPr>
                <w:rFonts w:hint="eastAsia" w:ascii="Times New Roman" w:hAnsi="Times New Roman" w:eastAsia="宋体" w:cs="Times New Roman"/>
                <w:color w:val="auto"/>
                <w:kern w:val="2"/>
                <w:sz w:val="21"/>
                <w:szCs w:val="24"/>
                <w:lang w:val="en-US" w:eastAsia="zh-CN" w:bidi="ar-SA"/>
              </w:rPr>
              <w:t>0%</w:t>
            </w:r>
            <w:r>
              <w:rPr>
                <w:rFonts w:hint="default" w:ascii="Times New Roman" w:hAnsi="Times New Roman" w:eastAsia="宋体" w:cs="Times New Roman"/>
                <w:color w:val="auto"/>
                <w:kern w:val="2"/>
                <w:sz w:val="21"/>
                <w:szCs w:val="24"/>
                <w:lang w:val="en-US" w:eastAsia="zh-CN" w:bidi="ar-SA"/>
              </w:rPr>
              <w:t>计算，本项目非正常工况下废气污染源排放参数见下表。</w:t>
            </w:r>
          </w:p>
          <w:p>
            <w:pPr>
              <w:keepNext w:val="0"/>
              <w:keepLines w:val="0"/>
              <w:suppressLineNumbers w:val="0"/>
              <w:spacing w:before="0" w:beforeAutospacing="0" w:after="0" w:afterAutospacing="0" w:line="520" w:lineRule="exact"/>
              <w:ind w:left="0" w:right="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w:t>
            </w:r>
            <w:r>
              <w:rPr>
                <w:rFonts w:hint="eastAsia" w:ascii="Times New Roman" w:hAnsi="Times New Roman" w:eastAsia="宋体" w:cs="Times New Roman"/>
                <w:b/>
                <w:bCs/>
                <w:sz w:val="21"/>
                <w:szCs w:val="21"/>
                <w:lang w:val="en-US" w:eastAsia="zh-CN"/>
              </w:rPr>
              <w:t xml:space="preserve">28  </w:t>
            </w:r>
            <w:r>
              <w:rPr>
                <w:rFonts w:hint="default" w:ascii="Times New Roman" w:hAnsi="Times New Roman" w:eastAsia="宋体" w:cs="Times New Roman"/>
                <w:b/>
                <w:bCs/>
                <w:sz w:val="21"/>
                <w:szCs w:val="21"/>
                <w:lang w:val="en-US" w:eastAsia="zh-CN"/>
              </w:rPr>
              <w:t>非正常排放参数表</w:t>
            </w:r>
          </w:p>
          <w:tbl>
            <w:tblPr>
              <w:tblStyle w:val="13"/>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1260"/>
              <w:gridCol w:w="885"/>
              <w:gridCol w:w="1108"/>
              <w:gridCol w:w="715"/>
              <w:gridCol w:w="820"/>
              <w:gridCol w:w="998"/>
              <w:gridCol w:w="11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非正常排放源</w:t>
                  </w:r>
                </w:p>
              </w:tc>
              <w:tc>
                <w:tcPr>
                  <w:tcW w:w="79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非正常排放原因</w:t>
                  </w:r>
                </w:p>
              </w:tc>
              <w:tc>
                <w:tcPr>
                  <w:tcW w:w="55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污染物</w:t>
                  </w:r>
                </w:p>
              </w:tc>
              <w:tc>
                <w:tcPr>
                  <w:tcW w:w="69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非正常排放速率（kg/h）</w:t>
                  </w:r>
                </w:p>
              </w:tc>
              <w:tc>
                <w:tcPr>
                  <w:tcW w:w="45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单次持续时间/h</w:t>
                  </w:r>
                </w:p>
              </w:tc>
              <w:tc>
                <w:tcPr>
                  <w:tcW w:w="51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年发生频次/次</w:t>
                  </w:r>
                </w:p>
              </w:tc>
              <w:tc>
                <w:tcPr>
                  <w:tcW w:w="628"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非正常排放量（kg/a）</w:t>
                  </w:r>
                </w:p>
              </w:tc>
              <w:tc>
                <w:tcPr>
                  <w:tcW w:w="73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采取措施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62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袋式除尘器</w:t>
                  </w:r>
                </w:p>
              </w:tc>
              <w:tc>
                <w:tcPr>
                  <w:tcW w:w="79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污染物排放控制措施达不到应有效率，处理效率为</w:t>
                  </w:r>
                  <w:r>
                    <w:rPr>
                      <w:rFonts w:hint="eastAsia" w:ascii="Times New Roman" w:hAnsi="Times New Roman" w:eastAsia="宋体" w:cs="Times New Roman"/>
                      <w:sz w:val="21"/>
                      <w:szCs w:val="21"/>
                      <w:lang w:val="en-US" w:eastAsia="zh-CN"/>
                    </w:rPr>
                    <w:t>0%</w:t>
                  </w:r>
                </w:p>
              </w:tc>
              <w:tc>
                <w:tcPr>
                  <w:tcW w:w="55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69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4.97</w:t>
                  </w:r>
                </w:p>
              </w:tc>
              <w:tc>
                <w:tcPr>
                  <w:tcW w:w="45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0.25</w:t>
                  </w:r>
                </w:p>
              </w:tc>
              <w:tc>
                <w:tcPr>
                  <w:tcW w:w="51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628"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1.24</w:t>
                  </w:r>
                </w:p>
              </w:tc>
              <w:tc>
                <w:tcPr>
                  <w:tcW w:w="73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产生废气的工序及时停止运行</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20" w:firstLineChars="200"/>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为了减轻项目对周围环境的影响程度和范围，保证该地区的可持续发展。项目在生产过程中必须加强管理，保证废气处理设备正常运行，避免事故发生。当废气处理设备出现故障时，应尽快停产对其进行维修，尽量减轻对周围环境造成的影响。此外，评价建议项目在生产过程中采用双回路供电，同时加强日常对各类设备的维护和保养，可以进一步降低出现非正常工况出现的概率，避免非正常工况情况下污染物对环境敏感点代店村造成影响。</w:t>
            </w:r>
          </w:p>
          <w:p>
            <w:pPr>
              <w:keepNext w:val="0"/>
              <w:keepLines w:val="0"/>
              <w:pageBreakBefore w:val="0"/>
              <w:suppressLineNumbers w:val="0"/>
              <w:kinsoku/>
              <w:wordWrap/>
              <w:overflowPunct/>
              <w:topLinePunct w:val="0"/>
              <w:autoSpaceDE/>
              <w:autoSpaceDN/>
              <w:bidi w:val="0"/>
              <w:spacing w:before="0" w:beforeAutospacing="0" w:after="0" w:afterAutospacing="0" w:line="520" w:lineRule="exact"/>
              <w:ind w:left="0" w:right="0" w:firstLine="422" w:firstLineChars="200"/>
              <w:textAlignment w:val="auto"/>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二、</w:t>
            </w:r>
            <w:r>
              <w:rPr>
                <w:rFonts w:ascii="Times New Roman" w:hAnsi="Times New Roman" w:eastAsia="宋体" w:cs="Times New Roman"/>
                <w:b/>
                <w:bCs/>
                <w:color w:val="auto"/>
                <w:sz w:val="21"/>
                <w:szCs w:val="21"/>
              </w:rPr>
              <w:t>废水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生产用水：项目生产过程中无废水产生。</w:t>
            </w:r>
          </w:p>
          <w:p>
            <w:pPr>
              <w:pStyle w:val="10"/>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left="0" w:right="0" w:firstLine="420" w:firstLineChars="200"/>
              <w:textAlignment w:val="auto"/>
              <w:rPr>
                <w:rFonts w:hint="eastAsia"/>
                <w:sz w:val="21"/>
                <w:szCs w:val="21"/>
                <w:lang w:val="en-US" w:eastAsia="zh-CN"/>
              </w:rPr>
            </w:pPr>
            <w:r>
              <w:rPr>
                <w:rFonts w:hint="eastAsia"/>
                <w:sz w:val="21"/>
                <w:szCs w:val="21"/>
                <w:lang w:eastAsia="zh-CN"/>
              </w:rPr>
              <w:t>生活废水：</w:t>
            </w:r>
            <w:r>
              <w:rPr>
                <w:rFonts w:hint="eastAsia" w:ascii="Times New Roman" w:hAnsi="Times New Roman" w:cs="Times New Roman"/>
                <w:color w:val="auto"/>
                <w:lang w:val="en-US" w:eastAsia="zh-CN"/>
              </w:rPr>
              <w:t>本项目劳动定员6人，根据《工业与城镇生活用水定额》（DB41 T385-2020），人均用水量按40L/d，则本项目生活用水量为0.24m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/d（72m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/a），排污系数按0.8计，生活废水产生量约为57.6m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/a。</w:t>
            </w:r>
            <w:r>
              <w:rPr>
                <w:rFonts w:hint="eastAsia"/>
                <w:sz w:val="21"/>
                <w:szCs w:val="21"/>
                <w:lang w:val="en-US" w:eastAsia="zh-CN"/>
              </w:rPr>
              <w:t>生活废水经厂区化粪池处理后定期清运，不外排。</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cs="Times New Roman"/>
                <w:color w:val="auto"/>
                <w:lang w:val="en-US" w:eastAsia="zh-CN"/>
              </w:rPr>
            </w:pPr>
            <w:r>
              <w:rPr>
                <w:rFonts w:hint="eastAsia" w:cs="Times New Roman"/>
                <w:color w:val="auto"/>
                <w:lang w:val="en-US" w:eastAsia="zh-CN"/>
              </w:rPr>
              <w:t>项目水平衡图如下图所示：</w:t>
            </w:r>
          </w:p>
          <w:p>
            <w:pPr>
              <w:pStyle w:val="7"/>
              <w:keepNext w:val="0"/>
              <w:keepLines w:val="0"/>
              <w:suppressLineNumbers w:val="0"/>
              <w:spacing w:before="0" w:beforeAutospacing="0" w:after="0" w:afterAutospacing="0"/>
              <w:ind w:left="0" w:firstLine="420"/>
              <w:jc w:val="center"/>
              <w:rPr>
                <w:rFonts w:hint="eastAsia"/>
                <w:color w:val="auto"/>
                <w:lang w:val="en-US" w:eastAsia="zh-CN"/>
              </w:rPr>
            </w:pPr>
            <w:r>
              <w:rPr>
                <w:b/>
                <w:bCs/>
                <w:color w:val="auto"/>
              </w:rPr>
              <w:drawing>
                <wp:anchor distT="0" distB="0" distL="114300" distR="114300" simplePos="0" relativeHeight="251713536" behindDoc="1" locked="0" layoutInCell="1" allowOverlap="1">
                  <wp:simplePos x="0" y="0"/>
                  <wp:positionH relativeFrom="column">
                    <wp:posOffset>208280</wp:posOffset>
                  </wp:positionH>
                  <wp:positionV relativeFrom="paragraph">
                    <wp:posOffset>88900</wp:posOffset>
                  </wp:positionV>
                  <wp:extent cx="4619625" cy="1057275"/>
                  <wp:effectExtent l="0" t="0" r="9525" b="9525"/>
                  <wp:wrapTight wrapText="bothSides">
                    <wp:wrapPolygon>
                      <wp:start x="0" y="0"/>
                      <wp:lineTo x="0" y="21405"/>
                      <wp:lineTo x="21555" y="21405"/>
                      <wp:lineTo x="21555" y="0"/>
                      <wp:lineTo x="0" y="0"/>
                    </wp:wrapPolygon>
                  </wp:wrapTight>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14"/>
                          <a:stretch>
                            <a:fillRect/>
                          </a:stretch>
                        </pic:blipFill>
                        <pic:spPr>
                          <a:xfrm>
                            <a:off x="0" y="0"/>
                            <a:ext cx="4619625" cy="1057275"/>
                          </a:xfrm>
                          <a:prstGeom prst="rect">
                            <a:avLst/>
                          </a:prstGeom>
                          <a:noFill/>
                          <a:ln>
                            <a:noFill/>
                          </a:ln>
                        </pic:spPr>
                      </pic:pic>
                    </a:graphicData>
                  </a:graphic>
                </wp:anchor>
              </w:drawing>
            </w:r>
            <w:r>
              <w:rPr>
                <w:rFonts w:hint="eastAsia" w:cs="Times New Roman"/>
                <w:b/>
                <w:bCs/>
                <w:color w:val="auto"/>
                <w:lang w:val="en-US" w:eastAsia="zh-CN"/>
              </w:rPr>
              <w:t>图3  水平衡图（单位：t/d）</w:t>
            </w:r>
          </w:p>
          <w:p>
            <w:pPr>
              <w:pStyle w:val="10"/>
              <w:keepNext w:val="0"/>
              <w:keepLines w:val="0"/>
              <w:pageBreakBefore w:val="0"/>
              <w:widowControl w:val="0"/>
              <w:suppressLineNumbers w:val="0"/>
              <w:kinsoku/>
              <w:wordWrap/>
              <w:overflowPunct/>
              <w:topLinePunct w:val="0"/>
              <w:autoSpaceDE/>
              <w:autoSpaceDN/>
              <w:bidi w:val="0"/>
              <w:spacing w:before="0" w:beforeAutospacing="0" w:after="0" w:afterLines="0" w:line="520" w:lineRule="exact"/>
              <w:ind w:left="0" w:right="0" w:firstLine="420" w:firstLineChars="200"/>
              <w:textAlignment w:val="auto"/>
              <w:rPr>
                <w:rFonts w:hint="eastAsia"/>
                <w:color w:val="auto"/>
                <w:lang w:val="en-US" w:eastAsia="zh-CN"/>
              </w:rPr>
            </w:pPr>
            <w:r>
              <w:rPr>
                <w:rFonts w:hint="eastAsia"/>
                <w:color w:val="auto"/>
                <w:lang w:val="en-US" w:eastAsia="zh-CN"/>
              </w:rPr>
              <w:t>综上，本项目废水不外排，对周围环境影响较小。</w:t>
            </w:r>
          </w:p>
          <w:p>
            <w:pPr>
              <w:keepNext w:val="0"/>
              <w:keepLines w:val="0"/>
              <w:suppressLineNumbers w:val="0"/>
              <w:spacing w:before="0" w:beforeAutospacing="0" w:after="0" w:afterAutospacing="0" w:line="520" w:lineRule="exact"/>
              <w:ind w:left="0" w:right="0" w:firstLine="422" w:firstLineChars="200"/>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三、</w:t>
            </w:r>
            <w:r>
              <w:rPr>
                <w:rFonts w:ascii="Times New Roman" w:hAnsi="Times New Roman" w:eastAsia="宋体" w:cs="Times New Roman"/>
                <w:b/>
                <w:bCs/>
                <w:color w:val="auto"/>
                <w:sz w:val="21"/>
                <w:szCs w:val="21"/>
              </w:rPr>
              <w:t>噪声</w:t>
            </w:r>
          </w:p>
          <w:p>
            <w:pPr>
              <w:keepNext w:val="0"/>
              <w:keepLines w:val="0"/>
              <w:suppressLineNumbers w:val="0"/>
              <w:adjustRightInd w:val="0"/>
              <w:snapToGrid w:val="0"/>
              <w:spacing w:before="0" w:beforeAutospacing="0" w:after="0" w:afterAutospacing="0" w:line="520" w:lineRule="exact"/>
              <w:ind w:left="0" w:right="0" w:firstLine="420" w:firstLineChars="20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本</w:t>
            </w:r>
            <w:r>
              <w:rPr>
                <w:rFonts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rPr>
              <w:t>高噪声设备主要是</w:t>
            </w:r>
            <w:r>
              <w:rPr>
                <w:rFonts w:hint="eastAsia" w:ascii="Times New Roman" w:hAnsi="Times New Roman" w:eastAsia="宋体" w:cs="Times New Roman"/>
                <w:color w:val="auto"/>
                <w:sz w:val="21"/>
                <w:szCs w:val="21"/>
                <w:lang w:eastAsia="zh-CN"/>
              </w:rPr>
              <w:t>配料机、搅拌机、液压机和叉车。</w:t>
            </w:r>
            <w:r>
              <w:rPr>
                <w:rFonts w:hint="eastAsia" w:ascii="Times New Roman" w:hAnsi="Times New Roman" w:eastAsia="宋体" w:cs="Times New Roman"/>
                <w:color w:val="auto"/>
                <w:sz w:val="21"/>
                <w:szCs w:val="21"/>
              </w:rPr>
              <w:t>经查阅相关资料，噪声源强在80-</w:t>
            </w:r>
            <w:r>
              <w:rPr>
                <w:rFonts w:hint="eastAsia" w:ascii="Times New Roman" w:hAnsi="Times New Roman" w:eastAsia="宋体" w:cs="Times New Roman"/>
                <w:color w:val="auto"/>
                <w:sz w:val="21"/>
                <w:szCs w:val="21"/>
                <w:lang w:val="en-US" w:eastAsia="zh-CN"/>
              </w:rPr>
              <w:t>90</w:t>
            </w:r>
            <w:r>
              <w:rPr>
                <w:rFonts w:hint="eastAsia" w:ascii="Times New Roman" w:hAnsi="Times New Roman" w:eastAsia="宋体" w:cs="Times New Roman"/>
                <w:color w:val="auto"/>
                <w:sz w:val="21"/>
                <w:szCs w:val="21"/>
              </w:rPr>
              <w:t>dB</w:t>
            </w:r>
            <w:r>
              <w:rPr>
                <w:rFonts w:hint="eastAsia" w:ascii="宋体" w:hAnsi="宋体" w:eastAsia="宋体" w:cs="宋体"/>
                <w:color w:val="auto"/>
                <w:sz w:val="21"/>
                <w:szCs w:val="21"/>
              </w:rPr>
              <w:t>(</w:t>
            </w:r>
            <w:r>
              <w:rPr>
                <w:rFonts w:ascii="Times New Roman" w:hAnsi="Times New Roman" w:eastAsia="宋体" w:cs="Times New Roman"/>
                <w:color w:val="auto"/>
                <w:sz w:val="21"/>
                <w:szCs w:val="21"/>
              </w:rPr>
              <w:t>A</w:t>
            </w:r>
            <w:r>
              <w:rPr>
                <w:rFonts w:hint="eastAsia" w:ascii="宋体" w:hAnsi="宋体" w:eastAsia="宋体" w:cs="宋体"/>
                <w:color w:val="auto"/>
                <w:sz w:val="21"/>
                <w:szCs w:val="21"/>
              </w:rPr>
              <w:t>)</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本项目主要高噪声设备源强产生情况及采取降噪措施后降噪效</w:t>
            </w:r>
            <w:r>
              <w:rPr>
                <w:rFonts w:hint="eastAsia" w:ascii="Times New Roman" w:hAnsi="Times New Roman" w:eastAsia="宋体" w:cs="Times New Roman"/>
                <w:color w:val="auto"/>
                <w:sz w:val="21"/>
                <w:szCs w:val="21"/>
                <w:lang w:eastAsia="zh-CN"/>
              </w:rPr>
              <w:t>果见下表。</w:t>
            </w:r>
          </w:p>
          <w:p>
            <w:pPr>
              <w:keepNext w:val="0"/>
              <w:keepLines w:val="0"/>
              <w:suppressLineNumbers w:val="0"/>
              <w:adjustRightInd w:val="0"/>
              <w:snapToGrid w:val="0"/>
              <w:spacing w:before="0" w:beforeAutospacing="0" w:after="0" w:afterAutospacing="0" w:line="520" w:lineRule="exact"/>
              <w:ind w:left="0" w:right="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表</w:t>
            </w:r>
            <w:r>
              <w:rPr>
                <w:rFonts w:hint="eastAsia" w:ascii="Times New Roman" w:hAnsi="Times New Roman" w:eastAsia="宋体" w:cs="Times New Roman"/>
                <w:b/>
                <w:bCs/>
                <w:color w:val="auto"/>
                <w:sz w:val="21"/>
                <w:szCs w:val="21"/>
                <w:lang w:val="en-US" w:eastAsia="zh-CN"/>
              </w:rPr>
              <w:t>29</w:t>
            </w:r>
            <w:r>
              <w:rPr>
                <w:rFonts w:hint="eastAsia" w:ascii="Times New Roman" w:hAnsi="Times New Roman" w:eastAsia="宋体" w:cs="Times New Roman"/>
                <w:b/>
                <w:bCs/>
                <w:color w:val="auto"/>
                <w:sz w:val="21"/>
                <w:szCs w:val="21"/>
                <w:lang w:eastAsia="zh-CN"/>
              </w:rPr>
              <w:t xml:space="preserve">  本项目新增设备噪声情况</w:t>
            </w:r>
          </w:p>
          <w:tbl>
            <w:tblPr>
              <w:tblStyle w:val="1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1507"/>
              <w:gridCol w:w="1059"/>
              <w:gridCol w:w="2873"/>
              <w:gridCol w:w="13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设备名称</w:t>
                  </w:r>
                </w:p>
              </w:tc>
              <w:tc>
                <w:tcPr>
                  <w:tcW w:w="150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单台噪声源强</w:t>
                  </w:r>
                </w:p>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（dB（A））</w:t>
                  </w:r>
                </w:p>
              </w:tc>
              <w:tc>
                <w:tcPr>
                  <w:tcW w:w="105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设备数量</w:t>
                  </w:r>
                </w:p>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（台/套）</w:t>
                  </w:r>
                </w:p>
              </w:tc>
              <w:tc>
                <w:tcPr>
                  <w:tcW w:w="287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采取措施</w:t>
                  </w:r>
                </w:p>
              </w:tc>
              <w:tc>
                <w:tcPr>
                  <w:tcW w:w="13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治理后源强</w:t>
                  </w:r>
                </w:p>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9" w:type="dxa"/>
                  <w:noWrap w:val="0"/>
                  <w:vAlign w:val="center"/>
                </w:tcPr>
                <w:p>
                  <w:pPr>
                    <w:keepNext w:val="0"/>
                    <w:keepLines w:val="0"/>
                    <w:suppressLineNumbers w:val="0"/>
                    <w:snapToGrid/>
                    <w:spacing w:before="0" w:beforeAutospacing="0" w:after="0" w:afterAutospacing="0" w:line="240" w:lineRule="auto"/>
                    <w:ind w:left="0" w:right="0"/>
                    <w:jc w:val="center"/>
                    <w:textAlignment w:val="baseline"/>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撕碎机</w:t>
                  </w:r>
                </w:p>
              </w:tc>
              <w:tc>
                <w:tcPr>
                  <w:tcW w:w="150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w:t>
                  </w:r>
                </w:p>
              </w:tc>
              <w:tc>
                <w:tcPr>
                  <w:tcW w:w="1059" w:type="dxa"/>
                  <w:noWrap w:val="0"/>
                  <w:vAlign w:val="center"/>
                </w:tcPr>
                <w:p>
                  <w:pPr>
                    <w:keepNext w:val="0"/>
                    <w:keepLines w:val="0"/>
                    <w:suppressLineNumbers w:val="0"/>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287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厂房隔声、基础减振</w:t>
                  </w:r>
                </w:p>
              </w:tc>
              <w:tc>
                <w:tcPr>
                  <w:tcW w:w="132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9" w:type="dxa"/>
                  <w:noWrap w:val="0"/>
                  <w:vAlign w:val="center"/>
                </w:tcPr>
                <w:p>
                  <w:pPr>
                    <w:keepNext w:val="0"/>
                    <w:keepLines w:val="0"/>
                    <w:suppressLineNumbers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破碎机</w:t>
                  </w:r>
                </w:p>
              </w:tc>
              <w:tc>
                <w:tcPr>
                  <w:tcW w:w="150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w:t>
                  </w:r>
                </w:p>
              </w:tc>
              <w:tc>
                <w:tcPr>
                  <w:tcW w:w="1059" w:type="dxa"/>
                  <w:noWrap w:val="0"/>
                  <w:vAlign w:val="center"/>
                </w:tcPr>
                <w:p>
                  <w:pPr>
                    <w:keepNext w:val="0"/>
                    <w:keepLines w:val="0"/>
                    <w:suppressLineNumbers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287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厂房隔声、基础减振</w:t>
                  </w:r>
                </w:p>
              </w:tc>
              <w:tc>
                <w:tcPr>
                  <w:tcW w:w="132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9" w:type="dxa"/>
                  <w:noWrap w:val="0"/>
                  <w:vAlign w:val="center"/>
                </w:tcPr>
                <w:p>
                  <w:pPr>
                    <w:keepNext w:val="0"/>
                    <w:keepLines w:val="0"/>
                    <w:suppressLineNumbers w:val="0"/>
                    <w:snapToGrid/>
                    <w:spacing w:before="0" w:beforeAutospacing="0" w:after="0" w:afterAutospacing="0" w:line="240" w:lineRule="auto"/>
                    <w:ind w:left="0" w:right="0"/>
                    <w:jc w:val="center"/>
                    <w:textAlignment w:val="baseline"/>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搅拌机</w:t>
                  </w:r>
                </w:p>
              </w:tc>
              <w:tc>
                <w:tcPr>
                  <w:tcW w:w="150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w:t>
                  </w:r>
                </w:p>
              </w:tc>
              <w:tc>
                <w:tcPr>
                  <w:tcW w:w="1059" w:type="dxa"/>
                  <w:noWrap w:val="0"/>
                  <w:vAlign w:val="center"/>
                </w:tcPr>
                <w:p>
                  <w:pPr>
                    <w:keepNext w:val="0"/>
                    <w:keepLines w:val="0"/>
                    <w:suppressLineNumbers w:val="0"/>
                    <w:snapToGrid/>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287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厂房隔声、基础减振</w:t>
                  </w:r>
                </w:p>
              </w:tc>
              <w:tc>
                <w:tcPr>
                  <w:tcW w:w="132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9" w:type="dxa"/>
                  <w:noWrap w:val="0"/>
                  <w:vAlign w:val="center"/>
                </w:tcPr>
                <w:p>
                  <w:pPr>
                    <w:keepNext w:val="0"/>
                    <w:keepLines w:val="0"/>
                    <w:suppressLineNumbers w:val="0"/>
                    <w:snapToGrid w:val="0"/>
                    <w:spacing w:before="0" w:beforeAutospacing="0" w:after="0" w:afterAutospacing="0" w:line="240" w:lineRule="auto"/>
                    <w:ind w:left="0" w:right="0"/>
                    <w:jc w:val="center"/>
                    <w:textAlignment w:val="baseline"/>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eastAsia="zh-CN"/>
                    </w:rPr>
                    <w:t>气流分选集料器</w:t>
                  </w:r>
                </w:p>
              </w:tc>
              <w:tc>
                <w:tcPr>
                  <w:tcW w:w="150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w:t>
                  </w:r>
                </w:p>
              </w:tc>
              <w:tc>
                <w:tcPr>
                  <w:tcW w:w="1059" w:type="dxa"/>
                  <w:noWrap w:val="0"/>
                  <w:vAlign w:val="center"/>
                </w:tcPr>
                <w:p>
                  <w:pPr>
                    <w:keepNext w:val="0"/>
                    <w:keepLines w:val="0"/>
                    <w:suppressLineNumbers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287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厂房隔声、基础减振</w:t>
                  </w:r>
                </w:p>
              </w:tc>
              <w:tc>
                <w:tcPr>
                  <w:tcW w:w="132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79" w:type="dxa"/>
                  <w:noWrap w:val="0"/>
                  <w:vAlign w:val="center"/>
                </w:tcPr>
                <w:p>
                  <w:pPr>
                    <w:keepNext w:val="0"/>
                    <w:keepLines w:val="0"/>
                    <w:suppressLineNumbers w:val="0"/>
                    <w:snapToGrid w:val="0"/>
                    <w:spacing w:before="0" w:beforeAutospacing="0" w:after="0" w:afterAutospacing="0" w:line="240" w:lineRule="auto"/>
                    <w:ind w:left="0" w:right="0"/>
                    <w:jc w:val="center"/>
                    <w:textAlignment w:val="baseline"/>
                    <w:rPr>
                      <w:rStyle w:val="18"/>
                      <w:rFonts w:ascii="Times New Roman" w:hAnsi="Times New Roman" w:eastAsia="宋体" w:cs="Times New Roman"/>
                      <w:b w:val="0"/>
                      <w:i w:val="0"/>
                      <w:caps w:val="0"/>
                      <w:color w:val="auto"/>
                      <w:spacing w:val="0"/>
                      <w:w w:val="100"/>
                      <w:kern w:val="2"/>
                      <w:sz w:val="21"/>
                      <w:szCs w:val="21"/>
                      <w:highlight w:val="none"/>
                      <w:lang w:val="en-US" w:eastAsia="zh-CN" w:bidi="ar-SA"/>
                    </w:rPr>
                  </w:pPr>
                  <w:r>
                    <w:rPr>
                      <w:rStyle w:val="18"/>
                      <w:rFonts w:hint="eastAsia" w:ascii="Times New Roman" w:hAnsi="Times New Roman" w:eastAsia="宋体" w:cs="Times New Roman"/>
                      <w:b w:val="0"/>
                      <w:i w:val="0"/>
                      <w:caps w:val="0"/>
                      <w:color w:val="auto"/>
                      <w:spacing w:val="0"/>
                      <w:w w:val="100"/>
                      <w:kern w:val="2"/>
                      <w:sz w:val="21"/>
                      <w:szCs w:val="21"/>
                      <w:highlight w:val="none"/>
                      <w:lang w:val="en-US" w:eastAsia="zh-CN" w:bidi="ar-SA"/>
                    </w:rPr>
                    <w:t>直线筛</w:t>
                  </w:r>
                </w:p>
              </w:tc>
              <w:tc>
                <w:tcPr>
                  <w:tcW w:w="150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p>
              </w:tc>
              <w:tc>
                <w:tcPr>
                  <w:tcW w:w="1059" w:type="dxa"/>
                  <w:noWrap w:val="0"/>
                  <w:vAlign w:val="center"/>
                </w:tcPr>
                <w:p>
                  <w:pPr>
                    <w:keepNext w:val="0"/>
                    <w:keepLines w:val="0"/>
                    <w:suppressLineNumbers w:val="0"/>
                    <w:snapToGrid w:val="0"/>
                    <w:spacing w:before="0" w:beforeAutospacing="0" w:after="0" w:afterAutospacing="0" w:line="240" w:lineRule="auto"/>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287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厂房隔声、基础减振</w:t>
                  </w:r>
                </w:p>
              </w:tc>
              <w:tc>
                <w:tcPr>
                  <w:tcW w:w="132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w:t>
                  </w:r>
                </w:p>
              </w:tc>
            </w:tr>
          </w:tbl>
          <w:p>
            <w:pPr>
              <w:keepNext w:val="0"/>
              <w:keepLines w:val="0"/>
              <w:suppressLineNumbers w:val="0"/>
              <w:spacing w:before="0" w:beforeAutospacing="0" w:after="0" w:afterAutospacing="0" w:line="520" w:lineRule="exact"/>
              <w:ind w:left="0" w:right="0" w:firstLine="420" w:firstLineChars="200"/>
              <w:rPr>
                <w:rFonts w:hint="eastAsia" w:ascii="Times New Roman" w:hAnsi="Times New Roman" w:eastAsia="宋体" w:cs="Times New Roman"/>
                <w:b/>
                <w:color w:val="auto"/>
                <w:sz w:val="21"/>
                <w:szCs w:val="21"/>
              </w:rPr>
            </w:pPr>
            <w:r>
              <w:rPr>
                <w:rFonts w:ascii="Times New Roman" w:hAnsi="Times New Roman" w:eastAsia="宋体" w:cs="Times New Roman"/>
                <w:color w:val="auto"/>
                <w:sz w:val="21"/>
                <w:szCs w:val="21"/>
              </w:rPr>
              <w:t>运营期项目厂界噪声执行《工业企业厂界环境噪声排放标准</w:t>
            </w:r>
            <w:r>
              <w:rPr>
                <w:rFonts w:hint="eastAsia" w:ascii="宋体" w:hAnsi="宋体" w:eastAsia="宋体" w:cs="宋体"/>
                <w:color w:val="auto"/>
                <w:sz w:val="21"/>
                <w:szCs w:val="21"/>
              </w:rPr>
              <w:t>》（</w:t>
            </w:r>
            <w:r>
              <w:rPr>
                <w:rFonts w:ascii="Times New Roman" w:hAnsi="Times New Roman" w:eastAsia="宋体" w:cs="Times New Roman"/>
                <w:color w:val="auto"/>
                <w:sz w:val="21"/>
                <w:szCs w:val="21"/>
              </w:rPr>
              <w:t>GB12348-2008</w:t>
            </w:r>
            <w:r>
              <w:rPr>
                <w:rFonts w:hint="eastAsia" w:ascii="Times New Roman" w:hAnsi="Times New Roman" w:eastAsia="宋体" w:cs="Times New Roman"/>
                <w:color w:val="auto"/>
                <w:sz w:val="21"/>
                <w:szCs w:val="21"/>
              </w:rPr>
              <w:t>）2</w:t>
            </w:r>
            <w:r>
              <w:rPr>
                <w:rFonts w:hint="eastAsia" w:ascii="宋体" w:hAnsi="宋体" w:eastAsia="宋体" w:cs="宋体"/>
                <w:color w:val="auto"/>
                <w:sz w:val="21"/>
                <w:szCs w:val="21"/>
              </w:rPr>
              <w:t>类标准。</w:t>
            </w:r>
          </w:p>
          <w:p>
            <w:pPr>
              <w:keepNext w:val="0"/>
              <w:keepLines w:val="0"/>
              <w:suppressLineNumbers w:val="0"/>
              <w:snapToGrid w:val="0"/>
              <w:spacing w:before="0" w:beforeAutospacing="0" w:after="0" w:afterAutospacing="0" w:line="520" w:lineRule="exact"/>
              <w:ind w:left="0" w:right="0" w:firstLine="420" w:firstLine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本评价主要通过预测噪声源经过消声、隔声措施衰减后，扩散到厂界的噪声值判断达标情况，声环境影响预测采用声源衰减模式及多源叠加模式，具体为：</w:t>
            </w:r>
          </w:p>
          <w:p>
            <w:pPr>
              <w:keepNext w:val="0"/>
              <w:keepLines w:val="0"/>
              <w:suppressLineNumbers w:val="0"/>
              <w:snapToGrid w:val="0"/>
              <w:spacing w:before="0" w:beforeAutospacing="0" w:after="0" w:afterAutospacing="0" w:line="520" w:lineRule="exact"/>
              <w:ind w:left="0" w:right="0" w:firstLine="420" w:firstLineChars="20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①</w:t>
            </w:r>
            <w:r>
              <w:rPr>
                <w:rFonts w:ascii="Times New Roman" w:hAnsi="Times New Roman" w:eastAsia="宋体" w:cs="Times New Roman"/>
                <w:color w:val="auto"/>
                <w:sz w:val="21"/>
                <w:szCs w:val="21"/>
              </w:rPr>
              <w:t xml:space="preserve">点源衰减模式:  </w:t>
            </w:r>
          </w:p>
          <w:p>
            <w:pPr>
              <w:keepNext w:val="0"/>
              <w:keepLines w:val="0"/>
              <w:suppressLineNumbers w:val="0"/>
              <w:snapToGrid w:val="0"/>
              <w:spacing w:before="0" w:beforeAutospacing="0" w:after="0" w:afterAutospacing="0" w:line="520" w:lineRule="exact"/>
              <w:ind w:left="0" w:right="0" w:firstLine="420" w:firstLine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L</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=L</w:t>
            </w:r>
            <w:r>
              <w:rPr>
                <w:rFonts w:ascii="Times New Roman" w:hAnsi="Times New Roman" w:eastAsia="宋体" w:cs="Times New Roman"/>
                <w:color w:val="auto"/>
                <w:sz w:val="21"/>
                <w:szCs w:val="21"/>
                <w:vertAlign w:val="subscript"/>
              </w:rPr>
              <w:t>1</w:t>
            </w:r>
            <w:r>
              <w:rPr>
                <w:rFonts w:ascii="Times New Roman" w:hAnsi="Times New Roman" w:eastAsia="宋体" w:cs="Times New Roman"/>
                <w:color w:val="auto"/>
                <w:sz w:val="21"/>
                <w:szCs w:val="21"/>
              </w:rPr>
              <w:t>-20lg（r</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/r</w:t>
            </w:r>
            <w:r>
              <w:rPr>
                <w:rFonts w:ascii="Times New Roman" w:hAnsi="Times New Roman" w:eastAsia="宋体" w:cs="Times New Roman"/>
                <w:color w:val="auto"/>
                <w:sz w:val="21"/>
                <w:szCs w:val="21"/>
                <w:vertAlign w:val="subscript"/>
              </w:rPr>
              <w:t>1</w:t>
            </w:r>
            <w:r>
              <w:rPr>
                <w:rFonts w:ascii="Times New Roman" w:hAnsi="Times New Roman" w:eastAsia="宋体" w:cs="Times New Roman"/>
                <w:color w:val="auto"/>
                <w:sz w:val="21"/>
                <w:szCs w:val="21"/>
              </w:rPr>
              <w:t>）</w:t>
            </w:r>
          </w:p>
          <w:p>
            <w:pPr>
              <w:keepNext w:val="0"/>
              <w:keepLines w:val="0"/>
              <w:suppressLineNumbers w:val="0"/>
              <w:snapToGrid w:val="0"/>
              <w:spacing w:before="0" w:beforeAutospacing="0" w:after="0" w:afterAutospacing="0" w:line="520" w:lineRule="exact"/>
              <w:ind w:left="0" w:right="0" w:firstLine="420" w:firstLineChars="20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②</w:t>
            </w:r>
            <w:r>
              <w:rPr>
                <w:rFonts w:ascii="Times New Roman" w:hAnsi="Times New Roman" w:eastAsia="宋体" w:cs="Times New Roman"/>
                <w:color w:val="auto"/>
                <w:sz w:val="21"/>
                <w:szCs w:val="21"/>
              </w:rPr>
              <w:t>多源叠加模式</w:t>
            </w:r>
            <w:r>
              <w:rPr>
                <w:rFonts w:hint="eastAsia" w:ascii="Times New Roman" w:hAnsi="Times New Roman" w:eastAsia="宋体" w:cs="Times New Roman"/>
                <w:color w:val="auto"/>
                <w:sz w:val="21"/>
                <w:szCs w:val="21"/>
              </w:rPr>
              <w:t>：</w:t>
            </w:r>
          </w:p>
          <w:p>
            <w:pPr>
              <w:keepNext w:val="0"/>
              <w:keepLines w:val="0"/>
              <w:suppressLineNumbers w:val="0"/>
              <w:snapToGrid w:val="0"/>
              <w:spacing w:before="0" w:beforeAutospacing="0" w:after="0" w:afterAutospacing="0"/>
              <w:ind w:left="0" w:right="0" w:firstLine="420" w:firstLine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114300" distR="114300">
                  <wp:extent cx="1371600" cy="431800"/>
                  <wp:effectExtent l="0" t="0" r="0" b="571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5"/>
                          <a:stretch>
                            <a:fillRect/>
                          </a:stretch>
                        </pic:blipFill>
                        <pic:spPr>
                          <a:xfrm>
                            <a:off x="0" y="0"/>
                            <a:ext cx="1371600" cy="431800"/>
                          </a:xfrm>
                          <a:prstGeom prst="rect">
                            <a:avLst/>
                          </a:prstGeom>
                          <a:noFill/>
                          <a:ln>
                            <a:noFill/>
                          </a:ln>
                        </pic:spPr>
                      </pic:pic>
                    </a:graphicData>
                  </a:graphic>
                </wp:inline>
              </w:drawing>
            </w:r>
          </w:p>
          <w:p>
            <w:pPr>
              <w:keepNext w:val="0"/>
              <w:keepLines w:val="0"/>
              <w:suppressLineNumbers w:val="0"/>
              <w:snapToGrid w:val="0"/>
              <w:spacing w:before="0" w:beforeAutospacing="0" w:after="0" w:afterAutospacing="0" w:line="520" w:lineRule="exact"/>
              <w:ind w:left="0" w:right="0" w:firstLine="420" w:firstLine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式中，r</w:t>
            </w:r>
            <w:r>
              <w:rPr>
                <w:rFonts w:ascii="Times New Roman" w:hAnsi="Times New Roman" w:eastAsia="宋体" w:cs="Times New Roman"/>
                <w:color w:val="auto"/>
                <w:sz w:val="21"/>
                <w:szCs w:val="21"/>
                <w:vertAlign w:val="subscript"/>
              </w:rPr>
              <w:t>1</w:t>
            </w:r>
            <w:r>
              <w:rPr>
                <w:rFonts w:ascii="Times New Roman" w:hAnsi="Times New Roman" w:eastAsia="宋体" w:cs="Times New Roman"/>
                <w:color w:val="auto"/>
                <w:sz w:val="21"/>
                <w:szCs w:val="21"/>
              </w:rPr>
              <w:t>、r</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——距声源的距离(m)；</w:t>
            </w:r>
          </w:p>
          <w:p>
            <w:pPr>
              <w:keepNext w:val="0"/>
              <w:keepLines w:val="0"/>
              <w:suppressLineNumbers w:val="0"/>
              <w:snapToGrid w:val="0"/>
              <w:spacing w:before="0" w:beforeAutospacing="0" w:after="0" w:afterAutospacing="0" w:line="520" w:lineRule="exact"/>
              <w:ind w:left="0" w:right="0" w:firstLine="420" w:firstLine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L</w:t>
            </w:r>
            <w:r>
              <w:rPr>
                <w:rFonts w:ascii="Times New Roman" w:hAnsi="Times New Roman" w:eastAsia="宋体" w:cs="Times New Roman"/>
                <w:color w:val="auto"/>
                <w:sz w:val="21"/>
                <w:szCs w:val="21"/>
                <w:vertAlign w:val="subscript"/>
              </w:rPr>
              <w:t>1</w:t>
            </w:r>
            <w:r>
              <w:rPr>
                <w:rFonts w:ascii="Times New Roman" w:hAnsi="Times New Roman" w:eastAsia="宋体" w:cs="Times New Roman"/>
                <w:color w:val="auto"/>
                <w:sz w:val="21"/>
                <w:szCs w:val="21"/>
              </w:rPr>
              <w:t>、L</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——r</w:t>
            </w:r>
            <w:r>
              <w:rPr>
                <w:rFonts w:ascii="Times New Roman" w:hAnsi="Times New Roman" w:eastAsia="宋体" w:cs="Times New Roman"/>
                <w:color w:val="auto"/>
                <w:sz w:val="21"/>
                <w:szCs w:val="21"/>
                <w:vertAlign w:val="subscript"/>
              </w:rPr>
              <w:t>1</w:t>
            </w:r>
            <w:r>
              <w:rPr>
                <w:rFonts w:ascii="Times New Roman" w:hAnsi="Times New Roman" w:eastAsia="宋体" w:cs="Times New Roman"/>
                <w:color w:val="auto"/>
                <w:sz w:val="21"/>
                <w:szCs w:val="21"/>
              </w:rPr>
              <w:t>、r</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的声级强度[dB(A)]；</w:t>
            </w:r>
          </w:p>
          <w:p>
            <w:pPr>
              <w:keepNext w:val="0"/>
              <w:keepLines w:val="0"/>
              <w:suppressLineNumbers w:val="0"/>
              <w:snapToGrid w:val="0"/>
              <w:spacing w:before="0" w:beforeAutospacing="0" w:after="0" w:afterAutospacing="0" w:line="520" w:lineRule="exact"/>
              <w:ind w:left="0" w:right="0" w:firstLine="420" w:firstLine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L</w:t>
            </w:r>
            <w:r>
              <w:rPr>
                <w:rFonts w:ascii="Times New Roman" w:hAnsi="Times New Roman" w:eastAsia="宋体" w:cs="Times New Roman"/>
                <w:color w:val="auto"/>
                <w:sz w:val="21"/>
                <w:szCs w:val="21"/>
                <w:vertAlign w:val="subscript"/>
              </w:rPr>
              <w:t>i</w:t>
            </w:r>
            <w:r>
              <w:rPr>
                <w:rFonts w:ascii="Times New Roman" w:hAnsi="Times New Roman" w:eastAsia="宋体" w:cs="Times New Roman"/>
                <w:color w:val="auto"/>
                <w:sz w:val="21"/>
                <w:szCs w:val="21"/>
              </w:rPr>
              <w:t>——第i个声源作用于预测点的噪声值[dB(A)]；</w:t>
            </w:r>
          </w:p>
          <w:p>
            <w:pPr>
              <w:keepNext w:val="0"/>
              <w:keepLines w:val="0"/>
              <w:suppressLineNumbers w:val="0"/>
              <w:snapToGrid w:val="0"/>
              <w:spacing w:before="0" w:beforeAutospacing="0" w:after="0" w:afterAutospacing="0" w:line="520" w:lineRule="exact"/>
              <w:ind w:left="0" w:right="0" w:firstLine="420" w:firstLine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Leq总——预测点的总噪声叠加值[dB(A)]。</w:t>
            </w:r>
          </w:p>
          <w:p>
            <w:pPr>
              <w:keepNext w:val="0"/>
              <w:keepLines w:val="0"/>
              <w:suppressLineNumbers w:val="0"/>
              <w:snapToGrid w:val="0"/>
              <w:spacing w:before="0" w:beforeAutospacing="0" w:after="0" w:afterAutospacing="0" w:line="520" w:lineRule="exact"/>
              <w:ind w:left="0" w:right="0" w:firstLine="420" w:firstLineChars="200"/>
              <w:rPr>
                <w:rFonts w:ascii="Times New Roman" w:hAnsi="Times New Roman" w:eastAsia="宋体" w:cs="Times New Roman"/>
                <w:color w:val="auto"/>
                <w:kern w:val="0"/>
                <w:sz w:val="21"/>
                <w:szCs w:val="21"/>
              </w:rPr>
            </w:pPr>
            <w:r>
              <w:rPr>
                <w:rFonts w:ascii="Times New Roman" w:hAnsi="Times New Roman" w:eastAsia="宋体" w:cs="Times New Roman"/>
                <w:color w:val="auto"/>
                <w:sz w:val="21"/>
                <w:szCs w:val="21"/>
              </w:rPr>
              <w:t>本项目运行后各厂界的噪声值预测结果见</w:t>
            </w:r>
            <w:r>
              <w:rPr>
                <w:rFonts w:hint="eastAsia" w:ascii="Times New Roman" w:hAnsi="Times New Roman" w:eastAsia="宋体" w:cs="Times New Roman"/>
                <w:color w:val="auto"/>
                <w:sz w:val="21"/>
                <w:szCs w:val="21"/>
                <w:lang w:eastAsia="zh-CN"/>
              </w:rPr>
              <w:t>下表</w:t>
            </w:r>
            <w:r>
              <w:rPr>
                <w:rFonts w:ascii="Times New Roman" w:hAnsi="Times New Roman" w:eastAsia="宋体" w:cs="Times New Roman"/>
                <w:color w:val="auto"/>
                <w:sz w:val="21"/>
                <w:szCs w:val="21"/>
              </w:rPr>
              <w:t>。</w:t>
            </w:r>
          </w:p>
          <w:p>
            <w:pPr>
              <w:keepNext w:val="0"/>
              <w:keepLines w:val="0"/>
              <w:suppressLineNumbers w:val="0"/>
              <w:spacing w:before="0" w:beforeAutospacing="0" w:after="0" w:afterAutospacing="0" w:line="520" w:lineRule="exact"/>
              <w:ind w:left="0" w:right="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表</w:t>
            </w:r>
            <w:r>
              <w:rPr>
                <w:rFonts w:hint="eastAsia" w:ascii="Times New Roman" w:hAnsi="Times New Roman" w:eastAsia="宋体" w:cs="Times New Roman"/>
                <w:b/>
                <w:bCs/>
                <w:color w:val="auto"/>
                <w:sz w:val="21"/>
                <w:szCs w:val="21"/>
                <w:lang w:val="en-US" w:eastAsia="zh-CN"/>
              </w:rPr>
              <w:t>30</w:t>
            </w:r>
            <w:r>
              <w:rPr>
                <w:rFonts w:hint="eastAsia" w:ascii="Times New Roman" w:hAnsi="Times New Roman" w:eastAsia="宋体" w:cs="Times New Roman"/>
                <w:b/>
                <w:bCs/>
                <w:color w:val="auto"/>
                <w:sz w:val="21"/>
                <w:szCs w:val="21"/>
                <w:lang w:eastAsia="zh-CN"/>
              </w:rPr>
              <w:t xml:space="preserve">  厂界噪声预测结果  单位：dB(A)</w:t>
            </w:r>
          </w:p>
          <w:tbl>
            <w:tblPr>
              <w:tblStyle w:val="1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1147"/>
              <w:gridCol w:w="1876"/>
              <w:gridCol w:w="1874"/>
              <w:gridCol w:w="19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82"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预测点位</w:t>
                  </w:r>
                </w:p>
              </w:tc>
              <w:tc>
                <w:tcPr>
                  <w:tcW w:w="1191"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eastAsia="zh-CN"/>
                    </w:rPr>
                    <w:t>源强</w:t>
                  </w:r>
                  <w:r>
                    <w:rPr>
                      <w:rFonts w:hint="eastAsia" w:ascii="Times New Roman" w:hAnsi="Times New Roman" w:eastAsia="宋体" w:cs="Times New Roman"/>
                      <w:b w:val="0"/>
                      <w:bCs w:val="0"/>
                      <w:color w:val="auto"/>
                      <w:sz w:val="21"/>
                      <w:szCs w:val="21"/>
                      <w:highlight w:val="none"/>
                      <w:lang w:val="en-US" w:eastAsia="zh-CN"/>
                    </w:rPr>
                    <w:t>/</w:t>
                  </w:r>
                </w:p>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dB（A）</w:t>
                  </w:r>
                </w:p>
              </w:tc>
              <w:tc>
                <w:tcPr>
                  <w:tcW w:w="2007"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lang w:eastAsia="zh-CN"/>
                    </w:rPr>
                    <w:t>距厂界距离（</w:t>
                  </w:r>
                  <w:r>
                    <w:rPr>
                      <w:rFonts w:hint="eastAsia" w:ascii="Times New Roman" w:hAnsi="Times New Roman" w:eastAsia="宋体" w:cs="Times New Roman"/>
                      <w:b w:val="0"/>
                      <w:bCs w:val="0"/>
                      <w:color w:val="auto"/>
                      <w:sz w:val="21"/>
                      <w:szCs w:val="21"/>
                      <w:highlight w:val="none"/>
                      <w:lang w:val="en-US" w:eastAsia="zh-CN"/>
                    </w:rPr>
                    <w:t>m</w:t>
                  </w:r>
                  <w:r>
                    <w:rPr>
                      <w:rFonts w:hint="eastAsia" w:ascii="Times New Roman" w:hAnsi="Times New Roman" w:eastAsia="宋体" w:cs="Times New Roman"/>
                      <w:b w:val="0"/>
                      <w:bCs w:val="0"/>
                      <w:color w:val="auto"/>
                      <w:sz w:val="21"/>
                      <w:szCs w:val="21"/>
                      <w:highlight w:val="none"/>
                      <w:lang w:eastAsia="zh-CN"/>
                    </w:rPr>
                    <w:t>）</w:t>
                  </w:r>
                </w:p>
              </w:tc>
              <w:tc>
                <w:tcPr>
                  <w:tcW w:w="200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贡献值</w:t>
                  </w:r>
                  <w:r>
                    <w:rPr>
                      <w:rFonts w:hint="eastAsia"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rPr>
                    <w:t>dB（A）</w:t>
                  </w:r>
                </w:p>
              </w:tc>
              <w:tc>
                <w:tcPr>
                  <w:tcW w:w="20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82"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1"/>
                      <w:szCs w:val="21"/>
                      <w:highlight w:val="none"/>
                    </w:rPr>
                  </w:pPr>
                </w:p>
              </w:tc>
              <w:tc>
                <w:tcPr>
                  <w:tcW w:w="119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 w:val="0"/>
                      <w:bCs w:val="0"/>
                      <w:color w:val="auto"/>
                      <w:sz w:val="21"/>
                      <w:szCs w:val="21"/>
                      <w:highlight w:val="none"/>
                    </w:rPr>
                  </w:pPr>
                </w:p>
              </w:tc>
              <w:tc>
                <w:tcPr>
                  <w:tcW w:w="200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sz w:val="21"/>
                      <w:szCs w:val="21"/>
                      <w:highlight w:val="none"/>
                    </w:rPr>
                  </w:pPr>
                </w:p>
              </w:tc>
              <w:tc>
                <w:tcPr>
                  <w:tcW w:w="200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昼间</w:t>
                  </w:r>
                </w:p>
              </w:tc>
              <w:tc>
                <w:tcPr>
                  <w:tcW w:w="20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82"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北厂界</w:t>
                  </w:r>
                </w:p>
              </w:tc>
              <w:tc>
                <w:tcPr>
                  <w:tcW w:w="1191"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69.93</w:t>
                  </w:r>
                </w:p>
              </w:tc>
              <w:tc>
                <w:tcPr>
                  <w:tcW w:w="200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w:t>
                  </w:r>
                </w:p>
              </w:tc>
              <w:tc>
                <w:tcPr>
                  <w:tcW w:w="200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47</w:t>
                  </w:r>
                </w:p>
              </w:tc>
              <w:tc>
                <w:tcPr>
                  <w:tcW w:w="2089"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昼间≤</w:t>
                  </w:r>
                  <w:r>
                    <w:rPr>
                      <w:rFonts w:ascii="Times New Roman" w:hAnsi="Times New Roman" w:eastAsia="宋体" w:cs="Times New Roman"/>
                      <w:color w:val="auto"/>
                      <w:sz w:val="21"/>
                      <w:szCs w:val="21"/>
                      <w:highlight w:val="none"/>
                    </w:rPr>
                    <w:t>60</w:t>
                  </w:r>
                  <w:r>
                    <w:rPr>
                      <w:rFonts w:hint="eastAsia" w:ascii="Times New Roman" w:hAnsi="Times New Roman" w:eastAsia="宋体" w:cs="Times New Roman"/>
                      <w:color w:val="auto"/>
                      <w:sz w:val="21"/>
                      <w:szCs w:val="21"/>
                      <w:highlight w:val="none"/>
                    </w:rPr>
                    <w:t>dB（A）</w:t>
                  </w:r>
                </w:p>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夜间≤5</w:t>
                  </w:r>
                  <w:r>
                    <w:rPr>
                      <w:rFonts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82"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西厂界</w:t>
                  </w:r>
                </w:p>
              </w:tc>
              <w:tc>
                <w:tcPr>
                  <w:tcW w:w="119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1"/>
                      <w:szCs w:val="21"/>
                      <w:highlight w:val="none"/>
                    </w:rPr>
                  </w:pPr>
                </w:p>
              </w:tc>
              <w:tc>
                <w:tcPr>
                  <w:tcW w:w="200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200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48</w:t>
                  </w:r>
                </w:p>
              </w:tc>
              <w:tc>
                <w:tcPr>
                  <w:tcW w:w="20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82"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东厂界</w:t>
                  </w:r>
                </w:p>
              </w:tc>
              <w:tc>
                <w:tcPr>
                  <w:tcW w:w="119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1"/>
                      <w:szCs w:val="21"/>
                      <w:highlight w:val="none"/>
                    </w:rPr>
                  </w:pPr>
                </w:p>
              </w:tc>
              <w:tc>
                <w:tcPr>
                  <w:tcW w:w="200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200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49</w:t>
                  </w:r>
                </w:p>
              </w:tc>
              <w:tc>
                <w:tcPr>
                  <w:tcW w:w="20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82"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南厂界</w:t>
                  </w:r>
                </w:p>
              </w:tc>
              <w:tc>
                <w:tcPr>
                  <w:tcW w:w="1191"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color w:val="auto"/>
                      <w:sz w:val="21"/>
                      <w:szCs w:val="21"/>
                      <w:highlight w:val="none"/>
                    </w:rPr>
                  </w:pPr>
                </w:p>
              </w:tc>
              <w:tc>
                <w:tcPr>
                  <w:tcW w:w="200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w:t>
                  </w:r>
                </w:p>
              </w:tc>
              <w:tc>
                <w:tcPr>
                  <w:tcW w:w="200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47</w:t>
                  </w:r>
                </w:p>
              </w:tc>
              <w:tc>
                <w:tcPr>
                  <w:tcW w:w="2089"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rPr>
                  </w:pP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由上表可知，经过采取降噪措施后，本项目运营期厂界噪声能满足《工业企业厂界环境噪声排放标准》（GB12348-2008）中</w:t>
            </w:r>
            <w:r>
              <w:rPr>
                <w:rFonts w:hint="eastAsia" w:ascii="Times New Roman" w:hAnsi="Times New Roman" w:eastAsia="宋体" w:cs="Times New Roman"/>
                <w:sz w:val="21"/>
                <w:szCs w:val="21"/>
              </w:rPr>
              <w:t>2</w:t>
            </w:r>
            <w:r>
              <w:rPr>
                <w:rFonts w:ascii="Times New Roman" w:hAnsi="Times New Roman" w:eastAsia="宋体" w:cs="Times New Roman"/>
                <w:sz w:val="21"/>
                <w:szCs w:val="21"/>
              </w:rPr>
              <w:t>类区标准限值（昼间≤</w:t>
            </w:r>
            <w:r>
              <w:rPr>
                <w:rFonts w:hint="eastAsia" w:ascii="Times New Roman" w:hAnsi="Times New Roman" w:eastAsia="宋体" w:cs="Times New Roman"/>
                <w:sz w:val="21"/>
                <w:szCs w:val="21"/>
              </w:rPr>
              <w:t>60</w:t>
            </w:r>
            <w:r>
              <w:rPr>
                <w:rFonts w:ascii="Times New Roman" w:hAnsi="Times New Roman" w:eastAsia="宋体" w:cs="Times New Roman"/>
                <w:sz w:val="21"/>
                <w:szCs w:val="21"/>
              </w:rPr>
              <w:t>dB（A））要求。</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为降低正常运营期间厂界噪声对周边环境的影响，评价要求采取如下措施：</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（1）针对噪声较高的设备安装减震垫，合理布置设备；</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（2）定期维护设备，避免老化引起的噪声，使其处于良好运行状态；</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通过以上措施，本项目厂界噪声可达标排放，对周围环境影响不大。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baseline"/>
              <w:rPr>
                <w:rFonts w:ascii="Times New Roman" w:hAnsi="Times New Roman" w:eastAsia="宋体" w:cs="Times New Roman"/>
                <w:b/>
                <w:bCs/>
                <w:sz w:val="21"/>
                <w:szCs w:val="21"/>
              </w:rPr>
            </w:pPr>
            <w:r>
              <w:rPr>
                <w:rFonts w:ascii="Times New Roman" w:hAnsi="Times New Roman" w:eastAsia="宋体" w:cs="Times New Roman"/>
                <w:sz w:val="21"/>
                <w:szCs w:val="21"/>
              </w:rPr>
              <w:t>噪声监测计划</w:t>
            </w:r>
            <w:r>
              <w:rPr>
                <w:rFonts w:hint="eastAsia" w:ascii="Times New Roman" w:hAnsi="Times New Roman" w:eastAsia="宋体" w:cs="Times New Roman"/>
                <w:sz w:val="21"/>
                <w:szCs w:val="21"/>
                <w:lang w:eastAsia="zh-CN"/>
              </w:rPr>
              <w:t>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31</w:t>
            </w:r>
            <w:r>
              <w:rPr>
                <w:rFonts w:ascii="Times New Roman" w:hAnsi="Times New Roman" w:eastAsia="宋体" w:cs="Times New Roman"/>
                <w:b/>
                <w:bCs/>
                <w:sz w:val="21"/>
                <w:szCs w:val="21"/>
              </w:rPr>
              <w:t xml:space="preserve">  噪声监测计划</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77"/>
              <w:gridCol w:w="678"/>
              <w:gridCol w:w="1444"/>
              <w:gridCol w:w="1020"/>
              <w:gridCol w:w="1440"/>
              <w:gridCol w:w="26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7"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类型</w:t>
                  </w:r>
                </w:p>
              </w:tc>
              <w:tc>
                <w:tcPr>
                  <w:tcW w:w="678"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项目</w:t>
                  </w:r>
                </w:p>
              </w:tc>
              <w:tc>
                <w:tcPr>
                  <w:tcW w:w="1444"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监测点位</w:t>
                  </w:r>
                </w:p>
              </w:tc>
              <w:tc>
                <w:tcPr>
                  <w:tcW w:w="10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监测因子</w:t>
                  </w:r>
                </w:p>
              </w:tc>
              <w:tc>
                <w:tcPr>
                  <w:tcW w:w="144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监测频率</w:t>
                  </w:r>
                </w:p>
              </w:tc>
              <w:tc>
                <w:tcPr>
                  <w:tcW w:w="2687"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7"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污染源监测</w:t>
                  </w:r>
                </w:p>
              </w:tc>
              <w:tc>
                <w:tcPr>
                  <w:tcW w:w="678"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噪声</w:t>
                  </w:r>
                </w:p>
              </w:tc>
              <w:tc>
                <w:tcPr>
                  <w:tcW w:w="1444"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东、南、西、北厂界</w:t>
                  </w:r>
                </w:p>
              </w:tc>
              <w:tc>
                <w:tcPr>
                  <w:tcW w:w="102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等效连续A声级</w:t>
                  </w:r>
                </w:p>
              </w:tc>
              <w:tc>
                <w:tcPr>
                  <w:tcW w:w="144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每</w:t>
                  </w:r>
                  <w:r>
                    <w:rPr>
                      <w:rFonts w:hint="eastAsia" w:ascii="Times New Roman" w:hAnsi="Times New Roman" w:eastAsia="宋体" w:cs="Times New Roman"/>
                      <w:sz w:val="21"/>
                      <w:szCs w:val="21"/>
                      <w:lang w:eastAsia="zh-CN"/>
                    </w:rPr>
                    <w:t>年</w:t>
                  </w:r>
                  <w:r>
                    <w:rPr>
                      <w:rFonts w:ascii="Times New Roman" w:hAnsi="Times New Roman" w:eastAsia="宋体" w:cs="Times New Roman"/>
                      <w:sz w:val="21"/>
                      <w:szCs w:val="21"/>
                    </w:rPr>
                    <w:t>监测1次，每次2天，昼间1次</w:t>
                  </w:r>
                </w:p>
              </w:tc>
              <w:tc>
                <w:tcPr>
                  <w:tcW w:w="2687"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baseline"/>
                    <w:rPr>
                      <w:rFonts w:ascii="Times New Roman" w:hAnsi="Times New Roman" w:eastAsia="宋体" w:cs="Times New Roman"/>
                      <w:sz w:val="21"/>
                      <w:szCs w:val="21"/>
                    </w:rPr>
                  </w:pPr>
                  <w:r>
                    <w:rPr>
                      <w:rFonts w:ascii="Times New Roman" w:hAnsi="Times New Roman" w:eastAsia="宋体" w:cs="Times New Roman"/>
                      <w:sz w:val="21"/>
                      <w:szCs w:val="21"/>
                    </w:rPr>
                    <w:t>《工业企业厂界环境噪声排放标准》（GB12348-2008）中</w:t>
                  </w:r>
                  <w:r>
                    <w:rPr>
                      <w:rFonts w:hint="eastAsia" w:ascii="Times New Roman" w:hAnsi="Times New Roman" w:eastAsia="宋体" w:cs="Times New Roman"/>
                      <w:sz w:val="21"/>
                      <w:szCs w:val="21"/>
                    </w:rPr>
                    <w:t>2</w:t>
                  </w:r>
                  <w:r>
                    <w:rPr>
                      <w:rFonts w:ascii="Times New Roman" w:hAnsi="Times New Roman" w:eastAsia="宋体" w:cs="Times New Roman"/>
                      <w:sz w:val="21"/>
                      <w:szCs w:val="21"/>
                    </w:rPr>
                    <w:t>类区标准限值（昼间≤</w:t>
                  </w:r>
                  <w:r>
                    <w:rPr>
                      <w:rFonts w:hint="eastAsia" w:ascii="Times New Roman" w:hAnsi="Times New Roman" w:eastAsia="宋体" w:cs="Times New Roman"/>
                      <w:sz w:val="21"/>
                      <w:szCs w:val="21"/>
                    </w:rPr>
                    <w:t>60</w:t>
                  </w:r>
                  <w:r>
                    <w:rPr>
                      <w:rFonts w:ascii="Times New Roman" w:hAnsi="Times New Roman" w:eastAsia="宋体" w:cs="Times New Roman"/>
                      <w:sz w:val="21"/>
                      <w:szCs w:val="21"/>
                    </w:rPr>
                    <w:t>dB（A）</w:t>
                  </w:r>
                  <w:r>
                    <w:rPr>
                      <w:rFonts w:hint="eastAsia" w:ascii="Times New Roman" w:hAnsi="Times New Roman" w:eastAsia="宋体" w:cs="Times New Roman"/>
                      <w:sz w:val="21"/>
                      <w:szCs w:val="21"/>
                    </w:rPr>
                    <w:t>，夜间50</w:t>
                  </w:r>
                  <w:r>
                    <w:rPr>
                      <w:rFonts w:ascii="Times New Roman" w:hAnsi="Times New Roman" w:eastAsia="宋体" w:cs="Times New Roman"/>
                      <w:sz w:val="21"/>
                      <w:szCs w:val="21"/>
                    </w:rPr>
                    <w:t>dB（A）</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2" w:firstLineChars="200"/>
              <w:textAlignment w:val="auto"/>
              <w:rPr>
                <w:rFonts w:ascii="Times New Roman" w:hAnsi="Times New Roman" w:eastAsia="宋体" w:cs="Times New Roman"/>
                <w:b/>
                <w:bCs/>
                <w:sz w:val="21"/>
                <w:szCs w:val="21"/>
              </w:rPr>
            </w:pPr>
            <w:r>
              <w:rPr>
                <w:rFonts w:hint="eastAsia" w:ascii="Times New Roman" w:hAnsi="Times New Roman" w:eastAsia="宋体" w:cs="Times New Roman"/>
                <w:b/>
                <w:bCs/>
                <w:sz w:val="21"/>
                <w:szCs w:val="21"/>
                <w:lang w:eastAsia="zh-CN"/>
              </w:rPr>
              <w:t>四、</w:t>
            </w:r>
            <w:r>
              <w:rPr>
                <w:rFonts w:ascii="Times New Roman" w:hAnsi="Times New Roman" w:eastAsia="宋体" w:cs="Times New Roman"/>
                <w:b/>
                <w:bCs/>
                <w:sz w:val="21"/>
                <w:szCs w:val="21"/>
              </w:rPr>
              <w:t>固体废物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ascii="Times New Roman" w:hAnsi="Times New Roman" w:eastAsia="宋体" w:cs="Times New Roman"/>
                <w:sz w:val="21"/>
                <w:szCs w:val="21"/>
              </w:rPr>
            </w:pPr>
            <w:r>
              <w:rPr>
                <w:rFonts w:ascii="Times New Roman" w:hAnsi="Times New Roman" w:eastAsia="宋体" w:cs="Times New Roman"/>
                <w:sz w:val="21"/>
                <w:szCs w:val="21"/>
              </w:rPr>
              <w:t>本项目产生的固体废物有：生活垃圾、</w:t>
            </w:r>
            <w:r>
              <w:rPr>
                <w:rFonts w:hint="eastAsia" w:ascii="Times New Roman" w:hAnsi="Times New Roman" w:eastAsia="宋体" w:cs="Times New Roman"/>
                <w:sz w:val="21"/>
                <w:szCs w:val="21"/>
              </w:rPr>
              <w:t>除尘器粉尘、废润滑油</w:t>
            </w:r>
            <w:r>
              <w:rPr>
                <w:rFonts w:ascii="Times New Roman" w:hAnsi="Times New Roman" w:eastAsia="宋体" w:cs="Times New Roman"/>
                <w:sz w:val="21"/>
                <w:szCs w:val="21"/>
              </w:rPr>
              <w:t>。具体分析如下：</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firstLine="422" w:firstLineChars="20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32</w:t>
            </w:r>
            <w:r>
              <w:rPr>
                <w:rFonts w:ascii="Times New Roman" w:hAnsi="Times New Roman" w:eastAsia="宋体" w:cs="Times New Roman"/>
                <w:b/>
                <w:bCs/>
                <w:sz w:val="21"/>
                <w:szCs w:val="21"/>
              </w:rPr>
              <w:t xml:space="preserve">  固体废物产生及处理一览表</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1777"/>
              <w:gridCol w:w="1075"/>
              <w:gridCol w:w="43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3"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序号</w:t>
                  </w:r>
                </w:p>
              </w:tc>
              <w:tc>
                <w:tcPr>
                  <w:tcW w:w="1777"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固体废物种类</w:t>
                  </w:r>
                </w:p>
              </w:tc>
              <w:tc>
                <w:tcPr>
                  <w:tcW w:w="1075"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产生量</w:t>
                  </w:r>
                </w:p>
              </w:tc>
              <w:tc>
                <w:tcPr>
                  <w:tcW w:w="4312"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处理方式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3"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1</w:t>
                  </w:r>
                </w:p>
              </w:tc>
              <w:tc>
                <w:tcPr>
                  <w:tcW w:w="177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rPr>
                  </w:pPr>
                  <w:r>
                    <w:rPr>
                      <w:rFonts w:hint="eastAsia" w:ascii="Times New Roman" w:hAnsi="Times New Roman" w:eastAsia="宋体" w:cs="Times New Roman"/>
                    </w:rPr>
                    <w:t>生活垃圾</w:t>
                  </w:r>
                </w:p>
              </w:tc>
              <w:tc>
                <w:tcPr>
                  <w:tcW w:w="1075"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hint="eastAsia" w:ascii="Times New Roman" w:hAnsi="Times New Roman" w:eastAsia="宋体" w:cs="Times New Roman"/>
                      <w:lang w:val="en-US" w:eastAsia="zh-CN"/>
                    </w:rPr>
                    <w:t>0.9</w:t>
                  </w:r>
                  <w:r>
                    <w:rPr>
                      <w:rFonts w:hint="eastAsia" w:ascii="Times New Roman" w:hAnsi="Times New Roman" w:eastAsia="宋体" w:cs="Times New Roman"/>
                    </w:rPr>
                    <w:t>t/a</w:t>
                  </w:r>
                </w:p>
              </w:tc>
              <w:tc>
                <w:tcPr>
                  <w:tcW w:w="4312"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集中收集后暂存于垃圾桶，定期清运于附近垃圾中转站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3"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2</w:t>
                  </w:r>
                </w:p>
              </w:tc>
              <w:tc>
                <w:tcPr>
                  <w:tcW w:w="1777"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hint="eastAsia" w:ascii="Times New Roman" w:hAnsi="Times New Roman" w:eastAsia="宋体" w:cs="Times New Roman"/>
                    </w:rPr>
                    <w:t>除尘器粉尘</w:t>
                  </w:r>
                </w:p>
              </w:tc>
              <w:tc>
                <w:tcPr>
                  <w:tcW w:w="1075"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hint="eastAsia" w:ascii="Times New Roman" w:hAnsi="Times New Roman" w:eastAsia="宋体" w:cs="Times New Roman"/>
                      <w:lang w:val="en-US" w:eastAsia="zh-CN"/>
                    </w:rPr>
                    <w:t>23.8</w:t>
                  </w:r>
                  <w:r>
                    <w:rPr>
                      <w:rFonts w:hint="eastAsia" w:ascii="Times New Roman" w:hAnsi="Times New Roman" w:eastAsia="宋体" w:cs="Times New Roman"/>
                    </w:rPr>
                    <w:t>t/a</w:t>
                  </w:r>
                </w:p>
              </w:tc>
              <w:tc>
                <w:tcPr>
                  <w:tcW w:w="4312"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rPr>
                  </w:pPr>
                  <w:r>
                    <w:rPr>
                      <w:rFonts w:hint="eastAsia" w:ascii="Times New Roman" w:hAnsi="Times New Roman" w:eastAsia="宋体" w:cs="Times New Roman"/>
                      <w:lang w:eastAsia="zh-CN"/>
                    </w:rPr>
                    <w:t>经集气罩收集后的处理粉尘（含石墨粉和磷酸铁锂）在固废间暂存（</w:t>
                  </w:r>
                  <w:r>
                    <w:rPr>
                      <w:rFonts w:hint="eastAsia" w:ascii="Times New Roman" w:hAnsi="Times New Roman" w:eastAsia="宋体" w:cs="Times New Roman"/>
                      <w:lang w:val="en-US" w:eastAsia="zh-CN"/>
                    </w:rPr>
                    <w:t>10m</w:t>
                  </w:r>
                  <w:r>
                    <w:rPr>
                      <w:rFonts w:hint="eastAsia" w:ascii="Times New Roman" w:hAnsi="Times New Roman" w:eastAsia="宋体" w:cs="Times New Roman"/>
                      <w:vertAlign w:val="superscript"/>
                      <w:lang w:val="en-US" w:eastAsia="zh-CN"/>
                    </w:rPr>
                    <w:t>2</w:t>
                  </w:r>
                  <w:r>
                    <w:rPr>
                      <w:rFonts w:hint="eastAsia" w:ascii="Times New Roman" w:hAnsi="Times New Roman" w:eastAsia="宋体" w:cs="Times New Roman"/>
                      <w:lang w:eastAsia="zh-CN"/>
                    </w:rPr>
                    <w:t>）</w:t>
                  </w:r>
                  <w:r>
                    <w:rPr>
                      <w:rFonts w:ascii="Times New Roman" w:hAnsi="Times New Roman" w:eastAsia="宋体" w:cs="Times New Roman"/>
                    </w:rPr>
                    <w:t>后</w:t>
                  </w:r>
                  <w:r>
                    <w:rPr>
                      <w:rFonts w:hint="eastAsia" w:ascii="Times New Roman" w:hAnsi="Times New Roman" w:eastAsia="宋体" w:cs="Times New Roman"/>
                    </w:rPr>
                    <w:t>作为成品外售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rPr>
                  </w:pPr>
                  <w:r>
                    <w:rPr>
                      <w:rFonts w:hint="eastAsia" w:ascii="Times New Roman" w:hAnsi="Times New Roman" w:eastAsia="宋体" w:cs="Times New Roman"/>
                    </w:rPr>
                    <w:t>3</w:t>
                  </w:r>
                </w:p>
              </w:tc>
              <w:tc>
                <w:tcPr>
                  <w:tcW w:w="177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rPr>
                  </w:pPr>
                  <w:r>
                    <w:rPr>
                      <w:rFonts w:hint="eastAsia" w:ascii="Times New Roman" w:hAnsi="Times New Roman" w:eastAsia="宋体" w:cs="Times New Roman"/>
                    </w:rPr>
                    <w:t>废润滑油</w:t>
                  </w:r>
                </w:p>
              </w:tc>
              <w:tc>
                <w:tcPr>
                  <w:tcW w:w="1075"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hint="eastAsia" w:ascii="Times New Roman" w:hAnsi="Times New Roman" w:eastAsia="宋体" w:cs="Times New Roman"/>
                    </w:rPr>
                    <w:t>0.0</w:t>
                  </w:r>
                  <w:r>
                    <w:rPr>
                      <w:rFonts w:hint="eastAsia" w:ascii="Times New Roman" w:hAnsi="Times New Roman" w:eastAsia="宋体" w:cs="Times New Roman"/>
                      <w:lang w:val="en-US" w:eastAsia="zh-CN"/>
                    </w:rPr>
                    <w:t>1</w:t>
                  </w:r>
                  <w:r>
                    <w:rPr>
                      <w:rFonts w:hint="eastAsia" w:ascii="Times New Roman" w:hAnsi="Times New Roman" w:eastAsia="宋体" w:cs="Times New Roman"/>
                    </w:rPr>
                    <w:t>t/a</w:t>
                  </w:r>
                </w:p>
              </w:tc>
              <w:tc>
                <w:tcPr>
                  <w:tcW w:w="4312"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危废暂存间暂存（10m</w:t>
                  </w:r>
                  <w:r>
                    <w:rPr>
                      <w:rFonts w:ascii="Times New Roman" w:hAnsi="Times New Roman" w:eastAsia="宋体" w:cs="Times New Roman"/>
                      <w:vertAlign w:val="superscript"/>
                    </w:rPr>
                    <w:t>2</w:t>
                  </w:r>
                  <w:r>
                    <w:rPr>
                      <w:rFonts w:ascii="Times New Roman" w:hAnsi="Times New Roman" w:eastAsia="宋体" w:cs="Times New Roman"/>
                    </w:rPr>
                    <w:t>）后交由有资质单位处置</w:t>
                  </w: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52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（1）生活垃圾S1：本项目职工</w:t>
            </w:r>
            <w:r>
              <w:rPr>
                <w:rFonts w:hint="default"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人，年工作300天企业职工生活垃圾产生量按0.5kg/人</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sz w:val="21"/>
                <w:szCs w:val="21"/>
              </w:rPr>
              <w:t>d计，则生活垃圾产生量为约</w:t>
            </w:r>
            <w:r>
              <w:rPr>
                <w:rFonts w:hint="eastAsia" w:ascii="Times New Roman" w:hAnsi="Times New Roman" w:eastAsia="宋体" w:cs="Times New Roman"/>
                <w:sz w:val="21"/>
                <w:szCs w:val="21"/>
                <w:lang w:val="en-US" w:eastAsia="zh-CN"/>
              </w:rPr>
              <w:t>0.9</w:t>
            </w:r>
            <w:r>
              <w:rPr>
                <w:rFonts w:hint="default" w:ascii="Times New Roman" w:hAnsi="Times New Roman" w:eastAsia="宋体" w:cs="Times New Roman"/>
                <w:sz w:val="21"/>
                <w:szCs w:val="21"/>
              </w:rPr>
              <w:t>t/a。集中收集后暂存于垃圾桶，定期清运于附近垃圾中转站，由环卫部门清运处理。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（2）除尘器粉尘S2：本项目除尘器运行过程中会有部分除尘器粉尘产生，主要为正极片生产线的磷酸铁锂和负极片生产线的石墨粉，根据物料平衡计算可得，产生量为</w:t>
            </w:r>
            <w:r>
              <w:rPr>
                <w:rFonts w:hint="eastAsia" w:ascii="Times New Roman" w:hAnsi="Times New Roman" w:eastAsia="宋体" w:cs="Times New Roman"/>
                <w:sz w:val="21"/>
                <w:szCs w:val="21"/>
                <w:lang w:val="en-US" w:eastAsia="zh-CN"/>
              </w:rPr>
              <w:t>23.8</w:t>
            </w:r>
            <w:r>
              <w:rPr>
                <w:rFonts w:hint="default" w:ascii="Times New Roman" w:hAnsi="Times New Roman" w:eastAsia="宋体" w:cs="Times New Roman"/>
                <w:sz w:val="21"/>
                <w:szCs w:val="21"/>
              </w:rPr>
              <w:t>t/a，</w:t>
            </w:r>
            <w:r>
              <w:rPr>
                <w:rFonts w:hint="eastAsia" w:ascii="Times New Roman" w:hAnsi="Times New Roman" w:eastAsia="宋体" w:cs="Times New Roman"/>
                <w:sz w:val="21"/>
                <w:szCs w:val="21"/>
                <w:lang w:eastAsia="zh-CN"/>
              </w:rPr>
              <w:t>固废间暂存（</w:t>
            </w:r>
            <w:r>
              <w:rPr>
                <w:rFonts w:hint="eastAsia" w:ascii="Times New Roman" w:hAnsi="Times New Roman" w:eastAsia="宋体" w:cs="Times New Roman"/>
                <w:sz w:val="21"/>
                <w:szCs w:val="21"/>
                <w:lang w:val="en-US" w:eastAsia="zh-CN"/>
              </w:rPr>
              <w:t>10m</w:t>
            </w:r>
            <w:r>
              <w:rPr>
                <w:rFonts w:hint="eastAsia" w:ascii="Times New Roman" w:hAnsi="Times New Roman" w:eastAsia="宋体" w:cs="Times New Roman"/>
                <w:sz w:val="21"/>
                <w:szCs w:val="21"/>
                <w:vertAlign w:val="superscript"/>
                <w:lang w:val="en-US" w:eastAsia="zh-CN"/>
              </w:rPr>
              <w:t>2</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收集后作为成品外售。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（3）废润滑油S3：项目设备维护、更换和拆解过程中会产生废润滑油，每半年检修一次，产生量为 0.0</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t/a。危废代码为900-214-08，于危废暂存间暂存后交由有资质单位处置。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1）危险固废的暂存污染防治措施：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本项目产生的危险废物暂存于厂内危废暂存间，占地面积10m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封闭设计，地面采取防渗及地面硬化处理。危险废物贮存、运输严格按照国家《危险废物贮存污染控制标准》（GB18597-2001）和《危险废物防治技术政策》的要求进行处置，危险废物最终委托具有处理资质的单位处置。危废暂存间应严格按照《危险废物贮存污染控制标准》中相关要求进行设置：</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 1 \* GB3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①</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必须按照危险固废的性质进行贮存，不得混合贮存。并根据固废种类做好警示标志；</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 2 \* GB3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②</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各种危险废物应用专门的容器储存，并按类别做好标志，保证其完好无损，禁止不相容的废物混储；</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 3 \* GB3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③</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存放场地应作好防渗处理，渗透系数不大于1.0×10</w:t>
            </w:r>
            <w:r>
              <w:rPr>
                <w:rFonts w:hint="default" w:ascii="Times New Roman" w:hAnsi="Times New Roman" w:eastAsia="宋体" w:cs="Times New Roman"/>
                <w:sz w:val="21"/>
                <w:szCs w:val="21"/>
                <w:vertAlign w:val="superscript"/>
              </w:rPr>
              <w:t>-7</w:t>
            </w:r>
            <w:r>
              <w:rPr>
                <w:rFonts w:hint="default" w:ascii="Times New Roman" w:hAnsi="Times New Roman" w:eastAsia="宋体" w:cs="Times New Roman"/>
                <w:sz w:val="21"/>
                <w:szCs w:val="21"/>
              </w:rPr>
              <w:t>cm/s；</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 4 \* GB3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④</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存放场地应有防雨设施，避免暴雨天气雨水流入。⑤危废暂存间门口应悬挂规范的标志，做好防风、防雨、防晒及防渗漏的“四防”措施，并保证其贮存过程中不易老化、破损和变形。</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2）危险废物的收集、储存、转移等管理措施：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据《危险废物收集、贮存、运输技术规范》（HJ2025-2012）、《河南省环境保护厅关于印发河南省危险废物规范化管理工作指南（试行）的通知》（豫环文[2012]18号），危险废物的收集、储存和运输等管理措施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 1 \* GB3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①</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危废的收集应制定详细的操作规程，内容至少应包括适用范围、操作程序和方法、专用设备和工具、转移和交接、安全保障和应急防护等。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 2 \* GB3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②</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贮存危险废物时应按照危险废物的种类和性质进行分区贮存，每个贮存区域之间应设置挡墙间隔。危险废物储存设施必须符合《危险废物贮存污染控制标准》的要求。具体内容为：a、危废暂存间全封闭，并根据废物的种类划分区域，库房地面、墙体等应采取防渗措施；b、各类危险废物应分类装入符合标准的容器内，容器材质要满足强度要求，且必须完好无损；c、各类危险废物应分类存放在各自的堆放区内，分层整齐堆放，每种废物堆存区域设置名称标牌，并设置搬运通道，库房内应采取全面通风的措施；d、危废贮存场所及设施必须按照规定设置警示标志，并设有应急防护设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③企业必须按照国家有关规定制定危险废物管理计划，并向环境保护主管部门备案。危险废物管理计划的期限一般为一年，鼓励制定中长期的危险废物管理计划，但一般不超过5年。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④各类危险废物，应由具有《危险废物经营许可证》并可以处置该类废物的单位进行处理处置，并严格执行危险废物转移联单制度，在危险废物转移前三日内报告移出地环境保护行政主管部门，并同时将预期到达时间报告接受地环境保护行政主管部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在危废的转移处置过程中，应严格按照《中华人民共和国固体废物污染环境防治法》和《危险废物转移联单管理办法》有关规定执行。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33</w:t>
            </w:r>
            <w:r>
              <w:rPr>
                <w:rFonts w:hint="default" w:ascii="Times New Roman" w:hAnsi="Times New Roman" w:eastAsia="宋体" w:cs="Times New Roman"/>
                <w:b/>
                <w:bCs/>
                <w:sz w:val="21"/>
                <w:szCs w:val="21"/>
              </w:rPr>
              <w:t xml:space="preserve">   项目危险废物汇总表</w:t>
            </w:r>
          </w:p>
          <w:tbl>
            <w:tblPr>
              <w:tblStyle w:val="12"/>
              <w:tblW w:w="79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29"/>
              <w:gridCol w:w="776"/>
              <w:gridCol w:w="1196"/>
              <w:gridCol w:w="763"/>
              <w:gridCol w:w="787"/>
              <w:gridCol w:w="548"/>
              <w:gridCol w:w="711"/>
              <w:gridCol w:w="538"/>
              <w:gridCol w:w="606"/>
              <w:gridCol w:w="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70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危险废物名称</w:t>
                  </w:r>
                </w:p>
              </w:tc>
              <w:tc>
                <w:tcPr>
                  <w:tcW w:w="76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危险废物类别</w:t>
                  </w:r>
                </w:p>
              </w:tc>
              <w:tc>
                <w:tcPr>
                  <w:tcW w:w="80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危险废物代码</w:t>
                  </w:r>
                </w:p>
              </w:tc>
              <w:tc>
                <w:tcPr>
                  <w:tcW w:w="80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产生量（吨/年）</w:t>
                  </w:r>
                </w:p>
              </w:tc>
              <w:tc>
                <w:tcPr>
                  <w:tcW w:w="83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产生工序及装置</w:t>
                  </w:r>
                </w:p>
              </w:tc>
              <w:tc>
                <w:tcPr>
                  <w:tcW w:w="59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形态</w:t>
                  </w:r>
                </w:p>
              </w:tc>
              <w:tc>
                <w:tcPr>
                  <w:tcW w:w="80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主要成分</w:t>
                  </w:r>
                </w:p>
              </w:tc>
              <w:tc>
                <w:tcPr>
                  <w:tcW w:w="576"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产废周期</w:t>
                  </w:r>
                </w:p>
              </w:tc>
              <w:tc>
                <w:tcPr>
                  <w:tcW w:w="624"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危险特性</w:t>
                  </w:r>
                </w:p>
              </w:tc>
              <w:tc>
                <w:tcPr>
                  <w:tcW w:w="106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70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废润滑油</w:t>
                  </w:r>
                </w:p>
              </w:tc>
              <w:tc>
                <w:tcPr>
                  <w:tcW w:w="7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HW09</w:t>
                  </w:r>
                </w:p>
              </w:tc>
              <w:tc>
                <w:tcPr>
                  <w:tcW w:w="8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900-214-08</w:t>
                  </w:r>
                </w:p>
              </w:tc>
              <w:tc>
                <w:tcPr>
                  <w:tcW w:w="80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0.0</w:t>
                  </w:r>
                  <w:r>
                    <w:rPr>
                      <w:rFonts w:hint="eastAsia" w:ascii="Times New Roman" w:hAnsi="Times New Roman" w:eastAsia="宋体" w:cs="Times New Roman"/>
                      <w:sz w:val="21"/>
                      <w:szCs w:val="21"/>
                      <w:lang w:val="en-US" w:eastAsia="zh-CN"/>
                    </w:rPr>
                    <w:t>1</w:t>
                  </w:r>
                </w:p>
              </w:tc>
              <w:tc>
                <w:tcPr>
                  <w:tcW w:w="83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设备维护、更换等</w:t>
                  </w:r>
                </w:p>
              </w:tc>
              <w:tc>
                <w:tcPr>
                  <w:tcW w:w="5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液态</w:t>
                  </w:r>
                </w:p>
              </w:tc>
              <w:tc>
                <w:tcPr>
                  <w:tcW w:w="8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矿物油和动植物油等</w:t>
                  </w:r>
                </w:p>
              </w:tc>
              <w:tc>
                <w:tcPr>
                  <w:tcW w:w="57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1年</w:t>
                  </w:r>
                </w:p>
              </w:tc>
              <w:tc>
                <w:tcPr>
                  <w:tcW w:w="6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T，I</w:t>
                  </w:r>
                </w:p>
              </w:tc>
              <w:tc>
                <w:tcPr>
                  <w:tcW w:w="10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危废暂存间，委托有资质单位回收</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废润滑油S3：项目设备维护、更换和拆解过程中会产生废润滑油，每半年检修一次，产生量为 0.0</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t/a。危废代码为900-214-08，于危废暂存间暂存后交由有资质单位处置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综上所述，本项目营运期产生的固体废物对周围环境影响较小。</w:t>
            </w:r>
          </w:p>
          <w:p>
            <w:pPr>
              <w:pStyle w:val="4"/>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2" w:firstLineChars="200"/>
              <w:jc w:val="both"/>
              <w:textAlignment w:val="auto"/>
              <w:rPr>
                <w:rFonts w:ascii="Times New Roman" w:hAnsi="Times New Roman" w:eastAsia="宋体" w:cs="Times New Roman"/>
                <w:b/>
                <w:color w:val="auto"/>
                <w:kern w:val="0"/>
                <w:sz w:val="21"/>
                <w:szCs w:val="21"/>
              </w:rPr>
            </w:pPr>
            <w:r>
              <w:rPr>
                <w:rFonts w:hint="eastAsia" w:cs="Times New Roman"/>
                <w:b/>
                <w:color w:val="auto"/>
                <w:sz w:val="21"/>
                <w:szCs w:val="21"/>
                <w:lang w:val="en-US" w:eastAsia="zh-CN"/>
              </w:rPr>
              <w:t>五、</w:t>
            </w:r>
            <w:r>
              <w:rPr>
                <w:rFonts w:hint="eastAsia" w:ascii="Times New Roman" w:hAnsi="Times New Roman" w:eastAsia="宋体" w:cs="Times New Roman"/>
                <w:b/>
                <w:color w:val="auto"/>
                <w:kern w:val="0"/>
                <w:sz w:val="21"/>
                <w:szCs w:val="21"/>
              </w:rPr>
              <w:t>土壤</w:t>
            </w:r>
            <w:r>
              <w:rPr>
                <w:rFonts w:hint="eastAsia" w:ascii="Times New Roman" w:hAnsi="Times New Roman" w:eastAsia="宋体" w:cs="Times New Roman"/>
                <w:b/>
                <w:color w:val="auto"/>
                <w:kern w:val="0"/>
                <w:sz w:val="21"/>
                <w:szCs w:val="21"/>
                <w:lang w:eastAsia="zh-CN"/>
              </w:rPr>
              <w:t>、地下水</w:t>
            </w:r>
            <w:r>
              <w:rPr>
                <w:rFonts w:ascii="Times New Roman" w:hAnsi="Times New Roman" w:eastAsia="宋体" w:cs="Times New Roman"/>
                <w:b/>
                <w:color w:val="auto"/>
                <w:kern w:val="0"/>
                <w:sz w:val="21"/>
                <w:szCs w:val="21"/>
              </w:rPr>
              <w:t>环境影响分析</w:t>
            </w:r>
          </w:p>
          <w:p>
            <w:pPr>
              <w:keepNext w:val="0"/>
              <w:keepLines w:val="0"/>
              <w:suppressLineNumbers w:val="0"/>
              <w:autoSpaceDE w:val="0"/>
              <w:autoSpaceDN w:val="0"/>
              <w:adjustRightInd w:val="0"/>
              <w:spacing w:before="0" w:beforeAutospacing="0" w:after="0" w:afterAutospacing="0" w:line="520" w:lineRule="exact"/>
              <w:ind w:left="0" w:right="0" w:firstLine="420" w:firstLineChars="200"/>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①地下水</w:t>
            </w:r>
          </w:p>
          <w:p>
            <w:pPr>
              <w:keepNext w:val="0"/>
              <w:keepLines w:val="0"/>
              <w:suppressLineNumbers w:val="0"/>
              <w:autoSpaceDE w:val="0"/>
              <w:autoSpaceDN w:val="0"/>
              <w:adjustRightInd w:val="0"/>
              <w:spacing w:before="0" w:beforeAutospacing="0" w:after="0" w:afterAutospacing="0" w:line="520" w:lineRule="exact"/>
              <w:ind w:left="0" w:right="0" w:firstLine="420" w:firstLineChars="200"/>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本项目废水为生活污水，生活污水经厂区化粪池处理后定期清运不外排，对土壤和地下水环境影响较小。</w:t>
            </w:r>
          </w:p>
          <w:p>
            <w:pPr>
              <w:keepNext w:val="0"/>
              <w:keepLines w:val="0"/>
              <w:suppressLineNumbers w:val="0"/>
              <w:autoSpaceDE w:val="0"/>
              <w:autoSpaceDN w:val="0"/>
              <w:adjustRightInd w:val="0"/>
              <w:spacing w:before="0" w:beforeAutospacing="0" w:after="0" w:afterAutospacing="0" w:line="520" w:lineRule="exact"/>
              <w:ind w:left="0" w:right="0" w:firstLine="420" w:firstLineChars="200"/>
              <w:rPr>
                <w:rFonts w:hint="eastAsia" w:ascii="Times New Roman" w:hAnsi="Times New Roman" w:eastAsia="宋体" w:cs="Times New Roman"/>
                <w:bCs/>
                <w:color w:val="auto"/>
                <w:kern w:val="2"/>
                <w:lang w:eastAsia="zh-CN"/>
              </w:rPr>
            </w:pPr>
            <w:r>
              <w:rPr>
                <w:rFonts w:hint="eastAsia" w:ascii="Times New Roman" w:hAnsi="Times New Roman" w:eastAsia="宋体" w:cs="Times New Roman"/>
                <w:bCs/>
                <w:color w:val="auto"/>
                <w:kern w:val="2"/>
                <w:lang w:eastAsia="zh-CN"/>
              </w:rPr>
              <w:t>②土壤</w:t>
            </w:r>
          </w:p>
          <w:p>
            <w:pPr>
              <w:keepNext w:val="0"/>
              <w:keepLines w:val="0"/>
              <w:suppressLineNumbers w:val="0"/>
              <w:autoSpaceDE w:val="0"/>
              <w:autoSpaceDN w:val="0"/>
              <w:adjustRightInd w:val="0"/>
              <w:spacing w:before="0" w:beforeAutospacing="0" w:after="0" w:afterAutospacing="0" w:line="520" w:lineRule="exact"/>
              <w:ind w:left="0" w:right="0" w:firstLine="420" w:firstLineChars="200"/>
              <w:rPr>
                <w:rFonts w:ascii="Times New Roman" w:hAnsi="Times New Roman" w:eastAsia="宋体" w:cs="Times New Roman"/>
                <w:bCs/>
                <w:color w:val="auto"/>
                <w:kern w:val="2"/>
              </w:rPr>
            </w:pPr>
            <w:r>
              <w:rPr>
                <w:rFonts w:hint="eastAsia" w:ascii="Times New Roman" w:hAnsi="Times New Roman" w:eastAsia="宋体" w:cs="Times New Roman"/>
                <w:bCs/>
                <w:color w:val="auto"/>
                <w:kern w:val="2"/>
              </w:rPr>
              <w:t>根据《环境影响评价技术导则</w:t>
            </w:r>
            <w:r>
              <w:rPr>
                <w:rFonts w:ascii="Times New Roman" w:hAnsi="Times New Roman" w:eastAsia="宋体" w:cs="Times New Roman"/>
                <w:bCs/>
                <w:color w:val="auto"/>
                <w:kern w:val="2"/>
              </w:rPr>
              <w:t>—</w:t>
            </w:r>
            <w:r>
              <w:rPr>
                <w:rFonts w:hint="eastAsia" w:ascii="Times New Roman" w:hAnsi="Times New Roman" w:eastAsia="宋体" w:cs="Times New Roman"/>
                <w:bCs/>
                <w:color w:val="auto"/>
                <w:kern w:val="2"/>
              </w:rPr>
              <w:t>土壤环境（试行）》（</w:t>
            </w:r>
            <w:r>
              <w:rPr>
                <w:rFonts w:ascii="Times New Roman" w:hAnsi="Times New Roman" w:eastAsia="宋体" w:cs="Times New Roman"/>
                <w:bCs/>
                <w:color w:val="auto"/>
                <w:kern w:val="2"/>
              </w:rPr>
              <w:t>HJ964-2018</w:t>
            </w:r>
            <w:r>
              <w:rPr>
                <w:rFonts w:hint="eastAsia" w:ascii="Times New Roman" w:hAnsi="Times New Roman" w:eastAsia="宋体" w:cs="Times New Roman"/>
                <w:bCs/>
                <w:color w:val="auto"/>
                <w:kern w:val="2"/>
              </w:rPr>
              <w:t>）判定，本项目土壤环境类型为污染影响型。根据《环境影响评价技术导则</w:t>
            </w:r>
            <w:r>
              <w:rPr>
                <w:rFonts w:ascii="Times New Roman" w:hAnsi="Times New Roman" w:eastAsia="宋体" w:cs="Times New Roman"/>
                <w:bCs/>
                <w:color w:val="auto"/>
                <w:kern w:val="2"/>
              </w:rPr>
              <w:t>—</w:t>
            </w:r>
            <w:r>
              <w:rPr>
                <w:rFonts w:hint="eastAsia" w:ascii="Times New Roman" w:hAnsi="Times New Roman" w:eastAsia="宋体" w:cs="Times New Roman"/>
                <w:bCs/>
                <w:color w:val="auto"/>
                <w:kern w:val="2"/>
              </w:rPr>
              <w:t>土壤环境（试行）》（</w:t>
            </w:r>
            <w:r>
              <w:rPr>
                <w:rFonts w:ascii="Times New Roman" w:hAnsi="Times New Roman" w:eastAsia="宋体" w:cs="Times New Roman"/>
                <w:bCs/>
                <w:color w:val="auto"/>
                <w:kern w:val="2"/>
              </w:rPr>
              <w:t>HJ964-2018</w:t>
            </w:r>
            <w:r>
              <w:rPr>
                <w:rFonts w:hint="eastAsia" w:ascii="Times New Roman" w:hAnsi="Times New Roman" w:eastAsia="宋体" w:cs="Times New Roman"/>
                <w:bCs/>
                <w:color w:val="auto"/>
                <w:kern w:val="2"/>
              </w:rPr>
              <w:t>）附录</w:t>
            </w:r>
            <w:r>
              <w:rPr>
                <w:rFonts w:ascii="Times New Roman" w:hAnsi="Times New Roman" w:eastAsia="宋体" w:cs="Times New Roman"/>
                <w:bCs/>
                <w:color w:val="auto"/>
                <w:kern w:val="2"/>
              </w:rPr>
              <w:t xml:space="preserve"> A</w:t>
            </w:r>
            <w:r>
              <w:rPr>
                <w:rFonts w:hint="eastAsia" w:ascii="Times New Roman" w:hAnsi="Times New Roman" w:eastAsia="宋体" w:cs="Times New Roman"/>
                <w:bCs/>
                <w:color w:val="auto"/>
                <w:kern w:val="2"/>
              </w:rPr>
              <w:t>，本项目属于</w:t>
            </w:r>
            <w:r>
              <w:rPr>
                <w:rFonts w:ascii="Times New Roman" w:hAnsi="Times New Roman" w:eastAsia="宋体" w:cs="Times New Roman"/>
                <w:bCs/>
                <w:color w:val="auto"/>
                <w:kern w:val="2"/>
              </w:rPr>
              <w:t>“</w:t>
            </w:r>
            <w:r>
              <w:rPr>
                <w:rFonts w:hint="eastAsia" w:ascii="Times New Roman" w:hAnsi="Times New Roman" w:eastAsia="宋体" w:cs="Times New Roman"/>
                <w:bCs/>
                <w:color w:val="auto"/>
                <w:kern w:val="2"/>
              </w:rPr>
              <w:t>环境和公共设施管理业</w:t>
            </w:r>
            <w:r>
              <w:rPr>
                <w:rFonts w:ascii="Times New Roman" w:hAnsi="Times New Roman" w:eastAsia="宋体" w:cs="Times New Roman"/>
                <w:bCs/>
                <w:color w:val="auto"/>
                <w:kern w:val="2"/>
              </w:rPr>
              <w:t>”</w:t>
            </w:r>
            <w:r>
              <w:rPr>
                <w:rFonts w:hint="eastAsia" w:ascii="Times New Roman" w:hAnsi="Times New Roman" w:eastAsia="宋体" w:cs="Times New Roman"/>
                <w:bCs/>
                <w:color w:val="auto"/>
                <w:kern w:val="2"/>
              </w:rPr>
              <w:t>中</w:t>
            </w:r>
            <w:r>
              <w:rPr>
                <w:rFonts w:ascii="Times New Roman" w:hAnsi="Times New Roman" w:eastAsia="宋体" w:cs="Times New Roman"/>
                <w:bCs/>
                <w:color w:val="auto"/>
                <w:kern w:val="2"/>
              </w:rPr>
              <w:t>“</w:t>
            </w:r>
            <w:r>
              <w:rPr>
                <w:rFonts w:hint="eastAsia" w:ascii="Times New Roman" w:hAnsi="Times New Roman" w:eastAsia="宋体" w:cs="Times New Roman"/>
                <w:bCs/>
                <w:color w:val="auto"/>
                <w:kern w:val="2"/>
              </w:rPr>
              <w:t>废旧资源加工、再生利用</w:t>
            </w:r>
            <w:r>
              <w:rPr>
                <w:rFonts w:ascii="Times New Roman" w:hAnsi="Times New Roman" w:eastAsia="宋体" w:cs="Times New Roman"/>
                <w:bCs/>
                <w:color w:val="auto"/>
                <w:kern w:val="2"/>
              </w:rPr>
              <w:t>”</w:t>
            </w:r>
            <w:r>
              <w:rPr>
                <w:rFonts w:hint="eastAsia" w:ascii="Times New Roman" w:hAnsi="Times New Roman" w:eastAsia="宋体" w:cs="Times New Roman"/>
                <w:bCs/>
                <w:color w:val="auto"/>
                <w:kern w:val="2"/>
              </w:rPr>
              <w:t>，属于</w:t>
            </w:r>
            <w:r>
              <w:rPr>
                <w:rFonts w:ascii="Times New Roman" w:hAnsi="Times New Roman" w:eastAsia="宋体" w:cs="Times New Roman"/>
                <w:bCs/>
                <w:color w:val="auto"/>
                <w:kern w:val="2"/>
              </w:rPr>
              <w:t>“III</w:t>
            </w:r>
            <w:r>
              <w:rPr>
                <w:rFonts w:hint="eastAsia" w:ascii="Times New Roman" w:hAnsi="Times New Roman" w:eastAsia="宋体" w:cs="Times New Roman"/>
                <w:bCs/>
                <w:color w:val="auto"/>
                <w:kern w:val="2"/>
              </w:rPr>
              <w:t>类</w:t>
            </w:r>
            <w:r>
              <w:rPr>
                <w:rFonts w:ascii="Times New Roman" w:hAnsi="Times New Roman" w:eastAsia="宋体" w:cs="Times New Roman"/>
                <w:bCs/>
                <w:color w:val="auto"/>
                <w:kern w:val="2"/>
              </w:rPr>
              <w:t>”</w:t>
            </w:r>
            <w:r>
              <w:rPr>
                <w:rFonts w:hint="eastAsia" w:ascii="Times New Roman" w:hAnsi="Times New Roman" w:eastAsia="宋体" w:cs="Times New Roman"/>
                <w:bCs/>
                <w:color w:val="auto"/>
                <w:kern w:val="2"/>
              </w:rPr>
              <w:t>建设项目。</w:t>
            </w:r>
          </w:p>
          <w:p>
            <w:pPr>
              <w:keepNext w:val="0"/>
              <w:keepLines w:val="0"/>
              <w:suppressLineNumbers w:val="0"/>
              <w:autoSpaceDE w:val="0"/>
              <w:autoSpaceDN w:val="0"/>
              <w:adjustRightInd w:val="0"/>
              <w:spacing w:before="0" w:beforeAutospacing="0" w:after="0" w:afterAutospacing="0" w:line="520" w:lineRule="exact"/>
              <w:ind w:left="0" w:right="0" w:firstLine="420" w:firstLineChars="200"/>
              <w:rPr>
                <w:rFonts w:ascii="Times New Roman" w:hAnsi="Times New Roman" w:eastAsia="宋体" w:cs="Times New Roman"/>
                <w:bCs/>
                <w:color w:val="auto"/>
                <w:kern w:val="2"/>
              </w:rPr>
            </w:pPr>
            <w:r>
              <w:rPr>
                <w:rFonts w:hint="eastAsia" w:ascii="Times New Roman" w:hAnsi="Times New Roman" w:eastAsia="宋体" w:cs="Times New Roman"/>
                <w:bCs/>
                <w:color w:val="auto"/>
                <w:kern w:val="2"/>
              </w:rPr>
              <w:t>项目所在地周边的土壤环境敏感程度分为敏感、较敏感及不敏感，判别见下表。</w:t>
            </w:r>
          </w:p>
          <w:p>
            <w:pPr>
              <w:keepNext w:val="0"/>
              <w:keepLines w:val="0"/>
              <w:numPr>
                <w:ilvl w:val="0"/>
                <w:numId w:val="0"/>
              </w:numPr>
              <w:suppressLineNumbers w:val="0"/>
              <w:adjustRightInd w:val="0"/>
              <w:snapToGrid w:val="0"/>
              <w:spacing w:before="0" w:beforeAutospacing="0" w:after="0" w:afterAutospacing="0"/>
              <w:ind w:left="0" w:leftChars="0" w:right="0"/>
              <w:jc w:val="center"/>
              <w:rPr>
                <w:rFonts w:hint="default" w:ascii="Times New Roman" w:hAnsi="Times New Roman" w:eastAsia="宋体" w:cs="Times New Roman"/>
                <w:b/>
                <w:bCs w:val="0"/>
                <w:lang w:eastAsia="zh-CN"/>
              </w:rPr>
            </w:pPr>
          </w:p>
          <w:p>
            <w:pPr>
              <w:keepNext w:val="0"/>
              <w:keepLines w:val="0"/>
              <w:numPr>
                <w:ilvl w:val="0"/>
                <w:numId w:val="0"/>
              </w:numPr>
              <w:suppressLineNumbers w:val="0"/>
              <w:adjustRightInd w:val="0"/>
              <w:snapToGrid w:val="0"/>
              <w:spacing w:before="0" w:beforeAutospacing="0" w:after="0" w:afterAutospacing="0"/>
              <w:ind w:left="0" w:leftChars="0" w:right="0"/>
              <w:jc w:val="center"/>
              <w:rPr>
                <w:rFonts w:hint="default" w:ascii="Times New Roman" w:hAnsi="Times New Roman" w:eastAsia="宋体" w:cs="Times New Roman"/>
                <w:b/>
                <w:bCs w:val="0"/>
                <w:lang w:eastAsia="zh-CN"/>
              </w:rPr>
            </w:pPr>
          </w:p>
          <w:p>
            <w:pPr>
              <w:keepNext w:val="0"/>
              <w:keepLines w:val="0"/>
              <w:numPr>
                <w:ilvl w:val="0"/>
                <w:numId w:val="0"/>
              </w:numPr>
              <w:suppressLineNumbers w:val="0"/>
              <w:adjustRightInd w:val="0"/>
              <w:snapToGrid w:val="0"/>
              <w:spacing w:before="0" w:beforeAutospacing="0" w:after="0" w:afterAutospacing="0"/>
              <w:ind w:left="0" w:leftChars="0" w:right="0"/>
              <w:jc w:val="center"/>
              <w:rPr>
                <w:rFonts w:hint="default" w:ascii="Times New Roman" w:hAnsi="Times New Roman" w:eastAsia="宋体" w:cs="Times New Roman"/>
                <w:b/>
                <w:bCs w:val="0"/>
                <w:u w:val="single"/>
              </w:rPr>
            </w:pPr>
            <w:r>
              <w:rPr>
                <w:rFonts w:hint="default" w:ascii="Times New Roman" w:hAnsi="Times New Roman" w:eastAsia="宋体" w:cs="Times New Roman"/>
                <w:b/>
                <w:bCs w:val="0"/>
                <w:lang w:eastAsia="zh-CN"/>
              </w:rPr>
              <w:t>表</w:t>
            </w:r>
            <w:r>
              <w:rPr>
                <w:rFonts w:hint="default" w:ascii="Times New Roman" w:hAnsi="Times New Roman" w:eastAsia="宋体" w:cs="Times New Roman"/>
                <w:b/>
                <w:bCs w:val="0"/>
                <w:lang w:val="en-US" w:eastAsia="zh-CN"/>
              </w:rPr>
              <w:t xml:space="preserve">34  </w:t>
            </w:r>
            <w:r>
              <w:rPr>
                <w:rFonts w:hint="default" w:ascii="Times New Roman" w:hAnsi="Times New Roman" w:eastAsia="宋体" w:cs="Times New Roman"/>
                <w:b/>
                <w:bCs w:val="0"/>
              </w:rPr>
              <w:t>污染影响型敏感程度分级表</w:t>
            </w:r>
          </w:p>
          <w:tbl>
            <w:tblPr>
              <w:tblStyle w:val="1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7"/>
              <w:gridCol w:w="64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敏感程度</w:t>
                  </w:r>
                </w:p>
              </w:tc>
              <w:tc>
                <w:tcPr>
                  <w:tcW w:w="4058"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判别依据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敏感</w:t>
                  </w:r>
                </w:p>
              </w:tc>
              <w:tc>
                <w:tcPr>
                  <w:tcW w:w="4058"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建设项目周边存在耕地、园地、牧草地、饮用水源地或居民区、学校、医院、疗养院、养老院等土壤环境敏感目标的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较敏感</w:t>
                  </w:r>
                </w:p>
              </w:tc>
              <w:tc>
                <w:tcPr>
                  <w:tcW w:w="4058"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建设项目周边存在其他土壤环境敏感目标的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不敏感</w:t>
                  </w:r>
                </w:p>
              </w:tc>
              <w:tc>
                <w:tcPr>
                  <w:tcW w:w="4058"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其他情况</w:t>
                  </w:r>
                </w:p>
              </w:tc>
            </w:tr>
          </w:tbl>
          <w:p>
            <w:pPr>
              <w:keepNext w:val="0"/>
              <w:keepLines w:val="0"/>
              <w:suppressLineNumbers w:val="0"/>
              <w:autoSpaceDE w:val="0"/>
              <w:autoSpaceDN w:val="0"/>
              <w:adjustRightInd w:val="0"/>
              <w:spacing w:before="0" w:beforeAutospacing="0" w:after="0" w:afterAutospacing="0" w:line="520" w:lineRule="exact"/>
              <w:ind w:left="0" w:right="0" w:firstLine="420" w:firstLineChars="200"/>
              <w:rPr>
                <w:rFonts w:hint="eastAsia" w:ascii="Times New Roman" w:hAnsi="Times New Roman" w:eastAsia="宋体" w:cs="Times New Roman"/>
                <w:bCs/>
                <w:color w:val="auto"/>
                <w:kern w:val="2"/>
              </w:rPr>
            </w:pPr>
            <w:r>
              <w:rPr>
                <w:rFonts w:hint="eastAsia" w:ascii="Times New Roman" w:hAnsi="Times New Roman" w:eastAsia="宋体" w:cs="Times New Roman"/>
                <w:bCs/>
                <w:color w:val="auto"/>
                <w:kern w:val="2"/>
              </w:rPr>
              <w:t>根据现场调查，本项目位于</w:t>
            </w:r>
            <w:r>
              <w:rPr>
                <w:rFonts w:hint="eastAsia" w:ascii="Times New Roman" w:hAnsi="Times New Roman" w:eastAsia="宋体" w:cs="Times New Roman"/>
                <w:bCs/>
                <w:color w:val="auto"/>
                <w:kern w:val="2"/>
                <w:lang w:eastAsia="zh-CN"/>
              </w:rPr>
              <w:t>河南省新乡市新乡县合河乡范岭村工业区工农路</w:t>
            </w:r>
            <w:r>
              <w:rPr>
                <w:rFonts w:hint="eastAsia" w:ascii="Times New Roman" w:hAnsi="Times New Roman" w:eastAsia="宋体" w:cs="Times New Roman"/>
                <w:bCs/>
                <w:color w:val="auto"/>
                <w:kern w:val="2"/>
                <w:lang w:val="en-US" w:eastAsia="zh-CN"/>
              </w:rPr>
              <w:t>19号</w:t>
            </w:r>
            <w:r>
              <w:rPr>
                <w:rFonts w:hint="eastAsia" w:ascii="Times New Roman" w:hAnsi="Times New Roman" w:eastAsia="宋体" w:cs="Times New Roman"/>
                <w:bCs/>
                <w:color w:val="auto"/>
                <w:kern w:val="2"/>
              </w:rPr>
              <w:t>，因此，本项目周边的土壤环境敏感程度为“不敏感”。</w:t>
            </w:r>
          </w:p>
          <w:p>
            <w:pPr>
              <w:keepNext w:val="0"/>
              <w:keepLines w:val="0"/>
              <w:suppressLineNumbers w:val="0"/>
              <w:autoSpaceDE w:val="0"/>
              <w:autoSpaceDN w:val="0"/>
              <w:adjustRightInd w:val="0"/>
              <w:spacing w:before="0" w:beforeAutospacing="0" w:after="0" w:afterAutospacing="0" w:line="520" w:lineRule="exact"/>
              <w:ind w:left="0" w:right="0" w:firstLine="420" w:firstLineChars="200"/>
              <w:rPr>
                <w:rFonts w:hint="eastAsia" w:ascii="Times New Roman" w:hAnsi="Times New Roman" w:eastAsia="宋体" w:cs="Times New Roman"/>
                <w:bCs/>
                <w:color w:val="auto"/>
                <w:kern w:val="2"/>
              </w:rPr>
            </w:pPr>
            <w:r>
              <w:rPr>
                <w:rFonts w:hint="eastAsia" w:ascii="Times New Roman" w:hAnsi="Times New Roman" w:eastAsia="宋体" w:cs="Times New Roman"/>
                <w:bCs/>
                <w:color w:val="auto"/>
                <w:kern w:val="2"/>
              </w:rPr>
              <w:t>本项目占地规模为</w:t>
            </w:r>
            <w:r>
              <w:rPr>
                <w:rFonts w:hint="eastAsia" w:ascii="Times New Roman" w:hAnsi="Times New Roman" w:eastAsia="宋体" w:cs="Times New Roman"/>
                <w:bCs/>
                <w:color w:val="auto"/>
                <w:kern w:val="2"/>
                <w:lang w:val="en-US" w:eastAsia="zh-CN"/>
              </w:rPr>
              <w:t>1.5</w:t>
            </w:r>
            <w:r>
              <w:rPr>
                <w:rFonts w:hint="eastAsia" w:ascii="Times New Roman" w:hAnsi="Times New Roman" w:eastAsia="宋体" w:cs="Times New Roman"/>
                <w:bCs/>
                <w:color w:val="auto"/>
                <w:kern w:val="2"/>
              </w:rPr>
              <w:t>hm</w:t>
            </w:r>
            <w:r>
              <w:rPr>
                <w:rFonts w:hint="eastAsia" w:ascii="Times New Roman" w:hAnsi="Times New Roman" w:eastAsia="宋体" w:cs="Times New Roman"/>
                <w:bCs/>
                <w:color w:val="auto"/>
                <w:kern w:val="2"/>
                <w:vertAlign w:val="superscript"/>
              </w:rPr>
              <w:t>2</w:t>
            </w:r>
            <w:r>
              <w:rPr>
                <w:rFonts w:hint="eastAsia" w:ascii="Times New Roman" w:hAnsi="Times New Roman" w:eastAsia="宋体" w:cs="Times New Roman"/>
                <w:bCs/>
                <w:color w:val="auto"/>
                <w:kern w:val="2"/>
              </w:rPr>
              <w:t>（≤5hm</w:t>
            </w:r>
            <w:r>
              <w:rPr>
                <w:rFonts w:hint="eastAsia" w:ascii="Times New Roman" w:hAnsi="Times New Roman" w:eastAsia="宋体" w:cs="Times New Roman"/>
                <w:bCs/>
                <w:color w:val="auto"/>
                <w:kern w:val="2"/>
                <w:vertAlign w:val="superscript"/>
              </w:rPr>
              <w:t>2</w:t>
            </w:r>
            <w:r>
              <w:rPr>
                <w:rFonts w:hint="eastAsia" w:ascii="Times New Roman" w:hAnsi="Times New Roman" w:eastAsia="宋体" w:cs="Times New Roman"/>
                <w:bCs/>
                <w:color w:val="auto"/>
                <w:kern w:val="2"/>
              </w:rPr>
              <w:t>），属于“小型”项目。</w:t>
            </w:r>
          </w:p>
          <w:p>
            <w:pPr>
              <w:keepNext w:val="0"/>
              <w:keepLines w:val="0"/>
              <w:suppressLineNumbers w:val="0"/>
              <w:autoSpaceDE w:val="0"/>
              <w:autoSpaceDN w:val="0"/>
              <w:adjustRightInd w:val="0"/>
              <w:spacing w:before="0" w:beforeAutospacing="0" w:after="0" w:afterAutospacing="0" w:line="520" w:lineRule="exact"/>
              <w:ind w:left="0" w:right="0" w:firstLine="420" w:firstLineChars="200"/>
              <w:rPr>
                <w:rFonts w:hint="default" w:ascii="Times New Roman" w:hAnsi="Times New Roman" w:eastAsia="宋体" w:cs="Times New Roman"/>
                <w:bCs/>
                <w:color w:val="auto"/>
                <w:kern w:val="2"/>
              </w:rPr>
            </w:pPr>
            <w:r>
              <w:rPr>
                <w:rFonts w:hint="eastAsia" w:ascii="Times New Roman" w:hAnsi="Times New Roman" w:eastAsia="宋体" w:cs="Times New Roman"/>
                <w:bCs/>
                <w:color w:val="auto"/>
                <w:kern w:val="2"/>
              </w:rPr>
              <w:t>根据《环境影响评价技术导则 土壤环境（试行）》（HJ964-2018），本项目评价等级判定如下表所示。</w:t>
            </w:r>
          </w:p>
          <w:p>
            <w:pPr>
              <w:keepNext w:val="0"/>
              <w:keepLines w:val="0"/>
              <w:numPr>
                <w:ilvl w:val="0"/>
                <w:numId w:val="0"/>
              </w:numPr>
              <w:suppressLineNumbers w:val="0"/>
              <w:adjustRightInd w:val="0"/>
              <w:snapToGrid w:val="0"/>
              <w:spacing w:before="0" w:beforeAutospacing="0" w:after="0" w:afterAutospacing="0"/>
              <w:ind w:left="0" w:leftChars="0" w:right="0"/>
              <w:jc w:val="center"/>
              <w:rPr>
                <w:rFonts w:hint="default" w:ascii="Times New Roman" w:hAnsi="Times New Roman" w:eastAsia="宋体" w:cs="Times New Roman"/>
                <w:b/>
                <w:bCs w:val="0"/>
                <w:u w:val="single"/>
              </w:rPr>
            </w:pPr>
            <w:r>
              <w:rPr>
                <w:rFonts w:hint="default" w:ascii="Times New Roman" w:hAnsi="Times New Roman" w:eastAsia="宋体" w:cs="Times New Roman"/>
                <w:b/>
                <w:bCs w:val="0"/>
                <w:lang w:eastAsia="zh-CN"/>
              </w:rPr>
              <w:t>表</w:t>
            </w:r>
            <w:r>
              <w:rPr>
                <w:rFonts w:hint="default" w:ascii="Times New Roman" w:hAnsi="Times New Roman" w:eastAsia="宋体" w:cs="Times New Roman"/>
                <w:b/>
                <w:bCs w:val="0"/>
                <w:lang w:val="en-US" w:eastAsia="zh-CN"/>
              </w:rPr>
              <w:t xml:space="preserve">35  </w:t>
            </w:r>
            <w:r>
              <w:rPr>
                <w:rFonts w:hint="default" w:ascii="Times New Roman" w:hAnsi="Times New Roman" w:eastAsia="宋体" w:cs="Times New Roman"/>
                <w:b/>
                <w:bCs w:val="0"/>
              </w:rPr>
              <w:t>污染影响型评价等级判定表</w:t>
            </w:r>
          </w:p>
          <w:tbl>
            <w:tblPr>
              <w:tblStyle w:val="1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77"/>
              <w:gridCol w:w="693"/>
              <w:gridCol w:w="721"/>
              <w:gridCol w:w="602"/>
              <w:gridCol w:w="633"/>
              <w:gridCol w:w="739"/>
              <w:gridCol w:w="726"/>
              <w:gridCol w:w="768"/>
              <w:gridCol w:w="639"/>
              <w:gridCol w:w="6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8"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Times New Roman" w:eastAsia="宋体" w:cs="Times New Roman"/>
                    </w:rPr>
                    <mc:AlternateContent>
                      <mc:Choice Requires="wps">
                        <w:drawing>
                          <wp:anchor distT="0" distB="0" distL="114300" distR="114300" simplePos="0" relativeHeight="251711488" behindDoc="0" locked="0" layoutInCell="1" allowOverlap="1">
                            <wp:simplePos x="0" y="0"/>
                            <wp:positionH relativeFrom="column">
                              <wp:posOffset>-40005</wp:posOffset>
                            </wp:positionH>
                            <wp:positionV relativeFrom="paragraph">
                              <wp:posOffset>11430</wp:posOffset>
                            </wp:positionV>
                            <wp:extent cx="1102995" cy="491490"/>
                            <wp:effectExtent l="1905" t="4445" r="19050" b="18415"/>
                            <wp:wrapNone/>
                            <wp:docPr id="23" name="自选图形 87"/>
                            <wp:cNvGraphicFramePr/>
                            <a:graphic xmlns:a="http://schemas.openxmlformats.org/drawingml/2006/main">
                              <a:graphicData uri="http://schemas.microsoft.com/office/word/2010/wordprocessingShape">
                                <wps:wsp>
                                  <wps:cNvCnPr/>
                                  <wps:spPr>
                                    <a:xfrm>
                                      <a:off x="0" y="0"/>
                                      <a:ext cx="1102995" cy="4914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7" o:spid="_x0000_s1026" o:spt="32" type="#_x0000_t32" style="position:absolute;left:0pt;margin-left:-3.15pt;margin-top:0.9pt;height:38.7pt;width:86.85pt;z-index:251711488;mso-width-relative:page;mso-height-relative:page;" filled="f" stroked="t" coordsize="21600,21600" o:gfxdata="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1jKv11gAAAAcBAAAPAAAAAAAAAAEAIAAAACIAAABkcnMvZG93bnJldi54&#10;bWxQSwECFAAUAAAACACHTuJAPG/p5PwBAADqAwAADgAAAAAAAAABACAAAAAlAQAAZHJzL2Uyb0Rv&#10;Yy54bWxQSwUGAAAAAAYABgBZAQAAkwUAAAAA&#10;">
                            <v:fill on="f" focussize="0,0"/>
                            <v:stroke color="#000000" joinstyle="round"/>
                            <v:imagedata o:title=""/>
                            <o:lock v:ext="edit" aspectratio="f"/>
                          </v:shape>
                        </w:pict>
                      </mc:Fallback>
                    </mc:AlternateContent>
                  </w:r>
                  <w:r>
                    <w:rPr>
                      <w:rFonts w:ascii="Times New Roman" w:hAnsi="Times New Roman" w:eastAsia="宋体" w:cs="Times New Roman"/>
                      <w:bCs/>
                    </w:rPr>
                    <w:t xml:space="preserve">     </w:t>
                  </w:r>
                  <w:r>
                    <w:rPr>
                      <w:rFonts w:ascii="Times New Roman" w:hAnsi="宋体" w:eastAsia="宋体" w:cs="Times New Roman"/>
                      <w:bCs/>
                    </w:rPr>
                    <w:t>占地规模</w:t>
                  </w:r>
                </w:p>
                <w:p>
                  <w:pPr>
                    <w:keepNext w:val="0"/>
                    <w:keepLines w:val="0"/>
                    <w:suppressLineNumbers w:val="0"/>
                    <w:adjustRightInd w:val="0"/>
                    <w:snapToGrid w:val="0"/>
                    <w:spacing w:before="0" w:beforeAutospacing="0" w:after="0" w:afterAutospacing="0"/>
                    <w:ind w:left="0" w:right="0"/>
                    <w:rPr>
                      <w:rFonts w:ascii="Times New Roman" w:hAnsi="Times New Roman" w:eastAsia="宋体" w:cs="Times New Roman"/>
                      <w:bCs/>
                    </w:rPr>
                  </w:pPr>
                  <w:r>
                    <w:rPr>
                      <w:rFonts w:ascii="Times New Roman" w:hAnsi="Times New Roman" w:eastAsia="宋体" w:cs="Times New Roman"/>
                    </w:rPr>
                    <mc:AlternateContent>
                      <mc:Choice Requires="wps">
                        <w:drawing>
                          <wp:anchor distT="0" distB="0" distL="114300" distR="114300" simplePos="0" relativeHeight="251712512" behindDoc="0" locked="0" layoutInCell="1" allowOverlap="1">
                            <wp:simplePos x="0" y="0"/>
                            <wp:positionH relativeFrom="column">
                              <wp:posOffset>-36195</wp:posOffset>
                            </wp:positionH>
                            <wp:positionV relativeFrom="paragraph">
                              <wp:posOffset>116840</wp:posOffset>
                            </wp:positionV>
                            <wp:extent cx="1081405" cy="213360"/>
                            <wp:effectExtent l="635" t="4445" r="3810" b="10795"/>
                            <wp:wrapNone/>
                            <wp:docPr id="60" name="自选图形 89"/>
                            <wp:cNvGraphicFramePr/>
                            <a:graphic xmlns:a="http://schemas.openxmlformats.org/drawingml/2006/main">
                              <a:graphicData uri="http://schemas.microsoft.com/office/word/2010/wordprocessingShape">
                                <wps:wsp>
                                  <wps:cNvCnPr/>
                                  <wps:spPr>
                                    <a:xfrm>
                                      <a:off x="0" y="0"/>
                                      <a:ext cx="1081405" cy="21336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9" o:spid="_x0000_s1026" o:spt="32" type="#_x0000_t32" style="position:absolute;left:0pt;margin-left:-2.85pt;margin-top:9.2pt;height:16.8pt;width:85.15pt;z-index:251712512;mso-width-relative:page;mso-height-relative:page;" filled="f" stroked="t" coordsize="21600,21600" o:gfxdata="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Uig69cAAAAIAQAADwAAAAAAAAABACAAAAAiAAAAZHJzL2Rvd25yZXYueG1s&#10;UEsBAhQAFAAAAAgAh07iQEOKk2X5AQAA6gMAAA4AAAAAAAAAAQAgAAAAJgEAAGRycy9lMm9Eb2Mu&#10;eG1sUEsFBgAAAAAGAAYAWQEAAJEFAAAAAA==&#10;">
                            <v:fill on="f" focussize="0,0"/>
                            <v:stroke color="#000000" joinstyle="round"/>
                            <v:imagedata o:title=""/>
                            <o:lock v:ext="edit" aspectratio="f"/>
                          </v:shape>
                        </w:pict>
                      </mc:Fallback>
                    </mc:AlternateContent>
                  </w:r>
                  <w:r>
                    <w:rPr>
                      <w:rFonts w:ascii="Times New Roman" w:hAnsi="宋体" w:eastAsia="宋体" w:cs="Times New Roman"/>
                      <w:bCs/>
                    </w:rPr>
                    <w:t>评价等级</w:t>
                  </w:r>
                </w:p>
                <w:p>
                  <w:pPr>
                    <w:keepNext w:val="0"/>
                    <w:keepLines w:val="0"/>
                    <w:suppressLineNumbers w:val="0"/>
                    <w:snapToGrid w:val="0"/>
                    <w:spacing w:before="0" w:beforeAutospacing="0" w:after="0" w:afterAutospacing="0"/>
                    <w:ind w:left="0" w:right="0"/>
                    <w:rPr>
                      <w:rFonts w:ascii="Times New Roman" w:hAnsi="Times New Roman" w:eastAsia="宋体" w:cs="Times New Roman"/>
                      <w:bCs/>
                    </w:rPr>
                  </w:pPr>
                  <w:r>
                    <w:rPr>
                      <w:rFonts w:ascii="Times New Roman" w:hAnsi="宋体" w:eastAsia="宋体" w:cs="Times New Roman"/>
                      <w:bCs/>
                    </w:rPr>
                    <w:t>敏感程度</w:t>
                  </w:r>
                </w:p>
              </w:tc>
              <w:tc>
                <w:tcPr>
                  <w:tcW w:w="1269" w:type="pct"/>
                  <w:gridSpan w:val="3"/>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Times New Roman" w:eastAsia="宋体" w:cs="Times New Roman"/>
                      <w:bCs/>
                    </w:rPr>
                    <w:t>Ⅰ</w:t>
                  </w:r>
                  <w:r>
                    <w:rPr>
                      <w:rFonts w:ascii="Times New Roman" w:hAnsi="宋体" w:eastAsia="宋体" w:cs="Times New Roman"/>
                      <w:bCs/>
                    </w:rPr>
                    <w:t>类</w:t>
                  </w:r>
                </w:p>
              </w:tc>
              <w:tc>
                <w:tcPr>
                  <w:tcW w:w="1320" w:type="pct"/>
                  <w:gridSpan w:val="3"/>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Times New Roman" w:eastAsia="宋体" w:cs="Times New Roman"/>
                      <w:bCs/>
                    </w:rPr>
                    <w:t>Ⅱ</w:t>
                  </w:r>
                  <w:r>
                    <w:rPr>
                      <w:rFonts w:ascii="Times New Roman" w:hAnsi="宋体" w:eastAsia="宋体" w:cs="Times New Roman"/>
                      <w:bCs/>
                    </w:rPr>
                    <w:t>类</w:t>
                  </w:r>
                </w:p>
              </w:tc>
              <w:tc>
                <w:tcPr>
                  <w:tcW w:w="1291" w:type="pct"/>
                  <w:gridSpan w:val="3"/>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Times New Roman" w:eastAsia="宋体" w:cs="Times New Roman"/>
                      <w:bCs/>
                    </w:rPr>
                    <w:t>Ⅲ</w:t>
                  </w:r>
                  <w:r>
                    <w:rPr>
                      <w:rFonts w:ascii="Times New Roman" w:hAnsi="宋体" w:eastAsia="宋体" w:cs="Times New Roman"/>
                      <w:bCs/>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8"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left"/>
                    <w:rPr>
                      <w:rFonts w:ascii="Times New Roman" w:hAnsi="Times New Roman" w:eastAsia="宋体" w:cs="Times New Roman"/>
                      <w:bCs/>
                    </w:rPr>
                  </w:pPr>
                </w:p>
              </w:tc>
              <w:tc>
                <w:tcPr>
                  <w:tcW w:w="43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大</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中</w:t>
                  </w:r>
                </w:p>
              </w:tc>
              <w:tc>
                <w:tcPr>
                  <w:tcW w:w="378"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小</w:t>
                  </w:r>
                </w:p>
              </w:tc>
              <w:tc>
                <w:tcPr>
                  <w:tcW w:w="398"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大</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中</w:t>
                  </w:r>
                </w:p>
              </w:tc>
              <w:tc>
                <w:tcPr>
                  <w:tcW w:w="45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小</w:t>
                  </w:r>
                </w:p>
              </w:tc>
              <w:tc>
                <w:tcPr>
                  <w:tcW w:w="4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大</w:t>
                  </w:r>
                </w:p>
              </w:tc>
              <w:tc>
                <w:tcPr>
                  <w:tcW w:w="40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中</w:t>
                  </w:r>
                </w:p>
              </w:tc>
              <w:tc>
                <w:tcPr>
                  <w:tcW w:w="404"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8" w:type="pct"/>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敏感</w:t>
                  </w:r>
                </w:p>
              </w:tc>
              <w:tc>
                <w:tcPr>
                  <w:tcW w:w="436" w:type="pct"/>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一级</w:t>
                  </w:r>
                </w:p>
              </w:tc>
              <w:tc>
                <w:tcPr>
                  <w:tcW w:w="454" w:type="pct"/>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一级</w:t>
                  </w:r>
                </w:p>
              </w:tc>
              <w:tc>
                <w:tcPr>
                  <w:tcW w:w="378" w:type="pct"/>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一级</w:t>
                  </w:r>
                </w:p>
              </w:tc>
              <w:tc>
                <w:tcPr>
                  <w:tcW w:w="398" w:type="pct"/>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二级</w:t>
                  </w:r>
                </w:p>
              </w:tc>
              <w:tc>
                <w:tcPr>
                  <w:tcW w:w="465" w:type="pct"/>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二级</w:t>
                  </w:r>
                </w:p>
              </w:tc>
              <w:tc>
                <w:tcPr>
                  <w:tcW w:w="456" w:type="pct"/>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二级</w:t>
                  </w:r>
                </w:p>
              </w:tc>
              <w:tc>
                <w:tcPr>
                  <w:tcW w:w="483" w:type="pct"/>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三级</w:t>
                  </w:r>
                </w:p>
              </w:tc>
              <w:tc>
                <w:tcPr>
                  <w:tcW w:w="402" w:type="pct"/>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三级</w:t>
                  </w:r>
                </w:p>
              </w:tc>
              <w:tc>
                <w:tcPr>
                  <w:tcW w:w="404" w:type="pct"/>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highlight w:val="lightGray"/>
                    </w:rPr>
                  </w:pPr>
                  <w:r>
                    <w:rPr>
                      <w:rFonts w:ascii="Times New Roman" w:hAnsi="宋体" w:eastAsia="宋体" w:cs="Times New Roman"/>
                      <w:bCs/>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8"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较敏感</w:t>
                  </w:r>
                </w:p>
              </w:tc>
              <w:tc>
                <w:tcPr>
                  <w:tcW w:w="43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一级</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一级</w:t>
                  </w:r>
                </w:p>
              </w:tc>
              <w:tc>
                <w:tcPr>
                  <w:tcW w:w="378"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二级</w:t>
                  </w:r>
                </w:p>
              </w:tc>
              <w:tc>
                <w:tcPr>
                  <w:tcW w:w="398"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二级</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二级</w:t>
                  </w:r>
                </w:p>
              </w:tc>
              <w:tc>
                <w:tcPr>
                  <w:tcW w:w="45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三级</w:t>
                  </w:r>
                </w:p>
              </w:tc>
              <w:tc>
                <w:tcPr>
                  <w:tcW w:w="4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三级</w:t>
                  </w:r>
                </w:p>
              </w:tc>
              <w:tc>
                <w:tcPr>
                  <w:tcW w:w="40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三级</w:t>
                  </w:r>
                </w:p>
              </w:tc>
              <w:tc>
                <w:tcPr>
                  <w:tcW w:w="404"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Times New Roman" w:eastAsia="宋体" w:cs="Times New Roman"/>
                      <w:bC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8"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不敏感</w:t>
                  </w:r>
                </w:p>
              </w:tc>
              <w:tc>
                <w:tcPr>
                  <w:tcW w:w="43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一级</w:t>
                  </w:r>
                </w:p>
              </w:tc>
              <w:tc>
                <w:tcPr>
                  <w:tcW w:w="454"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二级</w:t>
                  </w:r>
                </w:p>
              </w:tc>
              <w:tc>
                <w:tcPr>
                  <w:tcW w:w="378"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二级</w:t>
                  </w:r>
                </w:p>
              </w:tc>
              <w:tc>
                <w:tcPr>
                  <w:tcW w:w="398"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二级</w:t>
                  </w:r>
                </w:p>
              </w:tc>
              <w:tc>
                <w:tcPr>
                  <w:tcW w:w="465"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三级</w:t>
                  </w:r>
                </w:p>
              </w:tc>
              <w:tc>
                <w:tcPr>
                  <w:tcW w:w="456"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三级</w:t>
                  </w:r>
                </w:p>
              </w:tc>
              <w:tc>
                <w:tcPr>
                  <w:tcW w:w="483"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三级</w:t>
                  </w:r>
                </w:p>
              </w:tc>
              <w:tc>
                <w:tcPr>
                  <w:tcW w:w="402" w:type="pc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Times New Roman" w:eastAsia="宋体" w:cs="Times New Roman"/>
                      <w:bCs/>
                    </w:rPr>
                    <w:t>-</w:t>
                  </w:r>
                </w:p>
              </w:tc>
              <w:tc>
                <w:tcPr>
                  <w:tcW w:w="404" w:type="pct"/>
                  <w:tcBorders>
                    <w:tl2br w:val="nil"/>
                    <w:tr2bl w:val="nil"/>
                  </w:tcBorders>
                  <w:shd w:val="clear" w:color="auto" w:fill="C4BC96"/>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Times New Roman" w:eastAsia="宋体" w:cs="Times New Roman"/>
                      <w:bC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0"/>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bCs/>
                    </w:rPr>
                  </w:pPr>
                  <w:r>
                    <w:rPr>
                      <w:rFonts w:ascii="Times New Roman" w:hAnsi="宋体" w:eastAsia="宋体" w:cs="Times New Roman"/>
                      <w:bCs/>
                    </w:rPr>
                    <w:t>注：</w:t>
                  </w:r>
                  <w:r>
                    <w:rPr>
                      <w:rFonts w:ascii="Times New Roman" w:hAnsi="Times New Roman" w:eastAsia="宋体" w:cs="Times New Roman"/>
                      <w:bCs/>
                    </w:rPr>
                    <w:t>“-”</w:t>
                  </w:r>
                  <w:r>
                    <w:rPr>
                      <w:rFonts w:ascii="Times New Roman" w:hAnsi="宋体" w:eastAsia="宋体" w:cs="Times New Roman"/>
                      <w:bCs/>
                    </w:rPr>
                    <w:t>表示可不开展土壤环境影响评价工作</w:t>
                  </w:r>
                </w:p>
              </w:tc>
            </w:tr>
          </w:tbl>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520" w:lineRule="exact"/>
              <w:ind w:left="0" w:right="0" w:firstLine="420" w:firstLineChars="200"/>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因此，根据《环境影响评价技术导则—土壤环境（试行）》（</w:t>
            </w:r>
            <w:r>
              <w:rPr>
                <w:rFonts w:hint="default" w:ascii="Times New Roman" w:hAnsi="Times New Roman" w:eastAsia="宋体" w:cs="Times New Roman"/>
                <w:color w:val="000000"/>
                <w:kern w:val="0"/>
                <w:sz w:val="21"/>
                <w:szCs w:val="21"/>
                <w:lang w:val="en-US" w:eastAsia="zh-CN" w:bidi="ar"/>
              </w:rPr>
              <w:t>HJ964-2018</w:t>
            </w:r>
            <w:r>
              <w:rPr>
                <w:rFonts w:hint="eastAsia" w:ascii="宋体" w:hAnsi="宋体" w:eastAsia="宋体" w:cs="宋体"/>
                <w:color w:val="000000"/>
                <w:kern w:val="0"/>
                <w:sz w:val="21"/>
                <w:szCs w:val="21"/>
                <w:lang w:val="en-US" w:eastAsia="zh-CN" w:bidi="ar"/>
              </w:rPr>
              <w:t>）污染影响型评价工作等级划分，本项目可不开展土壤评价。</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520" w:lineRule="exact"/>
              <w:ind w:left="0" w:right="0" w:firstLine="420" w:firstLineChars="200"/>
              <w:textAlignment w:val="auto"/>
              <w:rPr>
                <w:rFonts w:hint="eastAsia" w:ascii="Times New Roman" w:hAnsi="Times New Roman" w:eastAsia="宋体" w:cs="Times New Roman"/>
                <w:color w:val="FF0000"/>
                <w:kern w:val="0"/>
                <w:sz w:val="21"/>
                <w:szCs w:val="21"/>
              </w:rPr>
            </w:pPr>
            <w:r>
              <w:rPr>
                <w:rFonts w:hint="eastAsia" w:ascii="宋体" w:hAnsi="宋体" w:eastAsia="宋体" w:cs="宋体"/>
                <w:color w:val="000000"/>
                <w:kern w:val="0"/>
                <w:sz w:val="21"/>
                <w:szCs w:val="21"/>
                <w:lang w:val="en-US" w:eastAsia="zh-CN" w:bidi="ar"/>
              </w:rPr>
              <w:t>综上所述，项目运营期在落实各种污染控制措施情况下，项目建设对地下水、土壤环境的影响可降至最低，不改变区域土壤环境质量现状和地下水环境现状。因此，从地下水、土壤环境影响的角度，项目建设可行。</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520" w:lineRule="exact"/>
              <w:ind w:left="0" w:right="0" w:firstLine="422" w:firstLineChars="200"/>
              <w:textAlignment w:val="auto"/>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六</w:t>
            </w:r>
            <w:r>
              <w:rPr>
                <w:rFonts w:ascii="Times New Roman" w:hAnsi="Times New Roman" w:eastAsia="宋体" w:cs="Times New Roman"/>
                <w:b/>
                <w:color w:val="auto"/>
                <w:sz w:val="21"/>
                <w:szCs w:val="21"/>
              </w:rPr>
              <w:t>、</w:t>
            </w:r>
            <w:r>
              <w:rPr>
                <w:rFonts w:hint="eastAsia" w:ascii="Times New Roman" w:hAnsi="Times New Roman" w:eastAsia="宋体" w:cs="Times New Roman"/>
                <w:b/>
                <w:color w:val="auto"/>
                <w:sz w:val="21"/>
                <w:szCs w:val="21"/>
                <w:lang w:eastAsia="zh-CN"/>
              </w:rPr>
              <w:t>生态环境影响分析</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本项目不涉及</w:t>
            </w:r>
            <w:r>
              <w:rPr>
                <w:rFonts w:ascii="Times New Roman" w:hAnsi="Times New Roman" w:eastAsia="宋体" w:cs="Times New Roman"/>
                <w:bCs/>
                <w:color w:val="auto"/>
                <w:sz w:val="21"/>
                <w:szCs w:val="21"/>
              </w:rPr>
              <w:t>。</w:t>
            </w:r>
          </w:p>
          <w:p>
            <w:pPr>
              <w:keepNext w:val="0"/>
              <w:keepLines w:val="0"/>
              <w:pageBreakBefore w:val="0"/>
              <w:widowControl w:val="0"/>
              <w:numPr>
                <w:ilvl w:val="0"/>
                <w:numId w:val="0"/>
              </w:numPr>
              <w:suppressLineNumbers w:val="0"/>
              <w:kinsoku/>
              <w:wordWrap/>
              <w:overflowPunct/>
              <w:topLinePunct w:val="0"/>
              <w:bidi w:val="0"/>
              <w:adjustRightInd w:val="0"/>
              <w:snapToGrid w:val="0"/>
              <w:spacing w:before="0" w:beforeAutospacing="0" w:after="0" w:afterAutospacing="0" w:line="520" w:lineRule="exact"/>
              <w:ind w:left="0" w:right="0" w:firstLine="422" w:firstLineChars="200"/>
              <w:textAlignment w:val="auto"/>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七、环境风险影响分析</w:t>
            </w:r>
          </w:p>
          <w:p>
            <w:pPr>
              <w:keepNext w:val="0"/>
              <w:keepLines w:val="0"/>
              <w:pageBreakBefore w:val="0"/>
              <w:widowControl w:val="0"/>
              <w:suppressLineNumbers w:val="0"/>
              <w:kinsoku/>
              <w:wordWrap/>
              <w:overflowPunct/>
              <w:topLinePunct w:val="0"/>
              <w:bidi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本项目不涉及有毒有害和易燃易爆等危险物质。</w:t>
            </w:r>
          </w:p>
          <w:p>
            <w:pPr>
              <w:keepNext w:val="0"/>
              <w:keepLines w:val="0"/>
              <w:suppressLineNumbers w:val="0"/>
              <w:adjustRightInd w:val="0"/>
              <w:snapToGrid w:val="0"/>
              <w:spacing w:before="0" w:beforeAutospacing="0" w:after="0" w:afterAutospacing="0" w:line="520" w:lineRule="exact"/>
              <w:ind w:left="0" w:right="0" w:firstLine="422" w:firstLineChars="200"/>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eastAsia="zh-CN"/>
              </w:rPr>
              <w:t>八、电磁辐射</w:t>
            </w:r>
          </w:p>
          <w:p>
            <w:pPr>
              <w:keepNext w:val="0"/>
              <w:keepLines w:val="0"/>
              <w:suppressLineNumbers w:val="0"/>
              <w:adjustRightInd w:val="0"/>
              <w:snapToGrid w:val="0"/>
              <w:spacing w:before="0" w:beforeAutospacing="0" w:after="0" w:afterAutospacing="0" w:line="520" w:lineRule="exact"/>
              <w:ind w:left="0" w:right="0" w:firstLine="420" w:firstLineChars="20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bCs/>
                <w:color w:val="auto"/>
                <w:sz w:val="21"/>
                <w:szCs w:val="21"/>
                <w:lang w:val="en-US" w:eastAsia="zh-CN"/>
              </w:rPr>
              <w:t>本项目不涉及。</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九、工程环保投资概算及环保设施验收</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本项目总投资500万元，环保投资为</w:t>
            </w:r>
            <w:r>
              <w:rPr>
                <w:rFonts w:hint="eastAsia" w:ascii="Times New Roman" w:hAnsi="Times New Roman" w:eastAsia="宋体" w:cs="Times New Roman"/>
                <w:sz w:val="21"/>
                <w:szCs w:val="21"/>
                <w:highlight w:val="none"/>
                <w:lang w:val="en-US" w:eastAsia="zh-CN"/>
              </w:rPr>
              <w:t>2</w:t>
            </w:r>
            <w:r>
              <w:rPr>
                <w:rFonts w:hint="default" w:ascii="Times New Roman" w:hAnsi="Times New Roman" w:eastAsia="宋体" w:cs="Times New Roman"/>
                <w:sz w:val="21"/>
                <w:szCs w:val="21"/>
                <w:highlight w:val="none"/>
                <w:lang w:val="en-US" w:eastAsia="zh-CN"/>
              </w:rPr>
              <w:t>0万元，环保投资占总投资的</w:t>
            </w:r>
            <w:r>
              <w:rPr>
                <w:rFonts w:hint="eastAsia" w:ascii="Times New Roman" w:hAnsi="Times New Roman" w:eastAsia="宋体" w:cs="Times New Roman"/>
                <w:sz w:val="21"/>
                <w:szCs w:val="21"/>
                <w:highlight w:val="none"/>
                <w:lang w:val="en-US" w:eastAsia="zh-CN"/>
              </w:rPr>
              <w:t>4</w:t>
            </w:r>
            <w:r>
              <w:rPr>
                <w:rFonts w:hint="default" w:ascii="Times New Roman" w:hAnsi="Times New Roman" w:eastAsia="宋体" w:cs="Times New Roman"/>
                <w:sz w:val="21"/>
                <w:szCs w:val="21"/>
                <w:highlight w:val="none"/>
                <w:lang w:val="en-US" w:eastAsia="zh-CN"/>
              </w:rPr>
              <w:t>%。</w:t>
            </w:r>
          </w:p>
          <w:p>
            <w:pPr>
              <w:pStyle w:val="7"/>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left="0" w:firstLine="42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环保投资情况详见下表：</w:t>
            </w:r>
          </w:p>
          <w:p>
            <w:pPr>
              <w:pStyle w:val="7"/>
              <w:keepNext w:val="0"/>
              <w:keepLines w:val="0"/>
              <w:suppressLineNumbers w:val="0"/>
              <w:spacing w:before="0" w:beforeAutospacing="0" w:after="0" w:afterAutospacing="0"/>
              <w:ind w:left="0" w:leftChars="0" w:firstLine="0" w:firstLineChars="0"/>
              <w:jc w:val="center"/>
              <w:rPr>
                <w:b/>
                <w:bCs/>
                <w:highlight w:val="none"/>
                <w:lang w:val="en-US" w:eastAsia="zh-CN"/>
              </w:rPr>
            </w:pPr>
            <w:r>
              <w:rPr>
                <w:b/>
                <w:bCs/>
                <w:highlight w:val="none"/>
                <w:lang w:val="en-US" w:eastAsia="zh-CN"/>
              </w:rPr>
              <w:t>表</w:t>
            </w:r>
            <w:r>
              <w:rPr>
                <w:rFonts w:hint="eastAsia"/>
                <w:b/>
                <w:bCs/>
                <w:highlight w:val="none"/>
                <w:lang w:val="en-US" w:eastAsia="zh-CN"/>
              </w:rPr>
              <w:t xml:space="preserve">36  </w:t>
            </w:r>
            <w:r>
              <w:rPr>
                <w:b/>
                <w:bCs/>
                <w:highlight w:val="none"/>
                <w:lang w:val="en-US" w:eastAsia="zh-CN"/>
              </w:rPr>
              <w:t>工程环保投资一览表</w:t>
            </w:r>
            <w:r>
              <w:rPr>
                <w:rFonts w:hint="eastAsia"/>
                <w:b/>
                <w:bCs/>
                <w:highlight w:val="none"/>
                <w:lang w:val="en-US" w:eastAsia="zh-CN"/>
              </w:rPr>
              <w:t xml:space="preserve">    单位：万元</w:t>
            </w:r>
          </w:p>
          <w:tbl>
            <w:tblPr>
              <w:tblStyle w:val="12"/>
              <w:tblW w:w="79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1674"/>
              <w:gridCol w:w="2295"/>
              <w:gridCol w:w="985"/>
              <w:gridCol w:w="943"/>
              <w:gridCol w:w="10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1"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项目</w:t>
                  </w:r>
                </w:p>
              </w:tc>
              <w:tc>
                <w:tcPr>
                  <w:tcW w:w="1674"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污染因子</w:t>
                  </w:r>
                </w:p>
              </w:tc>
              <w:tc>
                <w:tcPr>
                  <w:tcW w:w="2295"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环保设施</w:t>
                  </w:r>
                </w:p>
              </w:tc>
              <w:tc>
                <w:tcPr>
                  <w:tcW w:w="985"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单位</w:t>
                  </w:r>
                </w:p>
              </w:tc>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数量</w:t>
                  </w:r>
                </w:p>
              </w:tc>
              <w:tc>
                <w:tcPr>
                  <w:tcW w:w="1019"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投资金额（万元）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1"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废气治理</w:t>
                  </w:r>
                </w:p>
              </w:tc>
              <w:tc>
                <w:tcPr>
                  <w:tcW w:w="1674"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hint="eastAsia" w:ascii="Times New Roman" w:hAnsi="Times New Roman" w:eastAsia="宋体" w:cs="Times New Roman"/>
                    </w:rPr>
                    <w:t>颗粒物</w:t>
                  </w:r>
                </w:p>
              </w:tc>
              <w:tc>
                <w:tcPr>
                  <w:tcW w:w="2295"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hint="eastAsia" w:ascii="Times New Roman" w:hAnsi="Times New Roman" w:eastAsia="宋体" w:cs="Times New Roman"/>
                    </w:rPr>
                    <w:t>袋式除尘器处理后经15m高排气筒排放</w:t>
                  </w:r>
                </w:p>
              </w:tc>
              <w:tc>
                <w:tcPr>
                  <w:tcW w:w="985"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套</w:t>
                  </w:r>
                </w:p>
              </w:tc>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1</w:t>
                  </w:r>
                </w:p>
              </w:tc>
              <w:tc>
                <w:tcPr>
                  <w:tcW w:w="1019"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hint="eastAsia" w:ascii="Times New Roman" w:hAnsi="Times New Roman" w:eastAsia="宋体" w:cs="Times New Roman"/>
                      <w:lang w:val="en-US" w:eastAsia="zh-CN"/>
                    </w:rPr>
                    <w:t>1</w:t>
                  </w:r>
                  <w:r>
                    <w:rPr>
                      <w:rFonts w:hint="eastAsia" w:ascii="Times New Roman" w:hAnsi="Times New Roman" w:eastAsia="宋体" w:cs="Times New Roma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1"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废水治理</w:t>
                  </w:r>
                </w:p>
              </w:tc>
              <w:tc>
                <w:tcPr>
                  <w:tcW w:w="1674"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COD、</w:t>
                  </w:r>
                  <w:r>
                    <w:rPr>
                      <w:rFonts w:hint="eastAsia" w:ascii="Times New Roman" w:hAnsi="Times New Roman" w:eastAsia="宋体" w:cs="Times New Roman"/>
                    </w:rPr>
                    <w:t>SS、</w:t>
                  </w:r>
                  <w:r>
                    <w:rPr>
                      <w:rFonts w:ascii="Times New Roman" w:hAnsi="Times New Roman" w:eastAsia="宋体" w:cs="Times New Roman"/>
                    </w:rPr>
                    <w:t>氨氮、TP、TN</w:t>
                  </w:r>
                </w:p>
              </w:tc>
              <w:tc>
                <w:tcPr>
                  <w:tcW w:w="229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eastAsia="zh-CN"/>
                    </w:rPr>
                  </w:pPr>
                  <w:r>
                    <w:rPr>
                      <w:rFonts w:ascii="Times New Roman" w:hAnsi="Times New Roman" w:eastAsia="宋体" w:cs="Times New Roman"/>
                    </w:rPr>
                    <w:t>依托化粪池处理后</w:t>
                  </w:r>
                  <w:r>
                    <w:rPr>
                      <w:rFonts w:hint="eastAsia" w:ascii="Times New Roman" w:hAnsi="Times New Roman" w:eastAsia="宋体" w:cs="Times New Roman"/>
                      <w:lang w:eastAsia="zh-CN"/>
                    </w:rPr>
                    <w:t>定期清运</w:t>
                  </w:r>
                </w:p>
              </w:tc>
              <w:tc>
                <w:tcPr>
                  <w:tcW w:w="985"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个</w:t>
                  </w:r>
                </w:p>
              </w:tc>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1</w:t>
                  </w:r>
                </w:p>
              </w:tc>
              <w:tc>
                <w:tcPr>
                  <w:tcW w:w="1019"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hint="eastAsia" w:ascii="Times New Roman" w:hAnsi="Times New Roman" w:eastAsia="宋体"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1"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噪声治理</w:t>
                  </w:r>
                </w:p>
              </w:tc>
              <w:tc>
                <w:tcPr>
                  <w:tcW w:w="1674"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hint="eastAsia" w:ascii="Times New Roman" w:hAnsi="Times New Roman" w:eastAsia="宋体" w:cs="Times New Roman"/>
                    </w:rPr>
                    <w:t>撕碎机、破碎机</w:t>
                  </w:r>
                  <w:r>
                    <w:rPr>
                      <w:rFonts w:ascii="Times New Roman" w:hAnsi="Times New Roman" w:eastAsia="宋体" w:cs="Times New Roman"/>
                    </w:rPr>
                    <w:t>等</w:t>
                  </w:r>
                </w:p>
              </w:tc>
              <w:tc>
                <w:tcPr>
                  <w:tcW w:w="2295"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厂房隔音、距离衰减</w:t>
                  </w:r>
                </w:p>
              </w:tc>
              <w:tc>
                <w:tcPr>
                  <w:tcW w:w="985"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w:t>
                  </w:r>
                </w:p>
              </w:tc>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w:t>
                  </w:r>
                </w:p>
              </w:tc>
              <w:tc>
                <w:tcPr>
                  <w:tcW w:w="101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1"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固废治理</w:t>
                  </w:r>
                </w:p>
              </w:tc>
              <w:tc>
                <w:tcPr>
                  <w:tcW w:w="1674"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生活垃圾</w:t>
                  </w:r>
                </w:p>
              </w:tc>
              <w:tc>
                <w:tcPr>
                  <w:tcW w:w="2295"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垃圾桶</w:t>
                  </w:r>
                </w:p>
              </w:tc>
              <w:tc>
                <w:tcPr>
                  <w:tcW w:w="985"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个</w:t>
                  </w:r>
                </w:p>
              </w:tc>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若干</w:t>
                  </w:r>
                </w:p>
              </w:tc>
              <w:tc>
                <w:tcPr>
                  <w:tcW w:w="1019"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hint="eastAsia" w:ascii="Times New Roman" w:hAnsi="Times New Roman" w:eastAsia="宋体"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p>
              </w:tc>
              <w:tc>
                <w:tcPr>
                  <w:tcW w:w="1674"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hint="eastAsia" w:ascii="Times New Roman" w:hAnsi="Times New Roman" w:eastAsia="宋体" w:cs="Times New Roman"/>
                    </w:rPr>
                    <w:t>除尘器粉尘</w:t>
                  </w:r>
                </w:p>
              </w:tc>
              <w:tc>
                <w:tcPr>
                  <w:tcW w:w="2295"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eastAsia="zh-CN"/>
                    </w:rPr>
                  </w:pPr>
                  <w:r>
                    <w:rPr>
                      <w:rFonts w:hint="eastAsia" w:ascii="Times New Roman" w:hAnsi="Times New Roman" w:eastAsia="宋体" w:cs="Times New Roman"/>
                    </w:rPr>
                    <w:t>固废暂存间</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10m</w:t>
                  </w:r>
                  <w:r>
                    <w:rPr>
                      <w:rFonts w:hint="eastAsia" w:ascii="Times New Roman" w:hAnsi="Times New Roman" w:eastAsia="宋体" w:cs="Times New Roman"/>
                      <w:vertAlign w:val="superscript"/>
                      <w:lang w:val="en-US" w:eastAsia="zh-CN"/>
                    </w:rPr>
                    <w:t>2</w:t>
                  </w:r>
                  <w:r>
                    <w:rPr>
                      <w:rFonts w:hint="eastAsia" w:ascii="Times New Roman" w:hAnsi="Times New Roman" w:eastAsia="宋体" w:cs="Times New Roman"/>
                      <w:lang w:eastAsia="zh-CN"/>
                    </w:rPr>
                    <w:t>）</w:t>
                  </w:r>
                </w:p>
              </w:tc>
              <w:tc>
                <w:tcPr>
                  <w:tcW w:w="985"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座</w:t>
                  </w:r>
                </w:p>
              </w:tc>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1</w:t>
                  </w:r>
                </w:p>
              </w:tc>
              <w:tc>
                <w:tcPr>
                  <w:tcW w:w="101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rPr>
                  </w:pPr>
                  <w:r>
                    <w:rPr>
                      <w:rFonts w:hint="eastAsia" w:ascii="Times New Roman" w:hAnsi="Times New Roman" w:eastAsia="宋体" w:cs="Times New Roma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p>
              </w:tc>
              <w:tc>
                <w:tcPr>
                  <w:tcW w:w="1674"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hint="eastAsia" w:ascii="Times New Roman" w:hAnsi="Times New Roman" w:eastAsia="宋体" w:cs="Times New Roman"/>
                    </w:rPr>
                    <w:t>废润滑油</w:t>
                  </w:r>
                </w:p>
              </w:tc>
              <w:tc>
                <w:tcPr>
                  <w:tcW w:w="2295"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危废暂存间</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10m</w:t>
                  </w:r>
                  <w:r>
                    <w:rPr>
                      <w:rFonts w:hint="eastAsia" w:ascii="Times New Roman" w:hAnsi="Times New Roman" w:eastAsia="宋体" w:cs="Times New Roman"/>
                      <w:vertAlign w:val="superscript"/>
                      <w:lang w:val="en-US" w:eastAsia="zh-CN"/>
                    </w:rPr>
                    <w:t>2</w:t>
                  </w:r>
                  <w:r>
                    <w:rPr>
                      <w:rFonts w:hint="eastAsia" w:ascii="Times New Roman" w:hAnsi="Times New Roman" w:eastAsia="宋体" w:cs="Times New Roman"/>
                      <w:lang w:eastAsia="zh-CN"/>
                    </w:rPr>
                    <w:t>）</w:t>
                  </w:r>
                </w:p>
              </w:tc>
              <w:tc>
                <w:tcPr>
                  <w:tcW w:w="985"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座</w:t>
                  </w:r>
                </w:p>
              </w:tc>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1</w:t>
                  </w:r>
                </w:p>
              </w:tc>
              <w:tc>
                <w:tcPr>
                  <w:tcW w:w="1019"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hint="eastAsia" w:ascii="Times New Roman" w:hAnsi="Times New Roman" w:eastAsia="宋体" w:cs="Times New Roma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1"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hint="eastAsia" w:ascii="Times New Roman" w:hAnsi="Times New Roman" w:eastAsia="宋体" w:cs="Times New Roman"/>
                    </w:rPr>
                    <w:t>其他</w:t>
                  </w:r>
                </w:p>
              </w:tc>
              <w:tc>
                <w:tcPr>
                  <w:tcW w:w="5897"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hint="eastAsia" w:ascii="Times New Roman" w:hAnsi="Times New Roman" w:eastAsia="宋体" w:cs="Times New Roman"/>
                    </w:rPr>
                    <w:t>用电量监控系统</w:t>
                  </w:r>
                </w:p>
              </w:tc>
              <w:tc>
                <w:tcPr>
                  <w:tcW w:w="1019"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hint="eastAsia" w:ascii="Times New Roman" w:hAnsi="Times New Roman" w:eastAsia="宋体"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rPr>
                  </w:pPr>
                </w:p>
              </w:tc>
              <w:tc>
                <w:tcPr>
                  <w:tcW w:w="5897"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rPr>
                  </w:pPr>
                  <w:r>
                    <w:rPr>
                      <w:rFonts w:hint="eastAsia" w:ascii="Times New Roman" w:hAnsi="Times New Roman" w:eastAsia="宋体" w:cs="Times New Roman"/>
                    </w:rPr>
                    <w:t>视频监控</w:t>
                  </w:r>
                </w:p>
              </w:tc>
              <w:tc>
                <w:tcPr>
                  <w:tcW w:w="1019"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hint="eastAsia" w:ascii="Times New Roman" w:hAnsi="Times New Roman" w:eastAsia="宋体"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1"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rPr>
                  </w:pPr>
                </w:p>
              </w:tc>
              <w:tc>
                <w:tcPr>
                  <w:tcW w:w="5897"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rPr>
                  </w:pPr>
                  <w:r>
                    <w:rPr>
                      <w:rFonts w:hint="eastAsia" w:ascii="Times New Roman" w:hAnsi="Times New Roman" w:eastAsia="宋体" w:cs="Times New Roman"/>
                    </w:rPr>
                    <w:t>门禁系统</w:t>
                  </w:r>
                </w:p>
              </w:tc>
              <w:tc>
                <w:tcPr>
                  <w:tcW w:w="1019"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hint="eastAsia" w:ascii="Times New Roman" w:hAnsi="Times New Roman" w:eastAsia="宋体"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8"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合计</w:t>
                  </w:r>
                </w:p>
              </w:tc>
              <w:tc>
                <w:tcPr>
                  <w:tcW w:w="101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20" w:firstLineChars="200"/>
              <w:jc w:val="both"/>
              <w:textAlignment w:val="auto"/>
              <w:rPr>
                <w:rFonts w:hint="eastAsia"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工程竣工验收情况详见下表</w:t>
            </w:r>
            <w:r>
              <w:rPr>
                <w:rFonts w:hint="eastAsia" w:ascii="Times New Roman" w:hAnsi="Times New Roman" w:eastAsia="宋体" w:cs="Times New Roman"/>
                <w:kern w:val="0"/>
                <w:sz w:val="21"/>
                <w:szCs w:val="21"/>
                <w:highlight w:val="none"/>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37</w:t>
            </w:r>
            <w:r>
              <w:rPr>
                <w:rFonts w:hint="eastAsia" w:ascii="Times New Roman" w:hAnsi="Times New Roman" w:eastAsia="宋体" w:cs="Times New Roman"/>
                <w:b/>
                <w:bCs/>
                <w:sz w:val="21"/>
                <w:szCs w:val="21"/>
              </w:rPr>
              <w:t xml:space="preserve"> </w:t>
            </w:r>
            <w:r>
              <w:rPr>
                <w:rFonts w:ascii="Times New Roman" w:hAnsi="Times New Roman" w:eastAsia="宋体" w:cs="Times New Roman"/>
                <w:b/>
                <w:bCs/>
                <w:sz w:val="21"/>
                <w:szCs w:val="21"/>
              </w:rPr>
              <w:t xml:space="preserve"> 环保验收一览表</w:t>
            </w:r>
          </w:p>
          <w:tbl>
            <w:tblPr>
              <w:tblStyle w:val="12"/>
              <w:tblW w:w="79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729"/>
              <w:gridCol w:w="699"/>
              <w:gridCol w:w="2158"/>
              <w:gridCol w:w="1104"/>
              <w:gridCol w:w="22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项目</w:t>
                  </w:r>
                </w:p>
              </w:tc>
              <w:tc>
                <w:tcPr>
                  <w:tcW w:w="1428"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污染物名称</w:t>
                  </w:r>
                </w:p>
              </w:tc>
              <w:tc>
                <w:tcPr>
                  <w:tcW w:w="2158"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治理措施</w:t>
                  </w:r>
                </w:p>
              </w:tc>
              <w:tc>
                <w:tcPr>
                  <w:tcW w:w="1104"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治理效果</w:t>
                  </w:r>
                </w:p>
              </w:tc>
              <w:tc>
                <w:tcPr>
                  <w:tcW w:w="2212"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验收指标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03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废气治理</w:t>
                  </w:r>
                </w:p>
              </w:tc>
              <w:tc>
                <w:tcPr>
                  <w:tcW w:w="72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撕碎</w:t>
                  </w:r>
                </w:p>
              </w:tc>
              <w:tc>
                <w:tcPr>
                  <w:tcW w:w="699"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颗粒物</w:t>
                  </w:r>
                </w:p>
              </w:tc>
              <w:tc>
                <w:tcPr>
                  <w:tcW w:w="2158"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hint="eastAsia" w:ascii="Times New Roman" w:hAnsi="Times New Roman" w:eastAsia="宋体" w:cs="Times New Roman"/>
                      <w:lang w:eastAsia="zh-CN"/>
                    </w:rPr>
                    <w:t>均负压收集后经过</w:t>
                  </w:r>
                  <w:r>
                    <w:rPr>
                      <w:rFonts w:hint="eastAsia" w:ascii="Times New Roman" w:hAnsi="Times New Roman" w:eastAsia="宋体" w:cs="Times New Roman"/>
                    </w:rPr>
                    <w:t>袋式除尘器</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MF001</w:t>
                  </w:r>
                  <w:r>
                    <w:rPr>
                      <w:rFonts w:hint="eastAsia" w:ascii="Times New Roman" w:hAnsi="Times New Roman" w:eastAsia="宋体" w:cs="Times New Roman"/>
                      <w:lang w:eastAsia="zh-CN"/>
                    </w:rPr>
                    <w:t>）</w:t>
                  </w:r>
                  <w:r>
                    <w:rPr>
                      <w:rFonts w:hint="eastAsia" w:ascii="Times New Roman" w:hAnsi="Times New Roman" w:eastAsia="宋体" w:cs="Times New Roman"/>
                    </w:rPr>
                    <w:t>处理后</w:t>
                  </w:r>
                  <w:r>
                    <w:rPr>
                      <w:rFonts w:hint="eastAsia" w:ascii="Times New Roman" w:hAnsi="Times New Roman" w:eastAsia="宋体" w:cs="Times New Roman"/>
                      <w:lang w:eastAsia="zh-CN"/>
                    </w:rPr>
                    <w:t>通过</w:t>
                  </w:r>
                  <w:r>
                    <w:rPr>
                      <w:rFonts w:hint="eastAsia" w:ascii="Times New Roman" w:hAnsi="Times New Roman" w:eastAsia="宋体" w:cs="Times New Roman"/>
                    </w:rPr>
                    <w:t>15m高排气筒</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DA001</w:t>
                  </w:r>
                  <w:r>
                    <w:rPr>
                      <w:rFonts w:hint="eastAsia" w:ascii="Times New Roman" w:hAnsi="Times New Roman" w:eastAsia="宋体" w:cs="Times New Roman"/>
                      <w:lang w:eastAsia="zh-CN"/>
                    </w:rPr>
                    <w:t>）</w:t>
                  </w:r>
                  <w:r>
                    <w:rPr>
                      <w:rFonts w:hint="eastAsia" w:ascii="Times New Roman" w:hAnsi="Times New Roman" w:eastAsia="宋体" w:cs="Times New Roman"/>
                    </w:rPr>
                    <w:t>排放</w:t>
                  </w:r>
                </w:p>
              </w:tc>
              <w:tc>
                <w:tcPr>
                  <w:tcW w:w="11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达标排放</w:t>
                  </w:r>
                </w:p>
              </w:tc>
              <w:tc>
                <w:tcPr>
                  <w:tcW w:w="2212"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《新乡市生态环境局</w:t>
                  </w:r>
                </w:p>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eastAsia="zh-CN"/>
                    </w:rPr>
                  </w:pPr>
                  <w:r>
                    <w:rPr>
                      <w:rFonts w:ascii="Times New Roman" w:hAnsi="Times New Roman" w:eastAsia="宋体" w:cs="Times New Roman"/>
                    </w:rPr>
                    <w:t>关于进一步规范工业企业颗粒物放限值的通知》</w:t>
                  </w:r>
                  <w:r>
                    <w:rPr>
                      <w:rFonts w:hint="eastAsia" w:ascii="Times New Roman" w:hAnsi="Times New Roman" w:eastAsia="宋体" w:cs="Times New Roman"/>
                      <w:lang w:eastAsia="zh-CN"/>
                    </w:rPr>
                    <w:t>；</w:t>
                  </w:r>
                  <w:r>
                    <w:rPr>
                      <w:rFonts w:ascii="Times New Roman" w:hAnsi="Times New Roman" w:eastAsia="宋体" w:cs="Times New Roman"/>
                      <w:sz w:val="21"/>
                      <w:szCs w:val="21"/>
                    </w:rPr>
                    <w:t>《</w:t>
                  </w:r>
                  <w:r>
                    <w:rPr>
                      <w:rFonts w:hint="eastAsia" w:ascii="Times New Roman" w:hAnsi="Times New Roman" w:eastAsia="宋体" w:cs="Times New Roman"/>
                      <w:sz w:val="21"/>
                      <w:szCs w:val="21"/>
                    </w:rPr>
                    <w:t>电池工业污染物排放标准</w:t>
                  </w:r>
                  <w:r>
                    <w:rPr>
                      <w:rFonts w:ascii="Times New Roman" w:hAnsi="Times New Roman" w:eastAsia="宋体" w:cs="Times New Roman"/>
                      <w:sz w:val="21"/>
                      <w:szCs w:val="21"/>
                    </w:rPr>
                    <w:t>》（GB</w:t>
                  </w:r>
                  <w:r>
                    <w:rPr>
                      <w:rFonts w:hint="eastAsia" w:ascii="Times New Roman" w:hAnsi="Times New Roman" w:eastAsia="宋体" w:cs="Times New Roman"/>
                      <w:sz w:val="21"/>
                      <w:szCs w:val="21"/>
                    </w:rPr>
                    <w:t>30484-2013</w:t>
                  </w:r>
                  <w:r>
                    <w:rPr>
                      <w:rFonts w:ascii="Times New Roman" w:hAnsi="Times New Roman" w:eastAsia="宋体" w:cs="Times New Roman"/>
                      <w:sz w:val="21"/>
                      <w:szCs w:val="21"/>
                    </w:rPr>
                    <w:t>）</w:t>
                  </w:r>
                  <w:r>
                    <w:rPr>
                      <w:rFonts w:hint="eastAsia" w:ascii="Times New Roman" w:hAnsi="Times New Roman" w:eastAsia="宋体" w:cs="Times New Roman"/>
                      <w:sz w:val="21"/>
                      <w:szCs w:val="21"/>
                    </w:rPr>
                    <w:t>表5的要求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03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p>
              </w:tc>
              <w:tc>
                <w:tcPr>
                  <w:tcW w:w="72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破碎</w:t>
                  </w:r>
                </w:p>
              </w:tc>
              <w:tc>
                <w:tcPr>
                  <w:tcW w:w="69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rPr>
                  </w:pPr>
                </w:p>
              </w:tc>
              <w:tc>
                <w:tcPr>
                  <w:tcW w:w="2158"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rPr>
                  </w:pPr>
                </w:p>
              </w:tc>
              <w:tc>
                <w:tcPr>
                  <w:tcW w:w="11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p>
              </w:tc>
              <w:tc>
                <w:tcPr>
                  <w:tcW w:w="221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3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p>
              </w:tc>
              <w:tc>
                <w:tcPr>
                  <w:tcW w:w="72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筛分</w:t>
                  </w:r>
                </w:p>
              </w:tc>
              <w:tc>
                <w:tcPr>
                  <w:tcW w:w="69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rPr>
                  </w:pPr>
                </w:p>
              </w:tc>
              <w:tc>
                <w:tcPr>
                  <w:tcW w:w="2158"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rPr>
                  </w:pPr>
                </w:p>
              </w:tc>
              <w:tc>
                <w:tcPr>
                  <w:tcW w:w="11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p>
              </w:tc>
              <w:tc>
                <w:tcPr>
                  <w:tcW w:w="221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3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p>
              </w:tc>
              <w:tc>
                <w:tcPr>
                  <w:tcW w:w="72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气流分选</w:t>
                  </w:r>
                </w:p>
              </w:tc>
              <w:tc>
                <w:tcPr>
                  <w:tcW w:w="69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rPr>
                  </w:pPr>
                </w:p>
              </w:tc>
              <w:tc>
                <w:tcPr>
                  <w:tcW w:w="2158"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rPr>
                  </w:pPr>
                </w:p>
              </w:tc>
              <w:tc>
                <w:tcPr>
                  <w:tcW w:w="11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p>
              </w:tc>
              <w:tc>
                <w:tcPr>
                  <w:tcW w:w="221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废水治理</w:t>
                  </w:r>
                </w:p>
              </w:tc>
              <w:tc>
                <w:tcPr>
                  <w:tcW w:w="1428"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COD、</w:t>
                  </w:r>
                  <w:r>
                    <w:rPr>
                      <w:rFonts w:hint="eastAsia" w:ascii="Times New Roman" w:hAnsi="Times New Roman" w:eastAsia="宋体" w:cs="Times New Roman"/>
                    </w:rPr>
                    <w:t>SS、</w:t>
                  </w:r>
                  <w:r>
                    <w:rPr>
                      <w:rFonts w:ascii="Times New Roman" w:hAnsi="Times New Roman" w:eastAsia="宋体" w:cs="Times New Roman"/>
                    </w:rPr>
                    <w:t>氨氮、TP、TN</w:t>
                  </w:r>
                </w:p>
              </w:tc>
              <w:tc>
                <w:tcPr>
                  <w:tcW w:w="2158"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eastAsia="zh-CN"/>
                    </w:rPr>
                  </w:pPr>
                  <w:r>
                    <w:rPr>
                      <w:rFonts w:ascii="Times New Roman" w:hAnsi="Times New Roman" w:eastAsia="宋体" w:cs="Times New Roman"/>
                    </w:rPr>
                    <w:t>化粪池处理后</w:t>
                  </w:r>
                  <w:r>
                    <w:rPr>
                      <w:rFonts w:hint="eastAsia" w:ascii="Times New Roman" w:hAnsi="Times New Roman" w:eastAsia="宋体" w:cs="Times New Roman"/>
                      <w:lang w:eastAsia="zh-CN"/>
                    </w:rPr>
                    <w:t>定期清运，不外排</w:t>
                  </w:r>
                </w:p>
              </w:tc>
              <w:tc>
                <w:tcPr>
                  <w:tcW w:w="3316" w:type="dxa"/>
                  <w:gridSpan w:val="2"/>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噪声治理</w:t>
                  </w:r>
                </w:p>
              </w:tc>
              <w:tc>
                <w:tcPr>
                  <w:tcW w:w="1428"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生产设备运行</w:t>
                  </w:r>
                </w:p>
              </w:tc>
              <w:tc>
                <w:tcPr>
                  <w:tcW w:w="2158"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厂房隔音、距离衰减</w:t>
                  </w:r>
                </w:p>
              </w:tc>
              <w:tc>
                <w:tcPr>
                  <w:tcW w:w="1104"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达标排放</w:t>
                  </w:r>
                </w:p>
              </w:tc>
              <w:tc>
                <w:tcPr>
                  <w:tcW w:w="2212"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《工业企业厂界环境噪声排放标准》（GB12348－2008）</w:t>
                  </w:r>
                  <w:r>
                    <w:rPr>
                      <w:rFonts w:hint="eastAsia" w:ascii="Times New Roman" w:hAnsi="Times New Roman" w:eastAsia="宋体" w:cs="Times New Roman"/>
                    </w:rPr>
                    <w:t>2</w:t>
                  </w:r>
                  <w:r>
                    <w:rPr>
                      <w:rFonts w:ascii="Times New Roman" w:hAnsi="Times New Roman" w:eastAsia="宋体" w:cs="Times New Roman"/>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固体废弃物治理</w:t>
                  </w:r>
                </w:p>
              </w:tc>
              <w:tc>
                <w:tcPr>
                  <w:tcW w:w="1428"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生活垃圾</w:t>
                  </w:r>
                </w:p>
              </w:tc>
              <w:tc>
                <w:tcPr>
                  <w:tcW w:w="2158"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垃圾桶</w:t>
                  </w:r>
                </w:p>
              </w:tc>
              <w:tc>
                <w:tcPr>
                  <w:tcW w:w="11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妥善处置</w:t>
                  </w:r>
                </w:p>
              </w:tc>
              <w:tc>
                <w:tcPr>
                  <w:tcW w:w="221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color w:val="000000"/>
                      <w:szCs w:val="21"/>
                    </w:rPr>
                    <w:t>《一般工业固体废物贮存和填埋场污染控制标准》（GB18599-2020）中的</w:t>
                  </w:r>
                  <w:r>
                    <w:rPr>
                      <w:rFonts w:hint="eastAsia" w:ascii="Times New Roman" w:hAnsi="Times New Roman" w:eastAsia="宋体" w:cs="Times New Roman"/>
                      <w:color w:val="000000"/>
                      <w:szCs w:val="21"/>
                      <w:lang w:eastAsia="zh-CN"/>
                    </w:rPr>
                    <w:t>有关规定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p>
              </w:tc>
              <w:tc>
                <w:tcPr>
                  <w:tcW w:w="1428"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rPr>
                  </w:pPr>
                  <w:r>
                    <w:rPr>
                      <w:rFonts w:hint="eastAsia" w:ascii="Times New Roman" w:hAnsi="Times New Roman" w:eastAsia="宋体" w:cs="Times New Roman"/>
                    </w:rPr>
                    <w:t>除尘器粉尘</w:t>
                  </w:r>
                </w:p>
              </w:tc>
              <w:tc>
                <w:tcPr>
                  <w:tcW w:w="2158"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rPr>
                  </w:pPr>
                  <w:r>
                    <w:rPr>
                      <w:rFonts w:hint="eastAsia" w:ascii="Times New Roman" w:hAnsi="Times New Roman" w:eastAsia="宋体" w:cs="Times New Roman"/>
                    </w:rPr>
                    <w:t>收集后作为成品外售</w:t>
                  </w:r>
                </w:p>
              </w:tc>
              <w:tc>
                <w:tcPr>
                  <w:tcW w:w="11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p>
              </w:tc>
              <w:tc>
                <w:tcPr>
                  <w:tcW w:w="221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03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p>
              </w:tc>
              <w:tc>
                <w:tcPr>
                  <w:tcW w:w="1428"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hint="eastAsia" w:ascii="Times New Roman" w:hAnsi="Times New Roman" w:eastAsia="宋体" w:cs="Times New Roman"/>
                    </w:rPr>
                    <w:t>废润滑油</w:t>
                  </w:r>
                </w:p>
              </w:tc>
              <w:tc>
                <w:tcPr>
                  <w:tcW w:w="2158"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危废暂存间</w:t>
                  </w:r>
                </w:p>
              </w:tc>
              <w:tc>
                <w:tcPr>
                  <w:tcW w:w="1104"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妥善处置</w:t>
                  </w:r>
                </w:p>
              </w:tc>
              <w:tc>
                <w:tcPr>
                  <w:tcW w:w="2212" w:type="dxa"/>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ascii="Times New Roman" w:hAnsi="Times New Roman" w:eastAsia="宋体" w:cs="Times New Roman"/>
                    </w:rPr>
                    <w:t>《危险废物贮存污染控制标准（GB18597-2001）及2013年修改单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3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rPr>
                  </w:pPr>
                  <w:r>
                    <w:rPr>
                      <w:rFonts w:hint="eastAsia" w:ascii="Times New Roman" w:hAnsi="Times New Roman" w:eastAsia="宋体" w:cs="Times New Roman"/>
                    </w:rPr>
                    <w:t>其他</w:t>
                  </w:r>
                </w:p>
              </w:tc>
              <w:tc>
                <w:tcPr>
                  <w:tcW w:w="6902"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rPr>
                  </w:pPr>
                  <w:r>
                    <w:rPr>
                      <w:rFonts w:hint="eastAsia" w:ascii="Times New Roman" w:hAnsi="Times New Roman" w:eastAsia="宋体" w:cs="Times New Roman"/>
                    </w:rPr>
                    <w:t>用电量监控系统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03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rPr>
                  </w:pPr>
                </w:p>
              </w:tc>
              <w:tc>
                <w:tcPr>
                  <w:tcW w:w="6902"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rPr>
                  </w:pPr>
                  <w:r>
                    <w:rPr>
                      <w:rFonts w:hint="eastAsia" w:ascii="Times New Roman" w:hAnsi="Times New Roman" w:eastAsia="宋体" w:cs="Times New Roman"/>
                    </w:rPr>
                    <w:t>视频监控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3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rPr>
                  </w:pPr>
                </w:p>
              </w:tc>
              <w:tc>
                <w:tcPr>
                  <w:tcW w:w="6902" w:type="dxa"/>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rPr>
                  </w:pPr>
                  <w:r>
                    <w:rPr>
                      <w:rFonts w:hint="eastAsia" w:ascii="Times New Roman" w:hAnsi="Times New Roman" w:eastAsia="宋体" w:cs="Times New Roman"/>
                    </w:rPr>
                    <w:t>门禁系统</w:t>
                  </w:r>
                </w:p>
              </w:tc>
            </w:tr>
          </w:tbl>
          <w:p>
            <w:pPr>
              <w:pStyle w:val="7"/>
              <w:keepNext w:val="0"/>
              <w:keepLines w:val="0"/>
              <w:suppressLineNumbers w:val="0"/>
              <w:spacing w:before="0" w:beforeAutospacing="0" w:after="0" w:afterAutospacing="0"/>
              <w:ind w:left="0" w:firstLine="1050" w:firstLineChars="500"/>
              <w:jc w:val="both"/>
              <w:rPr>
                <w:rFonts w:hint="eastAsia" w:eastAsia="宋体"/>
                <w:lang w:val="en-US" w:eastAsia="zh-CN"/>
              </w:rPr>
            </w:pPr>
          </w:p>
          <w:p>
            <w:pPr>
              <w:pStyle w:val="7"/>
              <w:keepNext w:val="0"/>
              <w:keepLines w:val="0"/>
              <w:suppressLineNumbers w:val="0"/>
              <w:spacing w:before="0" w:beforeAutospacing="0" w:after="0" w:afterAutospacing="0"/>
              <w:ind w:left="0" w:firstLine="1050" w:firstLineChars="500"/>
              <w:jc w:val="both"/>
              <w:rPr>
                <w:lang w:val="en-US" w:eastAsia="zh-CN"/>
              </w:rPr>
            </w:pPr>
          </w:p>
          <w:p>
            <w:pPr>
              <w:pStyle w:val="7"/>
              <w:keepNext w:val="0"/>
              <w:keepLines w:val="0"/>
              <w:suppressLineNumbers w:val="0"/>
              <w:spacing w:before="0" w:beforeAutospacing="0" w:after="0" w:afterAutospacing="0"/>
              <w:ind w:left="0" w:firstLine="1050" w:firstLineChars="500"/>
              <w:jc w:val="both"/>
              <w:rPr>
                <w:lang w:val="en-US" w:eastAsia="zh-CN"/>
              </w:rPr>
            </w:pPr>
          </w:p>
          <w:p>
            <w:pPr>
              <w:pStyle w:val="7"/>
              <w:keepNext w:val="0"/>
              <w:keepLines w:val="0"/>
              <w:suppressLineNumbers w:val="0"/>
              <w:spacing w:before="0" w:beforeAutospacing="0" w:after="0" w:afterAutospacing="0"/>
              <w:ind w:left="0" w:firstLine="1050" w:firstLineChars="500"/>
              <w:jc w:val="both"/>
              <w:rPr>
                <w:lang w:val="en-US" w:eastAsia="zh-CN"/>
              </w:rPr>
            </w:pPr>
          </w:p>
          <w:p>
            <w:pPr>
              <w:pStyle w:val="7"/>
              <w:keepNext w:val="0"/>
              <w:keepLines w:val="0"/>
              <w:suppressLineNumbers w:val="0"/>
              <w:spacing w:before="0" w:beforeAutospacing="0" w:after="0" w:afterAutospacing="0"/>
              <w:ind w:left="0" w:firstLine="1050" w:firstLineChars="500"/>
              <w:jc w:val="both"/>
              <w:rPr>
                <w:lang w:val="en-US" w:eastAsia="zh-CN"/>
              </w:rPr>
            </w:pPr>
          </w:p>
          <w:p>
            <w:pPr>
              <w:pStyle w:val="7"/>
              <w:keepNext w:val="0"/>
              <w:keepLines w:val="0"/>
              <w:suppressLineNumbers w:val="0"/>
              <w:spacing w:before="0" w:beforeAutospacing="0" w:after="0" w:afterAutospacing="0"/>
              <w:ind w:left="0" w:firstLine="1050" w:firstLineChars="500"/>
              <w:jc w:val="both"/>
              <w:rPr>
                <w:lang w:val="en-US" w:eastAsia="zh-CN"/>
              </w:rPr>
            </w:pPr>
          </w:p>
          <w:p>
            <w:pPr>
              <w:pStyle w:val="7"/>
              <w:keepNext w:val="0"/>
              <w:keepLines w:val="0"/>
              <w:suppressLineNumbers w:val="0"/>
              <w:spacing w:before="0" w:beforeAutospacing="0" w:after="0" w:afterAutospacing="0"/>
              <w:ind w:left="0" w:leftChars="0" w:firstLine="0" w:firstLineChars="0"/>
              <w:jc w:val="both"/>
              <w:rPr>
                <w:lang w:val="en-US" w:eastAsia="zh-CN"/>
              </w:rPr>
            </w:pPr>
          </w:p>
        </w:tc>
      </w:tr>
    </w:tbl>
    <w:p>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1"/>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1" w:name="_Hlk54167917"/>
      <w:r>
        <w:rPr>
          <w:rFonts w:hint="eastAsia" w:ascii="黑体" w:hAnsi="黑体" w:eastAsia="黑体"/>
          <w:snapToGrid w:val="0"/>
          <w:sz w:val="30"/>
          <w:szCs w:val="30"/>
        </w:rPr>
        <w:t>环境保护措施监督检查清单</w:t>
      </w:r>
      <w:bookmarkEnd w:id="1"/>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778" w:type="dxa"/>
            <w:tcBorders>
              <w:tl2br w:val="single" w:color="auto" w:sz="4" w:space="0"/>
            </w:tcBorders>
            <w:noWrap w:val="0"/>
            <w:vAlign w:val="top"/>
          </w:tcPr>
          <w:p>
            <w:pPr>
              <w:keepNext w:val="0"/>
              <w:keepLines w:val="0"/>
              <w:suppressLineNumbers w:val="0"/>
              <w:adjustRightInd w:val="0"/>
              <w:snapToGrid w:val="0"/>
              <w:spacing w:before="0" w:beforeAutospacing="0" w:after="0" w:afterAutospacing="0"/>
              <w:ind w:left="0" w:right="0" w:firstLine="840"/>
              <w:rPr>
                <w:rFonts w:ascii="Times New Roman" w:hAnsi="Times New Roman" w:eastAsia="宋体" w:cs="Times New Roman"/>
                <w:sz w:val="21"/>
                <w:szCs w:val="21"/>
              </w:rPr>
            </w:pPr>
            <w:r>
              <w:rPr>
                <w:rFonts w:ascii="Times New Roman" w:hAnsi="Times New Roman" w:eastAsia="宋体" w:cs="Times New Roman"/>
                <w:sz w:val="21"/>
                <w:szCs w:val="21"/>
              </w:rPr>
              <w:t>内容</w:t>
            </w:r>
          </w:p>
          <w:p>
            <w:pPr>
              <w:keepNext w:val="0"/>
              <w:keepLines w:val="0"/>
              <w:suppressLineNumbers w:val="0"/>
              <w:adjustRightInd w:val="0"/>
              <w:snapToGrid w:val="0"/>
              <w:spacing w:before="0" w:beforeAutospacing="0" w:after="0" w:afterAutospacing="0"/>
              <w:ind w:left="0" w:right="0"/>
              <w:rPr>
                <w:rFonts w:ascii="Times New Roman" w:hAnsi="Times New Roman" w:eastAsia="宋体" w:cs="Times New Roman"/>
                <w:sz w:val="21"/>
                <w:szCs w:val="21"/>
              </w:rPr>
            </w:pPr>
            <w:r>
              <w:rPr>
                <w:rFonts w:ascii="Times New Roman" w:hAnsi="Times New Roman" w:eastAsia="宋体" w:cs="Times New Roman"/>
                <w:sz w:val="21"/>
                <w:szCs w:val="21"/>
              </w:rPr>
              <w:t>要素</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ascii="Times New Roman" w:hAnsi="Times New Roman" w:eastAsia="宋体" w:cs="Times New Roman"/>
                <w:sz w:val="21"/>
                <w:szCs w:val="21"/>
              </w:rPr>
              <w:t>排放口(编号、</w:t>
            </w:r>
          </w:p>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ascii="Times New Roman" w:hAnsi="Times New Roman" w:eastAsia="宋体" w:cs="Times New Roman"/>
                <w:sz w:val="21"/>
                <w:szCs w:val="21"/>
              </w:rPr>
              <w:t>名称)/污染源</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ascii="Times New Roman" w:hAnsi="Times New Roman" w:eastAsia="宋体" w:cs="Times New Roman"/>
                <w:sz w:val="21"/>
                <w:szCs w:val="21"/>
              </w:rPr>
              <w:t>污染物项目</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ascii="Times New Roman" w:hAnsi="Times New Roman" w:eastAsia="宋体" w:cs="Times New Roman"/>
                <w:sz w:val="21"/>
                <w:szCs w:val="21"/>
              </w:rPr>
              <w:t>环境保护措施</w:t>
            </w:r>
          </w:p>
        </w:tc>
        <w:tc>
          <w:tcPr>
            <w:tcW w:w="1757"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ascii="Times New Roman" w:hAnsi="Times New Roman" w:eastAsia="宋体" w:cs="Times New Roman"/>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8" w:hRule="atLeast"/>
          <w:jc w:val="center"/>
        </w:trPr>
        <w:tc>
          <w:tcPr>
            <w:tcW w:w="1778"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ascii="Times New Roman" w:hAnsi="Times New Roman" w:eastAsia="宋体" w:cs="Times New Roman"/>
                <w:sz w:val="21"/>
                <w:szCs w:val="21"/>
              </w:rPr>
              <w:t>大气环境</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排放口：DA001；污染源：撕碎工序、破碎工序、筛分工序、气流分选工序</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颗粒物</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rPr>
              <w:t>废气经</w:t>
            </w:r>
            <w:r>
              <w:rPr>
                <w:rFonts w:hint="eastAsia" w:ascii="Times New Roman" w:hAnsi="Times New Roman" w:eastAsia="宋体" w:cs="Times New Roman"/>
                <w:lang w:eastAsia="zh-CN"/>
              </w:rPr>
              <w:t>密闭集气</w:t>
            </w:r>
            <w:r>
              <w:rPr>
                <w:rFonts w:hint="eastAsia" w:ascii="Times New Roman" w:hAnsi="Times New Roman" w:eastAsia="宋体" w:cs="Times New Roman"/>
              </w:rPr>
              <w:t>管道统一进入</w:t>
            </w:r>
            <w:r>
              <w:rPr>
                <w:rFonts w:hint="eastAsia" w:ascii="Times New Roman" w:hAnsi="Times New Roman" w:eastAsia="宋体" w:cs="Times New Roman"/>
                <w:sz w:val="21"/>
                <w:szCs w:val="21"/>
                <w:lang w:eastAsia="zh-CN"/>
              </w:rPr>
              <w:t>袋式除尘器（</w:t>
            </w:r>
            <w:r>
              <w:rPr>
                <w:rFonts w:hint="eastAsia" w:ascii="Times New Roman" w:hAnsi="Times New Roman" w:eastAsia="宋体" w:cs="Times New Roman"/>
                <w:sz w:val="21"/>
                <w:szCs w:val="21"/>
                <w:lang w:val="en-US" w:eastAsia="zh-CN"/>
              </w:rPr>
              <w:t>MF001</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+15m高排气筒（DA001）</w:t>
            </w:r>
          </w:p>
        </w:tc>
        <w:tc>
          <w:tcPr>
            <w:tcW w:w="1757"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ascii="Times New Roman" w:hAnsi="Times New Roman" w:eastAsia="宋体" w:cs="Times New Roman"/>
                <w:kern w:val="0"/>
                <w:sz w:val="21"/>
                <w:szCs w:val="21"/>
              </w:rPr>
              <w:t>《新乡市生态环境局关于进一步规范工业企业颗粒物排放限值的通知》中其他涉气工业颗粒物浓度不高于10mg/m</w:t>
            </w:r>
            <w:r>
              <w:rPr>
                <w:rFonts w:ascii="Times New Roman" w:hAnsi="Times New Roman" w:eastAsia="宋体" w:cs="Times New Roman"/>
                <w:kern w:val="0"/>
                <w:sz w:val="21"/>
                <w:szCs w:val="21"/>
                <w:vertAlign w:val="superscript"/>
              </w:rPr>
              <w:t>3</w:t>
            </w:r>
            <w:r>
              <w:rPr>
                <w:rFonts w:hint="eastAsia" w:ascii="Times New Roman" w:hAnsi="Times New Roman" w:eastAsia="宋体" w:cs="Times New Roman"/>
                <w:kern w:val="0"/>
                <w:sz w:val="21"/>
                <w:szCs w:val="21"/>
                <w:vertAlign w:val="baseline"/>
                <w:lang w:eastAsia="zh-CN"/>
              </w:rPr>
              <w:t>，</w:t>
            </w:r>
            <w:r>
              <w:rPr>
                <w:rFonts w:hint="default" w:ascii="Times New Roman" w:hAnsi="Times New Roman" w:eastAsia="宋体" w:cs="Times New Roman"/>
                <w:color w:val="000000"/>
                <w:szCs w:val="21"/>
                <w:shd w:val="clear" w:color="auto" w:fill="FFFFFF"/>
                <w:lang w:val="en-US" w:eastAsia="zh-CN"/>
              </w:rPr>
              <w:t>厂界颗粒物排放浓度不高于0.5mg/m</w:t>
            </w:r>
            <w:r>
              <w:rPr>
                <w:rFonts w:hint="default" w:ascii="Times New Roman" w:hAnsi="Times New Roman" w:eastAsia="宋体" w:cs="Times New Roman"/>
                <w:color w:val="000000"/>
                <w:szCs w:val="21"/>
                <w:shd w:val="clear" w:color="auto" w:fill="FFFFFF"/>
                <w:vertAlign w:val="superscript"/>
                <w:lang w:val="en-US" w:eastAsia="zh-CN"/>
              </w:rPr>
              <w:t>3</w:t>
            </w:r>
            <w:r>
              <w:rPr>
                <w:rFonts w:ascii="Times New Roman" w:hAnsi="Times New Roman" w:eastAsia="宋体" w:cs="Times New Roman"/>
                <w:kern w:val="0"/>
                <w:sz w:val="21"/>
                <w:szCs w:val="21"/>
              </w:rPr>
              <w:t>的限值要求</w:t>
            </w:r>
            <w:r>
              <w:rPr>
                <w:rFonts w:hint="eastAsia" w:ascii="Times New Roman" w:hAnsi="Times New Roman" w:eastAsia="宋体" w:cs="Times New Roman"/>
                <w:kern w:val="0"/>
                <w:sz w:val="21"/>
                <w:szCs w:val="21"/>
                <w:lang w:eastAsia="zh-CN"/>
              </w:rPr>
              <w:t>；</w:t>
            </w:r>
            <w:r>
              <w:rPr>
                <w:rFonts w:ascii="Times New Roman" w:hAnsi="Times New Roman" w:eastAsia="宋体" w:cs="Times New Roman"/>
                <w:sz w:val="21"/>
                <w:szCs w:val="21"/>
              </w:rPr>
              <w:t>《</w:t>
            </w:r>
            <w:r>
              <w:rPr>
                <w:rFonts w:hint="eastAsia" w:ascii="Times New Roman" w:hAnsi="Times New Roman" w:eastAsia="宋体" w:cs="Times New Roman"/>
                <w:sz w:val="21"/>
                <w:szCs w:val="21"/>
              </w:rPr>
              <w:t>电池工业污染物排放标准</w:t>
            </w:r>
            <w:r>
              <w:rPr>
                <w:rFonts w:ascii="Times New Roman" w:hAnsi="Times New Roman" w:eastAsia="宋体" w:cs="Times New Roman"/>
                <w:sz w:val="21"/>
                <w:szCs w:val="21"/>
              </w:rPr>
              <w:t>》（GB</w:t>
            </w:r>
            <w:r>
              <w:rPr>
                <w:rFonts w:hint="eastAsia" w:ascii="Times New Roman" w:hAnsi="Times New Roman" w:eastAsia="宋体" w:cs="Times New Roman"/>
                <w:sz w:val="21"/>
                <w:szCs w:val="21"/>
              </w:rPr>
              <w:t>30484-2013</w:t>
            </w:r>
            <w:r>
              <w:rPr>
                <w:rFonts w:ascii="Times New Roman" w:hAnsi="Times New Roman" w:eastAsia="宋体" w:cs="Times New Roman"/>
                <w:sz w:val="21"/>
                <w:szCs w:val="21"/>
              </w:rPr>
              <w:t>）</w:t>
            </w:r>
            <w:r>
              <w:rPr>
                <w:rFonts w:hint="eastAsia" w:ascii="Times New Roman" w:hAnsi="Times New Roman" w:eastAsia="宋体" w:cs="Times New Roman"/>
                <w:color w:val="000000"/>
                <w:szCs w:val="21"/>
                <w:shd w:val="clear" w:color="auto" w:fill="FFFFFF"/>
                <w:lang w:val="en-US" w:eastAsia="zh-CN"/>
              </w:rPr>
              <w:t>有组织排放浓度30</w:t>
            </w:r>
            <w:r>
              <w:rPr>
                <w:rFonts w:hint="default" w:ascii="Times New Roman" w:hAnsi="Times New Roman" w:eastAsia="宋体" w:cs="Times New Roman"/>
                <w:color w:val="000000"/>
                <w:szCs w:val="21"/>
                <w:shd w:val="clear" w:color="auto" w:fill="FFFFFF"/>
                <w:lang w:val="en-US" w:eastAsia="zh-CN"/>
              </w:rPr>
              <w:t>mg/m</w:t>
            </w:r>
            <w:r>
              <w:rPr>
                <w:rFonts w:hint="default" w:ascii="Times New Roman" w:hAnsi="Times New Roman" w:eastAsia="宋体" w:cs="Times New Roman"/>
                <w:color w:val="000000"/>
                <w:szCs w:val="21"/>
                <w:shd w:val="clear" w:color="auto" w:fill="FFFFFF"/>
                <w:vertAlign w:val="superscript"/>
                <w:lang w:val="en-US" w:eastAsia="zh-CN"/>
              </w:rPr>
              <w:t>3</w:t>
            </w:r>
            <w:r>
              <w:rPr>
                <w:rFonts w:hint="eastAsia" w:ascii="Times New Roman" w:hAnsi="Times New Roman" w:eastAsia="宋体" w:cs="Times New Roman"/>
                <w:color w:val="000000"/>
                <w:szCs w:val="21"/>
                <w:shd w:val="clear" w:color="auto" w:fill="FFFFFF"/>
                <w:vertAlign w:val="baseline"/>
                <w:lang w:val="en-US" w:eastAsia="zh-CN"/>
              </w:rPr>
              <w:t>，边界颗粒物排放高浓度</w:t>
            </w:r>
            <w:r>
              <w:rPr>
                <w:rFonts w:hint="default" w:ascii="Times New Roman" w:hAnsi="Times New Roman" w:eastAsia="宋体" w:cs="Times New Roman"/>
                <w:color w:val="000000"/>
                <w:szCs w:val="21"/>
                <w:shd w:val="clear" w:color="auto" w:fill="FFFFFF"/>
                <w:lang w:val="en-US" w:eastAsia="zh-CN"/>
              </w:rPr>
              <w:t>0.</w:t>
            </w:r>
            <w:r>
              <w:rPr>
                <w:rFonts w:hint="eastAsia" w:ascii="Times New Roman" w:hAnsi="Times New Roman" w:eastAsia="宋体" w:cs="Times New Roman"/>
                <w:color w:val="000000"/>
                <w:szCs w:val="21"/>
                <w:shd w:val="clear" w:color="auto" w:fill="FFFFFF"/>
                <w:lang w:val="en-US" w:eastAsia="zh-CN"/>
              </w:rPr>
              <w:t>3</w:t>
            </w:r>
            <w:r>
              <w:rPr>
                <w:rFonts w:hint="default" w:ascii="Times New Roman" w:hAnsi="Times New Roman" w:eastAsia="宋体" w:cs="Times New Roman"/>
                <w:color w:val="000000"/>
                <w:szCs w:val="21"/>
                <w:shd w:val="clear" w:color="auto" w:fill="FFFFFF"/>
                <w:lang w:val="en-US" w:eastAsia="zh-CN"/>
              </w:rPr>
              <w:t>mg/m</w:t>
            </w:r>
            <w:r>
              <w:rPr>
                <w:rFonts w:hint="default" w:ascii="Times New Roman" w:hAnsi="Times New Roman" w:eastAsia="宋体" w:cs="Times New Roman"/>
                <w:color w:val="000000"/>
                <w:szCs w:val="21"/>
                <w:shd w:val="clear" w:color="auto" w:fill="FFFFFF"/>
                <w:vertAlign w:val="superscript"/>
                <w:lang w:val="en-US" w:eastAsia="zh-CN"/>
              </w:rPr>
              <w:t>3</w:t>
            </w:r>
            <w:r>
              <w:rPr>
                <w:rFonts w:hint="eastAsia" w:ascii="Times New Roman" w:hAnsi="Times New Roman" w:eastAsia="宋体" w:cs="Times New Roman"/>
                <w:sz w:val="21"/>
                <w:szCs w:val="21"/>
              </w:rPr>
              <w:t>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77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无组织</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颗粒物</w:t>
            </w:r>
          </w:p>
        </w:tc>
        <w:tc>
          <w:tcPr>
            <w:tcW w:w="1755" w:type="dxa"/>
            <w:noWrap w:val="0"/>
            <w:vAlign w:val="center"/>
          </w:tcPr>
          <w:p>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a.本项目所有原料位于原料库内，厂区内无露天堆放；</w:t>
            </w:r>
          </w:p>
          <w:p>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b.车间和料库完全密闭，并安装卷帘门，无车辆出入时将门关闭；</w:t>
            </w:r>
          </w:p>
          <w:p>
            <w:pPr>
              <w:keepNext w:val="0"/>
              <w:keepLines w:val="0"/>
              <w:pageBreakBefore w:val="0"/>
              <w:widowControl w:val="0"/>
              <w:suppressLineNumbers w:val="0"/>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c.物料位于封闭车间内，车间全密闭；</w:t>
            </w:r>
          </w:p>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Cs w:val="21"/>
                <w:highlight w:val="none"/>
                <w:lang w:val="en-US" w:eastAsia="zh-CN"/>
              </w:rPr>
              <w:t>d.对厂区道路硬化，定期洒水降尘，保证地面无积尘，无法进行硬化的区域，进行绿化，厂区无裸露空地。</w:t>
            </w:r>
          </w:p>
        </w:tc>
        <w:tc>
          <w:tcPr>
            <w:tcW w:w="175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ascii="Times New Roman" w:hAnsi="Times New Roman" w:eastAsia="宋体" w:cs="Times New Roman"/>
                <w:sz w:val="21"/>
                <w:szCs w:val="21"/>
              </w:rPr>
              <w:t>地表水环境</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生活污水</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COD、NH</w:t>
            </w:r>
            <w:r>
              <w:rPr>
                <w:rFonts w:hint="eastAsia" w:ascii="Times New Roman" w:hAnsi="Times New Roman" w:eastAsia="宋体" w:cs="Times New Roman"/>
                <w:sz w:val="21"/>
                <w:szCs w:val="21"/>
                <w:vertAlign w:val="subscript"/>
              </w:rPr>
              <w:t>3</w:t>
            </w:r>
            <w:r>
              <w:rPr>
                <w:rFonts w:hint="eastAsia" w:ascii="Times New Roman" w:hAnsi="Times New Roman" w:eastAsia="宋体" w:cs="Times New Roman"/>
                <w:sz w:val="21"/>
                <w:szCs w:val="21"/>
              </w:rPr>
              <w:t>-N、TP</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生活污水经化粪池收集处理后定期清运</w:t>
            </w:r>
          </w:p>
        </w:tc>
        <w:tc>
          <w:tcPr>
            <w:tcW w:w="1757"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hint="eastAsia" w:ascii="Times New Roman" w:hAnsi="Times New Roman" w:eastAsia="宋体" w:cs="Times New Roman"/>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ascii="Times New Roman" w:hAnsi="Times New Roman" w:eastAsia="宋体" w:cs="Times New Roman"/>
                <w:sz w:val="21"/>
                <w:szCs w:val="21"/>
              </w:rPr>
              <w:t>声环境</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设备噪声</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等效连续噪声级Leq(A)</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基础减振、厂房隔声</w:t>
            </w:r>
          </w:p>
        </w:tc>
        <w:tc>
          <w:tcPr>
            <w:tcW w:w="1757"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《工业企业厂界环境噪声排放标准》（GB12348-2008）2类标准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电磁辐射</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75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w:t>
            </w:r>
          </w:p>
        </w:tc>
        <w:tc>
          <w:tcPr>
            <w:tcW w:w="175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ascii="Times New Roman" w:hAnsi="Times New Roman" w:eastAsia="宋体" w:cs="Times New Roman"/>
                <w:sz w:val="21"/>
                <w:szCs w:val="21"/>
              </w:rPr>
              <w:t>固体废物</w:t>
            </w:r>
          </w:p>
        </w:tc>
        <w:tc>
          <w:tcPr>
            <w:tcW w:w="7022" w:type="dxa"/>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一般固废应暂存于专门的场所（建筑面积不小</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0m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eastAsia="zh-CN"/>
              </w:rPr>
              <w:t>；危险废物应暂存于危废暂存间（建筑面积不小于</w:t>
            </w:r>
            <w:r>
              <w:rPr>
                <w:rFonts w:hint="eastAsia"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2</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储存区的地面应防渗，储存区要防风、防晒、防雨</w:t>
            </w:r>
            <w:r>
              <w:rPr>
                <w:rFonts w:hint="eastAsia" w:ascii="Times New Roman" w:hAnsi="Times New Roman" w:eastAsia="宋体" w:cs="Times New Roman"/>
                <w:sz w:val="21"/>
                <w:szCs w:val="21"/>
              </w:rPr>
              <w:t>；满足</w:t>
            </w:r>
            <w:r>
              <w:rPr>
                <w:rFonts w:ascii="Times New Roman" w:hAnsi="Times New Roman" w:eastAsia="宋体" w:cs="Times New Roman"/>
                <w:color w:val="000000"/>
                <w:szCs w:val="21"/>
              </w:rPr>
              <w:t>《一般工业固体废物贮存和填埋场污染控制标准》（GB18599-2020）中的</w:t>
            </w:r>
            <w:r>
              <w:rPr>
                <w:rFonts w:hint="eastAsia" w:ascii="Times New Roman" w:hAnsi="Times New Roman" w:eastAsia="宋体" w:cs="Times New Roman"/>
                <w:color w:val="000000"/>
                <w:szCs w:val="21"/>
                <w:lang w:eastAsia="zh-CN"/>
              </w:rPr>
              <w:t>有关规定</w:t>
            </w: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eastAsia="zh-CN"/>
              </w:rPr>
              <w:t>满足</w:t>
            </w:r>
            <w:r>
              <w:rPr>
                <w:rFonts w:ascii="Times New Roman" w:hAnsi="Times New Roman" w:eastAsia="宋体" w:cs="Times New Roman"/>
              </w:rPr>
              <w:t>《危险废物贮存污染控制标准（GB18597-2001）及2013年修改单</w:t>
            </w:r>
            <w:r>
              <w:rPr>
                <w:rFonts w:hint="eastAsia" w:ascii="Times New Roman" w:hAnsi="Times New Roman" w:eastAsia="宋体" w:cs="Times New Roman"/>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ascii="Times New Roman" w:hAnsi="Times New Roman" w:eastAsia="宋体" w:cs="Times New Roman"/>
                <w:sz w:val="21"/>
                <w:szCs w:val="21"/>
              </w:rPr>
              <w:t>土壤及地下水</w:t>
            </w:r>
          </w:p>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ascii="Times New Roman" w:hAnsi="Times New Roman" w:eastAsia="宋体" w:cs="Times New Roman"/>
                <w:sz w:val="21"/>
                <w:szCs w:val="21"/>
              </w:rPr>
              <w:t>污染防治措施</w:t>
            </w:r>
          </w:p>
        </w:tc>
        <w:tc>
          <w:tcPr>
            <w:tcW w:w="7022" w:type="dxa"/>
            <w:gridSpan w:val="4"/>
            <w:noWrap w:val="0"/>
            <w:vAlign w:val="center"/>
          </w:tcPr>
          <w:p>
            <w:pPr>
              <w:keepNext w:val="0"/>
              <w:keepLines w:val="0"/>
              <w:suppressLineNumbers w:val="0"/>
              <w:adjustRightInd w:val="0"/>
              <w:snapToGrid w:val="0"/>
              <w:spacing w:before="0" w:beforeAutospacing="0" w:after="0" w:afterAutospacing="0"/>
              <w:ind w:left="0" w:right="0" w:firstLine="420" w:firstLineChars="20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ascii="Times New Roman" w:hAnsi="Times New Roman" w:eastAsia="宋体" w:cs="Times New Roman"/>
                <w:sz w:val="21"/>
                <w:szCs w:val="21"/>
              </w:rPr>
              <w:t>生态保护措施</w:t>
            </w:r>
          </w:p>
        </w:tc>
        <w:tc>
          <w:tcPr>
            <w:tcW w:w="7022" w:type="dxa"/>
            <w:gridSpan w:val="4"/>
            <w:noWrap w:val="0"/>
            <w:vAlign w:val="center"/>
          </w:tcPr>
          <w:p>
            <w:pPr>
              <w:keepNext w:val="0"/>
              <w:keepLines w:val="0"/>
              <w:suppressLineNumbers w:val="0"/>
              <w:adjustRightInd w:val="0"/>
              <w:snapToGrid w:val="0"/>
              <w:spacing w:before="0" w:beforeAutospacing="0" w:after="0" w:afterAutospacing="0"/>
              <w:ind w:left="0" w:right="0" w:firstLine="420" w:firstLineChars="20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ascii="Times New Roman" w:hAnsi="Times New Roman" w:eastAsia="宋体" w:cs="Times New Roman"/>
                <w:sz w:val="21"/>
                <w:szCs w:val="21"/>
              </w:rPr>
              <w:t>环境风险</w:t>
            </w:r>
          </w:p>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ascii="Times New Roman" w:hAnsi="Times New Roman" w:eastAsia="宋体" w:cs="Times New Roman"/>
                <w:sz w:val="21"/>
                <w:szCs w:val="21"/>
              </w:rPr>
              <w:t>防范措施</w:t>
            </w:r>
          </w:p>
        </w:tc>
        <w:tc>
          <w:tcPr>
            <w:tcW w:w="7022" w:type="dxa"/>
            <w:gridSpan w:val="4"/>
            <w:noWrap w:val="0"/>
            <w:vAlign w:val="center"/>
          </w:tcPr>
          <w:p>
            <w:pPr>
              <w:keepNext w:val="0"/>
              <w:keepLines w:val="0"/>
              <w:suppressLineNumbers w:val="0"/>
              <w:adjustRightInd w:val="0"/>
              <w:snapToGrid w:val="0"/>
              <w:spacing w:before="0" w:beforeAutospacing="0" w:after="0" w:afterAutospacing="0"/>
              <w:ind w:left="0" w:right="0" w:firstLine="420" w:firstLineChars="20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3" w:hRule="atLeast"/>
          <w:jc w:val="center"/>
        </w:trPr>
        <w:tc>
          <w:tcPr>
            <w:tcW w:w="1778" w:type="dxa"/>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ascii="Times New Roman" w:hAnsi="Times New Roman" w:eastAsia="宋体" w:cs="Times New Roman"/>
                <w:sz w:val="21"/>
                <w:szCs w:val="21"/>
              </w:rPr>
              <w:t>其他环境</w:t>
            </w:r>
          </w:p>
          <w:p>
            <w:pPr>
              <w:keepNext w:val="0"/>
              <w:keepLines w:val="0"/>
              <w:suppressLineNumbers w:val="0"/>
              <w:adjustRightInd w:val="0"/>
              <w:snapToGrid w:val="0"/>
              <w:spacing w:before="0" w:beforeAutospacing="0" w:after="0" w:afterAutospacing="0"/>
              <w:ind w:left="0" w:right="0"/>
              <w:jc w:val="center"/>
              <w:rPr>
                <w:rFonts w:ascii="Times New Roman" w:hAnsi="Times New Roman" w:eastAsia="宋体" w:cs="Times New Roman"/>
                <w:sz w:val="21"/>
                <w:szCs w:val="21"/>
              </w:rPr>
            </w:pPr>
            <w:r>
              <w:rPr>
                <w:rFonts w:ascii="Times New Roman" w:hAnsi="Times New Roman" w:eastAsia="宋体" w:cs="Times New Roman"/>
                <w:sz w:val="21"/>
                <w:szCs w:val="21"/>
              </w:rPr>
              <w:t>管理要求</w:t>
            </w:r>
          </w:p>
        </w:tc>
        <w:tc>
          <w:tcPr>
            <w:tcW w:w="7022" w:type="dxa"/>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Times New Roman" w:hAnsi="Times New Roman" w:eastAsia="宋体" w:cs="Times New Roman"/>
                <w:sz w:val="21"/>
                <w:szCs w:val="21"/>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Times New Roman" w:hAnsi="Times New Roman" w:eastAsia="宋体" w:cs="Times New Roman"/>
                <w:sz w:val="21"/>
                <w:szCs w:val="21"/>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Times New Roman" w:hAnsi="Times New Roman" w:eastAsia="宋体" w:cs="Times New Roman"/>
                <w:sz w:val="21"/>
                <w:szCs w:val="21"/>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Times New Roman" w:hAnsi="Times New Roman" w:eastAsia="宋体" w:cs="Times New Roman"/>
                <w:sz w:val="21"/>
                <w:szCs w:val="21"/>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Times New Roman" w:hAnsi="Times New Roman" w:eastAsia="宋体" w:cs="Times New Roman"/>
                <w:sz w:val="21"/>
                <w:szCs w:val="21"/>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sz w:val="21"/>
                <w:szCs w:val="21"/>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Times New Roman" w:hAnsi="Times New Roman" w:eastAsia="宋体" w:cs="Times New Roman"/>
                <w:sz w:val="21"/>
                <w:szCs w:val="21"/>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textAlignment w:val="auto"/>
              <w:rPr>
                <w:rFonts w:hint="eastAsia" w:ascii="Times New Roman" w:hAnsi="Times New Roman" w:eastAsia="宋体" w:cs="Times New Roman"/>
                <w:b/>
                <w:bCs/>
                <w:sz w:val="21"/>
                <w:szCs w:val="21"/>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textAlignment w:val="auto"/>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1、排污许可证管理要求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根据《固定污染源排污许可分类管理名录（2019年版）》（生态环境部 第11号）可知，本项目实行排污许可</w:t>
            </w:r>
            <w:r>
              <w:rPr>
                <w:rFonts w:hint="eastAsia" w:ascii="Times New Roman" w:hAnsi="Times New Roman" w:eastAsia="宋体" w:cs="Times New Roman"/>
                <w:sz w:val="21"/>
                <w:szCs w:val="21"/>
                <w:lang w:eastAsia="zh-CN"/>
              </w:rPr>
              <w:t>简化</w:t>
            </w:r>
            <w:r>
              <w:rPr>
                <w:rFonts w:hint="eastAsia" w:ascii="Times New Roman" w:hAnsi="Times New Roman" w:eastAsia="宋体" w:cs="Times New Roman"/>
                <w:sz w:val="21"/>
                <w:szCs w:val="21"/>
              </w:rPr>
              <w:t>管理；因此，建设单位应当在启动生产设施或者发生实际排污之前在全国排污许可证管理信息平台进行排污许可登记。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textAlignment w:val="auto"/>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2、竣工环境保护验收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根据《建设项目竣工环境保护验收暂行办法》的规定，建设项目竣工后，建设单位应当如实查验、监测、记载建设项目环境保护设施的建设和调试情况，编制验收监测报告表。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textAlignment w:val="auto"/>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3、在线监测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420" w:firstLineChars="200"/>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按照环保部门要求安装视频监控系统、用电量监控系统，并与环保部门联网。</w:t>
            </w:r>
          </w:p>
          <w:p>
            <w:pPr>
              <w:pStyle w:val="10"/>
              <w:keepNext w:val="0"/>
              <w:keepLines w:val="0"/>
              <w:suppressLineNumbers w:val="0"/>
              <w:spacing w:before="0" w:beforeAutospacing="0"/>
              <w:ind w:left="0" w:right="0"/>
              <w:rPr>
                <w:rFonts w:hint="eastAsi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Times New Roman" w:hAnsi="Times New Roman" w:eastAsia="宋体" w:cs="Times New Roman"/>
                <w:sz w:val="21"/>
                <w:szCs w:val="21"/>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Times New Roman" w:hAnsi="Times New Roman" w:eastAsia="宋体" w:cs="Times New Roman"/>
                <w:sz w:val="21"/>
                <w:szCs w:val="21"/>
              </w:rPr>
            </w:pPr>
          </w:p>
          <w:p>
            <w:pPr>
              <w:pStyle w:val="10"/>
              <w:keepNext w:val="0"/>
              <w:keepLines w:val="0"/>
              <w:suppressLineNumbers w:val="0"/>
              <w:spacing w:before="0" w:beforeAutospacing="0"/>
              <w:ind w:left="0" w:right="0"/>
              <w:rPr>
                <w:rFonts w:hint="eastAsia"/>
                <w:sz w:val="21"/>
                <w:szCs w:val="21"/>
              </w:rPr>
            </w:pPr>
          </w:p>
          <w:p>
            <w:pPr>
              <w:pStyle w:val="10"/>
              <w:keepNext w:val="0"/>
              <w:keepLines w:val="0"/>
              <w:suppressLineNumbers w:val="0"/>
              <w:spacing w:before="0" w:beforeAutospacing="0"/>
              <w:ind w:left="0" w:right="0"/>
              <w:rPr>
                <w:rFonts w:hint="eastAsia"/>
                <w:sz w:val="21"/>
                <w:szCs w:val="21"/>
              </w:rPr>
            </w:pPr>
          </w:p>
          <w:p>
            <w:pPr>
              <w:keepNext w:val="0"/>
              <w:keepLines w:val="0"/>
              <w:suppressLineNumbers w:val="0"/>
              <w:spacing w:before="0" w:beforeAutospacing="0" w:after="0" w:afterAutospacing="0"/>
              <w:ind w:left="0" w:right="0"/>
              <w:rPr>
                <w:rFonts w:hint="eastAsia" w:ascii="Times New Roman" w:hAnsi="Times New Roman" w:eastAsia="宋体" w:cs="Times New Roman"/>
                <w:sz w:val="21"/>
                <w:szCs w:val="21"/>
              </w:rPr>
            </w:pPr>
          </w:p>
          <w:p>
            <w:pPr>
              <w:pStyle w:val="2"/>
              <w:keepNext w:val="0"/>
              <w:keepLines w:val="0"/>
              <w:suppressLineNumbers w:val="0"/>
              <w:spacing w:before="0" w:beforeAutospacing="0" w:afterAutospacing="0"/>
              <w:ind w:right="0"/>
              <w:rPr>
                <w:rFonts w:hint="eastAsia"/>
                <w:sz w:val="21"/>
                <w:szCs w:val="21"/>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sz w:val="21"/>
                <w:szCs w:val="21"/>
                <w:lang w:val="en-US" w:eastAsia="zh-CN"/>
              </w:rPr>
            </w:pPr>
          </w:p>
        </w:tc>
      </w:tr>
    </w:tbl>
    <w:p>
      <w:pPr>
        <w:rPr>
          <w:snapToGrid w:val="0"/>
        </w:rPr>
      </w:pPr>
      <w:r>
        <w:rPr>
          <w:snapToGrid w:val="0"/>
        </w:rPr>
        <w:br w:type="page"/>
      </w:r>
      <w:r>
        <w:rPr>
          <w:snapToGrid w:val="0"/>
        </w:rPr>
        <w:drawing>
          <wp:anchor distT="0" distB="0" distL="114300" distR="114300" simplePos="0" relativeHeight="251702272" behindDoc="1" locked="0" layoutInCell="1" allowOverlap="1">
            <wp:simplePos x="0" y="0"/>
            <wp:positionH relativeFrom="column">
              <wp:posOffset>-314325</wp:posOffset>
            </wp:positionH>
            <wp:positionV relativeFrom="paragraph">
              <wp:posOffset>28575</wp:posOffset>
            </wp:positionV>
            <wp:extent cx="6324600" cy="8426450"/>
            <wp:effectExtent l="0" t="0" r="0" b="0"/>
            <wp:wrapTight wrapText="bothSides">
              <wp:wrapPolygon>
                <wp:start x="0" y="0"/>
                <wp:lineTo x="0" y="21535"/>
                <wp:lineTo x="21535" y="21535"/>
                <wp:lineTo x="21535" y="0"/>
                <wp:lineTo x="0" y="0"/>
              </wp:wrapPolygon>
            </wp:wrapTight>
            <wp:docPr id="66" name="图片 66" descr="f4ca25a31d20d9bf5ed8a743d18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f4ca25a31d20d9bf5ed8a743d180325"/>
                    <pic:cNvPicPr>
                      <a:picLocks noChangeAspect="1"/>
                    </pic:cNvPicPr>
                  </pic:nvPicPr>
                  <pic:blipFill>
                    <a:blip r:embed="rId16"/>
                    <a:stretch>
                      <a:fillRect/>
                    </a:stretch>
                  </pic:blipFill>
                  <pic:spPr>
                    <a:xfrm>
                      <a:off x="0" y="0"/>
                      <a:ext cx="6324600" cy="8426450"/>
                    </a:xfrm>
                    <a:prstGeom prst="rect">
                      <a:avLst/>
                    </a:prstGeom>
                  </pic:spPr>
                </pic:pic>
              </a:graphicData>
            </a:graphic>
          </wp:anchor>
        </w:drawing>
      </w:r>
      <w:r>
        <w:rPr>
          <w:snapToGrid w:val="0"/>
        </w:rPr>
        <w:br w:type="page"/>
      </w:r>
    </w:p>
    <w:p>
      <w:pPr>
        <w:pStyle w:val="2"/>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1"/>
        <w:adjustRightInd w:val="0"/>
        <w:snapToGrid w:val="0"/>
        <w:spacing w:before="0" w:beforeAutospacing="0" w:after="0" w:afterAutospacing="0" w:line="648"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11"/>
        <w:adjustRightInd w:val="0"/>
        <w:snapToGrid w:val="0"/>
        <w:spacing w:before="0" w:beforeAutospacing="0" w:after="0" w:afterAutospacing="0" w:line="552" w:lineRule="auto"/>
        <w:jc w:val="center"/>
        <w:outlineLvl w:val="0"/>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1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316"/>
        <w:gridCol w:w="1638"/>
        <w:gridCol w:w="15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24"/>
              <w:keepNext w:val="0"/>
              <w:keepLines w:val="0"/>
              <w:suppressLineNumbers w:val="0"/>
              <w:spacing w:before="0" w:beforeLines="0" w:beforeAutospacing="0" w:after="0" w:afterLines="0" w:afterAutospacing="0" w:line="240" w:lineRule="auto"/>
              <w:ind w:left="0" w:right="0"/>
              <w:jc w:val="right"/>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项目</w:t>
            </w:r>
          </w:p>
          <w:p>
            <w:pPr>
              <w:pStyle w:val="24"/>
              <w:keepNext w:val="0"/>
              <w:keepLines w:val="0"/>
              <w:suppressLineNumbers w:val="0"/>
              <w:spacing w:before="0" w:beforeLines="0" w:beforeAutospacing="0" w:after="0" w:afterLines="0" w:afterAutospacing="0" w:line="240" w:lineRule="auto"/>
              <w:ind w:left="0" w:right="0"/>
              <w:jc w:val="left"/>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分类</w:t>
            </w:r>
          </w:p>
        </w:tc>
        <w:tc>
          <w:tcPr>
            <w:tcW w:w="1417" w:type="dxa"/>
            <w:tcMar>
              <w:left w:w="28" w:type="dxa"/>
              <w:right w:w="28" w:type="dxa"/>
            </w:tcMar>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污染物名称</w:t>
            </w:r>
          </w:p>
        </w:tc>
        <w:tc>
          <w:tcPr>
            <w:tcW w:w="1701" w:type="dxa"/>
            <w:tcMar>
              <w:left w:w="28" w:type="dxa"/>
              <w:right w:w="28" w:type="dxa"/>
            </w:tcMar>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现有工程</w:t>
            </w:r>
          </w:p>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排放量（固体废物产生量）</w:t>
            </w:r>
            <w:r>
              <w:rPr>
                <w:rFonts w:hint="default" w:ascii="Times New Roman" w:hAnsi="Times New Roman" w:eastAsia="黑体" w:cs="Times New Roman"/>
                <w:snapToGrid w:val="0"/>
                <w:color w:val="000000"/>
                <w:spacing w:val="-6"/>
                <w:kern w:val="21"/>
                <w:sz w:val="21"/>
                <w:szCs w:val="21"/>
              </w:rPr>
              <w:fldChar w:fldCharType="begin"/>
            </w:r>
            <w:r>
              <w:rPr>
                <w:rFonts w:hint="default" w:ascii="Times New Roman" w:hAnsi="Times New Roman" w:eastAsia="黑体" w:cs="Times New Roman"/>
                <w:snapToGrid w:val="0"/>
                <w:color w:val="000000"/>
                <w:spacing w:val="-6"/>
                <w:kern w:val="21"/>
                <w:sz w:val="21"/>
                <w:szCs w:val="21"/>
              </w:rPr>
              <w:instrText xml:space="preserve"> = 1 \* GB3 \* MERGEFORMAT </w:instrText>
            </w:r>
            <w:r>
              <w:rPr>
                <w:rFonts w:hint="default" w:ascii="Times New Roman" w:hAnsi="Times New Roman" w:eastAsia="黑体" w:cs="Times New Roman"/>
                <w:snapToGrid w:val="0"/>
                <w:color w:val="000000"/>
                <w:spacing w:val="-6"/>
                <w:kern w:val="21"/>
                <w:sz w:val="21"/>
                <w:szCs w:val="21"/>
              </w:rPr>
              <w:fldChar w:fldCharType="separate"/>
            </w:r>
            <w:r>
              <w:rPr>
                <w:rFonts w:hint="default" w:ascii="Times New Roman" w:hAnsi="Times New Roman" w:eastAsia="黑体" w:cs="Times New Roman"/>
                <w:kern w:val="2"/>
                <w:sz w:val="21"/>
                <w:szCs w:val="21"/>
              </w:rPr>
              <w:t>①</w:t>
            </w:r>
            <w:r>
              <w:rPr>
                <w:rFonts w:hint="default" w:ascii="Times New Roman" w:hAnsi="Times New Roman" w:eastAsia="黑体" w:cs="Times New Roman"/>
                <w:snapToGrid w:val="0"/>
                <w:color w:val="000000"/>
                <w:spacing w:val="-6"/>
                <w:kern w:val="21"/>
                <w:sz w:val="21"/>
                <w:szCs w:val="21"/>
              </w:rPr>
              <w:fldChar w:fldCharType="end"/>
            </w:r>
          </w:p>
        </w:tc>
        <w:tc>
          <w:tcPr>
            <w:tcW w:w="1276" w:type="dxa"/>
            <w:tcMar>
              <w:left w:w="28" w:type="dxa"/>
              <w:right w:w="28" w:type="dxa"/>
            </w:tcMar>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现有工程</w:t>
            </w:r>
          </w:p>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许可排放量</w:t>
            </w:r>
          </w:p>
          <w:p>
            <w:pPr>
              <w:pStyle w:val="24"/>
              <w:keepNext w:val="0"/>
              <w:keepLines w:val="0"/>
              <w:suppressLineNumbers w:val="0"/>
              <w:spacing w:before="0" w:beforeLines="0" w:beforeAutospacing="0" w:after="0" w:afterLines="0" w:afterAutospacing="0"/>
              <w:ind w:left="0" w:right="0"/>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fldChar w:fldCharType="begin"/>
            </w:r>
            <w:r>
              <w:rPr>
                <w:rFonts w:hint="default" w:ascii="Times New Roman" w:hAnsi="Times New Roman" w:eastAsia="黑体" w:cs="Times New Roman"/>
                <w:snapToGrid w:val="0"/>
                <w:color w:val="000000"/>
                <w:spacing w:val="-6"/>
                <w:kern w:val="21"/>
                <w:sz w:val="21"/>
                <w:szCs w:val="21"/>
              </w:rPr>
              <w:instrText xml:space="preserve"> = 2 \* GB3 \* MERGEFORMAT </w:instrText>
            </w:r>
            <w:r>
              <w:rPr>
                <w:rFonts w:hint="default" w:ascii="Times New Roman" w:hAnsi="Times New Roman" w:eastAsia="黑体" w:cs="Times New Roman"/>
                <w:snapToGrid w:val="0"/>
                <w:color w:val="000000"/>
                <w:spacing w:val="-6"/>
                <w:kern w:val="21"/>
                <w:sz w:val="21"/>
                <w:szCs w:val="21"/>
              </w:rPr>
              <w:fldChar w:fldCharType="separate"/>
            </w:r>
            <w:r>
              <w:rPr>
                <w:rFonts w:hint="default" w:ascii="Times New Roman" w:hAnsi="Times New Roman" w:eastAsia="黑体" w:cs="Times New Roman"/>
                <w:snapToGrid w:val="0"/>
                <w:color w:val="000000"/>
                <w:spacing w:val="-6"/>
                <w:kern w:val="21"/>
                <w:sz w:val="21"/>
                <w:szCs w:val="21"/>
              </w:rPr>
              <w:t>②</w:t>
            </w:r>
            <w:r>
              <w:rPr>
                <w:rFonts w:hint="default" w:ascii="Times New Roman" w:hAnsi="Times New Roman" w:eastAsia="黑体" w:cs="Times New Roman"/>
                <w:snapToGrid w:val="0"/>
                <w:color w:val="000000"/>
                <w:spacing w:val="-6"/>
                <w:kern w:val="21"/>
                <w:sz w:val="21"/>
                <w:szCs w:val="21"/>
              </w:rPr>
              <w:fldChar w:fldCharType="end"/>
            </w:r>
          </w:p>
        </w:tc>
        <w:tc>
          <w:tcPr>
            <w:tcW w:w="1701" w:type="dxa"/>
            <w:tcMar>
              <w:left w:w="28" w:type="dxa"/>
              <w:right w:w="28" w:type="dxa"/>
            </w:tcMar>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在建工程</w:t>
            </w:r>
          </w:p>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排放量（固体废物产生量）</w:t>
            </w:r>
            <w:r>
              <w:rPr>
                <w:rFonts w:hint="default" w:ascii="Times New Roman" w:hAnsi="Times New Roman" w:eastAsia="黑体" w:cs="Times New Roman"/>
                <w:snapToGrid w:val="0"/>
                <w:color w:val="000000"/>
                <w:spacing w:val="-6"/>
                <w:kern w:val="21"/>
                <w:sz w:val="21"/>
                <w:szCs w:val="21"/>
              </w:rPr>
              <w:fldChar w:fldCharType="begin"/>
            </w:r>
            <w:r>
              <w:rPr>
                <w:rFonts w:hint="default" w:ascii="Times New Roman" w:hAnsi="Times New Roman" w:eastAsia="黑体" w:cs="Times New Roman"/>
                <w:snapToGrid w:val="0"/>
                <w:color w:val="000000"/>
                <w:spacing w:val="-6"/>
                <w:kern w:val="21"/>
                <w:sz w:val="21"/>
                <w:szCs w:val="21"/>
              </w:rPr>
              <w:instrText xml:space="preserve"> = 3 \* GB3 \* MERGEFORMAT </w:instrText>
            </w:r>
            <w:r>
              <w:rPr>
                <w:rFonts w:hint="default" w:ascii="Times New Roman" w:hAnsi="Times New Roman" w:eastAsia="黑体" w:cs="Times New Roman"/>
                <w:snapToGrid w:val="0"/>
                <w:color w:val="000000"/>
                <w:spacing w:val="-6"/>
                <w:kern w:val="21"/>
                <w:sz w:val="21"/>
                <w:szCs w:val="21"/>
              </w:rPr>
              <w:fldChar w:fldCharType="separate"/>
            </w:r>
            <w:r>
              <w:rPr>
                <w:rFonts w:hint="default" w:ascii="Times New Roman" w:hAnsi="Times New Roman" w:eastAsia="黑体" w:cs="Times New Roman"/>
                <w:kern w:val="2"/>
                <w:sz w:val="21"/>
                <w:szCs w:val="21"/>
              </w:rPr>
              <w:t>③</w:t>
            </w:r>
            <w:r>
              <w:rPr>
                <w:rFonts w:hint="default" w:ascii="Times New Roman" w:hAnsi="Times New Roman" w:eastAsia="黑体" w:cs="Times New Roman"/>
                <w:snapToGrid w:val="0"/>
                <w:color w:val="000000"/>
                <w:spacing w:val="-6"/>
                <w:kern w:val="21"/>
                <w:sz w:val="21"/>
                <w:szCs w:val="21"/>
              </w:rPr>
              <w:fldChar w:fldCharType="end"/>
            </w:r>
          </w:p>
        </w:tc>
        <w:tc>
          <w:tcPr>
            <w:tcW w:w="1559" w:type="dxa"/>
            <w:tcMar>
              <w:left w:w="28" w:type="dxa"/>
              <w:right w:w="28" w:type="dxa"/>
            </w:tcMar>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本项目</w:t>
            </w:r>
          </w:p>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排放量（固体废物产生量）</w:t>
            </w:r>
            <w:r>
              <w:rPr>
                <w:rFonts w:hint="default" w:ascii="Times New Roman" w:hAnsi="Times New Roman" w:eastAsia="黑体" w:cs="Times New Roman"/>
                <w:snapToGrid w:val="0"/>
                <w:color w:val="000000"/>
                <w:spacing w:val="-6"/>
                <w:kern w:val="21"/>
                <w:sz w:val="21"/>
                <w:szCs w:val="21"/>
              </w:rPr>
              <w:fldChar w:fldCharType="begin"/>
            </w:r>
            <w:r>
              <w:rPr>
                <w:rFonts w:hint="default" w:ascii="Times New Roman" w:hAnsi="Times New Roman" w:eastAsia="黑体" w:cs="Times New Roman"/>
                <w:snapToGrid w:val="0"/>
                <w:color w:val="000000"/>
                <w:spacing w:val="-6"/>
                <w:kern w:val="21"/>
                <w:sz w:val="21"/>
                <w:szCs w:val="21"/>
              </w:rPr>
              <w:instrText xml:space="preserve"> = 4 \* GB3 \* MERGEFORMAT </w:instrText>
            </w:r>
            <w:r>
              <w:rPr>
                <w:rFonts w:hint="default" w:ascii="Times New Roman" w:hAnsi="Times New Roman" w:eastAsia="黑体" w:cs="Times New Roman"/>
                <w:snapToGrid w:val="0"/>
                <w:color w:val="000000"/>
                <w:spacing w:val="-6"/>
                <w:kern w:val="21"/>
                <w:sz w:val="21"/>
                <w:szCs w:val="21"/>
              </w:rPr>
              <w:fldChar w:fldCharType="separate"/>
            </w:r>
            <w:r>
              <w:rPr>
                <w:rFonts w:hint="default" w:ascii="Times New Roman" w:hAnsi="Times New Roman" w:eastAsia="黑体" w:cs="Times New Roman"/>
                <w:kern w:val="2"/>
                <w:sz w:val="21"/>
                <w:szCs w:val="21"/>
              </w:rPr>
              <w:t>④</w:t>
            </w:r>
            <w:r>
              <w:rPr>
                <w:rFonts w:hint="default" w:ascii="Times New Roman" w:hAnsi="Times New Roman" w:eastAsia="黑体" w:cs="Times New Roman"/>
                <w:snapToGrid w:val="0"/>
                <w:color w:val="000000"/>
                <w:spacing w:val="-6"/>
                <w:kern w:val="21"/>
                <w:sz w:val="21"/>
                <w:szCs w:val="21"/>
              </w:rPr>
              <w:fldChar w:fldCharType="end"/>
            </w:r>
          </w:p>
        </w:tc>
        <w:tc>
          <w:tcPr>
            <w:tcW w:w="1316" w:type="dxa"/>
            <w:tcMar>
              <w:left w:w="28" w:type="dxa"/>
              <w:right w:w="28" w:type="dxa"/>
            </w:tcMar>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16"/>
                <w:kern w:val="21"/>
                <w:sz w:val="21"/>
                <w:szCs w:val="21"/>
              </w:rPr>
            </w:pPr>
            <w:r>
              <w:rPr>
                <w:rFonts w:hint="default" w:ascii="Times New Roman" w:hAnsi="Times New Roman" w:eastAsia="黑体" w:cs="Times New Roman"/>
                <w:snapToGrid w:val="0"/>
                <w:color w:val="000000"/>
                <w:spacing w:val="-16"/>
                <w:kern w:val="21"/>
                <w:sz w:val="21"/>
                <w:szCs w:val="21"/>
              </w:rPr>
              <w:t>以新带老削减量</w:t>
            </w:r>
          </w:p>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16"/>
                <w:kern w:val="21"/>
                <w:sz w:val="21"/>
                <w:szCs w:val="21"/>
              </w:rPr>
            </w:pPr>
            <w:r>
              <w:rPr>
                <w:rFonts w:hint="default" w:ascii="Times New Roman" w:hAnsi="Times New Roman" w:eastAsia="黑体" w:cs="Times New Roman"/>
                <w:snapToGrid w:val="0"/>
                <w:color w:val="000000"/>
                <w:spacing w:val="-16"/>
                <w:kern w:val="21"/>
                <w:sz w:val="21"/>
                <w:szCs w:val="21"/>
              </w:rPr>
              <w:t>（新建项目不填）</w:t>
            </w:r>
            <w:r>
              <w:rPr>
                <w:rFonts w:hint="default" w:ascii="Times New Roman" w:hAnsi="Times New Roman" w:eastAsia="黑体" w:cs="Times New Roman"/>
                <w:snapToGrid w:val="0"/>
                <w:color w:val="000000"/>
                <w:spacing w:val="-16"/>
                <w:kern w:val="21"/>
                <w:sz w:val="21"/>
                <w:szCs w:val="21"/>
              </w:rPr>
              <w:fldChar w:fldCharType="begin"/>
            </w:r>
            <w:r>
              <w:rPr>
                <w:rFonts w:hint="default" w:ascii="Times New Roman" w:hAnsi="Times New Roman" w:eastAsia="黑体" w:cs="Times New Roman"/>
                <w:snapToGrid w:val="0"/>
                <w:color w:val="000000"/>
                <w:spacing w:val="-16"/>
                <w:kern w:val="21"/>
                <w:sz w:val="21"/>
                <w:szCs w:val="21"/>
              </w:rPr>
              <w:instrText xml:space="preserve"> = 5 \* GB3 \* MERGEFORMAT </w:instrText>
            </w:r>
            <w:r>
              <w:rPr>
                <w:rFonts w:hint="default" w:ascii="Times New Roman" w:hAnsi="Times New Roman" w:eastAsia="黑体" w:cs="Times New Roman"/>
                <w:snapToGrid w:val="0"/>
                <w:color w:val="000000"/>
                <w:spacing w:val="-16"/>
                <w:kern w:val="21"/>
                <w:sz w:val="21"/>
                <w:szCs w:val="21"/>
              </w:rPr>
              <w:fldChar w:fldCharType="separate"/>
            </w:r>
            <w:r>
              <w:rPr>
                <w:rFonts w:hint="default" w:ascii="Times New Roman" w:hAnsi="Times New Roman" w:eastAsia="黑体" w:cs="Times New Roman"/>
                <w:kern w:val="2"/>
                <w:sz w:val="21"/>
                <w:szCs w:val="21"/>
              </w:rPr>
              <w:t>⑤</w:t>
            </w:r>
            <w:r>
              <w:rPr>
                <w:rFonts w:hint="default" w:ascii="Times New Roman" w:hAnsi="Times New Roman" w:eastAsia="黑体" w:cs="Times New Roman"/>
                <w:snapToGrid w:val="0"/>
                <w:color w:val="000000"/>
                <w:spacing w:val="-16"/>
                <w:kern w:val="21"/>
                <w:sz w:val="21"/>
                <w:szCs w:val="21"/>
              </w:rPr>
              <w:fldChar w:fldCharType="end"/>
            </w:r>
          </w:p>
        </w:tc>
        <w:tc>
          <w:tcPr>
            <w:tcW w:w="1638" w:type="dxa"/>
            <w:tcMar>
              <w:left w:w="28" w:type="dxa"/>
              <w:right w:w="28" w:type="dxa"/>
            </w:tcMar>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16"/>
                <w:kern w:val="21"/>
                <w:sz w:val="21"/>
                <w:szCs w:val="21"/>
              </w:rPr>
            </w:pPr>
            <w:r>
              <w:rPr>
                <w:rFonts w:hint="default" w:ascii="Times New Roman" w:hAnsi="Times New Roman" w:eastAsia="黑体" w:cs="Times New Roman"/>
                <w:snapToGrid w:val="0"/>
                <w:color w:val="000000"/>
                <w:spacing w:val="-16"/>
                <w:kern w:val="21"/>
                <w:sz w:val="21"/>
                <w:szCs w:val="21"/>
              </w:rPr>
              <w:t>本项目建成后</w:t>
            </w:r>
          </w:p>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16"/>
                <w:kern w:val="21"/>
                <w:sz w:val="21"/>
                <w:szCs w:val="21"/>
              </w:rPr>
            </w:pPr>
            <w:r>
              <w:rPr>
                <w:rFonts w:hint="default" w:ascii="Times New Roman" w:hAnsi="Times New Roman" w:eastAsia="黑体" w:cs="Times New Roman"/>
                <w:snapToGrid w:val="0"/>
                <w:color w:val="000000"/>
                <w:spacing w:val="-16"/>
                <w:kern w:val="21"/>
                <w:sz w:val="21"/>
                <w:szCs w:val="21"/>
              </w:rPr>
              <w:t>全厂排放量（固体废物产生量）</w:t>
            </w:r>
            <w:r>
              <w:rPr>
                <w:rFonts w:hint="default" w:ascii="Times New Roman" w:hAnsi="Times New Roman" w:eastAsia="黑体" w:cs="Times New Roman"/>
                <w:snapToGrid w:val="0"/>
                <w:color w:val="000000"/>
                <w:spacing w:val="-16"/>
                <w:kern w:val="21"/>
                <w:sz w:val="21"/>
                <w:szCs w:val="21"/>
              </w:rPr>
              <w:fldChar w:fldCharType="begin"/>
            </w:r>
            <w:r>
              <w:rPr>
                <w:rFonts w:hint="default" w:ascii="Times New Roman" w:hAnsi="Times New Roman" w:eastAsia="黑体" w:cs="Times New Roman"/>
                <w:snapToGrid w:val="0"/>
                <w:color w:val="000000"/>
                <w:spacing w:val="-16"/>
                <w:kern w:val="21"/>
                <w:sz w:val="21"/>
                <w:szCs w:val="21"/>
              </w:rPr>
              <w:instrText xml:space="preserve"> = 6 \* GB3 \* MERGEFORMAT </w:instrText>
            </w:r>
            <w:r>
              <w:rPr>
                <w:rFonts w:hint="default" w:ascii="Times New Roman" w:hAnsi="Times New Roman" w:eastAsia="黑体" w:cs="Times New Roman"/>
                <w:snapToGrid w:val="0"/>
                <w:color w:val="000000"/>
                <w:spacing w:val="-16"/>
                <w:kern w:val="21"/>
                <w:sz w:val="21"/>
                <w:szCs w:val="21"/>
              </w:rPr>
              <w:fldChar w:fldCharType="separate"/>
            </w:r>
            <w:r>
              <w:rPr>
                <w:rFonts w:hint="default" w:ascii="Times New Roman" w:hAnsi="Times New Roman" w:eastAsia="黑体" w:cs="Times New Roman"/>
                <w:kern w:val="2"/>
                <w:sz w:val="21"/>
                <w:szCs w:val="21"/>
              </w:rPr>
              <w:t>⑥</w:t>
            </w:r>
            <w:r>
              <w:rPr>
                <w:rFonts w:hint="default" w:ascii="Times New Roman" w:hAnsi="Times New Roman" w:eastAsia="黑体" w:cs="Times New Roman"/>
                <w:snapToGrid w:val="0"/>
                <w:color w:val="000000"/>
                <w:spacing w:val="-16"/>
                <w:kern w:val="21"/>
                <w:sz w:val="21"/>
                <w:szCs w:val="21"/>
              </w:rPr>
              <w:fldChar w:fldCharType="end"/>
            </w:r>
          </w:p>
        </w:tc>
        <w:tc>
          <w:tcPr>
            <w:tcW w:w="1592" w:type="dxa"/>
            <w:tcMar>
              <w:left w:w="28" w:type="dxa"/>
              <w:right w:w="28" w:type="dxa"/>
            </w:tcMar>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t>变化量</w:t>
            </w:r>
          </w:p>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000000"/>
                <w:spacing w:val="-6"/>
                <w:kern w:val="21"/>
                <w:sz w:val="21"/>
                <w:szCs w:val="21"/>
              </w:rPr>
            </w:pPr>
            <w:r>
              <w:rPr>
                <w:rFonts w:hint="default" w:ascii="Times New Roman" w:hAnsi="Times New Roman" w:eastAsia="黑体" w:cs="Times New Roman"/>
                <w:snapToGrid w:val="0"/>
                <w:color w:val="000000"/>
                <w:spacing w:val="-6"/>
                <w:kern w:val="21"/>
                <w:sz w:val="21"/>
                <w:szCs w:val="21"/>
              </w:rPr>
              <w:fldChar w:fldCharType="begin"/>
            </w:r>
            <w:r>
              <w:rPr>
                <w:rFonts w:hint="default" w:ascii="Times New Roman" w:hAnsi="Times New Roman" w:eastAsia="黑体" w:cs="Times New Roman"/>
                <w:snapToGrid w:val="0"/>
                <w:color w:val="000000"/>
                <w:spacing w:val="-6"/>
                <w:kern w:val="21"/>
                <w:sz w:val="21"/>
                <w:szCs w:val="21"/>
              </w:rPr>
              <w:instrText xml:space="preserve"> = 7 \* GB3 \* MERGEFORMAT </w:instrText>
            </w:r>
            <w:r>
              <w:rPr>
                <w:rFonts w:hint="default" w:ascii="Times New Roman" w:hAnsi="Times New Roman" w:eastAsia="黑体" w:cs="Times New Roman"/>
                <w:snapToGrid w:val="0"/>
                <w:color w:val="000000"/>
                <w:spacing w:val="-6"/>
                <w:kern w:val="21"/>
                <w:sz w:val="21"/>
                <w:szCs w:val="21"/>
              </w:rPr>
              <w:fldChar w:fldCharType="separate"/>
            </w:r>
            <w:r>
              <w:rPr>
                <w:rFonts w:hint="default" w:ascii="Times New Roman" w:hAnsi="Times New Roman" w:eastAsia="黑体" w:cs="Times New Roman"/>
                <w:kern w:val="2"/>
                <w:sz w:val="21"/>
                <w:szCs w:val="21"/>
              </w:rPr>
              <w:t>⑦</w:t>
            </w:r>
            <w:r>
              <w:rPr>
                <w:rFonts w:hint="default" w:ascii="Times New Roman" w:hAnsi="Times New Roman" w:eastAsia="黑体" w:cs="Times New Roman"/>
                <w:snapToGrid w:val="0"/>
                <w:color w:val="000000"/>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废气</w:t>
            </w:r>
          </w:p>
        </w:tc>
        <w:tc>
          <w:tcPr>
            <w:tcW w:w="1417"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颗粒物</w:t>
            </w:r>
          </w:p>
        </w:tc>
        <w:tc>
          <w:tcPr>
            <w:tcW w:w="1701" w:type="dxa"/>
            <w:vAlign w:val="center"/>
          </w:tcPr>
          <w:p>
            <w:pPr>
              <w:pStyle w:val="24"/>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276" w:type="dxa"/>
            <w:vAlign w:val="center"/>
          </w:tcPr>
          <w:p>
            <w:pPr>
              <w:pStyle w:val="24"/>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701" w:type="dxa"/>
            <w:vAlign w:val="center"/>
          </w:tcPr>
          <w:p>
            <w:pPr>
              <w:pStyle w:val="24"/>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559"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000000"/>
                <w:kern w:val="21"/>
                <w:sz w:val="21"/>
                <w:szCs w:val="21"/>
              </w:rPr>
            </w:pPr>
            <w:r>
              <w:rPr>
                <w:rFonts w:hint="eastAsia" w:ascii="Times New Roman" w:cs="Times New Roman"/>
                <w:snapToGrid w:val="0"/>
                <w:color w:val="000000"/>
                <w:kern w:val="21"/>
                <w:sz w:val="21"/>
                <w:szCs w:val="21"/>
                <w:lang w:val="en-US" w:eastAsia="zh-CN"/>
              </w:rPr>
              <w:t>0.0849</w:t>
            </w:r>
            <w:r>
              <w:rPr>
                <w:rFonts w:hint="default" w:ascii="Times New Roman" w:hAnsi="Times New Roman" w:cs="Times New Roman"/>
                <w:snapToGrid w:val="0"/>
                <w:color w:val="000000"/>
                <w:kern w:val="21"/>
                <w:sz w:val="21"/>
                <w:szCs w:val="21"/>
              </w:rPr>
              <w:t>t/a</w:t>
            </w:r>
          </w:p>
        </w:tc>
        <w:tc>
          <w:tcPr>
            <w:tcW w:w="1316" w:type="dxa"/>
            <w:vAlign w:val="center"/>
          </w:tcPr>
          <w:p>
            <w:pPr>
              <w:pStyle w:val="24"/>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638"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000000"/>
                <w:kern w:val="21"/>
                <w:sz w:val="21"/>
                <w:szCs w:val="21"/>
              </w:rPr>
            </w:pPr>
            <w:r>
              <w:rPr>
                <w:rFonts w:hint="eastAsia" w:ascii="Times New Roman" w:cs="Times New Roman"/>
                <w:snapToGrid w:val="0"/>
                <w:color w:val="000000"/>
                <w:kern w:val="21"/>
                <w:sz w:val="21"/>
                <w:szCs w:val="21"/>
                <w:lang w:val="en-US" w:eastAsia="zh-CN"/>
              </w:rPr>
              <w:t>0.0849</w:t>
            </w:r>
            <w:r>
              <w:rPr>
                <w:rFonts w:hint="default" w:ascii="Times New Roman" w:hAnsi="Times New Roman" w:cs="Times New Roman"/>
                <w:snapToGrid w:val="0"/>
                <w:color w:val="000000"/>
                <w:kern w:val="21"/>
                <w:sz w:val="21"/>
                <w:szCs w:val="21"/>
              </w:rPr>
              <w:t>t/a</w:t>
            </w:r>
          </w:p>
        </w:tc>
        <w:tc>
          <w:tcPr>
            <w:tcW w:w="1592"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w:t>
            </w:r>
            <w:r>
              <w:rPr>
                <w:rFonts w:hint="eastAsia" w:ascii="Times New Roman" w:cs="Times New Roman"/>
                <w:snapToGrid w:val="0"/>
                <w:color w:val="000000"/>
                <w:kern w:val="21"/>
                <w:sz w:val="21"/>
                <w:szCs w:val="21"/>
                <w:lang w:val="en-US" w:eastAsia="zh-CN"/>
              </w:rPr>
              <w:t>0.0849</w:t>
            </w:r>
            <w:r>
              <w:rPr>
                <w:rFonts w:hint="default" w:ascii="Times New Roman" w:hAnsi="Times New Roman" w:cs="Times New Roman"/>
                <w:snapToGrid w:val="0"/>
                <w:color w:val="000000"/>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24"/>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eastAsia="zh-CN"/>
              </w:rPr>
            </w:pPr>
            <w:r>
              <w:rPr>
                <w:rFonts w:hint="eastAsia" w:ascii="Times New Roman" w:cs="Times New Roman"/>
                <w:snapToGrid w:val="0"/>
                <w:color w:val="000000"/>
                <w:kern w:val="21"/>
                <w:sz w:val="21"/>
                <w:szCs w:val="21"/>
                <w:lang w:eastAsia="zh-CN"/>
              </w:rPr>
              <w:t>废水</w:t>
            </w:r>
          </w:p>
        </w:tc>
        <w:tc>
          <w:tcPr>
            <w:tcW w:w="1417" w:type="dxa"/>
            <w:vAlign w:val="center"/>
          </w:tcPr>
          <w:p>
            <w:pPr>
              <w:pStyle w:val="24"/>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701"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276"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701"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559"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316"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638"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592" w:type="dxa"/>
            <w:vAlign w:val="center"/>
          </w:tcPr>
          <w:p>
            <w:pPr>
              <w:pStyle w:val="24"/>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一般工业</w:t>
            </w:r>
          </w:p>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固体废物</w:t>
            </w:r>
          </w:p>
        </w:tc>
        <w:tc>
          <w:tcPr>
            <w:tcW w:w="1417"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生活垃圾</w:t>
            </w:r>
          </w:p>
        </w:tc>
        <w:tc>
          <w:tcPr>
            <w:tcW w:w="1701" w:type="dxa"/>
            <w:vAlign w:val="center"/>
          </w:tcPr>
          <w:p>
            <w:pPr>
              <w:pStyle w:val="24"/>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276" w:type="dxa"/>
            <w:vAlign w:val="center"/>
          </w:tcPr>
          <w:p>
            <w:pPr>
              <w:pStyle w:val="24"/>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701" w:type="dxa"/>
            <w:vAlign w:val="center"/>
          </w:tcPr>
          <w:p>
            <w:pPr>
              <w:pStyle w:val="24"/>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559"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lang w:val="en-US" w:eastAsia="zh-CN"/>
              </w:rPr>
              <w:t>0.9</w:t>
            </w:r>
            <w:r>
              <w:rPr>
                <w:rFonts w:hint="default" w:ascii="Times New Roman" w:hAnsi="Times New Roman" w:cs="Times New Roman"/>
                <w:snapToGrid w:val="0"/>
                <w:color w:val="000000"/>
                <w:kern w:val="21"/>
                <w:sz w:val="21"/>
                <w:szCs w:val="21"/>
              </w:rPr>
              <w:t>t/a</w:t>
            </w:r>
          </w:p>
        </w:tc>
        <w:tc>
          <w:tcPr>
            <w:tcW w:w="1316" w:type="dxa"/>
            <w:vAlign w:val="center"/>
          </w:tcPr>
          <w:p>
            <w:pPr>
              <w:pStyle w:val="24"/>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638"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lang w:val="en-US" w:eastAsia="zh-CN"/>
              </w:rPr>
              <w:t>0.9</w:t>
            </w:r>
            <w:r>
              <w:rPr>
                <w:rFonts w:hint="default" w:ascii="Times New Roman" w:hAnsi="Times New Roman" w:cs="Times New Roman"/>
                <w:snapToGrid w:val="0"/>
                <w:color w:val="000000"/>
                <w:kern w:val="21"/>
                <w:sz w:val="21"/>
                <w:szCs w:val="21"/>
              </w:rPr>
              <w:t>t/a</w:t>
            </w:r>
          </w:p>
        </w:tc>
        <w:tc>
          <w:tcPr>
            <w:tcW w:w="1592"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w:t>
            </w:r>
            <w:r>
              <w:rPr>
                <w:rFonts w:hint="default" w:ascii="Times New Roman" w:hAnsi="Times New Roman" w:cs="Times New Roman"/>
                <w:snapToGrid w:val="0"/>
                <w:color w:val="000000"/>
                <w:kern w:val="21"/>
                <w:sz w:val="21"/>
                <w:szCs w:val="21"/>
                <w:lang w:val="en-US" w:eastAsia="zh-CN"/>
              </w:rPr>
              <w:t>0.9</w:t>
            </w:r>
            <w:r>
              <w:rPr>
                <w:rFonts w:hint="default" w:ascii="Times New Roman" w:hAnsi="Times New Roman" w:cs="Times New Roman"/>
                <w:snapToGrid w:val="0"/>
                <w:color w:val="000000"/>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000000"/>
                <w:kern w:val="21"/>
                <w:sz w:val="21"/>
                <w:szCs w:val="21"/>
              </w:rPr>
            </w:pPr>
          </w:p>
        </w:tc>
        <w:tc>
          <w:tcPr>
            <w:tcW w:w="1417"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除尘器粉尘</w:t>
            </w:r>
          </w:p>
        </w:tc>
        <w:tc>
          <w:tcPr>
            <w:tcW w:w="1701" w:type="dxa"/>
            <w:vAlign w:val="center"/>
          </w:tcPr>
          <w:p>
            <w:pPr>
              <w:pStyle w:val="24"/>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276"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lang w:val="en-US" w:eastAsia="zh-CN"/>
              </w:rPr>
            </w:pPr>
            <w:r>
              <w:rPr>
                <w:rFonts w:hint="default" w:ascii="Times New Roman" w:hAnsi="Times New Roman" w:eastAsia="宋体" w:cs="Times New Roman"/>
                <w:snapToGrid w:val="0"/>
                <w:color w:val="000000"/>
                <w:kern w:val="21"/>
                <w:sz w:val="21"/>
                <w:szCs w:val="21"/>
                <w:lang w:val="en-US" w:eastAsia="zh-CN"/>
              </w:rPr>
              <w:t>/</w:t>
            </w:r>
          </w:p>
        </w:tc>
        <w:tc>
          <w:tcPr>
            <w:tcW w:w="1701"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lang w:val="en-US" w:eastAsia="zh-CN"/>
              </w:rPr>
            </w:pPr>
            <w:r>
              <w:rPr>
                <w:rFonts w:hint="default" w:ascii="Times New Roman" w:hAnsi="Times New Roman" w:eastAsia="宋体" w:cs="Times New Roman"/>
                <w:snapToGrid w:val="0"/>
                <w:color w:val="000000"/>
                <w:kern w:val="21"/>
                <w:sz w:val="21"/>
                <w:szCs w:val="21"/>
                <w:lang w:val="en-US" w:eastAsia="zh-CN"/>
              </w:rPr>
              <w:t>/</w:t>
            </w:r>
          </w:p>
        </w:tc>
        <w:tc>
          <w:tcPr>
            <w:tcW w:w="1559"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z w:val="21"/>
                <w:szCs w:val="21"/>
                <w:lang w:val="en-US" w:eastAsia="zh-CN"/>
              </w:rPr>
              <w:t>23.8</w:t>
            </w:r>
            <w:r>
              <w:rPr>
                <w:rFonts w:hint="default" w:ascii="Times New Roman" w:hAnsi="Times New Roman" w:eastAsia="宋体" w:cs="Times New Roman"/>
                <w:snapToGrid w:val="0"/>
                <w:color w:val="000000"/>
                <w:kern w:val="21"/>
                <w:sz w:val="21"/>
                <w:szCs w:val="21"/>
              </w:rPr>
              <w:t>t/a</w:t>
            </w:r>
          </w:p>
        </w:tc>
        <w:tc>
          <w:tcPr>
            <w:tcW w:w="1316"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lang w:val="en-US" w:eastAsia="zh-CN"/>
              </w:rPr>
            </w:pPr>
            <w:r>
              <w:rPr>
                <w:rFonts w:hint="default" w:ascii="Times New Roman" w:hAnsi="Times New Roman" w:eastAsia="宋体" w:cs="Times New Roman"/>
                <w:snapToGrid w:val="0"/>
                <w:color w:val="000000"/>
                <w:kern w:val="21"/>
                <w:sz w:val="21"/>
                <w:szCs w:val="21"/>
                <w:lang w:val="en-US" w:eastAsia="zh-CN"/>
              </w:rPr>
              <w:t>/</w:t>
            </w:r>
          </w:p>
        </w:tc>
        <w:tc>
          <w:tcPr>
            <w:tcW w:w="1638"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z w:val="21"/>
                <w:szCs w:val="21"/>
                <w:lang w:val="en-US" w:eastAsia="zh-CN"/>
              </w:rPr>
              <w:t>23.8</w:t>
            </w:r>
            <w:r>
              <w:rPr>
                <w:rFonts w:hint="default" w:ascii="Times New Roman" w:hAnsi="Times New Roman" w:eastAsia="宋体" w:cs="Times New Roman"/>
                <w:snapToGrid w:val="0"/>
                <w:color w:val="000000"/>
                <w:kern w:val="21"/>
                <w:sz w:val="21"/>
                <w:szCs w:val="21"/>
              </w:rPr>
              <w:t>t/a</w:t>
            </w:r>
          </w:p>
        </w:tc>
        <w:tc>
          <w:tcPr>
            <w:tcW w:w="1592"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000000"/>
                <w:kern w:val="21"/>
                <w:sz w:val="21"/>
                <w:szCs w:val="21"/>
              </w:rPr>
            </w:pPr>
            <w:r>
              <w:rPr>
                <w:rFonts w:hint="default" w:ascii="Times New Roman" w:hAnsi="Times New Roman" w:eastAsia="宋体" w:cs="Times New Roman"/>
                <w:snapToGrid w:val="0"/>
                <w:color w:val="000000"/>
                <w:kern w:val="21"/>
                <w:sz w:val="21"/>
                <w:szCs w:val="21"/>
              </w:rPr>
              <w:t>+</w:t>
            </w:r>
            <w:r>
              <w:rPr>
                <w:rFonts w:hint="default" w:ascii="Times New Roman" w:hAnsi="Times New Roman" w:eastAsia="宋体" w:cs="Times New Roman"/>
                <w:sz w:val="21"/>
                <w:szCs w:val="21"/>
                <w:lang w:val="en-US" w:eastAsia="zh-CN"/>
              </w:rPr>
              <w:t>23.8</w:t>
            </w:r>
            <w:r>
              <w:rPr>
                <w:rFonts w:hint="default" w:ascii="Times New Roman" w:hAnsi="Times New Roman" w:eastAsia="宋体" w:cs="Times New Roman"/>
                <w:snapToGrid w:val="0"/>
                <w:color w:val="000000"/>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危险废物</w:t>
            </w:r>
          </w:p>
        </w:tc>
        <w:tc>
          <w:tcPr>
            <w:tcW w:w="1417"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废润滑油</w:t>
            </w:r>
          </w:p>
        </w:tc>
        <w:tc>
          <w:tcPr>
            <w:tcW w:w="1701" w:type="dxa"/>
            <w:vAlign w:val="center"/>
          </w:tcPr>
          <w:p>
            <w:pPr>
              <w:pStyle w:val="24"/>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276" w:type="dxa"/>
            <w:vAlign w:val="center"/>
          </w:tcPr>
          <w:p>
            <w:pPr>
              <w:pStyle w:val="24"/>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701" w:type="dxa"/>
            <w:vAlign w:val="center"/>
          </w:tcPr>
          <w:p>
            <w:pPr>
              <w:pStyle w:val="24"/>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559"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0.0</w:t>
            </w:r>
            <w:r>
              <w:rPr>
                <w:rFonts w:hint="default" w:ascii="Times New Roman" w:hAnsi="Times New Roman" w:cs="Times New Roman"/>
                <w:snapToGrid w:val="0"/>
                <w:color w:val="000000"/>
                <w:kern w:val="21"/>
                <w:sz w:val="21"/>
                <w:szCs w:val="21"/>
                <w:lang w:val="en-US" w:eastAsia="zh-CN"/>
              </w:rPr>
              <w:t>1</w:t>
            </w:r>
            <w:r>
              <w:rPr>
                <w:rFonts w:hint="default" w:ascii="Times New Roman" w:hAnsi="Times New Roman" w:cs="Times New Roman"/>
                <w:snapToGrid w:val="0"/>
                <w:color w:val="000000"/>
                <w:kern w:val="21"/>
                <w:sz w:val="21"/>
                <w:szCs w:val="21"/>
              </w:rPr>
              <w:t>t/a</w:t>
            </w:r>
          </w:p>
        </w:tc>
        <w:tc>
          <w:tcPr>
            <w:tcW w:w="1316" w:type="dxa"/>
            <w:vAlign w:val="center"/>
          </w:tcPr>
          <w:p>
            <w:pPr>
              <w:pStyle w:val="24"/>
              <w:keepNext w:val="0"/>
              <w:keepLines w:val="0"/>
              <w:suppressLineNumbers w:val="0"/>
              <w:spacing w:before="0" w:beforeLines="0" w:beforeAutospacing="0" w:after="0" w:afterLines="0" w:afterAutospacing="0" w:line="240" w:lineRule="auto"/>
              <w:ind w:left="0" w:right="0"/>
              <w:rPr>
                <w:rFonts w:hint="eastAsia" w:ascii="Times New Roman" w:hAnsi="Times New Roman" w:eastAsia="宋体" w:cs="Times New Roman"/>
                <w:snapToGrid w:val="0"/>
                <w:color w:val="000000"/>
                <w:kern w:val="21"/>
                <w:sz w:val="21"/>
                <w:szCs w:val="21"/>
                <w:lang w:val="en-US" w:eastAsia="zh-CN"/>
              </w:rPr>
            </w:pPr>
            <w:r>
              <w:rPr>
                <w:rFonts w:hint="eastAsia" w:ascii="Times New Roman" w:cs="Times New Roman"/>
                <w:snapToGrid w:val="0"/>
                <w:color w:val="000000"/>
                <w:kern w:val="21"/>
                <w:sz w:val="21"/>
                <w:szCs w:val="21"/>
                <w:lang w:val="en-US" w:eastAsia="zh-CN"/>
              </w:rPr>
              <w:t>/</w:t>
            </w:r>
          </w:p>
        </w:tc>
        <w:tc>
          <w:tcPr>
            <w:tcW w:w="1638"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0.0</w:t>
            </w:r>
            <w:r>
              <w:rPr>
                <w:rFonts w:hint="default" w:ascii="Times New Roman" w:hAnsi="Times New Roman" w:cs="Times New Roman"/>
                <w:snapToGrid w:val="0"/>
                <w:color w:val="000000"/>
                <w:kern w:val="21"/>
                <w:sz w:val="21"/>
                <w:szCs w:val="21"/>
                <w:lang w:val="en-US" w:eastAsia="zh-CN"/>
              </w:rPr>
              <w:t>1</w:t>
            </w:r>
            <w:r>
              <w:rPr>
                <w:rFonts w:hint="default" w:ascii="Times New Roman" w:hAnsi="Times New Roman" w:cs="Times New Roman"/>
                <w:snapToGrid w:val="0"/>
                <w:color w:val="000000"/>
                <w:kern w:val="21"/>
                <w:sz w:val="21"/>
                <w:szCs w:val="21"/>
              </w:rPr>
              <w:t>t/a</w:t>
            </w:r>
          </w:p>
        </w:tc>
        <w:tc>
          <w:tcPr>
            <w:tcW w:w="1592" w:type="dxa"/>
            <w:vAlign w:val="center"/>
          </w:tcPr>
          <w:p>
            <w:pPr>
              <w:pStyle w:val="24"/>
              <w:keepNext w:val="0"/>
              <w:keepLines w:val="0"/>
              <w:suppressLineNumbers w:val="0"/>
              <w:spacing w:before="0" w:beforeLines="0" w:beforeAutospacing="0" w:after="0" w:afterLines="0" w:afterAutospacing="0" w:line="240" w:lineRule="auto"/>
              <w:ind w:left="0" w:right="0"/>
              <w:rPr>
                <w:rFonts w:hint="default" w:ascii="Times New Roman" w:hAnsi="Times New Roman" w:cs="Times New Roman"/>
                <w:snapToGrid w:val="0"/>
                <w:color w:val="000000"/>
                <w:kern w:val="21"/>
                <w:sz w:val="21"/>
                <w:szCs w:val="21"/>
              </w:rPr>
            </w:pPr>
            <w:r>
              <w:rPr>
                <w:rFonts w:hint="default" w:ascii="Times New Roman" w:hAnsi="Times New Roman" w:cs="Times New Roman"/>
                <w:snapToGrid w:val="0"/>
                <w:color w:val="000000"/>
                <w:kern w:val="21"/>
                <w:sz w:val="21"/>
                <w:szCs w:val="21"/>
              </w:rPr>
              <w:t>+0.0</w:t>
            </w:r>
            <w:r>
              <w:rPr>
                <w:rFonts w:hint="default" w:ascii="Times New Roman" w:hAnsi="Times New Roman" w:cs="Times New Roman"/>
                <w:snapToGrid w:val="0"/>
                <w:color w:val="000000"/>
                <w:kern w:val="21"/>
                <w:sz w:val="21"/>
                <w:szCs w:val="21"/>
                <w:lang w:val="en-US" w:eastAsia="zh-CN"/>
              </w:rPr>
              <w:t>1</w:t>
            </w:r>
            <w:r>
              <w:rPr>
                <w:rFonts w:hint="default" w:ascii="Times New Roman" w:hAnsi="Times New Roman" w:cs="Times New Roman"/>
                <w:snapToGrid w:val="0"/>
                <w:color w:val="000000"/>
                <w:kern w:val="21"/>
                <w:sz w:val="21"/>
                <w:szCs w:val="21"/>
              </w:rPr>
              <w:t>t/a</w:t>
            </w:r>
          </w:p>
        </w:tc>
      </w:tr>
    </w:tbl>
    <w:p>
      <w:pPr>
        <w:pStyle w:val="24"/>
        <w:spacing w:beforeLines="80" w:after="24"/>
        <w:jc w:val="left"/>
        <w:rPr>
          <w:rFonts w:hint="eastAsia"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pPr>
        <w:rPr>
          <w:rFonts w:hint="eastAsia"/>
        </w:rPr>
        <w:sectPr>
          <w:footerReference r:id="rId4"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4"/>
        <w:spacing w:before="192" w:beforeLines="80" w:after="24"/>
        <w:jc w:val="left"/>
      </w:pPr>
      <w:r>
        <w:drawing>
          <wp:anchor distT="0" distB="0" distL="114300" distR="114300" simplePos="0" relativeHeight="251702272" behindDoc="0" locked="0" layoutInCell="1" allowOverlap="1">
            <wp:simplePos x="0" y="0"/>
            <wp:positionH relativeFrom="column">
              <wp:posOffset>6350</wp:posOffset>
            </wp:positionH>
            <wp:positionV relativeFrom="page">
              <wp:posOffset>474980</wp:posOffset>
            </wp:positionV>
            <wp:extent cx="786765" cy="953135"/>
            <wp:effectExtent l="0" t="0" r="13335" b="18415"/>
            <wp:wrapNone/>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7"/>
                    <a:stretch>
                      <a:fillRect/>
                    </a:stretch>
                  </pic:blipFill>
                  <pic:spPr>
                    <a:xfrm>
                      <a:off x="0" y="0"/>
                      <a:ext cx="786765" cy="953135"/>
                    </a:xfrm>
                    <a:prstGeom prst="rect">
                      <a:avLst/>
                    </a:prstGeom>
                    <a:noFill/>
                    <a:ln>
                      <a:noFill/>
                    </a:ln>
                  </pic:spPr>
                </pic:pic>
              </a:graphicData>
            </a:graphic>
          </wp:anchor>
        </w:drawing>
      </w:r>
      <w:r>
        <w:drawing>
          <wp:anchor distT="0" distB="0" distL="114300" distR="114300" simplePos="0" relativeHeight="251681792" behindDoc="1" locked="0" layoutInCell="1" allowOverlap="1">
            <wp:simplePos x="0" y="0"/>
            <wp:positionH relativeFrom="column">
              <wp:posOffset>-8890</wp:posOffset>
            </wp:positionH>
            <wp:positionV relativeFrom="paragraph">
              <wp:posOffset>5715</wp:posOffset>
            </wp:positionV>
            <wp:extent cx="6635115" cy="9211945"/>
            <wp:effectExtent l="0" t="0" r="13335" b="825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6635115" cy="9211945"/>
                    </a:xfrm>
                    <a:prstGeom prst="rect">
                      <a:avLst/>
                    </a:prstGeom>
                    <a:noFill/>
                    <a:ln>
                      <a:noFill/>
                    </a:ln>
                  </pic:spPr>
                </pic:pic>
              </a:graphicData>
            </a:graphic>
          </wp:anchor>
        </w:drawing>
      </w:r>
      <w:r>
        <mc:AlternateContent>
          <mc:Choice Requires="wps">
            <w:drawing>
              <wp:anchor distT="0" distB="0" distL="114300" distR="114300" simplePos="0" relativeHeight="251682816" behindDoc="0" locked="0" layoutInCell="1" allowOverlap="1">
                <wp:simplePos x="0" y="0"/>
                <wp:positionH relativeFrom="column">
                  <wp:posOffset>-635</wp:posOffset>
                </wp:positionH>
                <wp:positionV relativeFrom="paragraph">
                  <wp:posOffset>-6626225</wp:posOffset>
                </wp:positionV>
                <wp:extent cx="647700" cy="314325"/>
                <wp:effectExtent l="12700" t="12700" r="82550" b="339725"/>
                <wp:wrapNone/>
                <wp:docPr id="22" name="矩形标注 22"/>
                <wp:cNvGraphicFramePr/>
                <a:graphic xmlns:a="http://schemas.openxmlformats.org/drawingml/2006/main">
                  <a:graphicData uri="http://schemas.microsoft.com/office/word/2010/wordprocessingShape">
                    <wps:wsp>
                      <wps:cNvSpPr/>
                      <wps:spPr>
                        <a:xfrm>
                          <a:off x="0" y="0"/>
                          <a:ext cx="647700" cy="314325"/>
                        </a:xfrm>
                        <a:prstGeom prst="wedgeRectCallout">
                          <a:avLst>
                            <a:gd name="adj1" fmla="val 59554"/>
                            <a:gd name="adj2" fmla="val 148853"/>
                          </a:avLst>
                        </a:prstGeom>
                        <a:solidFill>
                          <a:srgbClr val="00B0F0"/>
                        </a:solidFill>
                        <a:ln w="25400" cap="flat" cmpd="sng" algn="ctr">
                          <a:solidFill>
                            <a:srgbClr val="00B0F0"/>
                          </a:solidFill>
                          <a:prstDash val="solid"/>
                        </a:ln>
                        <a:effectLst/>
                      </wps:spPr>
                      <wps:txbx>
                        <w:txbxContent>
                          <w:p>
                            <w:pPr>
                              <w:jc w:val="center"/>
                              <w:rPr>
                                <w:rFonts w:ascii="Times New Roman" w:hAnsi="Times New Roman" w:eastAsia="宋体" w:cs="Times New Roman"/>
                                <w:b/>
                                <w:color w:val="FFFFFF"/>
                              </w:rPr>
                            </w:pPr>
                            <w:r>
                              <w:rPr>
                                <w:rFonts w:hint="eastAsia" w:ascii="Times New Roman" w:hAnsi="Times New Roman" w:eastAsia="宋体" w:cs="Times New Roman"/>
                                <w:b/>
                                <w:color w:val="FFFFFF"/>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0.05pt;margin-top:-521.75pt;height:24.75pt;width:51pt;z-index:251682816;v-text-anchor:middle;mso-width-relative:page;mso-height-relative:page;" fillcolor="#00B0F0" filled="t" stroked="t" coordsize="21600,21600" o:gfxdata="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sdOoP2wAAAAwBAAAPAAAAAAAAAAEAIAAAACIAAABkcnMvZG93bnJl&#10;di54bWxQSwECFAAUAAAACACHTuJADuuqzqUCAABbBQAADgAAAAAAAAABACAAAAAqAQAAZHJzL2Uy&#10;b0RvYy54bWxQSwUGAAAAAAYABgBZAQAAQQYAAAAA&#10;" adj="23664,42952">
                <v:fill on="t" focussize="0,0"/>
                <v:stroke weight="2pt" color="#00B0F0" joinstyle="round"/>
                <v:imagedata o:title=""/>
                <o:lock v:ext="edit" aspectratio="f"/>
                <v:textbox>
                  <w:txbxContent>
                    <w:p>
                      <w:pPr>
                        <w:jc w:val="center"/>
                        <w:rPr>
                          <w:rFonts w:ascii="Times New Roman" w:hAnsi="Times New Roman" w:eastAsia="宋体" w:cs="Times New Roman"/>
                          <w:b/>
                          <w:color w:val="FFFFFF"/>
                        </w:rPr>
                      </w:pPr>
                      <w:r>
                        <w:rPr>
                          <w:rFonts w:hint="eastAsia" w:ascii="Times New Roman" w:hAnsi="Times New Roman" w:eastAsia="宋体" w:cs="Times New Roman"/>
                          <w:b/>
                          <w:color w:val="FFFFFF"/>
                        </w:rPr>
                        <w:t>本项目</w:t>
                      </w:r>
                    </w:p>
                  </w:txbxContent>
                </v:textbox>
              </v:shape>
            </w:pict>
          </mc:Fallback>
        </mc:AlternateContent>
      </w:r>
      <w:r>
        <w:drawing>
          <wp:anchor distT="0" distB="0" distL="114300" distR="114300" simplePos="0" relativeHeight="251687936" behindDoc="0" locked="0" layoutInCell="1" allowOverlap="1">
            <wp:simplePos x="0" y="0"/>
            <wp:positionH relativeFrom="column">
              <wp:posOffset>-6661150</wp:posOffset>
            </wp:positionH>
            <wp:positionV relativeFrom="page">
              <wp:posOffset>474980</wp:posOffset>
            </wp:positionV>
            <wp:extent cx="786765" cy="953135"/>
            <wp:effectExtent l="0" t="0" r="13335" b="18415"/>
            <wp:wrapNone/>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7"/>
                    <a:stretch>
                      <a:fillRect/>
                    </a:stretch>
                  </pic:blipFill>
                  <pic:spPr>
                    <a:xfrm>
                      <a:off x="0" y="0"/>
                      <a:ext cx="786765" cy="953135"/>
                    </a:xfrm>
                    <a:prstGeom prst="rect">
                      <a:avLst/>
                    </a:prstGeom>
                    <a:noFill/>
                    <a:ln>
                      <a:noFill/>
                    </a:ln>
                  </pic:spPr>
                </pic:pic>
              </a:graphicData>
            </a:graphic>
          </wp:anchor>
        </w:drawing>
      </w:r>
    </w:p>
    <w:p>
      <w:pPr>
        <w:rPr>
          <w:rFonts w:ascii="Times New Roman" w:hAnsi="Times New Roman" w:eastAsia="宋体" w:cs="Times New Roman"/>
        </w:rPr>
      </w:pPr>
      <w:r>
        <w:rPr>
          <w:rFonts w:ascii="Times New Roman" w:hAnsi="Times New Roman" w:eastAsia="宋体" w:cs="Times New Roman"/>
          <w:sz w:val="21"/>
        </w:rPr>
        <mc:AlternateContent>
          <mc:Choice Requires="wps">
            <w:drawing>
              <wp:anchor distT="0" distB="0" distL="114300" distR="114300" simplePos="0" relativeHeight="251703296" behindDoc="0" locked="0" layoutInCell="1" allowOverlap="1">
                <wp:simplePos x="0" y="0"/>
                <wp:positionH relativeFrom="column">
                  <wp:posOffset>480060</wp:posOffset>
                </wp:positionH>
                <wp:positionV relativeFrom="paragraph">
                  <wp:posOffset>1772285</wp:posOffset>
                </wp:positionV>
                <wp:extent cx="857885" cy="352425"/>
                <wp:effectExtent l="6350" t="6350" r="12065" b="403225"/>
                <wp:wrapNone/>
                <wp:docPr id="41" name="圆角矩形标注 41"/>
                <wp:cNvGraphicFramePr/>
                <a:graphic xmlns:a="http://schemas.openxmlformats.org/drawingml/2006/main">
                  <a:graphicData uri="http://schemas.microsoft.com/office/word/2010/wordprocessingShape">
                    <wps:wsp>
                      <wps:cNvSpPr/>
                      <wps:spPr>
                        <a:xfrm>
                          <a:off x="813435" y="2670175"/>
                          <a:ext cx="857885" cy="352425"/>
                        </a:xfrm>
                        <a:prstGeom prst="wedgeRoundRectCallout">
                          <a:avLst>
                            <a:gd name="adj1" fmla="val 867"/>
                            <a:gd name="adj2" fmla="val 154324"/>
                            <a:gd name="adj3" fmla="val 16667"/>
                          </a:avLst>
                        </a:prstGeom>
                        <a:solidFill>
                          <a:srgbClr val="5B9BD5"/>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7.8pt;margin-top:139.55pt;height:27.75pt;width:67.55pt;z-index:251703296;v-text-anchor:middle;mso-width-relative:page;mso-height-relative:page;" fillcolor="#5B9BD5" filled="t" stroked="t" coordsize="21600,21600" o:gfxdata="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JFMFo/YAAAACgEAAA8AAAAAAAAAAQAgAAAAIgAAAGRycy9kb3du&#10;cmV2LnhtbFBLAQIUABQAAAAIAIdO4kDRtcLv4wIAAMsFAAAOAAAAAAAAAAEAIAAAACcBAABkcnMv&#10;ZTJvRG9jLnhtbFBLBQYAAAAABgAGAFkBAAB8BgAAAAA=&#10;" adj="10987,44134,14400">
                <v:fill on="t" focussize="0,0"/>
                <v:stroke weight="1pt" color="#41719C [3204]" miterlimit="8" joinstyle="miter"/>
                <v:imagedata o:title=""/>
                <o:lock v:ext="edit" aspectratio="f"/>
                <v:textbox>
                  <w:txbxContent>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本项目</w:t>
                      </w:r>
                    </w:p>
                  </w:txbxContent>
                </v:textbox>
              </v:shape>
            </w:pict>
          </mc:Fallback>
        </mc:AlternateContent>
      </w:r>
      <w:r>
        <w:rPr>
          <w:rFonts w:ascii="Times New Roman" w:hAnsi="Times New Roman" w:eastAsia="宋体" w:cs="Times New Roman"/>
          <w:sz w:val="21"/>
        </w:rPr>
        <mc:AlternateContent>
          <mc:Choice Requires="wps">
            <w:drawing>
              <wp:anchor distT="0" distB="0" distL="114300" distR="114300" simplePos="0" relativeHeight="251708416" behindDoc="0" locked="0" layoutInCell="1" allowOverlap="1">
                <wp:simplePos x="0" y="0"/>
                <wp:positionH relativeFrom="column">
                  <wp:posOffset>794385</wp:posOffset>
                </wp:positionH>
                <wp:positionV relativeFrom="paragraph">
                  <wp:posOffset>2498725</wp:posOffset>
                </wp:positionV>
                <wp:extent cx="142875" cy="124460"/>
                <wp:effectExtent l="34290" t="26670" r="51435" b="39370"/>
                <wp:wrapNone/>
                <wp:docPr id="58" name="十字星 58"/>
                <wp:cNvGraphicFramePr/>
                <a:graphic xmlns:a="http://schemas.openxmlformats.org/drawingml/2006/main">
                  <a:graphicData uri="http://schemas.microsoft.com/office/word/2010/wordprocessingShape">
                    <wps:wsp>
                      <wps:cNvSpPr/>
                      <wps:spPr>
                        <a:xfrm>
                          <a:off x="1203960" y="3329940"/>
                          <a:ext cx="142875" cy="124460"/>
                        </a:xfrm>
                        <a:prstGeom prst="star4">
                          <a:avLst/>
                        </a:prstGeom>
                        <a:solidFill>
                          <a:srgbClr val="ED7D31"/>
                        </a:solidFill>
                        <a:ln w="12700" cap="flat" cmpd="sng" algn="ctr">
                          <a:solidFill>
                            <a:srgbClr val="ED7D31">
                              <a:shade val="50000"/>
                            </a:srgbClr>
                          </a:solidFill>
                          <a:prstDash val="solid"/>
                          <a:miter lim="800000"/>
                        </a:ln>
                        <a:effectLst/>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62.55pt;margin-top:196.75pt;height:9.8pt;width:11.25pt;z-index:251708416;v-text-anchor:middle;mso-width-relative:page;mso-height-relative:page;" fillcolor="#ED7D31" filled="t" stroked="t" coordsize="21600,21600" o:gfxdata="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DLHK+raAAAACwEAAA8AAAAAAAAAAQAgAAAAIgAAAGRycy9kb3ducmV2LnhtbFBLAQIUABQAAAAI&#10;AIdO4kCVah+clgIAADQFAAAOAAAAAAAAAAEAIAAAACkBAABkcnMvZTJvRG9jLnhtbFBLBQYAAAAA&#10;BgAGAFkBAAAxBgAAAAA=&#10;" adj="8100">
                <v:fill on="t" focussize="0,0"/>
                <v:stroke weight="1pt" color="#AE5A21 [3205]" miterlimit="8" joinstyle="miter"/>
                <v:imagedata o:title=""/>
                <o:lock v:ext="edit" aspectratio="f"/>
              </v:shape>
            </w:pict>
          </mc:Fallback>
        </mc:AlternateContent>
      </w:r>
      <w:r>
        <w:rPr>
          <w:rFonts w:ascii="Times New Roman" w:hAnsi="Times New Roman" w:eastAsia="宋体" w:cs="Times New Roman"/>
          <w:sz w:val="21"/>
        </w:rPr>
        <mc:AlternateContent>
          <mc:Choice Requires="wps">
            <w:drawing>
              <wp:anchor distT="0" distB="0" distL="114300" distR="114300" simplePos="0" relativeHeight="251683840" behindDoc="0" locked="0" layoutInCell="1" allowOverlap="1">
                <wp:simplePos x="0" y="0"/>
                <wp:positionH relativeFrom="column">
                  <wp:posOffset>-23495</wp:posOffset>
                </wp:positionH>
                <wp:positionV relativeFrom="paragraph">
                  <wp:posOffset>8698865</wp:posOffset>
                </wp:positionV>
                <wp:extent cx="6638925" cy="438150"/>
                <wp:effectExtent l="0" t="0" r="0" b="0"/>
                <wp:wrapNone/>
                <wp:docPr id="27" name="文本框 27"/>
                <wp:cNvGraphicFramePr/>
                <a:graphic xmlns:a="http://schemas.openxmlformats.org/drawingml/2006/main">
                  <a:graphicData uri="http://schemas.microsoft.com/office/word/2010/wordprocessingShape">
                    <wps:wsp>
                      <wps:cNvSpPr txBox="1"/>
                      <wps:spPr>
                        <a:xfrm>
                          <a:off x="2091055" y="8866505"/>
                          <a:ext cx="66389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4"/>
                              <w:spacing w:before="192" w:beforeLines="80" w:after="24"/>
                              <w:jc w:val="center"/>
                            </w:pPr>
                            <w:r>
                              <w:rPr>
                                <w:rFonts w:hint="eastAsia"/>
                                <w:b/>
                                <w:sz w:val="24"/>
                              </w:rPr>
                              <w:t>附图</w:t>
                            </w:r>
                            <w:r>
                              <w:rPr>
                                <w:b/>
                                <w:sz w:val="24"/>
                              </w:rPr>
                              <w:t>1</w:t>
                            </w:r>
                            <w:r>
                              <w:rPr>
                                <w:rFonts w:hint="eastAsia"/>
                                <w:b/>
                                <w:sz w:val="24"/>
                              </w:rPr>
                              <w:t xml:space="preserve">    项目地理位置图</w:t>
                            </w:r>
                          </w:p>
                          <w:p>
                            <w:pPr>
                              <w:jc w:val="center"/>
                              <w:rPr>
                                <w:rFonts w:ascii="Times New Roman" w:hAnsi="Times New Roman" w:eastAsia="宋体" w:cs="Times New Roma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pt;margin-top:684.95pt;height:34.5pt;width:522.75pt;z-index:251683840;mso-width-relative:page;mso-height-relative:page;" filled="f" stroked="f" coordsize="21600,21600" o:gfxdata="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a6KEfeAAAA&#10;DQEAAA8AAAAAAAAAAQAgAAAAIgAAAGRycy9kb3ducmV2LnhtbFBLAQIUABQAAAAIAIdO4kBdqR3K&#10;UAIAAIIEAAAOAAAAAAAAAAEAIAAAAC0BAABkcnMvZTJvRG9jLnhtbFBLBQYAAAAABgAGAFkBAADv&#10;BQAAAAA=&#10;">
                <v:fill on="f" focussize="0,0"/>
                <v:stroke on="f" weight="0.5pt"/>
                <v:imagedata o:title=""/>
                <o:lock v:ext="edit" aspectratio="f"/>
                <v:textbox>
                  <w:txbxContent>
                    <w:p>
                      <w:pPr>
                        <w:pStyle w:val="24"/>
                        <w:spacing w:before="192" w:beforeLines="80" w:after="24"/>
                        <w:jc w:val="center"/>
                      </w:pPr>
                      <w:r>
                        <w:rPr>
                          <w:rFonts w:hint="eastAsia"/>
                          <w:b/>
                          <w:sz w:val="24"/>
                        </w:rPr>
                        <w:t>附图</w:t>
                      </w:r>
                      <w:r>
                        <w:rPr>
                          <w:b/>
                          <w:sz w:val="24"/>
                        </w:rPr>
                        <w:t>1</w:t>
                      </w:r>
                      <w:r>
                        <w:rPr>
                          <w:rFonts w:hint="eastAsia"/>
                          <w:b/>
                          <w:sz w:val="24"/>
                        </w:rPr>
                        <w:t xml:space="preserve">    项目地理位置图</w:t>
                      </w:r>
                    </w:p>
                    <w:p>
                      <w:pPr>
                        <w:jc w:val="center"/>
                        <w:rPr>
                          <w:rFonts w:ascii="Times New Roman" w:hAnsi="Times New Roman" w:eastAsia="宋体" w:cs="Times New Roman"/>
                        </w:rPr>
                      </w:pPr>
                    </w:p>
                  </w:txbxContent>
                </v:textbox>
              </v:shape>
            </w:pict>
          </mc:Fallback>
        </mc:AlternateContent>
      </w:r>
      <w:r>
        <w:rPr>
          <w:rFonts w:ascii="Times New Roman" w:hAnsi="Times New Roman" w:eastAsia="宋体" w:cs="Times New Roman"/>
        </w:rPr>
        <w:br w:type="page"/>
      </w:r>
    </w:p>
    <w:p>
      <w:pPr>
        <w:pStyle w:val="24"/>
        <w:spacing w:before="192" w:beforeLines="80" w:after="24"/>
        <w:jc w:val="left"/>
        <w:sectPr>
          <w:footerReference r:id="rId5" w:type="default"/>
          <w:pgSz w:w="11906" w:h="16838"/>
          <w:pgMar w:top="720" w:right="720" w:bottom="720" w:left="720" w:header="720" w:footer="720" w:gutter="0"/>
          <w:pgBorders>
            <w:top w:val="none" w:sz="0" w:space="0"/>
            <w:left w:val="none" w:sz="0" w:space="0"/>
            <w:bottom w:val="none" w:sz="0" w:space="0"/>
            <w:right w:val="none" w:sz="0" w:space="0"/>
          </w:pgBorders>
          <w:cols w:space="425" w:num="1"/>
          <w:docGrid w:type="lines" w:linePitch="312" w:charSpace="0"/>
        </w:sectPr>
      </w:pPr>
    </w:p>
    <w:p>
      <w:pPr>
        <w:rPr>
          <w:rFonts w:hint="eastAsia" w:eastAsia="宋体"/>
          <w:lang w:eastAsia="zh-CN"/>
        </w:rPr>
        <w:sectPr>
          <w:pgSz w:w="11906" w:h="16838"/>
          <w:pgMar w:top="720" w:right="720" w:bottom="720" w:left="720" w:header="720" w:footer="720"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eastAsia="宋体" w:cs="Times New Roman"/>
          <w:sz w:val="21"/>
        </w:rPr>
        <mc:AlternateContent>
          <mc:Choice Requires="wps">
            <w:drawing>
              <wp:anchor distT="0" distB="0" distL="114300" distR="114300" simplePos="0" relativeHeight="251688960" behindDoc="0" locked="0" layoutInCell="1" allowOverlap="1">
                <wp:simplePos x="0" y="0"/>
                <wp:positionH relativeFrom="column">
                  <wp:posOffset>-2540</wp:posOffset>
                </wp:positionH>
                <wp:positionV relativeFrom="paragraph">
                  <wp:posOffset>9123680</wp:posOffset>
                </wp:positionV>
                <wp:extent cx="6666230" cy="43815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666623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24"/>
                              <w:spacing w:before="192" w:beforeLines="80" w:after="24"/>
                              <w:jc w:val="center"/>
                            </w:pPr>
                            <w:r>
                              <w:rPr>
                                <w:rFonts w:hint="eastAsia"/>
                                <w:b/>
                                <w:sz w:val="24"/>
                              </w:rPr>
                              <w:t>附图</w:t>
                            </w:r>
                            <w:r>
                              <w:rPr>
                                <w:rFonts w:hint="eastAsia"/>
                                <w:b/>
                                <w:sz w:val="24"/>
                                <w:lang w:val="en-US" w:eastAsia="zh-CN"/>
                              </w:rPr>
                              <w:t>2</w:t>
                            </w:r>
                            <w:r>
                              <w:rPr>
                                <w:rFonts w:hint="eastAsia"/>
                                <w:b/>
                                <w:sz w:val="24"/>
                              </w:rPr>
                              <w:t xml:space="preserve">    </w:t>
                            </w:r>
                            <w:r>
                              <w:rPr>
                                <w:rFonts w:hint="eastAsia"/>
                                <w:b/>
                                <w:sz w:val="24"/>
                                <w:lang w:eastAsia="zh-CN"/>
                              </w:rPr>
                              <w:t>新乡县土地利用总体规划</w:t>
                            </w:r>
                            <w:r>
                              <w:rPr>
                                <w:rFonts w:hint="eastAsia"/>
                                <w:b/>
                                <w:sz w:val="24"/>
                              </w:rPr>
                              <w:t>图</w:t>
                            </w:r>
                          </w:p>
                          <w:p>
                            <w:pPr>
                              <w:jc w:val="center"/>
                              <w:rPr>
                                <w:rFonts w:ascii="Times New Roman" w:hAnsi="Times New Roman" w:eastAsia="宋体" w:cs="Times New Roma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718.4pt;height:34.5pt;width:524.9pt;z-index:251688960;mso-width-relative:page;mso-height-relative:page;" filled="f" stroked="f" coordsize="21600,21600" o:gfxdata="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aKu9ncAAAADAEAAA8AAAAAAAAAAQAgAAAA&#10;IgAAAGRycy9kb3ducmV2LnhtbFBLAQIUABQAAAAIAIdO4kCQZreyQAIAAHYEAAAOAAAAAAAAAAEA&#10;IAAAACsBAABkcnMvZTJvRG9jLnhtbFBLBQYAAAAABgAGAFkBAADdBQAAAAA=&#10;">
                <v:fill on="f" focussize="0,0"/>
                <v:stroke on="f" weight="0.5pt"/>
                <v:imagedata o:title=""/>
                <o:lock v:ext="edit" aspectratio="f"/>
                <v:textbox>
                  <w:txbxContent>
                    <w:p>
                      <w:pPr>
                        <w:pStyle w:val="24"/>
                        <w:spacing w:before="192" w:beforeLines="80" w:after="24"/>
                        <w:jc w:val="center"/>
                      </w:pPr>
                      <w:r>
                        <w:rPr>
                          <w:rFonts w:hint="eastAsia"/>
                          <w:b/>
                          <w:sz w:val="24"/>
                        </w:rPr>
                        <w:t>附图</w:t>
                      </w:r>
                      <w:r>
                        <w:rPr>
                          <w:rFonts w:hint="eastAsia"/>
                          <w:b/>
                          <w:sz w:val="24"/>
                          <w:lang w:val="en-US" w:eastAsia="zh-CN"/>
                        </w:rPr>
                        <w:t>2</w:t>
                      </w:r>
                      <w:r>
                        <w:rPr>
                          <w:rFonts w:hint="eastAsia"/>
                          <w:b/>
                          <w:sz w:val="24"/>
                        </w:rPr>
                        <w:t xml:space="preserve">    </w:t>
                      </w:r>
                      <w:r>
                        <w:rPr>
                          <w:rFonts w:hint="eastAsia"/>
                          <w:b/>
                          <w:sz w:val="24"/>
                          <w:lang w:eastAsia="zh-CN"/>
                        </w:rPr>
                        <w:t>新乡县土地利用总体规划</w:t>
                      </w:r>
                      <w:r>
                        <w:rPr>
                          <w:rFonts w:hint="eastAsia"/>
                          <w:b/>
                          <w:sz w:val="24"/>
                        </w:rPr>
                        <w:t>图</w:t>
                      </w:r>
                    </w:p>
                    <w:p>
                      <w:pPr>
                        <w:jc w:val="center"/>
                        <w:rPr>
                          <w:rFonts w:ascii="Times New Roman" w:hAnsi="Times New Roman" w:eastAsia="宋体" w:cs="Times New Roman"/>
                        </w:rPr>
                      </w:pPr>
                    </w:p>
                  </w:txbxContent>
                </v:textbox>
              </v:shape>
            </w:pict>
          </mc:Fallback>
        </mc:AlternateContent>
      </w:r>
      <w:r>
        <w:rPr>
          <w:rFonts w:ascii="Times New Roman" w:hAnsi="Times New Roman" w:eastAsia="宋体" w:cs="Times New Roman"/>
          <w:sz w:val="21"/>
        </w:rPr>
        <mc:AlternateContent>
          <mc:Choice Requires="wps">
            <w:drawing>
              <wp:anchor distT="0" distB="0" distL="114300" distR="114300" simplePos="0" relativeHeight="251692032" behindDoc="0" locked="0" layoutInCell="1" allowOverlap="1">
                <wp:simplePos x="0" y="0"/>
                <wp:positionH relativeFrom="column">
                  <wp:posOffset>3163570</wp:posOffset>
                </wp:positionH>
                <wp:positionV relativeFrom="paragraph">
                  <wp:posOffset>1305560</wp:posOffset>
                </wp:positionV>
                <wp:extent cx="76200" cy="85725"/>
                <wp:effectExtent l="17145" t="24130" r="20955" b="23495"/>
                <wp:wrapNone/>
                <wp:docPr id="30" name="五角星 30"/>
                <wp:cNvGraphicFramePr/>
                <a:graphic xmlns:a="http://schemas.openxmlformats.org/drawingml/2006/main">
                  <a:graphicData uri="http://schemas.microsoft.com/office/word/2010/wordprocessingShape">
                    <wps:wsp>
                      <wps:cNvSpPr/>
                      <wps:spPr>
                        <a:xfrm>
                          <a:off x="4211320" y="2191385"/>
                          <a:ext cx="76200" cy="85725"/>
                        </a:xfrm>
                        <a:prstGeom prst="star5">
                          <a:avLst/>
                        </a:prstGeom>
                        <a:solidFill>
                          <a:srgbClr val="FF0000"/>
                        </a:solidFill>
                        <a:ln w="12700"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9.1pt;margin-top:102.8pt;height:6.75pt;width:6pt;z-index:251692032;v-text-anchor:middle;mso-width-relative:page;mso-height-relative:page;" fillcolor="#FF0000" filled="t" stroked="t" coordsize="76200,85725" o:gfxdata="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3xWuTYAAAACwEAAA8AAAAAAAAA&#10;AQAgAAAAIgAAAGRycy9kb3ducmV2LnhtbFBLAQIUABQAAAAIAIdO4kAPp8HPgwIAABEFAAAOAAAA&#10;AAAAAAEAIAAAACcBAABkcnMvZTJvRG9jLnhtbFBLBQYAAAAABgAGAFkBAAAcBgAAAAA=&#10;" path="m0,32743l29105,32744,38100,0,47094,32744,76199,32743,52652,52980,61647,85724,38100,65487,14552,85724,23547,52980xe">
                <v:path o:connectlocs="38100,0;0,32743;14552,85724;61647,85724;76199,32743" o:connectangles="247,164,82,82,0"/>
                <v:fill on="t" focussize="0,0"/>
                <v:stroke weight="1pt" color="#FF0000 [3204]" miterlimit="8" joinstyle="miter"/>
                <v:imagedata o:title=""/>
                <o:lock v:ext="edit" aspectratio="f"/>
              </v:shape>
            </w:pict>
          </mc:Fallback>
        </mc:AlternateContent>
      </w:r>
      <w:r>
        <w:rPr>
          <w:rFonts w:ascii="Times New Roman" w:hAnsi="Times New Roman" w:eastAsia="宋体" w:cs="Times New Roman"/>
        </w:rPr>
        <w:drawing>
          <wp:anchor distT="0" distB="0" distL="114300" distR="114300" simplePos="0" relativeHeight="251694080" behindDoc="0" locked="0" layoutInCell="1" allowOverlap="1">
            <wp:simplePos x="0" y="0"/>
            <wp:positionH relativeFrom="column">
              <wp:posOffset>5835650</wp:posOffset>
            </wp:positionH>
            <wp:positionV relativeFrom="paragraph">
              <wp:posOffset>55880</wp:posOffset>
            </wp:positionV>
            <wp:extent cx="786765" cy="953135"/>
            <wp:effectExtent l="0" t="0" r="13335" b="18415"/>
            <wp:wrapNone/>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7"/>
                    <a:stretch>
                      <a:fillRect/>
                    </a:stretch>
                  </pic:blipFill>
                  <pic:spPr>
                    <a:xfrm>
                      <a:off x="0" y="0"/>
                      <a:ext cx="786765" cy="953135"/>
                    </a:xfrm>
                    <a:prstGeom prst="rect">
                      <a:avLst/>
                    </a:prstGeom>
                    <a:noFill/>
                    <a:ln>
                      <a:noFill/>
                    </a:ln>
                  </pic:spPr>
                </pic:pic>
              </a:graphicData>
            </a:graphic>
          </wp:anchor>
        </w:drawing>
      </w:r>
      <w:r>
        <w:rPr>
          <w:rFonts w:ascii="Times New Roman" w:hAnsi="Times New Roman" w:eastAsia="宋体" w:cs="Times New Roman"/>
          <w:sz w:val="21"/>
        </w:rPr>
        <mc:AlternateContent>
          <mc:Choice Requires="wps">
            <w:drawing>
              <wp:anchor distT="0" distB="0" distL="114300" distR="114300" simplePos="0" relativeHeight="251693056" behindDoc="0" locked="0" layoutInCell="1" allowOverlap="1">
                <wp:simplePos x="0" y="0"/>
                <wp:positionH relativeFrom="column">
                  <wp:posOffset>3487420</wp:posOffset>
                </wp:positionH>
                <wp:positionV relativeFrom="paragraph">
                  <wp:posOffset>829945</wp:posOffset>
                </wp:positionV>
                <wp:extent cx="638810" cy="323215"/>
                <wp:effectExtent l="227330" t="6350" r="10160" b="184785"/>
                <wp:wrapNone/>
                <wp:docPr id="31" name="圆角矩形标注 31"/>
                <wp:cNvGraphicFramePr/>
                <a:graphic xmlns:a="http://schemas.openxmlformats.org/drawingml/2006/main">
                  <a:graphicData uri="http://schemas.microsoft.com/office/word/2010/wordprocessingShape">
                    <wps:wsp>
                      <wps:cNvSpPr/>
                      <wps:spPr>
                        <a:xfrm>
                          <a:off x="4382770" y="1953260"/>
                          <a:ext cx="638810" cy="323215"/>
                        </a:xfrm>
                        <a:prstGeom prst="wedgeRoundRectCallout">
                          <a:avLst>
                            <a:gd name="adj1" fmla="val -78131"/>
                            <a:gd name="adj2" fmla="val 95383"/>
                            <a:gd name="adj3" fmla="val 16667"/>
                          </a:avLst>
                        </a:prstGeom>
                        <a:solidFill>
                          <a:srgbClr val="5B9BD5"/>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74.6pt;margin-top:65.35pt;height:25.45pt;width:50.3pt;z-index:251693056;v-text-anchor:middle;mso-width-relative:page;mso-height-relative:page;" fillcolor="#5B9BD5" filled="t" stroked="t" coordsize="21600,21600" o:gfxdata="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BOO/442AAAAAsBAAAPAAAAAAAAAAEAIAAAACIAAABkcnMv&#10;ZG93bnJldi54bWxQSwECFAAUAAAACACHTuJAasCYyecCAADOBQAADgAAAAAAAAABACAAAAAnAQAA&#10;ZHJzL2Uyb0RvYy54bWxQSwUGAAAAAAYABgBZAQAAgAYAAAAA&#10;" adj="-6076,31403,14400">
                <v:fill on="t" focussize="0,0"/>
                <v:stroke weight="1pt" color="#41719C [3204]" miterlimit="8" joinstyle="miter"/>
                <v:imagedata o:title=""/>
                <o:lock v:ext="edit" aspectratio="f"/>
                <v:textbox>
                  <w:txbxContent>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本项目</w:t>
                      </w:r>
                    </w:p>
                  </w:txbxContent>
                </v:textbox>
              </v:shape>
            </w:pict>
          </mc:Fallback>
        </mc:AlternateContent>
      </w:r>
      <w:r>
        <w:rPr>
          <w:rFonts w:ascii="Times New Roman" w:hAnsi="Times New Roman" w:eastAsia="宋体" w:cs="Times New Roman"/>
          <w:sz w:val="21"/>
        </w:rPr>
        <mc:AlternateContent>
          <mc:Choice Requires="wps">
            <w:drawing>
              <wp:anchor distT="0" distB="0" distL="114300" distR="114300" simplePos="0" relativeHeight="251691008" behindDoc="0" locked="0" layoutInCell="1" allowOverlap="1">
                <wp:simplePos x="0" y="0"/>
                <wp:positionH relativeFrom="column">
                  <wp:posOffset>1172845</wp:posOffset>
                </wp:positionH>
                <wp:positionV relativeFrom="paragraph">
                  <wp:posOffset>1513840</wp:posOffset>
                </wp:positionV>
                <wp:extent cx="1013460" cy="58420"/>
                <wp:effectExtent l="635" t="48260" r="14605" b="26670"/>
                <wp:wrapNone/>
                <wp:docPr id="29" name="直接箭头连接符 29"/>
                <wp:cNvGraphicFramePr/>
                <a:graphic xmlns:a="http://schemas.openxmlformats.org/drawingml/2006/main">
                  <a:graphicData uri="http://schemas.microsoft.com/office/word/2010/wordprocessingShape">
                    <wps:wsp>
                      <wps:cNvCnPr/>
                      <wps:spPr>
                        <a:xfrm flipV="1">
                          <a:off x="1915795" y="2248535"/>
                          <a:ext cx="1013460" cy="58420"/>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y;margin-left:92.35pt;margin-top:119.2pt;height:4.6pt;width:79.8pt;z-index:251691008;mso-width-relative:page;mso-height-relative:page;" filled="f" stroked="t" coordsize="21600,21600" o:gfxdata="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jpksHaAAAACwEAAA8AAAAAAAAAAQAgAAAAIgAAAGRycy9k&#10;b3ducmV2LnhtbFBLAQIUABQAAAAIAIdO4kDe7bQSOQIAAC8EAAAOAAAAAAAAAAEAIAAAACkBAABk&#10;cnMvZTJvRG9jLnhtbFBLBQYAAAAABgAGAFkBAADUBQAAAAA=&#10;">
                <v:fill on="f" focussize="0,0"/>
                <v:stroke weight="1.5pt" color="#000000 [3200]" miterlimit="8" joinstyle="miter" endarrow="open"/>
                <v:imagedata o:title=""/>
                <o:lock v:ext="edit" aspectratio="f"/>
              </v:shape>
            </w:pict>
          </mc:Fallback>
        </mc:AlternateContent>
      </w:r>
      <w:r>
        <w:rPr>
          <w:rFonts w:ascii="Times New Roman" w:hAnsi="Times New Roman" w:eastAsia="宋体" w:cs="Times New Roman"/>
        </w:rPr>
        <w:drawing>
          <wp:anchor distT="0" distB="0" distL="114300" distR="114300" simplePos="0" relativeHeight="251689984" behindDoc="1" locked="0" layoutInCell="1" allowOverlap="1">
            <wp:simplePos x="0" y="0"/>
            <wp:positionH relativeFrom="column">
              <wp:posOffset>2247900</wp:posOffset>
            </wp:positionH>
            <wp:positionV relativeFrom="paragraph">
              <wp:posOffset>794385</wp:posOffset>
            </wp:positionV>
            <wp:extent cx="2657475" cy="2175510"/>
            <wp:effectExtent l="0" t="0" r="9525" b="15240"/>
            <wp:wrapTight wrapText="bothSides">
              <wp:wrapPolygon>
                <wp:start x="0" y="0"/>
                <wp:lineTo x="0" y="21373"/>
                <wp:lineTo x="21523" y="21373"/>
                <wp:lineTo x="21523" y="0"/>
                <wp:lineTo x="0" y="0"/>
              </wp:wrapPolygon>
            </wp:wrapTight>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9"/>
                    <a:stretch>
                      <a:fillRect/>
                    </a:stretch>
                  </pic:blipFill>
                  <pic:spPr>
                    <a:xfrm>
                      <a:off x="0" y="0"/>
                      <a:ext cx="2657475" cy="2175510"/>
                    </a:xfrm>
                    <a:prstGeom prst="rect">
                      <a:avLst/>
                    </a:prstGeom>
                    <a:noFill/>
                    <a:ln>
                      <a:noFill/>
                    </a:ln>
                  </pic:spPr>
                </pic:pic>
              </a:graphicData>
            </a:graphic>
          </wp:anchor>
        </w:drawing>
      </w:r>
      <w:r>
        <w:rPr>
          <w:rFonts w:hint="eastAsia" w:ascii="Times New Roman" w:hAnsi="Times New Roman" w:eastAsia="宋体" w:cs="Times New Roman"/>
          <w:lang w:eastAsia="zh-CN"/>
        </w:rPr>
        <w:drawing>
          <wp:anchor distT="0" distB="0" distL="114300" distR="114300" simplePos="0" relativeHeight="251686912" behindDoc="1" locked="0" layoutInCell="1" allowOverlap="1">
            <wp:simplePos x="0" y="0"/>
            <wp:positionH relativeFrom="column">
              <wp:posOffset>0</wp:posOffset>
            </wp:positionH>
            <wp:positionV relativeFrom="paragraph">
              <wp:posOffset>34290</wp:posOffset>
            </wp:positionV>
            <wp:extent cx="6640195" cy="9220835"/>
            <wp:effectExtent l="0" t="0" r="8255" b="18415"/>
            <wp:wrapNone/>
            <wp:docPr id="34" name="图片 34" descr="新乡县土地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新乡县土地规划图"/>
                    <pic:cNvPicPr>
                      <a:picLocks noChangeAspect="1"/>
                    </pic:cNvPicPr>
                  </pic:nvPicPr>
                  <pic:blipFill>
                    <a:blip r:embed="rId20"/>
                    <a:stretch>
                      <a:fillRect/>
                    </a:stretch>
                  </pic:blipFill>
                  <pic:spPr>
                    <a:xfrm>
                      <a:off x="0" y="0"/>
                      <a:ext cx="6640195" cy="9220835"/>
                    </a:xfrm>
                    <a:prstGeom prst="rect">
                      <a:avLst/>
                    </a:prstGeom>
                  </pic:spPr>
                </pic:pic>
              </a:graphicData>
            </a:graphic>
          </wp:anchor>
        </w:drawing>
      </w:r>
    </w:p>
    <w:p>
      <w:pPr>
        <w:pStyle w:val="10"/>
        <w:sectPr>
          <w:pgSz w:w="16838" w:h="11905" w:orient="landscape"/>
          <w:pgMar w:top="1134" w:right="1134" w:bottom="1134" w:left="1134" w:header="720" w:footer="720" w:gutter="0"/>
          <w:pgBorders>
            <w:top w:val="none" w:sz="0" w:space="0"/>
            <w:left w:val="none" w:sz="0" w:space="0"/>
            <w:bottom w:val="none" w:sz="0" w:space="0"/>
            <w:right w:val="none" w:sz="0" w:space="0"/>
          </w:pgBorders>
          <w:cols w:space="0" w:num="1"/>
          <w:rtlGutter w:val="0"/>
          <w:docGrid w:type="lines" w:linePitch="312" w:charSpace="0"/>
        </w:sectPr>
      </w:pPr>
      <w:r>
        <w:drawing>
          <wp:anchor distT="0" distB="0" distL="114300" distR="114300" simplePos="0" relativeHeight="251709440" behindDoc="1" locked="0" layoutInCell="1" allowOverlap="1">
            <wp:simplePos x="0" y="0"/>
            <wp:positionH relativeFrom="column">
              <wp:posOffset>553720</wp:posOffset>
            </wp:positionH>
            <wp:positionV relativeFrom="paragraph">
              <wp:posOffset>104775</wp:posOffset>
            </wp:positionV>
            <wp:extent cx="8143875" cy="5429250"/>
            <wp:effectExtent l="0" t="0" r="9525" b="0"/>
            <wp:wrapTight wrapText="bothSides">
              <wp:wrapPolygon>
                <wp:start x="0" y="0"/>
                <wp:lineTo x="0" y="21524"/>
                <wp:lineTo x="21575" y="21524"/>
                <wp:lineTo x="21575" y="0"/>
                <wp:lineTo x="0" y="0"/>
              </wp:wrapPolygon>
            </wp:wrapTight>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21"/>
                    <a:stretch>
                      <a:fillRect/>
                    </a:stretch>
                  </pic:blipFill>
                  <pic:spPr>
                    <a:xfrm>
                      <a:off x="0" y="0"/>
                      <a:ext cx="8143875" cy="5429250"/>
                    </a:xfrm>
                    <a:prstGeom prst="rect">
                      <a:avLst/>
                    </a:prstGeom>
                    <a:noFill/>
                    <a:ln>
                      <a:noFill/>
                    </a:ln>
                  </pic:spPr>
                </pic:pic>
              </a:graphicData>
            </a:graphic>
          </wp:anchor>
        </w:drawing>
      </w:r>
      <w:r>
        <w:rPr>
          <w:sz w:val="21"/>
        </w:rPr>
        <mc:AlternateContent>
          <mc:Choice Requires="wps">
            <w:drawing>
              <wp:anchor distT="0" distB="0" distL="114300" distR="114300" simplePos="0" relativeHeight="251699200" behindDoc="0" locked="0" layoutInCell="1" allowOverlap="1">
                <wp:simplePos x="0" y="0"/>
                <wp:positionH relativeFrom="column">
                  <wp:posOffset>53975</wp:posOffset>
                </wp:positionH>
                <wp:positionV relativeFrom="paragraph">
                  <wp:posOffset>5750560</wp:posOffset>
                </wp:positionV>
                <wp:extent cx="9144000" cy="278765"/>
                <wp:effectExtent l="0" t="0" r="0" b="0"/>
                <wp:wrapNone/>
                <wp:docPr id="50" name="文本框 50"/>
                <wp:cNvGraphicFramePr/>
                <a:graphic xmlns:a="http://schemas.openxmlformats.org/drawingml/2006/main">
                  <a:graphicData uri="http://schemas.microsoft.com/office/word/2010/wordprocessingShape">
                    <wps:wsp>
                      <wps:cNvSpPr txBox="1"/>
                      <wps:spPr>
                        <a:xfrm>
                          <a:off x="891540" y="6512560"/>
                          <a:ext cx="9144000"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附图</w:t>
                            </w:r>
                            <w:r>
                              <w:rPr>
                                <w:rFonts w:hint="eastAsia" w:ascii="Times New Roman" w:hAnsi="Times New Roman" w:eastAsia="宋体" w:cs="Times New Roman"/>
                                <w:b/>
                                <w:bCs/>
                                <w:sz w:val="24"/>
                                <w:szCs w:val="24"/>
                                <w:lang w:val="en-US" w:eastAsia="zh-CN"/>
                              </w:rPr>
                              <w:t>3    厂区平面布置图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5pt;margin-top:452.8pt;height:21.95pt;width:720pt;z-index:251699200;mso-width-relative:page;mso-height-relative:page;" filled="f" stroked="f" coordsize="21600,21600" o:gfxdata="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bVdbH2gAAAAoBAAAPAAAAAAAA&#10;AAEAIAAAACIAAABkcnMvZG93bnJldi54bWxQSwECFAAUAAAACACHTuJASY34YkkCAACBBAAADgAA&#10;AAAAAAABACAAAAApAQAAZHJzL2Uyb0RvYy54bWxQSwUGAAAAAAYABgBZAQAA5AUAAAAA&#10;">
                <v:fill on="f" focussize="0,0"/>
                <v:stroke on="f" weight="0.5pt"/>
                <v:imagedata o:title=""/>
                <o:lock v:ext="edit" aspectratio="f"/>
                <v:textbox>
                  <w:txbxContent>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附图</w:t>
                      </w:r>
                      <w:r>
                        <w:rPr>
                          <w:rFonts w:hint="eastAsia" w:ascii="Times New Roman" w:hAnsi="Times New Roman" w:eastAsia="宋体" w:cs="Times New Roman"/>
                          <w:b/>
                          <w:bCs/>
                          <w:sz w:val="24"/>
                          <w:szCs w:val="24"/>
                          <w:lang w:val="en-US" w:eastAsia="zh-CN"/>
                        </w:rPr>
                        <w:t>3    厂区平面布置图</w:t>
                      </w:r>
                    </w:p>
                  </w:txbxContent>
                </v:textbox>
              </v:shape>
            </w:pict>
          </mc:Fallback>
        </mc:AlternateContent>
      </w:r>
    </w:p>
    <w:p>
      <w:pPr>
        <w:pStyle w:val="10"/>
        <w:sectPr>
          <w:pgSz w:w="16838" w:h="11906" w:orient="landscape"/>
          <w:pgMar w:top="1134" w:right="1134" w:bottom="1134" w:left="1134" w:header="720" w:footer="720" w:gutter="0"/>
          <w:pgBorders>
            <w:top w:val="none" w:sz="0" w:space="0"/>
            <w:left w:val="none" w:sz="0" w:space="0"/>
            <w:bottom w:val="none" w:sz="0" w:space="0"/>
            <w:right w:val="none" w:sz="0" w:space="0"/>
          </w:pgBorders>
          <w:cols w:space="425" w:num="1"/>
          <w:docGrid w:type="lines" w:linePitch="312" w:charSpace="0"/>
        </w:sectPr>
      </w:pPr>
      <w:r>
        <w:rPr>
          <w:sz w:val="21"/>
        </w:rPr>
        <mc:AlternateContent>
          <mc:Choice Requires="wps">
            <w:drawing>
              <wp:anchor distT="0" distB="0" distL="114300" distR="114300" simplePos="0" relativeHeight="251698176" behindDoc="0" locked="0" layoutInCell="1" allowOverlap="1">
                <wp:simplePos x="0" y="0"/>
                <wp:positionH relativeFrom="column">
                  <wp:posOffset>2025015</wp:posOffset>
                </wp:positionH>
                <wp:positionV relativeFrom="paragraph">
                  <wp:posOffset>2560320</wp:posOffset>
                </wp:positionV>
                <wp:extent cx="657225" cy="314325"/>
                <wp:effectExtent l="27305" t="6350" r="20320" b="288925"/>
                <wp:wrapNone/>
                <wp:docPr id="46" name="圆角矩形标注 46"/>
                <wp:cNvGraphicFramePr/>
                <a:graphic xmlns:a="http://schemas.openxmlformats.org/drawingml/2006/main">
                  <a:graphicData uri="http://schemas.microsoft.com/office/word/2010/wordprocessingShape">
                    <wps:wsp>
                      <wps:cNvSpPr/>
                      <wps:spPr>
                        <a:xfrm>
                          <a:off x="2615565" y="3341370"/>
                          <a:ext cx="657225" cy="314325"/>
                        </a:xfrm>
                        <a:prstGeom prst="wedgeRoundRectCallout">
                          <a:avLst>
                            <a:gd name="adj1" fmla="val -51256"/>
                            <a:gd name="adj2" fmla="val 129191"/>
                            <a:gd name="adj3" fmla="val 16667"/>
                          </a:avLst>
                        </a:prstGeom>
                        <a:solidFill>
                          <a:srgbClr val="5B9BD5"/>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59.45pt;margin-top:201.6pt;height:24.75pt;width:51.75pt;z-index:251698176;v-text-anchor:middle;mso-width-relative:page;mso-height-relative:page;" fillcolor="#5B9BD5" filled="t" stroked="t" coordsize="21600,21600" o:gfxdata="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BCIVyj2QAAAAsBAAAPAAAAAAAAAAEAIAAAACIAAABk&#10;cnMvZG93bnJldi54bWxQSwECFAAUAAAACACHTuJATUxJgOkCAADPBQAADgAAAAAAAAABACAAAAAo&#10;AQAAZHJzL2Uyb0RvYy54bWxQSwUGAAAAAAYABgBZAQAAgwYAAAAA&#10;" adj="-271,38705,14400">
                <v:fill on="t" focussize="0,0"/>
                <v:stroke weight="1pt" color="#41719C [3204]" miterlimit="8" joinstyle="miter"/>
                <v:imagedata o:title=""/>
                <o:lock v:ext="edit" aspectratio="f"/>
                <v:textbox>
                  <w:txbxContent>
                    <w:p>
                      <w:pPr>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本项目</w:t>
                      </w:r>
                    </w:p>
                  </w:txbxContent>
                </v:textbox>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1920240</wp:posOffset>
                </wp:positionH>
                <wp:positionV relativeFrom="paragraph">
                  <wp:posOffset>3134360</wp:posOffset>
                </wp:positionV>
                <wp:extent cx="95250" cy="85725"/>
                <wp:effectExtent l="20320" t="19685" r="36830" b="27940"/>
                <wp:wrapNone/>
                <wp:docPr id="43" name="五角星 43"/>
                <wp:cNvGraphicFramePr/>
                <a:graphic xmlns:a="http://schemas.openxmlformats.org/drawingml/2006/main">
                  <a:graphicData uri="http://schemas.microsoft.com/office/word/2010/wordprocessingShape">
                    <wps:wsp>
                      <wps:cNvSpPr/>
                      <wps:spPr>
                        <a:xfrm>
                          <a:off x="2682240" y="3896360"/>
                          <a:ext cx="95250" cy="85725"/>
                        </a:xfrm>
                        <a:prstGeom prst="star5">
                          <a:avLst/>
                        </a:prstGeom>
                        <a:solidFill>
                          <a:srgbClr val="FF0000"/>
                        </a:solidFill>
                        <a:ln w="12700"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1.2pt;margin-top:246.8pt;height:6.75pt;width:7.5pt;z-index:251696128;v-text-anchor:middle;mso-width-relative:page;mso-height-relative:page;" fillcolor="#FF0000" filled="t" stroked="t" coordsize="95250,85725" o:gfxdata="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kC4wZNoAAAALAQAADwAAAAAA&#10;AAABACAAAAAiAAAAZHJzL2Rvd25yZXYueG1sUEsBAhQAFAAAAAgAh07iQBUq+K6DAgAAEQUAAA4A&#10;AAAAAAAAAQAgAAAAKQEAAGRycy9lMm9Eb2MueG1sUEsFBgAAAAAGAAYAWQEAAB4GAAAAAA==&#10;" path="m0,32743l36382,32744,47625,0,58867,32744,95249,32743,65815,52980,77058,85724,47625,65487,18191,85724,29434,52980xe">
                <v:path o:connectlocs="47625,0;0,32743;18191,85724;77058,85724;95249,32743" o:connectangles="247,164,82,82,0"/>
                <v:fill on="t" focussize="0,0"/>
                <v:stroke weight="1pt" color="#FF0000 [3204]" miterlimit="8" joinstyle="miter"/>
                <v:imagedata o:title=""/>
                <o:lock v:ext="edit" aspectratio="f"/>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-10160</wp:posOffset>
                </wp:positionH>
                <wp:positionV relativeFrom="paragraph">
                  <wp:posOffset>5911850</wp:posOffset>
                </wp:positionV>
                <wp:extent cx="9258300" cy="29527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92583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附图</w:t>
                            </w:r>
                            <w:r>
                              <w:rPr>
                                <w:rFonts w:hint="eastAsia" w:ascii="Times New Roman" w:hAnsi="Times New Roman" w:eastAsia="宋体" w:cs="Times New Roman"/>
                                <w:b/>
                                <w:bCs/>
                                <w:sz w:val="24"/>
                                <w:szCs w:val="24"/>
                                <w:lang w:val="en-US" w:eastAsia="zh-CN"/>
                              </w:rPr>
                              <w:t>4    项目所在生态保护红线图位置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pt;margin-top:465.5pt;height:23.25pt;width:729pt;z-index:251697152;mso-width-relative:page;mso-height-relative:page;" filled="f" stroked="f" coordsize="21600,21600" o:gfxdata="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OPgSF3AAAAAsBAAAPAAAAAAAAAAEA&#10;IAAAACIAAABkcnMvZG93bnJldi54bWxQSwECFAAUAAAACACHTuJA9iLRmkQCAAB2BAAADgAAAAAA&#10;AAABACAAAAArAQAAZHJzL2Uyb0RvYy54bWxQSwUGAAAAAAYABgBZAQAA4QUAAAAA&#10;">
                <v:fill on="f" focussize="0,0"/>
                <v:stroke on="f" weight="0.5pt"/>
                <v:imagedata o:title=""/>
                <o:lock v:ext="edit" aspectratio="f"/>
                <v:textbox>
                  <w:txbxContent>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附图</w:t>
                      </w:r>
                      <w:r>
                        <w:rPr>
                          <w:rFonts w:hint="eastAsia" w:ascii="Times New Roman" w:hAnsi="Times New Roman" w:eastAsia="宋体" w:cs="Times New Roman"/>
                          <w:b/>
                          <w:bCs/>
                          <w:sz w:val="24"/>
                          <w:szCs w:val="24"/>
                          <w:lang w:val="en-US" w:eastAsia="zh-CN"/>
                        </w:rPr>
                        <w:t>4    项目所在生态保护红线图位置</w:t>
                      </w:r>
                    </w:p>
                  </w:txbxContent>
                </v:textbox>
              </v:shape>
            </w:pict>
          </mc:Fallback>
        </mc:AlternateContent>
      </w:r>
      <w:r>
        <w:rPr>
          <w:color w:val="FF0000"/>
        </w:rPr>
        <w:drawing>
          <wp:anchor distT="0" distB="0" distL="114300" distR="114300" simplePos="0" relativeHeight="251695104" behindDoc="1" locked="0" layoutInCell="1" allowOverlap="1">
            <wp:simplePos x="0" y="0"/>
            <wp:positionH relativeFrom="column">
              <wp:posOffset>-10795</wp:posOffset>
            </wp:positionH>
            <wp:positionV relativeFrom="paragraph">
              <wp:posOffset>7620</wp:posOffset>
            </wp:positionV>
            <wp:extent cx="9242425" cy="5874385"/>
            <wp:effectExtent l="9525" t="9525" r="25400" b="21590"/>
            <wp:wrapTight wrapText="bothSides">
              <wp:wrapPolygon>
                <wp:start x="-22" y="-35"/>
                <wp:lineTo x="-22" y="21539"/>
                <wp:lineTo x="21570" y="21539"/>
                <wp:lineTo x="21570" y="-35"/>
                <wp:lineTo x="-22" y="-35"/>
              </wp:wrapPolygon>
            </wp:wrapTight>
            <wp:docPr id="42" name="图片 2" descr="微信截图_2021033014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descr="微信截图_20210330140340"/>
                    <pic:cNvPicPr>
                      <a:picLocks noChangeAspect="1"/>
                    </pic:cNvPicPr>
                  </pic:nvPicPr>
                  <pic:blipFill>
                    <a:blip r:embed="rId22"/>
                    <a:stretch>
                      <a:fillRect/>
                    </a:stretch>
                  </pic:blipFill>
                  <pic:spPr>
                    <a:xfrm>
                      <a:off x="0" y="0"/>
                      <a:ext cx="9242425" cy="5874385"/>
                    </a:xfrm>
                    <a:prstGeom prst="rect">
                      <a:avLst/>
                    </a:prstGeom>
                    <a:noFill/>
                    <a:ln w="9525" cap="flat" cmpd="sng">
                      <a:solidFill>
                        <a:srgbClr val="000000"/>
                      </a:solidFill>
                      <a:prstDash val="solid"/>
                      <a:miter/>
                      <a:headEnd type="none" w="med" len="med"/>
                      <a:tailEnd type="none" w="med" len="med"/>
                    </a:ln>
                  </pic:spPr>
                </pic:pic>
              </a:graphicData>
            </a:graphic>
          </wp:anchor>
        </w:drawing>
      </w:r>
    </w:p>
    <w:p>
      <w:pPr>
        <w:rPr>
          <w:rFonts w:hint="eastAsia" w:eastAsia="宋体"/>
          <w:lang w:val="en-US" w:eastAsia="zh-CN"/>
        </w:rPr>
        <w:sectPr>
          <w:pgSz w:w="16838" w:h="11906" w:orient="landscape"/>
          <w:pgMar w:top="1134" w:right="1134" w:bottom="1134" w:left="1134" w:header="720" w:footer="720"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eastAsia="宋体" w:cs="Times New Roman"/>
        </w:rPr>
        <w:drawing>
          <wp:anchor distT="0" distB="0" distL="114300" distR="114300" simplePos="0" relativeHeight="251710464" behindDoc="0" locked="0" layoutInCell="1" allowOverlap="1">
            <wp:simplePos x="0" y="0"/>
            <wp:positionH relativeFrom="column">
              <wp:posOffset>8468360</wp:posOffset>
            </wp:positionH>
            <wp:positionV relativeFrom="paragraph">
              <wp:posOffset>21590</wp:posOffset>
            </wp:positionV>
            <wp:extent cx="786765" cy="953135"/>
            <wp:effectExtent l="0" t="0" r="13335" b="18415"/>
            <wp:wrapNone/>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17"/>
                    <a:stretch>
                      <a:fillRect/>
                    </a:stretch>
                  </pic:blipFill>
                  <pic:spPr>
                    <a:xfrm>
                      <a:off x="0" y="0"/>
                      <a:ext cx="786765" cy="953135"/>
                    </a:xfrm>
                    <a:prstGeom prst="rect">
                      <a:avLst/>
                    </a:prstGeom>
                    <a:noFill/>
                    <a:ln>
                      <a:noFill/>
                    </a:ln>
                  </pic:spPr>
                </pic:pic>
              </a:graphicData>
            </a:graphic>
          </wp:anchor>
        </w:drawing>
      </w:r>
      <w:r>
        <w:rPr>
          <w:rFonts w:ascii="Times New Roman" w:hAnsi="Times New Roman" w:eastAsia="宋体" w:cs="Times New Roman"/>
          <w:sz w:val="21"/>
        </w:rPr>
        <mc:AlternateContent>
          <mc:Choice Requires="wps">
            <w:drawing>
              <wp:anchor distT="0" distB="0" distL="114300" distR="114300" simplePos="0" relativeHeight="251706368" behindDoc="0" locked="0" layoutInCell="1" allowOverlap="1">
                <wp:simplePos x="0" y="0"/>
                <wp:positionH relativeFrom="column">
                  <wp:posOffset>3935730</wp:posOffset>
                </wp:positionH>
                <wp:positionV relativeFrom="paragraph">
                  <wp:posOffset>2668270</wp:posOffset>
                </wp:positionV>
                <wp:extent cx="504825" cy="257175"/>
                <wp:effectExtent l="0" t="0" r="0" b="0"/>
                <wp:wrapNone/>
                <wp:docPr id="55" name="文本框 55"/>
                <wp:cNvGraphicFramePr/>
                <a:graphic xmlns:a="http://schemas.openxmlformats.org/drawingml/2006/main">
                  <a:graphicData uri="http://schemas.microsoft.com/office/word/2010/wordprocessingShape">
                    <wps:wsp>
                      <wps:cNvSpPr txBox="1"/>
                      <wps:spPr>
                        <a:xfrm>
                          <a:off x="4446270" y="3416935"/>
                          <a:ext cx="5048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color w:val="FFFF00"/>
                                <w:lang w:val="en-US" w:eastAsia="zh-CN"/>
                              </w:rPr>
                            </w:pPr>
                            <w:r>
                              <w:rPr>
                                <w:rFonts w:hint="eastAsia" w:ascii="Times New Roman" w:hAnsi="Times New Roman" w:eastAsia="宋体" w:cs="Times New Roman"/>
                                <w:color w:val="FFFF00"/>
                                <w:lang w:val="en-US" w:eastAsia="zh-CN"/>
                              </w:rPr>
                              <w:t>323m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9pt;margin-top:210.1pt;height:20.25pt;width:39.75pt;z-index:251706368;mso-width-relative:page;mso-height-relative:page;" filled="f" stroked="f" coordsize="21600,21600" o:gfxdata="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ED9tH3AAAAAsB&#10;AAAPAAAAAAAAAAEAIAAAACIAAABkcnMvZG93bnJldi54bWxQSwECFAAUAAAACACHTuJASYmb8FAC&#10;AACBBAAADgAAAAAAAAABACAAAAArAQAAZHJzL2Uyb0RvYy54bWxQSwUGAAAAAAYABgBZAQAA7QUA&#10;AAAA&#10;">
                <v:fill on="f" focussize="0,0"/>
                <v:stroke on="f" weight="0.5pt"/>
                <v:imagedata o:title=""/>
                <o:lock v:ext="edit" aspectratio="f"/>
                <v:textbox>
                  <w:txbxContent>
                    <w:p>
                      <w:pPr>
                        <w:rPr>
                          <w:rFonts w:hint="default" w:ascii="Times New Roman" w:hAnsi="Times New Roman" w:eastAsia="宋体" w:cs="Times New Roman"/>
                          <w:color w:val="FFFF00"/>
                          <w:lang w:val="en-US" w:eastAsia="zh-CN"/>
                        </w:rPr>
                      </w:pPr>
                      <w:r>
                        <w:rPr>
                          <w:rFonts w:hint="eastAsia" w:ascii="Times New Roman" w:hAnsi="Times New Roman" w:eastAsia="宋体" w:cs="Times New Roman"/>
                          <w:color w:val="FFFF00"/>
                          <w:lang w:val="en-US" w:eastAsia="zh-CN"/>
                        </w:rPr>
                        <w:t>323m</w:t>
                      </w:r>
                    </w:p>
                  </w:txbxContent>
                </v:textbox>
              </v:shape>
            </w:pict>
          </mc:Fallback>
        </mc:AlternateContent>
      </w:r>
      <w:r>
        <w:rPr>
          <w:rFonts w:ascii="Times New Roman" w:hAnsi="Times New Roman" w:eastAsia="宋体" w:cs="Times New Roman"/>
          <w:sz w:val="21"/>
        </w:rPr>
        <mc:AlternateContent>
          <mc:Choice Requires="wps">
            <w:drawing>
              <wp:anchor distT="0" distB="0" distL="114300" distR="114300" simplePos="0" relativeHeight="251707392" behindDoc="0" locked="0" layoutInCell="1" allowOverlap="1">
                <wp:simplePos x="0" y="0"/>
                <wp:positionH relativeFrom="column">
                  <wp:posOffset>6145530</wp:posOffset>
                </wp:positionH>
                <wp:positionV relativeFrom="paragraph">
                  <wp:posOffset>2468245</wp:posOffset>
                </wp:positionV>
                <wp:extent cx="532765" cy="238125"/>
                <wp:effectExtent l="0" t="0" r="0" b="0"/>
                <wp:wrapNone/>
                <wp:docPr id="56" name="文本框 56"/>
                <wp:cNvGraphicFramePr/>
                <a:graphic xmlns:a="http://schemas.openxmlformats.org/drawingml/2006/main">
                  <a:graphicData uri="http://schemas.microsoft.com/office/word/2010/wordprocessingShape">
                    <wps:wsp>
                      <wps:cNvSpPr txBox="1"/>
                      <wps:spPr>
                        <a:xfrm rot="20640000">
                          <a:off x="0" y="0"/>
                          <a:ext cx="53276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color w:val="FFFF00"/>
                                <w:highlight w:val="none"/>
                                <w:lang w:val="en-US" w:eastAsia="zh-CN"/>
                              </w:rPr>
                            </w:pPr>
                            <w:r>
                              <w:rPr>
                                <w:rFonts w:hint="eastAsia" w:ascii="Times New Roman" w:hAnsi="Times New Roman" w:eastAsia="宋体" w:cs="Times New Roman"/>
                                <w:color w:val="FFFF00"/>
                                <w:highlight w:val="none"/>
                                <w:lang w:val="en-US" w:eastAsia="zh-CN"/>
                              </w:rPr>
                              <w:t>380m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3.9pt;margin-top:194.35pt;height:18.75pt;width:41.95pt;rotation:-1048576f;z-index:251707392;mso-width-relative:page;mso-height-relative:page;" filled="f" stroked="f" coordsize="21600,21600" o:gfxdata="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mRbJKdoAAAAMAQAADwAAAAAA&#10;AAABACAAAAAiAAAAZHJzL2Rvd25yZXYueG1sUEsBAhQAFAAAAAgAh07iQPjiRYFKAgAAhAQAAA4A&#10;AAAAAAAAAQAgAAAAKQEAAGRycy9lMm9Eb2MueG1sUEsFBgAAAAAGAAYAWQEAAOUFAAAAAA==&#10;">
                <v:fill on="f" focussize="0,0"/>
                <v:stroke on="f" weight="0.5pt"/>
                <v:imagedata o:title=""/>
                <o:lock v:ext="edit" aspectratio="f"/>
                <v:textbox>
                  <w:txbxContent>
                    <w:p>
                      <w:pPr>
                        <w:rPr>
                          <w:rFonts w:hint="default" w:ascii="Times New Roman" w:hAnsi="Times New Roman" w:eastAsia="宋体" w:cs="Times New Roman"/>
                          <w:color w:val="FFFF00"/>
                          <w:highlight w:val="none"/>
                          <w:lang w:val="en-US" w:eastAsia="zh-CN"/>
                        </w:rPr>
                      </w:pPr>
                      <w:r>
                        <w:rPr>
                          <w:rFonts w:hint="eastAsia" w:ascii="Times New Roman" w:hAnsi="Times New Roman" w:eastAsia="宋体" w:cs="Times New Roman"/>
                          <w:color w:val="FFFF00"/>
                          <w:highlight w:val="none"/>
                          <w:lang w:val="en-US" w:eastAsia="zh-CN"/>
                        </w:rPr>
                        <w:t>380m</w:t>
                      </w:r>
                    </w:p>
                  </w:txbxContent>
                </v:textbox>
              </v:shape>
            </w:pict>
          </mc:Fallback>
        </mc:AlternateContent>
      </w:r>
      <w:r>
        <w:rPr>
          <w:rFonts w:ascii="Times New Roman" w:hAnsi="Times New Roman" w:eastAsia="宋体" w:cs="Times New Roman"/>
          <w:sz w:val="21"/>
        </w:rPr>
        <mc:AlternateContent>
          <mc:Choice Requires="wps">
            <w:drawing>
              <wp:anchor distT="0" distB="0" distL="114300" distR="114300" simplePos="0" relativeHeight="251705344" behindDoc="0" locked="0" layoutInCell="1" allowOverlap="1">
                <wp:simplePos x="0" y="0"/>
                <wp:positionH relativeFrom="column">
                  <wp:posOffset>5335905</wp:posOffset>
                </wp:positionH>
                <wp:positionV relativeFrom="paragraph">
                  <wp:posOffset>2353945</wp:posOffset>
                </wp:positionV>
                <wp:extent cx="2571750" cy="609600"/>
                <wp:effectExtent l="1905" t="31115" r="17145" b="26035"/>
                <wp:wrapNone/>
                <wp:docPr id="47" name="直接箭头连接符 47"/>
                <wp:cNvGraphicFramePr/>
                <a:graphic xmlns:a="http://schemas.openxmlformats.org/drawingml/2006/main">
                  <a:graphicData uri="http://schemas.microsoft.com/office/word/2010/wordprocessingShape">
                    <wps:wsp>
                      <wps:cNvCnPr/>
                      <wps:spPr>
                        <a:xfrm flipV="1">
                          <a:off x="6036945" y="3074035"/>
                          <a:ext cx="2571750" cy="609600"/>
                        </a:xfrm>
                        <a:prstGeom prst="straightConnector1">
                          <a:avLst/>
                        </a:prstGeom>
                        <a:noFill/>
                        <a:ln w="19050" cap="flat" cmpd="sng" algn="ctr">
                          <a:solidFill>
                            <a:srgbClr val="FF0000"/>
                          </a:solidFill>
                          <a:prstDash val="solid"/>
                          <a:miter lim="800000"/>
                          <a:tailEnd type="arrow" w="med" len="med"/>
                        </a:ln>
                        <a:effectLst/>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id="_x0000_s1026" o:spid="_x0000_s1026" o:spt="32" type="#_x0000_t32" style="position:absolute;left:0pt;flip:y;margin-left:420.15pt;margin-top:185.35pt;height:48pt;width:202.5pt;z-index:251705344;mso-width-relative:page;mso-height-relative:page;" filled="f" stroked="t" coordsize="21600,21600" o:gfxdata="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xlS8P3QAAAAwBAAAPAAAAAAAAAAEAIAAAACIAAABkcnMvZG93bnJl&#10;di54bWxQSwECFAAUAAAACACHTuJAksFkkTECAAAcBAAADgAAAAAAAAABACAAAAAsAQAAZHJzL2Uy&#10;b0RvYy54bWxQSwUGAAAAAAYABgBZAQAAzwUAAAAA&#10;">
                <v:fill on="f" focussize="0,0"/>
                <v:stroke weight="1.5pt" color="#FF0000 [3207]" miterlimit="8" joinstyle="miter" endarrow="open"/>
                <v:imagedata o:title=""/>
                <o:lock v:ext="edit" aspectratio="f"/>
              </v:shape>
            </w:pict>
          </mc:Fallback>
        </mc:AlternateContent>
      </w:r>
      <w:r>
        <w:rPr>
          <w:rFonts w:ascii="Times New Roman" w:hAnsi="Times New Roman" w:eastAsia="宋体" w:cs="Times New Roman"/>
          <w:sz w:val="21"/>
        </w:rPr>
        <mc:AlternateContent>
          <mc:Choice Requires="wps">
            <w:drawing>
              <wp:anchor distT="0" distB="0" distL="114300" distR="114300" simplePos="0" relativeHeight="251704320" behindDoc="0" locked="0" layoutInCell="1" allowOverlap="1">
                <wp:simplePos x="0" y="0"/>
                <wp:positionH relativeFrom="column">
                  <wp:posOffset>3078480</wp:posOffset>
                </wp:positionH>
                <wp:positionV relativeFrom="paragraph">
                  <wp:posOffset>2877820</wp:posOffset>
                </wp:positionV>
                <wp:extent cx="2028825" cy="95250"/>
                <wp:effectExtent l="0" t="49530" r="9525" b="26670"/>
                <wp:wrapNone/>
                <wp:docPr id="44" name="直接箭头连接符 44"/>
                <wp:cNvGraphicFramePr/>
                <a:graphic xmlns:a="http://schemas.openxmlformats.org/drawingml/2006/main">
                  <a:graphicData uri="http://schemas.microsoft.com/office/word/2010/wordprocessingShape">
                    <wps:wsp>
                      <wps:cNvCnPr/>
                      <wps:spPr>
                        <a:xfrm flipH="1" flipV="1">
                          <a:off x="3798570" y="3597910"/>
                          <a:ext cx="2028825" cy="95250"/>
                        </a:xfrm>
                        <a:prstGeom prst="straightConnector1">
                          <a:avLst/>
                        </a:prstGeom>
                        <a:noFill/>
                        <a:ln w="19050" cap="flat" cmpd="sng" algn="ctr">
                          <a:solidFill>
                            <a:srgbClr val="FF0000"/>
                          </a:solidFill>
                          <a:prstDash val="solid"/>
                          <a:miter lim="800000"/>
                          <a:tailEnd type="arrow" w="med" len="med"/>
                        </a:ln>
                        <a:effectLst/>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x y;margin-left:242.4pt;margin-top:226.6pt;height:7.5pt;width:159.75pt;z-index:251704320;mso-width-relative:page;mso-height-relative:page;" filled="f" stroked="t" coordsize="21600,21600" o:gfxdata="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fV1142gAAAAsBAAAPAAAAAAAAAAEAIAAAACIAAABkcnMvZG93bnJl&#10;di54bWxQSwECFAAUAAAACACHTuJAZW3OLTQCAAAlBAAADgAAAAAAAAABACAAAAApAQAAZHJzL2Uy&#10;b0RvYy54bWxQSwUGAAAAAAYABgBZAQAAzwUAAAAA&#10;">
                <v:fill on="f" focussize="0,0"/>
                <v:stroke weight="1.5pt" color="#FF0000 [3205]" miterlimit="8" joinstyle="miter" endarrow="open"/>
                <v:imagedata o:title=""/>
                <o:lock v:ext="edit" aspectratio="f"/>
              </v:shape>
            </w:pict>
          </mc:Fallback>
        </mc:AlternateContent>
      </w:r>
      <w:r>
        <w:rPr>
          <w:rFonts w:ascii="Times New Roman" w:hAnsi="Times New Roman" w:eastAsia="宋体" w:cs="Times New Roman"/>
          <w:sz w:val="21"/>
        </w:rPr>
        <mc:AlternateContent>
          <mc:Choice Requires="wps">
            <w:drawing>
              <wp:anchor distT="0" distB="0" distL="114300" distR="114300" simplePos="0" relativeHeight="251685888" behindDoc="0" locked="0" layoutInCell="1" allowOverlap="1">
                <wp:simplePos x="0" y="0"/>
                <wp:positionH relativeFrom="column">
                  <wp:posOffset>-24130</wp:posOffset>
                </wp:positionH>
                <wp:positionV relativeFrom="paragraph">
                  <wp:posOffset>5917565</wp:posOffset>
                </wp:positionV>
                <wp:extent cx="9267825" cy="295275"/>
                <wp:effectExtent l="0" t="0" r="0" b="0"/>
                <wp:wrapNone/>
                <wp:docPr id="35" name="文本框 35"/>
                <wp:cNvGraphicFramePr/>
                <a:graphic xmlns:a="http://schemas.openxmlformats.org/drawingml/2006/main">
                  <a:graphicData uri="http://schemas.microsoft.com/office/word/2010/wordprocessingShape">
                    <wps:wsp>
                      <wps:cNvSpPr txBox="1"/>
                      <wps:spPr>
                        <a:xfrm>
                          <a:off x="3719830" y="6485255"/>
                          <a:ext cx="92678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附图</w:t>
                            </w:r>
                            <w:r>
                              <w:rPr>
                                <w:rFonts w:hint="eastAsia" w:ascii="Times New Roman" w:hAnsi="Times New Roman" w:eastAsia="宋体" w:cs="Times New Roman"/>
                                <w:b/>
                                <w:bCs/>
                                <w:sz w:val="24"/>
                                <w:szCs w:val="24"/>
                                <w:lang w:val="en-US" w:eastAsia="zh-CN"/>
                              </w:rPr>
                              <w:t>5    项目周边环境示意图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pt;margin-top:465.95pt;height:23.25pt;width:729.75pt;z-index:251685888;mso-width-relative:page;mso-height-relative:page;" filled="f" stroked="f" coordsize="21600,21600" o:gfxdata="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hRZomd0AAAAL&#10;AQAADwAAAAAAAAABACAAAAAiAAAAZHJzL2Rvd25yZXYueG1sUEsBAhQAFAAAAAgAh07iQIJVRaRQ&#10;AgAAggQAAA4AAAAAAAAAAQAgAAAALAEAAGRycy9lMm9Eb2MueG1sUEsFBgAAAAAGAAYAWQEAAO4F&#10;AAAAAA==&#10;">
                <v:fill on="f" focussize="0,0"/>
                <v:stroke on="f" weight="0.5pt"/>
                <v:imagedata o:title=""/>
                <o:lock v:ext="edit" aspectratio="f"/>
                <v:textbox>
                  <w:txbxContent>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附图</w:t>
                      </w:r>
                      <w:r>
                        <w:rPr>
                          <w:rFonts w:hint="eastAsia" w:ascii="Times New Roman" w:hAnsi="Times New Roman" w:eastAsia="宋体" w:cs="Times New Roman"/>
                          <w:b/>
                          <w:bCs/>
                          <w:sz w:val="24"/>
                          <w:szCs w:val="24"/>
                          <w:lang w:val="en-US" w:eastAsia="zh-CN"/>
                        </w:rPr>
                        <w:t>5    项目周边环境示意图</w:t>
                      </w:r>
                    </w:p>
                  </w:txbxContent>
                </v:textbox>
              </v:shape>
            </w:pict>
          </mc:Fallback>
        </mc:AlternateContent>
      </w:r>
      <w:r>
        <w:rPr>
          <w:rFonts w:ascii="Times New Roman" w:hAnsi="Times New Roman" w:eastAsia="宋体" w:cs="Times New Roman"/>
        </w:rPr>
        <w:drawing>
          <wp:anchor distT="0" distB="0" distL="114300" distR="114300" simplePos="0" relativeHeight="251684864" behindDoc="1" locked="0" layoutInCell="1" allowOverlap="1">
            <wp:simplePos x="0" y="0"/>
            <wp:positionH relativeFrom="column">
              <wp:posOffset>-19685</wp:posOffset>
            </wp:positionH>
            <wp:positionV relativeFrom="paragraph">
              <wp:posOffset>19050</wp:posOffset>
            </wp:positionV>
            <wp:extent cx="9274175" cy="5894705"/>
            <wp:effectExtent l="0" t="0" r="3175" b="10795"/>
            <wp:wrapTight wrapText="bothSides">
              <wp:wrapPolygon>
                <wp:start x="0" y="0"/>
                <wp:lineTo x="0" y="21500"/>
                <wp:lineTo x="21563" y="21500"/>
                <wp:lineTo x="21563" y="0"/>
                <wp:lineTo x="0" y="0"/>
              </wp:wrapPolygon>
            </wp:wrapTight>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23"/>
                    <a:stretch>
                      <a:fillRect/>
                    </a:stretch>
                  </pic:blipFill>
                  <pic:spPr>
                    <a:xfrm>
                      <a:off x="0" y="0"/>
                      <a:ext cx="9274175" cy="5894705"/>
                    </a:xfrm>
                    <a:prstGeom prst="rect">
                      <a:avLst/>
                    </a:prstGeom>
                    <a:noFill/>
                    <a:ln>
                      <a:noFill/>
                    </a:ln>
                  </pic:spPr>
                </pic:pic>
              </a:graphicData>
            </a:graphic>
          </wp:anchor>
        </w:drawing>
      </w:r>
    </w:p>
    <w:tbl>
      <w:tblPr>
        <w:tblStyle w:val="13"/>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53"/>
        <w:gridCol w:w="49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noWrap w:val="0"/>
            <w:vAlign w:val="center"/>
          </w:tcPr>
          <w:p>
            <w:pPr>
              <w:keepNext w:val="0"/>
              <w:keepLines w:val="0"/>
              <w:suppressLineNumbers w:val="0"/>
              <w:spacing w:before="0" w:beforeAutospacing="0" w:after="0" w:afterAutospacing="0"/>
              <w:ind w:left="0" w:right="0"/>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drawing>
                <wp:inline distT="0" distB="0" distL="114300" distR="114300">
                  <wp:extent cx="3298190" cy="2670175"/>
                  <wp:effectExtent l="0" t="0" r="16510" b="15875"/>
                  <wp:docPr id="52" name="图片 52" descr="db1f477301b55cf3fc88d0aa3ef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b1f477301b55cf3fc88d0aa3ef9079"/>
                          <pic:cNvPicPr>
                            <a:picLocks noChangeAspect="1"/>
                          </pic:cNvPicPr>
                        </pic:nvPicPr>
                        <pic:blipFill>
                          <a:blip r:embed="rId24"/>
                          <a:stretch>
                            <a:fillRect/>
                          </a:stretch>
                        </pic:blipFill>
                        <pic:spPr>
                          <a:xfrm>
                            <a:off x="0" y="0"/>
                            <a:ext cx="3298190" cy="2670175"/>
                          </a:xfrm>
                          <a:prstGeom prst="rect">
                            <a:avLst/>
                          </a:prstGeom>
                        </pic:spPr>
                      </pic:pic>
                    </a:graphicData>
                  </a:graphic>
                </wp:inline>
              </w:drawing>
            </w:r>
          </w:p>
        </w:tc>
        <w:tc>
          <w:tcPr>
            <w:tcW w:w="2500"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drawing>
                <wp:inline distT="0" distB="0" distL="114300" distR="114300">
                  <wp:extent cx="2962275" cy="2654300"/>
                  <wp:effectExtent l="0" t="0" r="9525" b="12700"/>
                  <wp:docPr id="53" name="图片 53" descr="78be110184f113d37e9b94822ea9c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78be110184f113d37e9b94822ea9c4a"/>
                          <pic:cNvPicPr>
                            <a:picLocks noChangeAspect="1"/>
                          </pic:cNvPicPr>
                        </pic:nvPicPr>
                        <pic:blipFill>
                          <a:blip r:embed="rId25"/>
                          <a:stretch>
                            <a:fillRect/>
                          </a:stretch>
                        </pic:blipFill>
                        <pic:spPr>
                          <a:xfrm>
                            <a:off x="0" y="0"/>
                            <a:ext cx="2962275" cy="26543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t>厂界东侧</w:t>
            </w:r>
          </w:p>
        </w:tc>
        <w:tc>
          <w:tcPr>
            <w:tcW w:w="2500"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t>厂界西侧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drawing>
                <wp:inline distT="0" distB="0" distL="114300" distR="114300">
                  <wp:extent cx="3094990" cy="2344420"/>
                  <wp:effectExtent l="0" t="0" r="10160" b="17780"/>
                  <wp:docPr id="38" name="图片 38" descr="038335374c55c9c9b9ff8b7f7cbb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38335374c55c9c9b9ff8b7f7cbbce1"/>
                          <pic:cNvPicPr>
                            <a:picLocks noChangeAspect="1"/>
                          </pic:cNvPicPr>
                        </pic:nvPicPr>
                        <pic:blipFill>
                          <a:blip r:embed="rId26"/>
                          <a:stretch>
                            <a:fillRect/>
                          </a:stretch>
                        </pic:blipFill>
                        <pic:spPr>
                          <a:xfrm>
                            <a:off x="0" y="0"/>
                            <a:ext cx="3094990" cy="2344420"/>
                          </a:xfrm>
                          <a:prstGeom prst="rect">
                            <a:avLst/>
                          </a:prstGeom>
                        </pic:spPr>
                      </pic:pic>
                    </a:graphicData>
                  </a:graphic>
                </wp:inline>
              </w:drawing>
            </w:r>
          </w:p>
        </w:tc>
        <w:tc>
          <w:tcPr>
            <w:tcW w:w="2500"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drawing>
                <wp:inline distT="0" distB="0" distL="114300" distR="114300">
                  <wp:extent cx="3089275" cy="2376170"/>
                  <wp:effectExtent l="0" t="0" r="15875" b="5080"/>
                  <wp:docPr id="54" name="图片 54" descr="51b86f45a0d1fc2328f01fa973d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51b86f45a0d1fc2328f01fa973d1578"/>
                          <pic:cNvPicPr>
                            <a:picLocks noChangeAspect="1"/>
                          </pic:cNvPicPr>
                        </pic:nvPicPr>
                        <pic:blipFill>
                          <a:blip r:embed="rId27"/>
                          <a:stretch>
                            <a:fillRect/>
                          </a:stretch>
                        </pic:blipFill>
                        <pic:spPr>
                          <a:xfrm>
                            <a:off x="0" y="0"/>
                            <a:ext cx="3089275" cy="23761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t>厂界西侧</w:t>
            </w:r>
          </w:p>
        </w:tc>
        <w:tc>
          <w:tcPr>
            <w:tcW w:w="2500"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t>厂界南侧厂区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drawing>
                <wp:inline distT="0" distB="0" distL="114300" distR="114300">
                  <wp:extent cx="3105150" cy="2413635"/>
                  <wp:effectExtent l="0" t="0" r="0" b="5715"/>
                  <wp:docPr id="51" name="图片 51" descr="cc742d217be7220d1b4f5a811c7f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c742d217be7220d1b4f5a811c7f94a"/>
                          <pic:cNvPicPr>
                            <a:picLocks noChangeAspect="1"/>
                          </pic:cNvPicPr>
                        </pic:nvPicPr>
                        <pic:blipFill>
                          <a:blip r:embed="rId28"/>
                          <a:stretch>
                            <a:fillRect/>
                          </a:stretch>
                        </pic:blipFill>
                        <pic:spPr>
                          <a:xfrm>
                            <a:off x="0" y="0"/>
                            <a:ext cx="3105150" cy="2413635"/>
                          </a:xfrm>
                          <a:prstGeom prst="rect">
                            <a:avLst/>
                          </a:prstGeom>
                        </pic:spPr>
                      </pic:pic>
                    </a:graphicData>
                  </a:graphic>
                </wp:inline>
              </w:drawing>
            </w:r>
          </w:p>
        </w:tc>
        <w:tc>
          <w:tcPr>
            <w:tcW w:w="2500"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drawing>
                <wp:inline distT="0" distB="0" distL="114300" distR="114300">
                  <wp:extent cx="2985770" cy="2421890"/>
                  <wp:effectExtent l="0" t="0" r="5080" b="16510"/>
                  <wp:docPr id="57" name="图片 57" descr="0cc5b28ad560508db6e3932432471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cc5b28ad560508db6e3932432471e6"/>
                          <pic:cNvPicPr>
                            <a:picLocks noChangeAspect="1"/>
                          </pic:cNvPicPr>
                        </pic:nvPicPr>
                        <pic:blipFill>
                          <a:blip r:embed="rId29"/>
                          <a:stretch>
                            <a:fillRect/>
                          </a:stretch>
                        </pic:blipFill>
                        <pic:spPr>
                          <a:xfrm>
                            <a:off x="0" y="0"/>
                            <a:ext cx="2985770" cy="24218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ascii="Times New Roman" w:hAnsi="Times New Roman" w:eastAsia="宋体" w:cs="Times New Roman"/>
                <w:sz w:val="21"/>
              </w:rPr>
              <mc:AlternateContent>
                <mc:Choice Requires="wps">
                  <w:drawing>
                    <wp:anchor distT="0" distB="0" distL="114300" distR="114300" simplePos="0" relativeHeight="251700224" behindDoc="0" locked="0" layoutInCell="1" allowOverlap="1">
                      <wp:simplePos x="0" y="0"/>
                      <wp:positionH relativeFrom="column">
                        <wp:posOffset>-352425</wp:posOffset>
                      </wp:positionH>
                      <wp:positionV relativeFrom="paragraph">
                        <wp:posOffset>191135</wp:posOffset>
                      </wp:positionV>
                      <wp:extent cx="7010400" cy="27622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7010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附图</w:t>
                                  </w:r>
                                  <w:r>
                                    <w:rPr>
                                      <w:rFonts w:hint="eastAsia" w:ascii="Times New Roman" w:hAnsi="Times New Roman" w:eastAsia="宋体" w:cs="Times New Roman"/>
                                      <w:b/>
                                      <w:bCs/>
                                      <w:sz w:val="24"/>
                                      <w:szCs w:val="24"/>
                                      <w:lang w:val="en-US" w:eastAsia="zh-CN"/>
                                    </w:rPr>
                                    <w:t>6   项目现状图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5pt;margin-top:15.05pt;height:21.75pt;width:552pt;z-index:251700224;mso-width-relative:page;mso-height-relative:page;" filled="f" stroked="f" coordsize="21600,21600" o:gfxdata="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kZT/vbAAAACgEAAA8AAAAAAAAAAQAgAAAA&#10;IgAAAGRycy9kb3ducmV2LnhtbFBLAQIUABQAAAAIAIdO4kB2ZfNyQQIAAHYEAAAOAAAAAAAAAAEA&#10;IAAAACoBAABkcnMvZTJvRG9jLnhtbFBLBQYAAAAABgAGAFkBAADdBQAAAAA=&#10;">
                      <v:fill on="f" focussize="0,0"/>
                      <v:stroke on="f" weight="0.5pt"/>
                      <v:imagedata o:title=""/>
                      <o:lock v:ext="edit" aspectratio="f"/>
                      <v:textbox>
                        <w:txbxContent>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附图</w:t>
                            </w:r>
                            <w:r>
                              <w:rPr>
                                <w:rFonts w:hint="eastAsia" w:ascii="Times New Roman" w:hAnsi="Times New Roman" w:eastAsia="宋体" w:cs="Times New Roman"/>
                                <w:b/>
                                <w:bCs/>
                                <w:sz w:val="24"/>
                                <w:szCs w:val="24"/>
                                <w:lang w:val="en-US" w:eastAsia="zh-CN"/>
                              </w:rPr>
                              <w:t>6   项目现状图</w:t>
                            </w:r>
                          </w:p>
                        </w:txbxContent>
                      </v:textbox>
                    </v:shape>
                  </w:pict>
                </mc:Fallback>
              </mc:AlternateContent>
            </w:r>
            <w:r>
              <w:rPr>
                <w:rFonts w:hint="eastAsia" w:ascii="Times New Roman" w:hAnsi="Times New Roman" w:eastAsia="宋体" w:cs="Times New Roman"/>
                <w:b/>
                <w:sz w:val="24"/>
                <w:szCs w:val="24"/>
                <w:lang w:eastAsia="zh-CN"/>
              </w:rPr>
              <w:t>厂界北侧</w:t>
            </w:r>
          </w:p>
        </w:tc>
        <w:tc>
          <w:tcPr>
            <w:tcW w:w="2500"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rPr>
              <w:t>项目</w:t>
            </w:r>
            <w:r>
              <w:rPr>
                <w:rFonts w:hint="eastAsia" w:ascii="Times New Roman" w:hAnsi="Times New Roman" w:eastAsia="宋体" w:cs="Times New Roman"/>
                <w:b/>
                <w:sz w:val="24"/>
                <w:szCs w:val="24"/>
                <w:lang w:eastAsia="zh-CN"/>
              </w:rPr>
              <w:t>厂房现状</w:t>
            </w:r>
          </w:p>
        </w:tc>
      </w:tr>
    </w:tbl>
    <w:p>
      <w:pPr>
        <w:rPr>
          <w:rFonts w:hint="eastAsia" w:eastAsia="宋体"/>
          <w:lang w:val="en-US" w:eastAsia="zh-CN"/>
        </w:rPr>
        <w:sectPr>
          <w:pgSz w:w="12240" w:h="15840"/>
          <w:pgMar w:top="1134" w:right="1134" w:bottom="1134" w:left="1134" w:header="720" w:footer="720" w:gutter="0"/>
          <w:pgBorders>
            <w:top w:val="none" w:sz="0" w:space="0"/>
            <w:left w:val="none" w:sz="0" w:space="0"/>
            <w:bottom w:val="none" w:sz="0" w:space="0"/>
            <w:right w:val="none" w:sz="0" w:space="0"/>
          </w:pgBorders>
          <w:cols w:space="425" w:num="1"/>
          <w:docGrid w:type="lines" w:linePitch="312" w:charSpace="0"/>
        </w:sectPr>
      </w:pPr>
    </w:p>
    <w:p>
      <w:pPr>
        <w:jc w:val="right"/>
        <w:rPr>
          <w:rFonts w:hint="eastAsia"/>
          <w:b/>
          <w:bCs/>
          <w:sz w:val="24"/>
          <w:szCs w:val="24"/>
          <w:lang w:val="en-US" w:eastAsia="zh-CN"/>
        </w:rPr>
        <w:sectPr>
          <w:pgSz w:w="12240" w:h="15840"/>
          <w:pgMar w:top="720" w:right="720" w:bottom="720" w:left="720" w:header="720" w:footer="720"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eastAsia="宋体" w:cs="Times New Roman"/>
        </w:rPr>
        <w:drawing>
          <wp:anchor distT="0" distB="0" distL="114300" distR="114300" simplePos="0" relativeHeight="251703296" behindDoc="1" locked="0" layoutInCell="1" allowOverlap="1">
            <wp:simplePos x="0" y="0"/>
            <wp:positionH relativeFrom="column">
              <wp:posOffset>-419100</wp:posOffset>
            </wp:positionH>
            <wp:positionV relativeFrom="paragraph">
              <wp:posOffset>-406400</wp:posOffset>
            </wp:positionV>
            <wp:extent cx="7700645" cy="10012680"/>
            <wp:effectExtent l="0" t="0" r="14605" b="7620"/>
            <wp:wrapNone/>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30"/>
                    <a:stretch>
                      <a:fillRect/>
                    </a:stretch>
                  </pic:blipFill>
                  <pic:spPr>
                    <a:xfrm>
                      <a:off x="0" y="0"/>
                      <a:ext cx="7700645" cy="10012680"/>
                    </a:xfrm>
                    <a:prstGeom prst="rect">
                      <a:avLst/>
                    </a:prstGeom>
                    <a:noFill/>
                    <a:ln>
                      <a:noFill/>
                    </a:ln>
                  </pic:spPr>
                </pic:pic>
              </a:graphicData>
            </a:graphic>
          </wp:anchor>
        </w:drawing>
      </w:r>
      <w:r>
        <w:rPr>
          <w:rFonts w:hint="eastAsia" w:ascii="Times New Roman" w:hAnsi="Times New Roman" w:eastAsia="宋体" w:cs="Times New Roman"/>
          <w:b/>
          <w:bCs/>
          <w:sz w:val="24"/>
          <w:szCs w:val="24"/>
          <w:lang w:val="en-US" w:eastAsia="zh-CN"/>
        </w:rPr>
        <w:t>附件1</w:t>
      </w:r>
    </w:p>
    <w:p>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drawing>
          <wp:anchor distT="0" distB="0" distL="114300" distR="114300" simplePos="0" relativeHeight="251703296" behindDoc="1" locked="0" layoutInCell="1" allowOverlap="1">
            <wp:simplePos x="0" y="0"/>
            <wp:positionH relativeFrom="column">
              <wp:posOffset>-433070</wp:posOffset>
            </wp:positionH>
            <wp:positionV relativeFrom="paragraph">
              <wp:posOffset>-437515</wp:posOffset>
            </wp:positionV>
            <wp:extent cx="7732395" cy="10038715"/>
            <wp:effectExtent l="0" t="0" r="1905" b="635"/>
            <wp:wrapNone/>
            <wp:docPr id="62" name="图片 62" descr="备案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备案表"/>
                    <pic:cNvPicPr>
                      <a:picLocks noChangeAspect="1"/>
                    </pic:cNvPicPr>
                  </pic:nvPicPr>
                  <pic:blipFill>
                    <a:blip r:embed="rId31"/>
                    <a:stretch>
                      <a:fillRect/>
                    </a:stretch>
                  </pic:blipFill>
                  <pic:spPr>
                    <a:xfrm>
                      <a:off x="0" y="0"/>
                      <a:ext cx="7732395" cy="10038715"/>
                    </a:xfrm>
                    <a:prstGeom prst="rect">
                      <a:avLst/>
                    </a:prstGeom>
                  </pic:spPr>
                </pic:pic>
              </a:graphicData>
            </a:graphic>
          </wp:anchor>
        </w:drawing>
      </w:r>
    </w:p>
    <w:p>
      <w:pPr>
        <w:jc w:val="right"/>
        <w:rPr>
          <w:rFonts w:hint="eastAsia"/>
          <w:b/>
          <w:bCs/>
          <w:sz w:val="24"/>
          <w:szCs w:val="24"/>
          <w:lang w:val="en-US" w:eastAsia="zh-CN"/>
        </w:rPr>
        <w:sectPr>
          <w:pgSz w:w="12240" w:h="15840"/>
          <w:pgMar w:top="720" w:right="720" w:bottom="720" w:left="720" w:header="720" w:footer="720"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eastAsia="宋体" w:cs="Times New Roman"/>
          <w:b/>
          <w:bCs/>
          <w:sz w:val="24"/>
          <w:szCs w:val="24"/>
          <w:lang w:val="en-US" w:eastAsia="zh-CN"/>
        </w:rPr>
        <w:t>附件2</w:t>
      </w:r>
    </w:p>
    <w:p>
      <w:pPr>
        <w:pStyle w:val="10"/>
        <w:jc w:val="right"/>
        <w:rPr>
          <w:rFonts w:hint="default"/>
          <w:b/>
          <w:bCs/>
          <w:sz w:val="24"/>
          <w:szCs w:val="24"/>
          <w:lang w:val="en-US" w:eastAsia="zh-CN"/>
        </w:rPr>
        <w:sectPr>
          <w:pgSz w:w="12240" w:h="15840"/>
          <w:pgMar w:top="720" w:right="720" w:bottom="720" w:left="720" w:header="720" w:footer="720" w:gutter="0"/>
          <w:pgBorders>
            <w:top w:val="none" w:sz="0" w:space="0"/>
            <w:left w:val="none" w:sz="0" w:space="0"/>
            <w:bottom w:val="none" w:sz="0" w:space="0"/>
            <w:right w:val="none" w:sz="0" w:space="0"/>
          </w:pgBorders>
          <w:cols w:space="425" w:num="1"/>
          <w:docGrid w:type="lines" w:linePitch="312" w:charSpace="0"/>
        </w:sectPr>
      </w:pPr>
      <w:r>
        <w:rPr>
          <w:rFonts w:hint="default"/>
          <w:b/>
          <w:bCs/>
          <w:sz w:val="24"/>
          <w:szCs w:val="24"/>
          <w:lang w:val="en-US" w:eastAsia="zh-CN"/>
        </w:rPr>
        <w:drawing>
          <wp:anchor distT="0" distB="0" distL="114300" distR="114300" simplePos="0" relativeHeight="251701248" behindDoc="1" locked="0" layoutInCell="1" allowOverlap="1">
            <wp:simplePos x="0" y="0"/>
            <wp:positionH relativeFrom="column">
              <wp:posOffset>-419100</wp:posOffset>
            </wp:positionH>
            <wp:positionV relativeFrom="paragraph">
              <wp:posOffset>-408940</wp:posOffset>
            </wp:positionV>
            <wp:extent cx="7724140" cy="9991725"/>
            <wp:effectExtent l="0" t="0" r="10160" b="9525"/>
            <wp:wrapNone/>
            <wp:docPr id="63" name="图片 63" descr="1db4420fcd771d22861731a92c205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db4420fcd771d22861731a92c205c4"/>
                    <pic:cNvPicPr>
                      <a:picLocks noChangeAspect="1"/>
                    </pic:cNvPicPr>
                  </pic:nvPicPr>
                  <pic:blipFill>
                    <a:blip r:embed="rId32"/>
                    <a:stretch>
                      <a:fillRect/>
                    </a:stretch>
                  </pic:blipFill>
                  <pic:spPr>
                    <a:xfrm>
                      <a:off x="0" y="0"/>
                      <a:ext cx="7724140" cy="9991725"/>
                    </a:xfrm>
                    <a:prstGeom prst="rect">
                      <a:avLst/>
                    </a:prstGeom>
                  </pic:spPr>
                </pic:pic>
              </a:graphicData>
            </a:graphic>
          </wp:anchor>
        </w:drawing>
      </w:r>
      <w:r>
        <w:rPr>
          <w:rFonts w:hint="eastAsia"/>
          <w:b/>
          <w:bCs/>
          <w:sz w:val="24"/>
          <w:szCs w:val="24"/>
          <w:lang w:val="en-US" w:eastAsia="zh-CN"/>
        </w:rPr>
        <w:t>附件3</w:t>
      </w:r>
    </w:p>
    <w:p>
      <w:pPr>
        <w:jc w:val="right"/>
        <w:rPr>
          <w:rFonts w:hint="eastAsia"/>
          <w:b/>
          <w:bCs/>
          <w:sz w:val="24"/>
          <w:szCs w:val="24"/>
          <w:lang w:val="en-US" w:eastAsia="zh-CN"/>
        </w:rPr>
        <w:sectPr>
          <w:pgSz w:w="12240" w:h="15840"/>
          <w:pgMar w:top="720" w:right="720" w:bottom="720" w:left="720" w:header="720" w:footer="720"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eastAsia="宋体" w:cs="Times New Roman"/>
        </w:rPr>
        <w:drawing>
          <wp:anchor distT="0" distB="0" distL="114300" distR="114300" simplePos="0" relativeHeight="251703296" behindDoc="1" locked="0" layoutInCell="1" allowOverlap="1">
            <wp:simplePos x="0" y="0"/>
            <wp:positionH relativeFrom="column">
              <wp:posOffset>-419100</wp:posOffset>
            </wp:positionH>
            <wp:positionV relativeFrom="paragraph">
              <wp:posOffset>-438785</wp:posOffset>
            </wp:positionV>
            <wp:extent cx="7708265" cy="9991090"/>
            <wp:effectExtent l="0" t="0" r="6985" b="10160"/>
            <wp:wrapNone/>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33"/>
                    <a:stretch>
                      <a:fillRect/>
                    </a:stretch>
                  </pic:blipFill>
                  <pic:spPr>
                    <a:xfrm>
                      <a:off x="0" y="0"/>
                      <a:ext cx="7708265" cy="9991090"/>
                    </a:xfrm>
                    <a:prstGeom prst="rect">
                      <a:avLst/>
                    </a:prstGeom>
                    <a:noFill/>
                    <a:ln>
                      <a:noFill/>
                    </a:ln>
                  </pic:spPr>
                </pic:pic>
              </a:graphicData>
            </a:graphic>
          </wp:anchor>
        </w:drawing>
      </w:r>
      <w:r>
        <w:rPr>
          <w:rFonts w:hint="eastAsia" w:ascii="Times New Roman" w:hAnsi="Times New Roman" w:eastAsia="宋体" w:cs="Times New Roman"/>
          <w:b/>
          <w:bCs/>
          <w:sz w:val="24"/>
          <w:szCs w:val="24"/>
          <w:lang w:val="en-US" w:eastAsia="zh-CN"/>
        </w:rPr>
        <w:t>附件4</w:t>
      </w:r>
    </w:p>
    <w:p>
      <w:pPr>
        <w:pStyle w:val="10"/>
        <w:jc w:val="right"/>
        <w:rPr>
          <w:rFonts w:hint="default"/>
          <w:b/>
          <w:bCs/>
          <w:sz w:val="24"/>
          <w:szCs w:val="24"/>
          <w:lang w:val="en-US" w:eastAsia="zh-CN"/>
        </w:rPr>
      </w:pPr>
      <w:r>
        <w:rPr>
          <w:rFonts w:hint="default"/>
          <w:b/>
          <w:bCs/>
          <w:sz w:val="24"/>
          <w:szCs w:val="24"/>
          <w:lang w:val="en-US" w:eastAsia="zh-CN"/>
        </w:rPr>
        <w:drawing>
          <wp:anchor distT="0" distB="0" distL="114300" distR="114300" simplePos="0" relativeHeight="251701248" behindDoc="1" locked="0" layoutInCell="1" allowOverlap="1">
            <wp:simplePos x="0" y="0"/>
            <wp:positionH relativeFrom="column">
              <wp:posOffset>-880110</wp:posOffset>
            </wp:positionH>
            <wp:positionV relativeFrom="paragraph">
              <wp:posOffset>-1060450</wp:posOffset>
            </wp:positionV>
            <wp:extent cx="10630535" cy="7426960"/>
            <wp:effectExtent l="0" t="0" r="18415" b="2540"/>
            <wp:wrapNone/>
            <wp:docPr id="65" name="图片 65"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营业执照"/>
                    <pic:cNvPicPr>
                      <a:picLocks noChangeAspect="1"/>
                    </pic:cNvPicPr>
                  </pic:nvPicPr>
                  <pic:blipFill>
                    <a:blip r:embed="rId34"/>
                    <a:stretch>
                      <a:fillRect/>
                    </a:stretch>
                  </pic:blipFill>
                  <pic:spPr>
                    <a:xfrm>
                      <a:off x="0" y="0"/>
                      <a:ext cx="10630535" cy="7426960"/>
                    </a:xfrm>
                    <a:prstGeom prst="rect">
                      <a:avLst/>
                    </a:prstGeom>
                  </pic:spPr>
                </pic:pic>
              </a:graphicData>
            </a:graphic>
          </wp:anchor>
        </w:drawing>
      </w:r>
      <w:r>
        <w:rPr>
          <w:rFonts w:hint="eastAsia"/>
          <w:b/>
          <w:bCs/>
          <w:sz w:val="24"/>
          <w:szCs w:val="24"/>
          <w:lang w:val="en-US" w:eastAsia="zh-CN"/>
        </w:rPr>
        <w:t>附件5</w:t>
      </w:r>
    </w:p>
    <w:p>
      <w:pPr>
        <w:rPr>
          <w:rFonts w:hint="eastAsia" w:eastAsiaTheme="minorEastAsia"/>
          <w:lang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Georgia">
    <w:panose1 w:val="02040502050405020303"/>
    <w:charset w:val="00"/>
    <w:family w:val="roman"/>
    <w:pitch w:val="default"/>
    <w:sig w:usb0="00000287" w:usb1="00000000" w:usb2="00000000" w:usb3="00000000" w:csb0="2000009F"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left" w:pos="2085"/>
      </w:tabs>
      <w:snapToGrid w:val="0"/>
      <w:ind w:right="360" w:firstLine="360"/>
      <w:jc w:val="left"/>
      <w:rPr>
        <w:rFonts w:hint="eastAsia" w:ascii="Times New Roman" w:hAnsi="Times New Roman" w:eastAsia="宋体" w:cs="Times New Roman"/>
        <w:kern w:val="0"/>
        <w:sz w:val="18"/>
        <w:szCs w:val="20"/>
        <w:lang w:val="en-US" w:eastAsia="zh-CN" w:bidi="ar-SA"/>
      </w:rPr>
    </w:pPr>
    <w:r>
      <w:rPr>
        <w:rFonts w:ascii="Times New Roman" w:hAnsi="Times New Roman" w:eastAsia="宋体" w:cs="Times New Roman"/>
        <w:kern w:val="0"/>
        <w:sz w:val="18"/>
        <w:szCs w:val="20"/>
        <w:lang w:val="en-US" w:eastAsia="zh-CN"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snapToGrid w:val="0"/>
                            <w:jc w:val="left"/>
                            <w:rPr>
                              <w:rStyle w:val="15"/>
                              <w:rFonts w:ascii="宋体" w:hAnsi="宋体" w:eastAsia="宋体" w:cs="Times New Roman"/>
                              <w:kern w:val="0"/>
                              <w:sz w:val="28"/>
                              <w:szCs w:val="28"/>
                              <w:lang w:val="en-US" w:eastAsia="zh-CN" w:bidi="ar-SA"/>
                            </w:rPr>
                          </w:pPr>
                          <w:r>
                            <w:rPr>
                              <w:rStyle w:val="15"/>
                              <w:rFonts w:hint="eastAsia" w:ascii="宋体" w:hAnsi="宋体" w:eastAsia="宋体" w:cs="Times New Roman"/>
                              <w:kern w:val="0"/>
                              <w:sz w:val="28"/>
                              <w:szCs w:val="28"/>
                              <w:lang w:val="en-US" w:eastAsia="zh-CN" w:bidi="ar-SA"/>
                            </w:rPr>
                            <w:t>—</w:t>
                          </w:r>
                          <w:r>
                            <w:rPr>
                              <w:rStyle w:val="15"/>
                              <w:rFonts w:hint="eastAsia" w:ascii="宋体" w:hAnsi="宋体" w:eastAsia="宋体" w:cs="Times New Roman"/>
                              <w:kern w:val="0"/>
                              <w:sz w:val="20"/>
                              <w:szCs w:val="20"/>
                              <w:lang w:val="en-US" w:eastAsia="zh-CN" w:bidi="ar-SA"/>
                            </w:rPr>
                            <w:t xml:space="preserve">  </w:t>
                          </w:r>
                          <w:r>
                            <w:rPr>
                              <w:rStyle w:val="15"/>
                              <w:rFonts w:ascii="宋体" w:hAnsi="宋体" w:eastAsia="宋体" w:cs="Times New Roman"/>
                              <w:kern w:val="0"/>
                              <w:sz w:val="26"/>
                              <w:szCs w:val="26"/>
                              <w:lang w:val="en-US" w:eastAsia="zh-CN" w:bidi="ar-SA"/>
                            </w:rPr>
                            <w:fldChar w:fldCharType="begin"/>
                          </w:r>
                          <w:r>
                            <w:rPr>
                              <w:rStyle w:val="15"/>
                              <w:rFonts w:ascii="宋体" w:hAnsi="宋体" w:eastAsia="宋体" w:cs="Times New Roman"/>
                              <w:kern w:val="0"/>
                              <w:sz w:val="26"/>
                              <w:szCs w:val="26"/>
                              <w:lang w:val="en-US" w:eastAsia="zh-CN" w:bidi="ar-SA"/>
                            </w:rPr>
                            <w:instrText xml:space="preserve">PAGE  </w:instrText>
                          </w:r>
                          <w:r>
                            <w:rPr>
                              <w:rStyle w:val="15"/>
                              <w:rFonts w:ascii="宋体" w:hAnsi="宋体" w:eastAsia="宋体" w:cs="Times New Roman"/>
                              <w:kern w:val="0"/>
                              <w:sz w:val="26"/>
                              <w:szCs w:val="26"/>
                              <w:lang w:val="en-US" w:eastAsia="zh-CN" w:bidi="ar-SA"/>
                            </w:rPr>
                            <w:fldChar w:fldCharType="separate"/>
                          </w:r>
                          <w:r>
                            <w:rPr>
                              <w:rStyle w:val="15"/>
                              <w:rFonts w:ascii="宋体" w:hAnsi="宋体" w:eastAsia="宋体" w:cs="Times New Roman"/>
                              <w:kern w:val="0"/>
                              <w:sz w:val="26"/>
                              <w:szCs w:val="26"/>
                              <w:lang w:val="en-US" w:eastAsia="zh-CN" w:bidi="ar-SA"/>
                            </w:rPr>
                            <w:t>28</w:t>
                          </w:r>
                          <w:r>
                            <w:rPr>
                              <w:rStyle w:val="15"/>
                              <w:rFonts w:ascii="宋体" w:hAnsi="宋体" w:eastAsia="宋体" w:cs="Times New Roman"/>
                              <w:kern w:val="0"/>
                              <w:sz w:val="26"/>
                              <w:szCs w:val="26"/>
                              <w:lang w:val="en-US" w:eastAsia="zh-CN" w:bidi="ar-SA"/>
                            </w:rPr>
                            <w:fldChar w:fldCharType="end"/>
                          </w:r>
                          <w:r>
                            <w:rPr>
                              <w:rStyle w:val="15"/>
                              <w:rFonts w:hint="eastAsia" w:ascii="宋体" w:hAnsi="宋体" w:eastAsia="宋体" w:cs="Times New Roman"/>
                              <w:kern w:val="0"/>
                              <w:sz w:val="20"/>
                              <w:szCs w:val="20"/>
                              <w:lang w:val="en-US" w:eastAsia="zh-CN" w:bidi="ar-SA"/>
                            </w:rPr>
                            <w:t xml:space="preserve">  </w:t>
                          </w:r>
                          <w:r>
                            <w:rPr>
                              <w:rStyle w:val="15"/>
                              <w:rFonts w:hint="eastAsia" w:ascii="宋体" w:hAnsi="宋体" w:eastAsia="宋体" w:cs="Times New Roman"/>
                              <w:kern w:val="0"/>
                              <w:sz w:val="28"/>
                              <w:szCs w:val="28"/>
                              <w:lang w:val="en-US" w:eastAsia="zh-CN" w:bidi="ar-SA"/>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8+0c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68+0coBAACbAwAADgAAAAAAAAABACAAAAAeAQAAZHJzL2Uyb0Rv&#10;Yy54bWxQSwUGAAAAAAYABgBZAQAAWgUAAAAA&#10;">
              <v:fill on="f" focussize="0,0"/>
              <v:stroke on="f"/>
              <v:imagedata o:title=""/>
              <o:lock v:ext="edit" aspectratio="f"/>
              <v:textbox inset="0mm,0mm,0mm,0mm" style="mso-fit-shape-to-text:t;">
                <w:txbxContent>
                  <w:p>
                    <w:pPr>
                      <w:widowControl w:val="0"/>
                      <w:snapToGrid w:val="0"/>
                      <w:jc w:val="left"/>
                      <w:rPr>
                        <w:rStyle w:val="15"/>
                        <w:rFonts w:ascii="宋体" w:hAnsi="宋体" w:eastAsia="宋体" w:cs="Times New Roman"/>
                        <w:kern w:val="0"/>
                        <w:sz w:val="28"/>
                        <w:szCs w:val="28"/>
                        <w:lang w:val="en-US" w:eastAsia="zh-CN" w:bidi="ar-SA"/>
                      </w:rPr>
                    </w:pPr>
                    <w:r>
                      <w:rPr>
                        <w:rStyle w:val="15"/>
                        <w:rFonts w:hint="eastAsia" w:ascii="宋体" w:hAnsi="宋体" w:eastAsia="宋体" w:cs="Times New Roman"/>
                        <w:kern w:val="0"/>
                        <w:sz w:val="28"/>
                        <w:szCs w:val="28"/>
                        <w:lang w:val="en-US" w:eastAsia="zh-CN" w:bidi="ar-SA"/>
                      </w:rPr>
                      <w:t>—</w:t>
                    </w:r>
                    <w:r>
                      <w:rPr>
                        <w:rStyle w:val="15"/>
                        <w:rFonts w:hint="eastAsia" w:ascii="宋体" w:hAnsi="宋体" w:eastAsia="宋体" w:cs="Times New Roman"/>
                        <w:kern w:val="0"/>
                        <w:sz w:val="20"/>
                        <w:szCs w:val="20"/>
                        <w:lang w:val="en-US" w:eastAsia="zh-CN" w:bidi="ar-SA"/>
                      </w:rPr>
                      <w:t xml:space="preserve">  </w:t>
                    </w:r>
                    <w:r>
                      <w:rPr>
                        <w:rStyle w:val="15"/>
                        <w:rFonts w:ascii="宋体" w:hAnsi="宋体" w:eastAsia="宋体" w:cs="Times New Roman"/>
                        <w:kern w:val="0"/>
                        <w:sz w:val="26"/>
                        <w:szCs w:val="26"/>
                        <w:lang w:val="en-US" w:eastAsia="zh-CN" w:bidi="ar-SA"/>
                      </w:rPr>
                      <w:fldChar w:fldCharType="begin"/>
                    </w:r>
                    <w:r>
                      <w:rPr>
                        <w:rStyle w:val="15"/>
                        <w:rFonts w:ascii="宋体" w:hAnsi="宋体" w:eastAsia="宋体" w:cs="Times New Roman"/>
                        <w:kern w:val="0"/>
                        <w:sz w:val="26"/>
                        <w:szCs w:val="26"/>
                        <w:lang w:val="en-US" w:eastAsia="zh-CN" w:bidi="ar-SA"/>
                      </w:rPr>
                      <w:instrText xml:space="preserve">PAGE  </w:instrText>
                    </w:r>
                    <w:r>
                      <w:rPr>
                        <w:rStyle w:val="15"/>
                        <w:rFonts w:ascii="宋体" w:hAnsi="宋体" w:eastAsia="宋体" w:cs="Times New Roman"/>
                        <w:kern w:val="0"/>
                        <w:sz w:val="26"/>
                        <w:szCs w:val="26"/>
                        <w:lang w:val="en-US" w:eastAsia="zh-CN" w:bidi="ar-SA"/>
                      </w:rPr>
                      <w:fldChar w:fldCharType="separate"/>
                    </w:r>
                    <w:r>
                      <w:rPr>
                        <w:rStyle w:val="15"/>
                        <w:rFonts w:ascii="宋体" w:hAnsi="宋体" w:eastAsia="宋体" w:cs="Times New Roman"/>
                        <w:kern w:val="0"/>
                        <w:sz w:val="26"/>
                        <w:szCs w:val="26"/>
                        <w:lang w:val="en-US" w:eastAsia="zh-CN" w:bidi="ar-SA"/>
                      </w:rPr>
                      <w:t>28</w:t>
                    </w:r>
                    <w:r>
                      <w:rPr>
                        <w:rStyle w:val="15"/>
                        <w:rFonts w:ascii="宋体" w:hAnsi="宋体" w:eastAsia="宋体" w:cs="Times New Roman"/>
                        <w:kern w:val="0"/>
                        <w:sz w:val="26"/>
                        <w:szCs w:val="26"/>
                        <w:lang w:val="en-US" w:eastAsia="zh-CN" w:bidi="ar-SA"/>
                      </w:rPr>
                      <w:fldChar w:fldCharType="end"/>
                    </w:r>
                    <w:r>
                      <w:rPr>
                        <w:rStyle w:val="15"/>
                        <w:rFonts w:hint="eastAsia" w:ascii="宋体" w:hAnsi="宋体" w:eastAsia="宋体" w:cs="Times New Roman"/>
                        <w:kern w:val="0"/>
                        <w:sz w:val="20"/>
                        <w:szCs w:val="20"/>
                        <w:lang w:val="en-US" w:eastAsia="zh-CN" w:bidi="ar-SA"/>
                      </w:rPr>
                      <w:t xml:space="preserve">  </w:t>
                    </w:r>
                    <w:r>
                      <w:rPr>
                        <w:rStyle w:val="15"/>
                        <w:rFonts w:hint="eastAsia" w:ascii="宋体" w:hAnsi="宋体" w:eastAsia="宋体" w:cs="Times New Roman"/>
                        <w:kern w:val="0"/>
                        <w:sz w:val="28"/>
                        <w:szCs w:val="28"/>
                        <w:lang w:val="en-US" w:eastAsia="zh-CN" w:bidi="ar-SA"/>
                      </w:rPr>
                      <w:t>—</w:t>
                    </w:r>
                  </w:p>
                </w:txbxContent>
              </v:textbox>
            </v:shape>
          </w:pict>
        </mc:Fallback>
      </mc:AlternateContent>
    </w:r>
    <w:r>
      <w:rPr>
        <w:rFonts w:hint="eastAsia" w:ascii="Times New Roman" w:hAnsi="Times New Roman" w:eastAsia="宋体" w:cs="Times New Roman"/>
        <w:kern w:val="0"/>
        <w:sz w:val="18"/>
        <w:szCs w:val="20"/>
        <w:lang w:val="en-US" w:eastAsia="zh-CN" w:bidi="ar-SA"/>
      </w:rPr>
      <w:tab/>
    </w:r>
    <w:r>
      <w:rPr>
        <w:rFonts w:hint="eastAsia" w:ascii="Times New Roman" w:hAnsi="Times New Roman" w:eastAsia="宋体" w:cs="Times New Roman"/>
        <w:kern w:val="0"/>
        <w:sz w:val="18"/>
        <w:szCs w:val="20"/>
        <w:lang w:val="en-US" w:eastAsia="zh-CN" w:bidi="ar-S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5"/>
        <w:rFonts w:ascii="宋体" w:hAnsi="宋体"/>
        <w:sz w:val="28"/>
        <w:szCs w:val="28"/>
      </w:rPr>
    </w:pPr>
    <w:r>
      <w:rPr>
        <w:rStyle w:val="15"/>
        <w:rFonts w:hint="eastAsia" w:ascii="宋体" w:hAnsi="宋体"/>
        <w:sz w:val="28"/>
        <w:szCs w:val="28"/>
      </w:rPr>
      <w:t>—</w:t>
    </w:r>
    <w:r>
      <w:rPr>
        <w:rStyle w:val="15"/>
        <w:rFonts w:hint="eastAsia" w:ascii="宋体" w:hAnsi="宋体"/>
        <w:sz w:val="20"/>
      </w:rPr>
      <w:t xml:space="preserve">  </w:t>
    </w:r>
    <w:r>
      <w:rPr>
        <w:rFonts w:ascii="宋体" w:hAnsi="宋体"/>
        <w:sz w:val="26"/>
        <w:szCs w:val="26"/>
      </w:rPr>
      <w:fldChar w:fldCharType="begin"/>
    </w:r>
    <w:r>
      <w:rPr>
        <w:rStyle w:val="15"/>
        <w:rFonts w:ascii="宋体" w:hAnsi="宋体"/>
        <w:sz w:val="26"/>
        <w:szCs w:val="26"/>
      </w:rPr>
      <w:instrText xml:space="preserve">PAGE  </w:instrText>
    </w:r>
    <w:r>
      <w:rPr>
        <w:rFonts w:ascii="宋体" w:hAnsi="宋体"/>
        <w:sz w:val="26"/>
        <w:szCs w:val="26"/>
      </w:rPr>
      <w:fldChar w:fldCharType="separate"/>
    </w:r>
    <w:r>
      <w:rPr>
        <w:rStyle w:val="15"/>
        <w:rFonts w:ascii="宋体" w:hAnsi="宋体"/>
        <w:sz w:val="26"/>
        <w:szCs w:val="26"/>
      </w:rPr>
      <w:t>36</w:t>
    </w:r>
    <w:r>
      <w:rPr>
        <w:rFonts w:ascii="宋体" w:hAnsi="宋体"/>
        <w:sz w:val="26"/>
        <w:szCs w:val="26"/>
      </w:rPr>
      <w:fldChar w:fldCharType="end"/>
    </w:r>
    <w:r>
      <w:rPr>
        <w:rStyle w:val="15"/>
        <w:rFonts w:hint="eastAsia" w:ascii="宋体" w:hAnsi="宋体"/>
        <w:sz w:val="20"/>
      </w:rPr>
      <w:t xml:space="preserve">  </w:t>
    </w:r>
    <w:r>
      <w:rPr>
        <w:rStyle w:val="15"/>
        <w:rFonts w:hint="eastAsia" w:ascii="宋体" w:hAnsi="宋体"/>
        <w:sz w:val="28"/>
        <w:szCs w:val="28"/>
      </w:rPr>
      <w:t>—</w:t>
    </w:r>
  </w:p>
  <w:p>
    <w:pPr>
      <w:pStyle w:val="9"/>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CA0E55"/>
    <w:rsid w:val="0E431D6C"/>
    <w:rsid w:val="1ACA0E55"/>
    <w:rsid w:val="25140066"/>
    <w:rsid w:val="305D12A2"/>
    <w:rsid w:val="4EDD0158"/>
    <w:rsid w:val="4EE162D1"/>
    <w:rsid w:val="5762417C"/>
    <w:rsid w:val="60D535EF"/>
    <w:rsid w:val="675A28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next w:val="1"/>
    <w:qFormat/>
    <w:uiPriority w:val="99"/>
    <w:pPr>
      <w:keepNext/>
      <w:widowControl w:val="0"/>
      <w:overflowPunct w:val="0"/>
      <w:snapToGrid w:val="0"/>
      <w:spacing w:before="120" w:after="160" w:line="259" w:lineRule="auto"/>
      <w:ind w:left="432" w:hanging="432"/>
      <w:jc w:val="both"/>
      <w:outlineLvl w:val="0"/>
    </w:pPr>
    <w:rPr>
      <w:rFonts w:ascii="Times New Roman" w:hAnsi="Times New Roman" w:eastAsia="黑体" w:cs="Times New Roman"/>
      <w:b/>
      <w:bCs/>
      <w:color w:val="000000"/>
      <w:kern w:val="44"/>
      <w:sz w:val="30"/>
      <w:szCs w:val="30"/>
      <w:lang w:val="en-US" w:eastAsia="zh-CN" w:bidi="ar-SA"/>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2"/>
    <w:next w:val="1"/>
    <w:qFormat/>
    <w:uiPriority w:val="0"/>
    <w:pPr>
      <w:widowControl w:val="0"/>
      <w:spacing w:after="120"/>
      <w:ind w:left="420" w:leftChars="200" w:firstLine="420" w:firstLineChars="200"/>
      <w:jc w:val="both"/>
    </w:pPr>
    <w:rPr>
      <w:rFonts w:ascii="Times New Roman" w:hAnsi="Times New Roman" w:eastAsia="宋体" w:cs="Times New Roman"/>
      <w:kern w:val="0"/>
      <w:sz w:val="24"/>
      <w:szCs w:val="20"/>
      <w:lang w:val="en-US" w:eastAsia="zh-CN" w:bidi="ar-SA"/>
    </w:rPr>
  </w:style>
  <w:style w:type="paragraph" w:styleId="4">
    <w:name w:val="Normal Indent"/>
    <w:next w:val="5"/>
    <w:qFormat/>
    <w:uiPriority w:val="0"/>
    <w:pPr>
      <w:widowControl w:val="0"/>
      <w:spacing w:line="240" w:lineRule="auto"/>
      <w:ind w:firstLine="0" w:firstLineChars="0"/>
      <w:jc w:val="center"/>
    </w:pPr>
    <w:rPr>
      <w:rFonts w:ascii="Times New Roman" w:hAnsi="Times New Roman" w:eastAsia="宋体" w:cs="Times New Roman"/>
      <w:kern w:val="2"/>
      <w:sz w:val="21"/>
      <w:szCs w:val="20"/>
      <w:lang w:val="en-US" w:eastAsia="zh-CN" w:bidi="ar-SA"/>
    </w:rPr>
  </w:style>
  <w:style w:type="paragraph" w:customStyle="1" w:styleId="5">
    <w:name w:val="正文首行缩进2个字 Char"/>
    <w:qFormat/>
    <w:uiPriority w:val="0"/>
    <w:pPr>
      <w:widowControl w:val="0"/>
      <w:ind w:firstLine="480" w:firstLineChars="200"/>
      <w:jc w:val="both"/>
    </w:pPr>
    <w:rPr>
      <w:rFonts w:ascii="Georgia" w:hAnsi="Georgia" w:eastAsia="楷体" w:cs="Times New Roman"/>
      <w:kern w:val="2"/>
      <w:sz w:val="24"/>
      <w:szCs w:val="24"/>
      <w:lang w:val="en-US" w:eastAsia="zh-CN" w:bidi="ar-SA"/>
    </w:rPr>
  </w:style>
  <w:style w:type="paragraph" w:styleId="6">
    <w:name w:val="caption"/>
    <w:next w:val="1"/>
    <w:unhideWhenUsed/>
    <w:qFormat/>
    <w:uiPriority w:val="0"/>
    <w:pPr>
      <w:widowControl w:val="0"/>
      <w:jc w:val="both"/>
    </w:pPr>
    <w:rPr>
      <w:rFonts w:ascii="Cambria" w:hAnsi="Cambria" w:eastAsia="黑体" w:cs="Times New Roman"/>
      <w:kern w:val="2"/>
      <w:sz w:val="20"/>
      <w:szCs w:val="20"/>
      <w:lang w:val="en-US" w:eastAsia="zh-CN" w:bidi="ar-SA"/>
    </w:rPr>
  </w:style>
  <w:style w:type="paragraph" w:styleId="7">
    <w:name w:val="Body Text"/>
    <w:qFormat/>
    <w:uiPriority w:val="0"/>
    <w:pPr>
      <w:widowControl/>
      <w:snapToGrid w:val="0"/>
      <w:spacing w:line="400" w:lineRule="exact"/>
      <w:ind w:right="0" w:firstLine="720" w:firstLineChars="200"/>
      <w:jc w:val="left"/>
    </w:pPr>
    <w:rPr>
      <w:rFonts w:ascii="Times New Roman" w:hAnsi="Times New Roman" w:eastAsia="宋体" w:cs="Times New Roman"/>
      <w:kern w:val="0"/>
      <w:sz w:val="21"/>
      <w:szCs w:val="20"/>
      <w:lang w:val="en-US" w:eastAsia="zh-CN" w:bidi="ar-SA"/>
    </w:rPr>
  </w:style>
  <w:style w:type="paragraph" w:styleId="8">
    <w:name w:val="Body Text Indent"/>
    <w:next w:val="7"/>
    <w:qFormat/>
    <w:uiPriority w:val="0"/>
    <w:pPr>
      <w:widowControl w:val="0"/>
      <w:spacing w:after="120"/>
      <w:ind w:left="420" w:leftChars="200"/>
      <w:jc w:val="both"/>
    </w:pPr>
    <w:rPr>
      <w:rFonts w:ascii="Times New Roman" w:hAnsi="Times New Roman" w:eastAsia="宋体" w:cs="Times New Roman"/>
      <w:kern w:val="0"/>
      <w:sz w:val="24"/>
      <w:szCs w:val="20"/>
      <w:lang w:val="en-US" w:eastAsia="zh-CN" w:bidi="ar-SA"/>
    </w:rPr>
  </w:style>
  <w:style w:type="paragraph" w:styleId="9">
    <w:name w:val="footer"/>
    <w:qFormat/>
    <w:uiPriority w:val="99"/>
    <w:pPr>
      <w:widowControl w:val="0"/>
      <w:tabs>
        <w:tab w:val="center" w:pos="4153"/>
        <w:tab w:val="right" w:pos="8306"/>
      </w:tabs>
      <w:snapToGrid w:val="0"/>
      <w:jc w:val="left"/>
    </w:pPr>
    <w:rPr>
      <w:rFonts w:ascii="Times New Roman" w:hAnsi="Times New Roman" w:eastAsia="宋体" w:cs="Times New Roman"/>
      <w:kern w:val="0"/>
      <w:sz w:val="18"/>
      <w:szCs w:val="20"/>
      <w:lang w:val="en-US" w:eastAsia="zh-CN" w:bidi="ar-SA"/>
    </w:rPr>
  </w:style>
  <w:style w:type="paragraph" w:styleId="10">
    <w:name w:val="Body Text 2"/>
    <w:qFormat/>
    <w:uiPriority w:val="0"/>
    <w:pPr>
      <w:widowControl w:val="0"/>
      <w:spacing w:after="120" w:afterLines="0" w:afterAutospacing="0" w:line="480" w:lineRule="auto"/>
      <w:jc w:val="both"/>
    </w:pPr>
    <w:rPr>
      <w:rFonts w:ascii="Times New Roman" w:hAnsi="Times New Roman" w:eastAsia="宋体" w:cs="Times New Roman"/>
      <w:kern w:val="2"/>
      <w:sz w:val="21"/>
      <w:szCs w:val="24"/>
      <w:lang w:val="en-US" w:eastAsia="zh-CN" w:bidi="ar-SA"/>
    </w:rPr>
  </w:style>
  <w:style w:type="paragraph" w:styleId="11">
    <w:name w:val="Normal (Web)"/>
    <w:qFormat/>
    <w:uiPriority w:val="0"/>
    <w:pPr>
      <w:widowControl/>
      <w:spacing w:before="100" w:beforeAutospacing="1" w:after="100" w:afterAutospacing="1"/>
      <w:jc w:val="left"/>
    </w:pPr>
    <w:rPr>
      <w:rFonts w:ascii="宋体" w:hAnsi="宋体" w:eastAsia="宋体" w:cs="Times New Roman"/>
      <w:kern w:val="0"/>
      <w:sz w:val="24"/>
      <w:szCs w:val="20"/>
      <w:lang w:val="en-US" w:eastAsia="zh-CN" w:bidi="ar-SA"/>
    </w:rPr>
  </w:style>
  <w:style w:type="table" w:styleId="13">
    <w:name w:val="Table Grid"/>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qFormat/>
    <w:uiPriority w:val="0"/>
  </w:style>
  <w:style w:type="paragraph" w:customStyle="1" w:styleId="16">
    <w:name w:val="表内 定"/>
    <w:qFormat/>
    <w:uiPriority w:val="0"/>
    <w:pPr>
      <w:widowControl w:val="0"/>
      <w:jc w:val="both"/>
    </w:pPr>
    <w:rPr>
      <w:rFonts w:ascii="Times New Roman" w:hAnsi="Times New Roman" w:eastAsia="宋体" w:cs="Times New Roman"/>
      <w:color w:val="000000"/>
      <w:kern w:val="2"/>
      <w:sz w:val="21"/>
      <w:szCs w:val="24"/>
      <w:lang w:val="en-US" w:eastAsia="zh-CN" w:bidi="ar-SA"/>
    </w:rPr>
  </w:style>
  <w:style w:type="paragraph" w:customStyle="1" w:styleId="17">
    <w:name w:val="22磅行间距"/>
    <w:qFormat/>
    <w:uiPriority w:val="0"/>
    <w:pPr>
      <w:widowControl w:val="0"/>
      <w:adjustRightInd w:val="0"/>
      <w:snapToGrid w:val="0"/>
      <w:spacing w:line="440" w:lineRule="exact"/>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18">
    <w:name w:val="NormalCharacter"/>
    <w:semiHidden/>
    <w:qFormat/>
    <w:uiPriority w:val="0"/>
    <w:rPr>
      <w:kern w:val="2"/>
      <w:sz w:val="21"/>
      <w:szCs w:val="24"/>
      <w:lang w:val="en-US" w:eastAsia="zh-CN" w:bidi="ar-SA"/>
    </w:rPr>
  </w:style>
  <w:style w:type="paragraph" w:customStyle="1" w:styleId="19">
    <w:name w:val="5表格内容"/>
    <w:next w:val="1"/>
    <w:qFormat/>
    <w:uiPriority w:val="0"/>
    <w:pPr>
      <w:widowControl w:val="0"/>
      <w:spacing w:line="320" w:lineRule="exact"/>
      <w:jc w:val="center"/>
    </w:pPr>
    <w:rPr>
      <w:rFonts w:ascii="Times New Roman" w:hAnsi="Times New Roman" w:eastAsia="宋体" w:cs="Times New Roman"/>
      <w:kern w:val="2"/>
      <w:sz w:val="21"/>
      <w:szCs w:val="24"/>
      <w:lang w:val="en-US" w:eastAsia="zh-CN" w:bidi="ar-SA"/>
    </w:rPr>
  </w:style>
  <w:style w:type="paragraph" w:styleId="20">
    <w:name w:val="List Paragraph"/>
    <w:qFormat/>
    <w:uiPriority w:val="34"/>
    <w:pPr>
      <w:widowControl w:val="0"/>
      <w:ind w:firstLine="420" w:firstLineChars="200"/>
      <w:jc w:val="both"/>
    </w:pPr>
    <w:rPr>
      <w:rFonts w:ascii="Calibri" w:hAnsi="Calibri" w:eastAsia="宋体" w:cs="Times New Roman"/>
      <w:kern w:val="2"/>
      <w:sz w:val="21"/>
      <w:szCs w:val="24"/>
      <w:lang w:val="en-US" w:eastAsia="zh-CN" w:bidi="ar-SA"/>
    </w:rPr>
  </w:style>
  <w:style w:type="character" w:customStyle="1" w:styleId="21">
    <w:name w:val="font01"/>
    <w:qFormat/>
    <w:uiPriority w:val="0"/>
    <w:rPr>
      <w:rFonts w:hint="eastAsia" w:ascii="宋体" w:hAnsi="宋体" w:eastAsia="宋体"/>
      <w:color w:val="000000"/>
      <w:sz w:val="21"/>
      <w:szCs w:val="21"/>
      <w:u w:val="none"/>
    </w:rPr>
  </w:style>
  <w:style w:type="paragraph" w:customStyle="1" w:styleId="22">
    <w:name w:val="_Style 1"/>
    <w:qFormat/>
    <w:uiPriority w:val="0"/>
    <w:pPr>
      <w:widowControl w:val="0"/>
      <w:spacing w:line="481" w:lineRule="atLeast"/>
      <w:ind w:firstLine="623"/>
      <w:jc w:val="both"/>
      <w:textAlignment w:val="baseline"/>
    </w:pPr>
    <w:rPr>
      <w:rFonts w:ascii="Times New Roman" w:hAnsi="Times New Roman" w:eastAsia="仿宋_GB2312" w:cs="Times New Roman"/>
      <w:color w:val="000000"/>
      <w:kern w:val="2"/>
      <w:sz w:val="31"/>
      <w:szCs w:val="24"/>
      <w:lang w:val="en-US" w:eastAsia="zh-CN" w:bidi="ar-SA"/>
    </w:rPr>
  </w:style>
  <w:style w:type="paragraph" w:customStyle="1" w:styleId="23">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24">
    <w:name w:val="表格"/>
    <w:next w:val="1"/>
    <w:qFormat/>
    <w:uiPriority w:val="0"/>
    <w:pPr>
      <w:widowControl w:val="0"/>
      <w:adjustRightInd w:val="0"/>
      <w:snapToGrid w:val="0"/>
      <w:spacing w:beforeLines="10" w:afterLines="10" w:line="259" w:lineRule="auto"/>
      <w:jc w:val="center"/>
    </w:pPr>
    <w:rPr>
      <w:rFonts w:ascii="宋体" w:hAnsi="Times New Roman" w:eastAsia="宋体" w:cs="Times New Roman"/>
      <w:kern w:val="0"/>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28.jpe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wmf"/><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2022-01-13T01:17:00Z</dcterms:created>
  <dc:creator>@Jamie</dc:creator>
  <cp:lastModifiedBy>@Jamie</cp:lastModifiedBy>
  <dcterms:modified xsi:type="dcterms:W3CDTF">2022-01-14T02:02:33Z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69180984B5FE4A4EACF54267BEDA5CA1</vt:lpwstr>
  </property>
</Properties>
</file>