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hint="eastAsia" w:ascii="仿宋_GB2312" w:hAnsi="仿宋_GB2312" w:eastAsia="仿宋_GB2312" w:cs="仿宋_GB2312"/>
          <w:sz w:val="36"/>
          <w:szCs w:val="36"/>
        </w:rPr>
      </w:pPr>
    </w:p>
    <w:p>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outlineLvl w:val="0"/>
        <w:rPr>
          <w:rFonts w:ascii="华文仿宋" w:hAnsi="华文仿宋" w:eastAsia="华文仿宋" w:cs="华文仿宋"/>
          <w:color w:val="000000"/>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left="2850" w:leftChars="500" w:hanging="1800" w:hangingChars="500"/>
        <w:rPr>
          <w:rFonts w:hint="eastAsia" w:ascii="仿宋_GB2312" w:eastAsia="仿宋_GB2312"/>
          <w:sz w:val="36"/>
          <w:szCs w:val="36"/>
          <w:u w:val="single"/>
        </w:rPr>
      </w:pPr>
      <w:r>
        <w:rPr>
          <w:rFonts w:hint="eastAsia" w:ascii="仿宋_GB2312" w:eastAsia="仿宋_GB2312"/>
          <w:sz w:val="36"/>
          <w:szCs w:val="36"/>
        </w:rPr>
        <w:t>项目名称：</w:t>
      </w:r>
      <w:r>
        <w:rPr>
          <w:rFonts w:hint="eastAsia" w:ascii="仿宋_GB2312" w:eastAsia="仿宋_GB2312"/>
          <w:sz w:val="36"/>
          <w:szCs w:val="36"/>
          <w:u w:val="single"/>
        </w:rPr>
        <w:t>河南</w:t>
      </w:r>
      <w:r>
        <w:rPr>
          <w:rFonts w:ascii="仿宋_GB2312" w:eastAsia="仿宋_GB2312"/>
          <w:sz w:val="36"/>
          <w:szCs w:val="36"/>
          <w:u w:val="single"/>
        </w:rPr>
        <w:t>兴泰纸业有限公司年加工</w:t>
      </w:r>
      <w:r>
        <w:rPr>
          <w:rFonts w:hint="eastAsia" w:ascii="仿宋_GB2312" w:eastAsia="仿宋_GB2312"/>
          <w:sz w:val="36"/>
          <w:szCs w:val="36"/>
          <w:u w:val="single"/>
        </w:rPr>
        <w:t>5.6万吨涂布白卡纸</w:t>
      </w:r>
      <w:r>
        <w:rPr>
          <w:rFonts w:ascii="仿宋_GB2312" w:eastAsia="仿宋_GB2312"/>
          <w:sz w:val="36"/>
          <w:szCs w:val="36"/>
          <w:u w:val="single"/>
        </w:rPr>
        <w:t>项目</w:t>
      </w:r>
      <w:r>
        <w:rPr>
          <w:rFonts w:hint="eastAsia" w:ascii="仿宋_GB2312" w:eastAsia="仿宋_GB2312"/>
          <w:sz w:val="36"/>
          <w:szCs w:val="36"/>
          <w:u w:val="single"/>
        </w:rPr>
        <w:t xml:space="preserve">                     </w:t>
      </w:r>
    </w:p>
    <w:p>
      <w:pPr>
        <w:adjustRightInd w:val="0"/>
        <w:snapToGrid w:val="0"/>
        <w:spacing w:line="288" w:lineRule="auto"/>
        <w:ind w:left="3930" w:leftChars="500" w:hanging="2880" w:hangingChars="800"/>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 xml:space="preserve">  河南兴泰纸业有限公司  </w:t>
      </w:r>
    </w:p>
    <w:p>
      <w:pPr>
        <w:adjustRightInd w:val="0"/>
        <w:snapToGrid w:val="0"/>
        <w:spacing w:line="288" w:lineRule="auto"/>
        <w:ind w:firstLine="1040"/>
        <w:rPr>
          <w:rFonts w:hint="eastAsia"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w:t>
      </w:r>
      <w:r>
        <w:rPr>
          <w:rFonts w:ascii="仿宋_GB2312" w:eastAsia="仿宋_GB2312"/>
          <w:sz w:val="36"/>
          <w:szCs w:val="36"/>
          <w:u w:val="single"/>
        </w:rPr>
        <w:t>二</w:t>
      </w:r>
      <w:r>
        <w:rPr>
          <w:rFonts w:hint="eastAsia" w:ascii="仿宋" w:hAnsi="仿宋" w:eastAsia="仿宋"/>
          <w:sz w:val="32"/>
          <w:u w:val="single"/>
        </w:rPr>
        <w:t>〇</w:t>
      </w:r>
      <w:r>
        <w:rPr>
          <w:rFonts w:hint="eastAsia" w:ascii="仿宋_GB2312" w:eastAsia="仿宋_GB2312"/>
          <w:sz w:val="36"/>
          <w:szCs w:val="36"/>
          <w:u w:val="single"/>
        </w:rPr>
        <w:t>二一年十二月</w:t>
      </w:r>
      <w:r>
        <w:rPr>
          <w:rFonts w:ascii="仿宋_GB2312" w:eastAsia="仿宋_GB2312"/>
          <w:sz w:val="36"/>
          <w:szCs w:val="36"/>
          <w:u w:val="single"/>
        </w:rPr>
        <w:t xml:space="preserve">       </w:t>
      </w:r>
      <w:r>
        <w:rPr>
          <w:rFonts w:hint="eastAsia" w:ascii="仿宋_GB2312" w:eastAsia="仿宋_GB2312"/>
          <w:sz w:val="36"/>
          <w:szCs w:val="36"/>
          <w:u w:val="single"/>
        </w:rPr>
        <w:t xml:space="preserve">   </w:t>
      </w:r>
      <w:r>
        <w:rPr>
          <w:rFonts w:ascii="仿宋_GB2312" w:eastAsia="仿宋_GB2312"/>
          <w:sz w:val="36"/>
          <w:szCs w:val="36"/>
          <w:u w:val="single"/>
        </w:rPr>
        <w:t xml:space="preserve"> </w:t>
      </w:r>
    </w:p>
    <w:p>
      <w:pPr>
        <w:adjustRightInd w:val="0"/>
        <w:snapToGrid w:val="0"/>
        <w:spacing w:line="288" w:lineRule="auto"/>
        <w:ind w:firstLine="1040"/>
        <w:rPr>
          <w:rFonts w:ascii="仿宋_GB2312" w:eastAsia="仿宋_GB2312"/>
          <w:sz w:val="36"/>
          <w:szCs w:val="36"/>
          <w:u w:val="single"/>
        </w:rPr>
      </w:pPr>
      <w:bookmarkStart w:id="0"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bookmarkEnd w:id="0"/>
    <w:p>
      <w:pPr>
        <w:adjustRightInd w:val="0"/>
        <w:snapToGrid w:val="0"/>
        <w:spacing w:line="288" w:lineRule="auto"/>
        <w:jc w:val="center"/>
        <w:rPr>
          <w:rFonts w:ascii="宋体" w:hAnsi="宋体" w:eastAsia="黑体"/>
        </w:rPr>
      </w:pPr>
      <w:r>
        <w:rPr>
          <w:rFonts w:hint="eastAsia" w:ascii="楷体_GB2312" w:eastAsia="楷体_GB2312"/>
          <w:sz w:val="36"/>
          <w:szCs w:val="36"/>
        </w:rPr>
        <w:t>中华人民共和国生态环境部</w:t>
      </w:r>
    </w:p>
    <w:p>
      <w:pPr>
        <w:pStyle w:val="29"/>
        <w:jc w:val="center"/>
        <w:outlineLvl w:val="0"/>
        <w:rPr>
          <w:rFonts w:ascii="黑体" w:hAnsi="黑体" w:eastAsia="黑体"/>
          <w:snapToGrid w:val="0"/>
          <w:color w:val="000000"/>
          <w:sz w:val="30"/>
          <w:szCs w:val="30"/>
        </w:rPr>
        <w:sectPr>
          <w:headerReference r:id="rId3" w:type="default"/>
          <w:footerReference r:id="rId5" w:type="default"/>
          <w:headerReference r:id="rId4" w:type="even"/>
          <w:pgSz w:w="11906" w:h="16838"/>
          <w:pgMar w:top="1701" w:right="1531" w:bottom="1701" w:left="1531" w:header="851" w:footer="1077" w:gutter="0"/>
          <w:cols w:space="720" w:num="1"/>
          <w:docGrid w:linePitch="312" w:charSpace="0"/>
        </w:sectPr>
      </w:pPr>
    </w:p>
    <w:p>
      <w:pPr>
        <w:pStyle w:val="18"/>
        <w:snapToGrid w:val="0"/>
        <w:spacing w:line="440" w:lineRule="atLeast"/>
        <w:jc w:val="center"/>
        <w:rPr>
          <w:rFonts w:hint="eastAsia" w:ascii="仿宋_GB2312" w:eastAsia="仿宋_GB2312"/>
          <w:b/>
          <w:bCs/>
          <w:color w:val="000000"/>
          <w:sz w:val="36"/>
          <w:szCs w:val="36"/>
        </w:rPr>
      </w:pPr>
    </w:p>
    <w:p>
      <w:pPr>
        <w:pStyle w:val="18"/>
        <w:snapToGrid w:val="0"/>
        <w:spacing w:line="440" w:lineRule="atLeast"/>
        <w:jc w:val="center"/>
        <w:rPr>
          <w:rFonts w:hint="eastAsia"/>
        </w:rPr>
      </w:pPr>
      <w:r>
        <w:rPr>
          <w:rFonts w:hint="eastAsia" w:ascii="方正小标宋简体" w:eastAsia="方正小标宋简体"/>
          <w:bCs/>
          <w:color w:val="000000"/>
          <w:sz w:val="36"/>
          <w:szCs w:val="36"/>
        </w:rPr>
        <w:t>关于</w:t>
      </w:r>
      <w:r>
        <w:rPr>
          <w:rFonts w:hint="eastAsia" w:ascii="Times New Roman" w:hAnsi="Times New Roman" w:eastAsia="方正小标宋简体"/>
          <w:bCs/>
          <w:color w:val="000000"/>
          <w:sz w:val="36"/>
          <w:szCs w:val="36"/>
        </w:rPr>
        <w:t>河南兴泰纸业</w:t>
      </w:r>
      <w:r>
        <w:rPr>
          <w:rFonts w:ascii="Times New Roman" w:hAnsi="Times New Roman" w:eastAsia="方正小标宋简体"/>
          <w:bCs/>
          <w:color w:val="000000"/>
          <w:sz w:val="36"/>
          <w:szCs w:val="36"/>
        </w:rPr>
        <w:t>有限公司年加工</w:t>
      </w:r>
      <w:r>
        <w:rPr>
          <w:rFonts w:hint="eastAsia" w:ascii="Times New Roman" w:hAnsi="Times New Roman" w:eastAsia="方正小标宋简体"/>
          <w:bCs/>
          <w:color w:val="000000"/>
          <w:sz w:val="36"/>
          <w:szCs w:val="36"/>
        </w:rPr>
        <w:t>5.6万吨涂布白卡纸</w:t>
      </w:r>
      <w:r>
        <w:rPr>
          <w:rFonts w:ascii="Times New Roman" w:hAnsi="Times New Roman" w:eastAsia="方正小标宋简体"/>
          <w:bCs/>
          <w:color w:val="000000"/>
          <w:sz w:val="36"/>
          <w:szCs w:val="36"/>
        </w:rPr>
        <w:t>项目</w:t>
      </w:r>
      <w:r>
        <w:rPr>
          <w:rFonts w:hint="eastAsia" w:ascii="方正小标宋简体" w:eastAsia="方正小标宋简体"/>
          <w:bCs/>
          <w:color w:val="000000"/>
          <w:sz w:val="36"/>
          <w:szCs w:val="36"/>
        </w:rPr>
        <w:t>环境影响报告表的申请</w:t>
      </w:r>
    </w:p>
    <w:p>
      <w:pPr>
        <w:pStyle w:val="18"/>
        <w:snapToGrid w:val="0"/>
        <w:spacing w:line="440" w:lineRule="atLeast"/>
        <w:jc w:val="center"/>
        <w:rPr>
          <w:rFonts w:hint="eastAsia" w:ascii="方正小标宋简体" w:eastAsia="方正小标宋简体"/>
        </w:rPr>
      </w:pPr>
    </w:p>
    <w:p>
      <w:pPr>
        <w:pStyle w:val="18"/>
        <w:snapToGrid w:val="0"/>
        <w:spacing w:line="440" w:lineRule="atLeast"/>
        <w:rPr>
          <w:rFonts w:hint="eastAsia" w:ascii="仿宋_GB2312" w:eastAsia="仿宋_GB2312"/>
          <w:sz w:val="32"/>
          <w:szCs w:val="32"/>
        </w:rPr>
      </w:pPr>
      <w:r>
        <w:rPr>
          <w:rFonts w:hint="eastAsia" w:ascii="仿宋_GB2312" w:eastAsia="仿宋_GB2312"/>
          <w:b/>
          <w:bCs/>
          <w:sz w:val="32"/>
          <w:szCs w:val="32"/>
        </w:rPr>
        <w:t>新乡县环境保护局：</w:t>
      </w:r>
    </w:p>
    <w:p>
      <w:pPr>
        <w:pStyle w:val="18"/>
        <w:snapToGrid w:val="0"/>
        <w:spacing w:line="560" w:lineRule="atLeast"/>
        <w:ind w:firstLine="720"/>
        <w:rPr>
          <w:rFonts w:hint="eastAsia" w:ascii="仿宋_GB2312" w:eastAsia="仿宋_GB2312"/>
          <w:sz w:val="32"/>
          <w:szCs w:val="32"/>
        </w:rPr>
      </w:pPr>
      <w:r>
        <w:rPr>
          <w:rFonts w:hint="eastAsia" w:ascii="仿宋_GB2312" w:eastAsia="仿宋_GB2312"/>
          <w:sz w:val="32"/>
          <w:szCs w:val="32"/>
        </w:rPr>
        <w:t>我单位拟于新乡市新乡县新乡经济开发区黄河大道中段建设年</w:t>
      </w:r>
      <w:r>
        <w:rPr>
          <w:rFonts w:ascii="仿宋_GB2312" w:eastAsia="仿宋_GB2312"/>
          <w:sz w:val="32"/>
          <w:szCs w:val="32"/>
        </w:rPr>
        <w:t>加工</w:t>
      </w:r>
      <w:r>
        <w:rPr>
          <w:rFonts w:hint="eastAsia" w:ascii="仿宋_GB2312" w:eastAsia="仿宋_GB2312"/>
          <w:sz w:val="32"/>
          <w:szCs w:val="32"/>
        </w:rPr>
        <w:t>5.6万吨涂布白卡纸项目。该项目的建设内容为：涂布白卡纸5.6万吨/年。</w:t>
      </w:r>
    </w:p>
    <w:p>
      <w:pPr>
        <w:pStyle w:val="18"/>
        <w:snapToGrid w:val="0"/>
        <w:spacing w:line="560" w:lineRule="atLeast"/>
        <w:ind w:firstLine="720"/>
        <w:rPr>
          <w:rFonts w:hint="eastAsia" w:ascii="仿宋_GB2312" w:eastAsia="仿宋_GB2312"/>
          <w:sz w:val="32"/>
          <w:szCs w:val="32"/>
        </w:rPr>
      </w:pPr>
      <w:r>
        <w:rPr>
          <w:rFonts w:hint="eastAsia" w:ascii="仿宋_GB2312" w:eastAsia="仿宋_GB2312"/>
          <w:sz w:val="32"/>
          <w:szCs w:val="32"/>
        </w:rPr>
        <w:t>根据《中华人民共和国环境影响评价法》和《建设项目环境保护管理条例》的规定，我单位已经【委托河南蓝天环境工程有限公司编制环境影响报告表】。现呈报贵局，请予审批。</w:t>
      </w:r>
    </w:p>
    <w:p>
      <w:pPr>
        <w:pStyle w:val="18"/>
        <w:snapToGrid w:val="0"/>
        <w:spacing w:line="560" w:lineRule="atLeast"/>
        <w:ind w:firstLine="720"/>
        <w:rPr>
          <w:rFonts w:hint="eastAsia" w:ascii="仿宋_GB2312" w:eastAsia="仿宋_GB2312"/>
          <w:sz w:val="32"/>
          <w:szCs w:val="32"/>
        </w:rPr>
      </w:pPr>
      <w:r>
        <w:rPr>
          <w:rFonts w:hint="eastAsia" w:ascii="仿宋_GB2312" w:eastAsia="仿宋_GB2312"/>
          <w:sz w:val="32"/>
          <w:szCs w:val="32"/>
        </w:rPr>
        <w:t>真实性承诺：我单位承诺所提交的全部材料（数据）合法有效，并对其真实性负责。如有虚假，愿意承担相应的法律责任。</w: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 xml:space="preserve">     项目单位（盖章）           编制单位（盖章）</w:t>
      </w:r>
    </w:p>
    <w:p>
      <w:pPr>
        <w:rPr>
          <w:rFonts w:hint="eastAsia" w:ascii="仿宋_GB2312" w:eastAsia="仿宋_GB2312"/>
          <w:sz w:val="32"/>
          <w:szCs w:val="32"/>
        </w:rPr>
      </w:pPr>
      <w:r>
        <w:rPr>
          <w:rFonts w:hint="eastAsia" w:ascii="仿宋_GB2312" w:eastAsia="仿宋_GB2312"/>
          <w:sz w:val="32"/>
          <w:szCs w:val="32"/>
        </w:rPr>
        <w:t xml:space="preserve">               年   月   日               年   月   日</w:t>
      </w:r>
    </w:p>
    <w:p>
      <w:pPr>
        <w:rPr>
          <w:rFonts w:hint="eastAsia" w:ascii="仿宋_GB2312" w:eastAsia="仿宋_GB2312"/>
          <w:sz w:val="32"/>
          <w:szCs w:val="32"/>
        </w:rPr>
      </w:pPr>
      <w:r>
        <w:rPr>
          <w:rFonts w:hint="eastAsia" w:ascii="仿宋_GB2312" w:eastAsia="仿宋_GB2312"/>
          <w:sz w:val="32"/>
          <w:szCs w:val="32"/>
        </w:rPr>
        <w:t xml:space="preserve">   </w:t>
      </w:r>
    </w:p>
    <w:p>
      <w:pPr>
        <w:rPr>
          <w:rFonts w:hint="eastAsia" w:ascii="仿宋_GB2312" w:eastAsia="仿宋_GB2312"/>
          <w:sz w:val="32"/>
          <w:szCs w:val="32"/>
        </w:rPr>
      </w:pPr>
      <w:r>
        <w:rPr>
          <w:rFonts w:hint="eastAsia" w:ascii="仿宋_GB2312" w:eastAsia="仿宋_GB2312"/>
          <w:sz w:val="32"/>
          <w:szCs w:val="32"/>
        </w:rPr>
        <w:t xml:space="preserve">    项目单位负责人：许亚萍    本报告表编制人：贾志鹏       </w:t>
      </w:r>
    </w:p>
    <w:p>
      <w:pPr>
        <w:rPr>
          <w:rFonts w:hint="eastAsia" w:ascii="仿宋_GB2312" w:eastAsia="仿宋_GB2312"/>
          <w:sz w:val="32"/>
          <w:szCs w:val="32"/>
        </w:rPr>
      </w:pPr>
      <w:r>
        <w:rPr>
          <w:rFonts w:hint="eastAsia" w:ascii="仿宋_GB2312" w:eastAsia="仿宋_GB2312"/>
          <w:sz w:val="32"/>
          <w:szCs w:val="32"/>
        </w:rPr>
        <w:t xml:space="preserve">      电话：15103731362             电话：18638318763</w:t>
      </w:r>
    </w:p>
    <w:p>
      <w:pPr>
        <w:pStyle w:val="29"/>
        <w:jc w:val="center"/>
        <w:outlineLvl w:val="0"/>
        <w:rPr>
          <w:rFonts w:ascii="黑体" w:hAnsi="黑体" w:eastAsia="黑体"/>
          <w:snapToGrid w:val="0"/>
          <w:color w:val="000000"/>
          <w:sz w:val="30"/>
          <w:szCs w:val="30"/>
        </w:rPr>
        <w:sectPr>
          <w:pgSz w:w="11906" w:h="16838"/>
          <w:pgMar w:top="1701" w:right="1531" w:bottom="1701" w:left="1531" w:header="851" w:footer="1077" w:gutter="0"/>
          <w:cols w:space="720" w:num="1"/>
          <w:docGrid w:linePitch="312" w:charSpace="0"/>
        </w:sectPr>
      </w:pPr>
    </w:p>
    <w:p>
      <w:pPr>
        <w:pStyle w:val="29"/>
        <w:adjustRightInd w:val="0"/>
        <w:snapToGrid w:val="0"/>
        <w:spacing w:before="0" w:beforeAutospacing="0" w:after="0" w:afterAutospacing="0"/>
        <w:jc w:val="center"/>
        <w:rPr>
          <w:rFonts w:hint="eastAsia" w:ascii="方正小标宋_GBK" w:hAnsi="黑体" w:eastAsia="方正小标宋_GBK"/>
          <w:bCs/>
          <w:snapToGrid w:val="0"/>
          <w:color w:val="000000"/>
          <w:kern w:val="2"/>
          <w:sz w:val="38"/>
          <w:szCs w:val="38"/>
        </w:rPr>
      </w:pPr>
      <w:r>
        <w:rPr>
          <w:rFonts w:hint="eastAsia" w:ascii="方正小标宋_GBK" w:hAnsi="黑体" w:eastAsia="方正小标宋_GBK"/>
          <w:bCs/>
          <w:snapToGrid w:val="0"/>
          <w:color w:val="000000"/>
          <w:kern w:val="2"/>
          <w:sz w:val="38"/>
          <w:szCs w:val="38"/>
        </w:rPr>
        <w:t>编制单位和编制人员情况表</w:t>
      </w:r>
    </w:p>
    <w:p>
      <w:pPr>
        <w:pStyle w:val="29"/>
        <w:adjustRightInd w:val="0"/>
        <w:snapToGrid w:val="0"/>
        <w:spacing w:before="0" w:beforeAutospacing="0" w:after="0" w:afterAutospacing="0" w:line="408" w:lineRule="auto"/>
        <w:rPr>
          <w:rFonts w:hint="eastAsia" w:ascii="黑体" w:hAnsi="黑体" w:eastAsia="黑体"/>
          <w:snapToGrid w:val="0"/>
          <w:sz w:val="32"/>
          <w:szCs w:val="32"/>
        </w:rPr>
      </w:pP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2268"/>
        <w:gridCol w:w="1530"/>
        <w:gridCol w:w="2127"/>
        <w:gridCol w:w="16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69" w:type="dxa"/>
            <w:gridSpan w:val="2"/>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建设项目名称</w:t>
            </w:r>
          </w:p>
        </w:tc>
        <w:tc>
          <w:tcPr>
            <w:tcW w:w="5266" w:type="dxa"/>
            <w:gridSpan w:val="3"/>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bCs/>
                <w:sz w:val="21"/>
                <w:szCs w:val="21"/>
              </w:rPr>
              <w:t>河南兴泰纸业有限公司年加工5.6万吨涂布白卡纸项目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69" w:type="dxa"/>
            <w:gridSpan w:val="2"/>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建设项目类别</w:t>
            </w:r>
          </w:p>
        </w:tc>
        <w:tc>
          <w:tcPr>
            <w:tcW w:w="5266" w:type="dxa"/>
            <w:gridSpan w:val="3"/>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19_38纸制品制造223*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69" w:type="dxa"/>
            <w:gridSpan w:val="2"/>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环境影响评价文件类型</w:t>
            </w:r>
          </w:p>
        </w:tc>
        <w:tc>
          <w:tcPr>
            <w:tcW w:w="5266" w:type="dxa"/>
            <w:gridSpan w:val="3"/>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环境影响评价报告表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35" w:type="dxa"/>
            <w:gridSpan w:val="5"/>
            <w:vAlign w:val="center"/>
          </w:tcPr>
          <w:p>
            <w:pPr>
              <w:pStyle w:val="29"/>
              <w:widowControl w:val="0"/>
              <w:adjustRightInd w:val="0"/>
              <w:snapToGrid w:val="0"/>
              <w:spacing w:before="0" w:beforeAutospacing="0" w:after="0" w:afterAutospacing="0"/>
              <w:rPr>
                <w:rFonts w:ascii="Times New Roman" w:hAnsi="Times New Roman" w:eastAsia="黑体"/>
                <w:color w:val="000000"/>
                <w:sz w:val="21"/>
                <w:szCs w:val="21"/>
              </w:rPr>
            </w:pPr>
            <w:r>
              <w:rPr>
                <w:rFonts w:ascii="Times New Roman" w:hAnsi="Times New Roman" w:eastAsia="黑体"/>
                <w:color w:val="000000"/>
                <w:sz w:val="21"/>
                <w:szCs w:val="21"/>
              </w:rPr>
              <w:t>一、建设单位情况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69" w:type="dxa"/>
            <w:gridSpan w:val="2"/>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单位名称（盖章）</w:t>
            </w:r>
          </w:p>
        </w:tc>
        <w:tc>
          <w:tcPr>
            <w:tcW w:w="5266" w:type="dxa"/>
            <w:gridSpan w:val="3"/>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bCs/>
                <w:sz w:val="21"/>
                <w:szCs w:val="21"/>
              </w:rPr>
              <w:t>河南兴泰纸业有限公司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69" w:type="dxa"/>
            <w:gridSpan w:val="2"/>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统一社会信用代码</w:t>
            </w:r>
          </w:p>
        </w:tc>
        <w:tc>
          <w:tcPr>
            <w:tcW w:w="5266" w:type="dxa"/>
            <w:gridSpan w:val="3"/>
            <w:vAlign w:val="center"/>
          </w:tcPr>
          <w:p>
            <w:pPr>
              <w:pStyle w:val="29"/>
              <w:widowControl w:val="0"/>
              <w:adjustRightInd w:val="0"/>
              <w:snapToGrid w:val="0"/>
              <w:spacing w:before="0" w:beforeAutospacing="0" w:after="0" w:afterAutospacing="0"/>
              <w:jc w:val="center"/>
              <w:rPr>
                <w:color w:val="000000"/>
                <w:sz w:val="21"/>
                <w:szCs w:val="21"/>
              </w:rPr>
            </w:pPr>
            <w:r>
              <w:rPr>
                <w:rFonts w:hint="eastAsia" w:ascii="Times New Roman" w:hAnsi="Times New Roman"/>
                <w:color w:val="000000"/>
                <w:sz w:val="21"/>
                <w:szCs w:val="21"/>
              </w:rPr>
              <w:t>91410721697307482M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69" w:type="dxa"/>
            <w:gridSpan w:val="2"/>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法定代表人（签章）</w:t>
            </w:r>
          </w:p>
        </w:tc>
        <w:tc>
          <w:tcPr>
            <w:tcW w:w="5266" w:type="dxa"/>
            <w:gridSpan w:val="3"/>
            <w:vAlign w:val="center"/>
          </w:tcPr>
          <w:p>
            <w:pPr>
              <w:pStyle w:val="29"/>
              <w:widowControl w:val="0"/>
              <w:adjustRightInd w:val="0"/>
              <w:snapToGrid w:val="0"/>
              <w:spacing w:before="0" w:beforeAutospacing="0" w:after="0" w:afterAutospacing="0"/>
              <w:jc w:val="both"/>
              <w:rPr>
                <w:rFonts w:ascii="Times New Roman" w:hAnsi="Times New Roman"/>
                <w:color w:val="000000"/>
                <w:sz w:val="21"/>
                <w:szCs w:val="21"/>
              </w:rPr>
            </w:pPr>
            <w:r>
              <w:rPr>
                <w:rFonts w:hint="eastAsia" w:ascii="Times New Roman" w:hAnsi="Times New Roman"/>
                <w:color w:val="000000"/>
                <w:sz w:val="21"/>
                <w:szCs w:val="21"/>
              </w:rPr>
              <w:t>闫建党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69" w:type="dxa"/>
            <w:gridSpan w:val="2"/>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主要负责人（签字）</w:t>
            </w:r>
          </w:p>
        </w:tc>
        <w:tc>
          <w:tcPr>
            <w:tcW w:w="5266" w:type="dxa"/>
            <w:gridSpan w:val="3"/>
            <w:vAlign w:val="center"/>
          </w:tcPr>
          <w:p>
            <w:r>
              <w:rPr>
                <w:rFonts w:hint="eastAsia"/>
                <w:color w:val="000000"/>
                <w:szCs w:val="21"/>
              </w:rPr>
              <w:t>许亚萍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69" w:type="dxa"/>
            <w:gridSpan w:val="2"/>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直接负责的主管人员（签字）</w:t>
            </w:r>
          </w:p>
        </w:tc>
        <w:tc>
          <w:tcPr>
            <w:tcW w:w="5266" w:type="dxa"/>
            <w:gridSpan w:val="3"/>
            <w:vAlign w:val="center"/>
          </w:tcPr>
          <w:p>
            <w:pPr>
              <w:pStyle w:val="29"/>
              <w:widowControl w:val="0"/>
              <w:adjustRightInd w:val="0"/>
              <w:snapToGrid w:val="0"/>
              <w:spacing w:before="0" w:beforeAutospacing="0" w:after="0" w:afterAutospacing="0"/>
              <w:jc w:val="both"/>
            </w:pPr>
            <w:r>
              <w:rPr>
                <w:rFonts w:hint="eastAsia" w:ascii="Times New Roman" w:hAnsi="Times New Roman"/>
                <w:color w:val="000000"/>
                <w:sz w:val="21"/>
                <w:szCs w:val="21"/>
              </w:rPr>
              <w:t>许亚萍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35" w:type="dxa"/>
            <w:gridSpan w:val="5"/>
            <w:vAlign w:val="center"/>
          </w:tcPr>
          <w:p>
            <w:pPr>
              <w:pStyle w:val="29"/>
              <w:widowControl w:val="0"/>
              <w:adjustRightInd w:val="0"/>
              <w:snapToGrid w:val="0"/>
              <w:spacing w:before="0" w:beforeAutospacing="0" w:after="0" w:afterAutospacing="0"/>
              <w:jc w:val="both"/>
              <w:rPr>
                <w:rFonts w:ascii="Times New Roman" w:hAnsi="Times New Roman" w:eastAsia="黑体"/>
                <w:b/>
                <w:color w:val="000000"/>
                <w:sz w:val="21"/>
                <w:szCs w:val="21"/>
              </w:rPr>
            </w:pPr>
            <w:r>
              <w:rPr>
                <w:rFonts w:ascii="Times New Roman" w:hAnsi="Times New Roman" w:eastAsia="黑体"/>
                <w:color w:val="000000"/>
                <w:sz w:val="21"/>
                <w:szCs w:val="21"/>
              </w:rPr>
              <w:t>二、编制单位情况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69" w:type="dxa"/>
            <w:gridSpan w:val="2"/>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单位名称（盖章）</w:t>
            </w:r>
          </w:p>
        </w:tc>
        <w:tc>
          <w:tcPr>
            <w:tcW w:w="5266" w:type="dxa"/>
            <w:gridSpan w:val="3"/>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河南</w:t>
            </w:r>
            <w:r>
              <w:rPr>
                <w:rFonts w:ascii="Times New Roman" w:hAnsi="Times New Roman"/>
                <w:color w:val="000000"/>
                <w:sz w:val="21"/>
                <w:szCs w:val="21"/>
              </w:rPr>
              <w:t>蓝天环境</w:t>
            </w:r>
            <w:r>
              <w:rPr>
                <w:rFonts w:hint="eastAsia" w:ascii="Times New Roman" w:hAnsi="Times New Roman"/>
                <w:color w:val="000000"/>
                <w:sz w:val="21"/>
                <w:szCs w:val="21"/>
              </w:rPr>
              <w:t>工程</w:t>
            </w:r>
            <w:r>
              <w:rPr>
                <w:rFonts w:ascii="Times New Roman" w:hAnsi="Times New Roman"/>
                <w:color w:val="000000"/>
                <w:sz w:val="21"/>
                <w:szCs w:val="21"/>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69" w:type="dxa"/>
            <w:gridSpan w:val="2"/>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统一社会信用代码</w:t>
            </w:r>
          </w:p>
        </w:tc>
        <w:tc>
          <w:tcPr>
            <w:tcW w:w="5266" w:type="dxa"/>
            <w:gridSpan w:val="3"/>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91410702MA47UKWB2C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35" w:type="dxa"/>
            <w:gridSpan w:val="5"/>
            <w:vAlign w:val="center"/>
          </w:tcPr>
          <w:p>
            <w:pPr>
              <w:pStyle w:val="29"/>
              <w:widowControl w:val="0"/>
              <w:adjustRightInd w:val="0"/>
              <w:snapToGrid w:val="0"/>
              <w:spacing w:before="0" w:beforeAutospacing="0" w:after="0" w:afterAutospacing="0"/>
              <w:rPr>
                <w:rFonts w:ascii="Times New Roman" w:hAnsi="Times New Roman" w:eastAsia="黑体"/>
                <w:color w:val="000000"/>
                <w:sz w:val="21"/>
                <w:szCs w:val="21"/>
              </w:rPr>
            </w:pPr>
            <w:r>
              <w:rPr>
                <w:rFonts w:ascii="Times New Roman" w:hAnsi="Times New Roman" w:eastAsia="黑体"/>
                <w:color w:val="000000"/>
                <w:sz w:val="21"/>
                <w:szCs w:val="21"/>
              </w:rPr>
              <w:t>三、编制人员情况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35" w:type="dxa"/>
            <w:gridSpan w:val="5"/>
            <w:vAlign w:val="center"/>
          </w:tcPr>
          <w:p>
            <w:pPr>
              <w:pStyle w:val="29"/>
              <w:widowControl w:val="0"/>
              <w:adjustRightInd w:val="0"/>
              <w:snapToGrid w:val="0"/>
              <w:spacing w:before="0" w:beforeAutospacing="0" w:after="0" w:afterAutospacing="0"/>
              <w:rPr>
                <w:rFonts w:ascii="Times New Roman" w:hAnsi="Times New Roman"/>
                <w:color w:val="000000"/>
                <w:sz w:val="21"/>
                <w:szCs w:val="21"/>
              </w:rPr>
            </w:pPr>
            <w:r>
              <w:rPr>
                <w:rFonts w:ascii="Times New Roman" w:hAnsi="Times New Roman"/>
                <w:color w:val="000000"/>
                <w:sz w:val="21"/>
                <w:szCs w:val="21"/>
              </w:rPr>
              <w:t>1.编制主持人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1" w:type="dxa"/>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姓名</w:t>
            </w:r>
          </w:p>
        </w:tc>
        <w:tc>
          <w:tcPr>
            <w:tcW w:w="3798" w:type="dxa"/>
            <w:gridSpan w:val="2"/>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职业资格证书管理号</w:t>
            </w:r>
          </w:p>
        </w:tc>
        <w:tc>
          <w:tcPr>
            <w:tcW w:w="2127" w:type="dxa"/>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信用编号</w:t>
            </w:r>
          </w:p>
        </w:tc>
        <w:tc>
          <w:tcPr>
            <w:tcW w:w="1609" w:type="dxa"/>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签字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1" w:type="dxa"/>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sz w:val="21"/>
                <w:szCs w:val="21"/>
              </w:rPr>
              <w:t>贾志鹏</w:t>
            </w:r>
          </w:p>
        </w:tc>
        <w:tc>
          <w:tcPr>
            <w:tcW w:w="3798" w:type="dxa"/>
            <w:gridSpan w:val="2"/>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2017035410352016411801000553</w:t>
            </w:r>
          </w:p>
        </w:tc>
        <w:tc>
          <w:tcPr>
            <w:tcW w:w="2127" w:type="dxa"/>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BH000498</w:t>
            </w:r>
          </w:p>
        </w:tc>
        <w:tc>
          <w:tcPr>
            <w:tcW w:w="1609" w:type="dxa"/>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35" w:type="dxa"/>
            <w:gridSpan w:val="5"/>
            <w:vAlign w:val="center"/>
          </w:tcPr>
          <w:p>
            <w:pPr>
              <w:pStyle w:val="29"/>
              <w:widowControl w:val="0"/>
              <w:adjustRightInd w:val="0"/>
              <w:snapToGrid w:val="0"/>
              <w:spacing w:before="0" w:beforeAutospacing="0" w:after="0" w:afterAutospacing="0"/>
              <w:rPr>
                <w:rFonts w:ascii="Times New Roman" w:hAnsi="Times New Roman"/>
                <w:color w:val="000000"/>
                <w:sz w:val="21"/>
                <w:szCs w:val="21"/>
              </w:rPr>
            </w:pPr>
            <w:r>
              <w:rPr>
                <w:rFonts w:ascii="Times New Roman" w:hAnsi="Times New Roman"/>
                <w:color w:val="000000"/>
                <w:sz w:val="21"/>
                <w:szCs w:val="21"/>
              </w:rPr>
              <w:t>2.主要编制人员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1" w:type="dxa"/>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姓名</w:t>
            </w:r>
          </w:p>
        </w:tc>
        <w:tc>
          <w:tcPr>
            <w:tcW w:w="3798" w:type="dxa"/>
            <w:gridSpan w:val="2"/>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主要编写内容</w:t>
            </w:r>
          </w:p>
        </w:tc>
        <w:tc>
          <w:tcPr>
            <w:tcW w:w="2127" w:type="dxa"/>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信用编号</w:t>
            </w:r>
          </w:p>
        </w:tc>
        <w:tc>
          <w:tcPr>
            <w:tcW w:w="1609" w:type="dxa"/>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签字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1" w:type="dxa"/>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sz w:val="21"/>
                <w:szCs w:val="21"/>
              </w:rPr>
              <w:t>贾志鹏</w:t>
            </w:r>
          </w:p>
        </w:tc>
        <w:tc>
          <w:tcPr>
            <w:tcW w:w="3798" w:type="dxa"/>
            <w:gridSpan w:val="2"/>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建设项目工程分析、主要环节影响和保护措施、环境保护措施监督检查清单</w:t>
            </w:r>
          </w:p>
        </w:tc>
        <w:tc>
          <w:tcPr>
            <w:tcW w:w="2127" w:type="dxa"/>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BH000498</w:t>
            </w:r>
          </w:p>
        </w:tc>
        <w:tc>
          <w:tcPr>
            <w:tcW w:w="1609" w:type="dxa"/>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1" w:type="dxa"/>
            <w:vAlign w:val="center"/>
          </w:tcPr>
          <w:p>
            <w:pPr>
              <w:pStyle w:val="29"/>
              <w:widowControl w:val="0"/>
              <w:adjustRightInd w:val="0"/>
              <w:snapToGrid w:val="0"/>
              <w:spacing w:before="0" w:beforeAutospacing="0" w:after="0" w:afterAutospacing="0"/>
              <w:jc w:val="center"/>
              <w:rPr>
                <w:rFonts w:hint="eastAsia" w:ascii="Times New Roman" w:hAnsi="Times New Roman"/>
                <w:sz w:val="21"/>
                <w:szCs w:val="21"/>
              </w:rPr>
            </w:pPr>
            <w:r>
              <w:rPr>
                <w:rFonts w:hint="eastAsia" w:ascii="Times New Roman" w:hAnsi="Times New Roman"/>
                <w:sz w:val="21"/>
                <w:szCs w:val="21"/>
              </w:rPr>
              <w:t>路泽安</w:t>
            </w:r>
          </w:p>
        </w:tc>
        <w:tc>
          <w:tcPr>
            <w:tcW w:w="3798" w:type="dxa"/>
            <w:gridSpan w:val="2"/>
            <w:vAlign w:val="center"/>
          </w:tcPr>
          <w:p>
            <w:pPr>
              <w:pStyle w:val="29"/>
              <w:widowControl w:val="0"/>
              <w:adjustRightInd w:val="0"/>
              <w:snapToGrid w:val="0"/>
              <w:spacing w:before="0" w:beforeAutospacing="0" w:after="0" w:afterAutospacing="0"/>
              <w:jc w:val="center"/>
              <w:rPr>
                <w:rFonts w:hint="eastAsia" w:ascii="Times New Roman" w:hAnsi="Times New Roman"/>
                <w:color w:val="000000"/>
                <w:sz w:val="21"/>
                <w:szCs w:val="21"/>
              </w:rPr>
            </w:pPr>
            <w:r>
              <w:rPr>
                <w:rFonts w:hint="eastAsia" w:ascii="Times New Roman" w:hAnsi="Times New Roman"/>
                <w:color w:val="000000"/>
                <w:sz w:val="21"/>
                <w:szCs w:val="21"/>
              </w:rPr>
              <w:t>建设项目基本情况、区域环境质量现状、环境保护目标及评价标准、结论、附表、附图与附件</w:t>
            </w:r>
          </w:p>
        </w:tc>
        <w:tc>
          <w:tcPr>
            <w:tcW w:w="2127" w:type="dxa"/>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BH</w:t>
            </w:r>
            <w:r>
              <w:rPr>
                <w:rFonts w:ascii="Times New Roman" w:hAnsi="Times New Roman"/>
                <w:color w:val="000000"/>
                <w:sz w:val="21"/>
                <w:szCs w:val="21"/>
              </w:rPr>
              <w:t>049819</w:t>
            </w:r>
          </w:p>
        </w:tc>
        <w:tc>
          <w:tcPr>
            <w:tcW w:w="1609" w:type="dxa"/>
            <w:vAlign w:val="center"/>
          </w:tcPr>
          <w:p>
            <w:pPr>
              <w:pStyle w:val="29"/>
              <w:widowControl w:val="0"/>
              <w:adjustRightInd w:val="0"/>
              <w:snapToGrid w:val="0"/>
              <w:spacing w:before="0" w:beforeAutospacing="0" w:after="0" w:afterAutospacing="0"/>
              <w:jc w:val="center"/>
              <w:rPr>
                <w:rFonts w:ascii="Times New Roman" w:hAnsi="Times New Roman"/>
                <w:color w:val="000000"/>
                <w:sz w:val="21"/>
                <w:szCs w:val="21"/>
              </w:rPr>
            </w:pPr>
          </w:p>
        </w:tc>
      </w:tr>
    </w:tbl>
    <w:p>
      <w:pPr>
        <w:pStyle w:val="18"/>
        <w:adjustRightInd w:val="0"/>
        <w:snapToGrid w:val="0"/>
        <w:spacing w:line="408" w:lineRule="auto"/>
        <w:jc w:val="left"/>
        <w:rPr>
          <w:rFonts w:ascii="仿宋_GB2312" w:eastAsia="仿宋_GB2312"/>
          <w:color w:val="000000"/>
        </w:rPr>
      </w:pPr>
    </w:p>
    <w:p>
      <w:pPr>
        <w:pStyle w:val="29"/>
        <w:jc w:val="center"/>
        <w:outlineLvl w:val="0"/>
        <w:rPr>
          <w:rFonts w:ascii="黑体" w:hAnsi="黑体" w:eastAsia="黑体"/>
          <w:snapToGrid w:val="0"/>
          <w:color w:val="000000"/>
          <w:sz w:val="30"/>
          <w:szCs w:val="30"/>
        </w:rPr>
        <w:sectPr>
          <w:pgSz w:w="11906" w:h="16838"/>
          <w:pgMar w:top="1701" w:right="1531" w:bottom="1701" w:left="1531" w:header="851" w:footer="1077" w:gutter="0"/>
          <w:cols w:space="720" w:num="1"/>
          <w:docGrid w:linePitch="312" w:charSpace="0"/>
        </w:sectPr>
      </w:pPr>
    </w:p>
    <w:p>
      <w:pPr>
        <w:pStyle w:val="29"/>
        <w:jc w:val="center"/>
        <w:outlineLvl w:val="0"/>
        <w:rPr>
          <w:rFonts w:ascii="黑体" w:hAnsi="黑体" w:eastAsia="黑体"/>
          <w:snapToGrid w:val="0"/>
          <w:color w:val="000000"/>
          <w:sz w:val="30"/>
          <w:szCs w:val="30"/>
        </w:rPr>
        <w:sectPr>
          <w:pgSz w:w="11906" w:h="16838"/>
          <w:pgMar w:top="1701" w:right="1531" w:bottom="1701" w:left="1531" w:header="851" w:footer="1077" w:gutter="0"/>
          <w:cols w:space="720" w:num="1"/>
          <w:docGrid w:linePitch="312" w:charSpace="0"/>
        </w:sectPr>
      </w:pPr>
      <w:r>
        <w:drawing>
          <wp:anchor distT="0" distB="0" distL="114300" distR="114300" simplePos="0" relativeHeight="251660288" behindDoc="0" locked="0" layoutInCell="1" allowOverlap="1">
            <wp:simplePos x="0" y="0"/>
            <wp:positionH relativeFrom="margin">
              <wp:align>center</wp:align>
            </wp:positionH>
            <wp:positionV relativeFrom="paragraph">
              <wp:posOffset>1181735</wp:posOffset>
            </wp:positionV>
            <wp:extent cx="8066405" cy="5696585"/>
            <wp:effectExtent l="3810" t="0" r="0" b="0"/>
            <wp:wrapNone/>
            <wp:docPr id="6" name="图片 6"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文本&#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l="12440" b="11766"/>
                    <a:stretch>
                      <a:fillRect/>
                    </a:stretch>
                  </pic:blipFill>
                  <pic:spPr>
                    <a:xfrm rot="16200000">
                      <a:off x="0" y="0"/>
                      <a:ext cx="8066101" cy="5696396"/>
                    </a:xfrm>
                    <a:prstGeom prst="rect">
                      <a:avLst/>
                    </a:prstGeom>
                    <a:noFill/>
                    <a:ln>
                      <a:noFill/>
                    </a:ln>
                  </pic:spPr>
                </pic:pic>
              </a:graphicData>
            </a:graphic>
          </wp:anchor>
        </w:drawing>
      </w:r>
    </w:p>
    <w:p>
      <w:pPr>
        <w:pStyle w:val="29"/>
        <w:jc w:val="center"/>
        <w:outlineLvl w:val="0"/>
        <w:rPr>
          <w:rFonts w:ascii="黑体" w:hAnsi="黑体" w:eastAsia="黑体"/>
          <w:snapToGrid w:val="0"/>
          <w:color w:val="000000"/>
          <w:sz w:val="30"/>
          <w:szCs w:val="30"/>
        </w:rPr>
        <w:sectPr>
          <w:pgSz w:w="11906" w:h="16838"/>
          <w:pgMar w:top="1701" w:right="1531" w:bottom="1701" w:left="1531" w:header="851" w:footer="1077" w:gutter="0"/>
          <w:cols w:space="720" w:num="1"/>
          <w:docGrid w:linePitch="312" w:charSpace="0"/>
        </w:sectPr>
      </w:pPr>
      <w:r>
        <w:rPr>
          <w:rFonts w:cs="宋体"/>
          <w:szCs w:val="24"/>
        </w:rPr>
        <w:drawing>
          <wp:anchor distT="0" distB="0" distL="114300" distR="114300" simplePos="0" relativeHeight="251679744" behindDoc="0" locked="0" layoutInCell="1" allowOverlap="1">
            <wp:simplePos x="0" y="0"/>
            <wp:positionH relativeFrom="margin">
              <wp:align>center</wp:align>
            </wp:positionH>
            <wp:positionV relativeFrom="margin">
              <wp:align>center</wp:align>
            </wp:positionV>
            <wp:extent cx="5609590" cy="7931785"/>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09590" cy="7931785"/>
                    </a:xfrm>
                    <a:prstGeom prst="rect">
                      <a:avLst/>
                    </a:prstGeom>
                    <a:noFill/>
                    <a:ln>
                      <a:noFill/>
                    </a:ln>
                  </pic:spPr>
                </pic:pic>
              </a:graphicData>
            </a:graphic>
          </wp:anchor>
        </w:drawing>
      </w:r>
    </w:p>
    <w:p>
      <w:pPr>
        <w:pStyle w:val="29"/>
        <w:jc w:val="center"/>
        <w:outlineLvl w:val="0"/>
        <w:rPr>
          <w:rFonts w:ascii="黑体" w:hAnsi="黑体" w:eastAsia="黑体"/>
          <w:snapToGrid w:val="0"/>
          <w:color w:val="000000"/>
          <w:sz w:val="30"/>
          <w:szCs w:val="30"/>
        </w:rPr>
        <w:sectPr>
          <w:pgSz w:w="11906" w:h="16838"/>
          <w:pgMar w:top="1701" w:right="1531" w:bottom="1701" w:left="1531" w:header="851" w:footer="1077" w:gutter="0"/>
          <w:cols w:space="720" w:num="1"/>
          <w:docGrid w:linePitch="312" w:charSpace="0"/>
        </w:sectPr>
      </w:pPr>
      <w:r>
        <w:rPr>
          <w:rFonts w:ascii="黑体" w:hAnsi="黑体" w:eastAsia="黑体"/>
          <w:snapToGrid w:val="0"/>
          <w:color w:val="000000"/>
          <w:sz w:val="30"/>
          <w:szCs w:val="30"/>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5774055" cy="814260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74076" cy="8142794"/>
                    </a:xfrm>
                    <a:prstGeom prst="rect">
                      <a:avLst/>
                    </a:prstGeom>
                    <a:noFill/>
                    <a:ln>
                      <a:noFill/>
                    </a:ln>
                  </pic:spPr>
                </pic:pic>
              </a:graphicData>
            </a:graphic>
          </wp:anchor>
        </w:drawing>
      </w:r>
    </w:p>
    <w:p>
      <w:pPr>
        <w:pStyle w:val="29"/>
        <w:jc w:val="center"/>
        <w:outlineLvl w:val="0"/>
        <w:rPr>
          <w:rFonts w:ascii="黑体" w:hAnsi="黑体" w:eastAsia="黑体"/>
          <w:snapToGrid w:val="0"/>
          <w:color w:val="000000"/>
          <w:sz w:val="30"/>
          <w:szCs w:val="30"/>
        </w:rPr>
      </w:pPr>
      <w:r>
        <w:rPr>
          <w:rFonts w:hint="eastAsia" w:ascii="黑体" w:hAnsi="黑体" w:eastAsia="黑体"/>
          <w:snapToGrid w:val="0"/>
          <w:color w:val="000000"/>
          <w:sz w:val="30"/>
          <w:szCs w:val="30"/>
        </w:rPr>
        <w:t>一、建设项目基本情况</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1289"/>
        <w:gridCol w:w="2552"/>
        <w:gridCol w:w="178"/>
        <w:gridCol w:w="1664"/>
        <w:gridCol w:w="548"/>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289" w:type="dxa"/>
            <w:tcMar>
              <w:top w:w="16" w:type="dxa"/>
              <w:left w:w="16" w:type="dxa"/>
              <w:right w:w="16" w:type="dxa"/>
            </w:tcMar>
            <w:vAlign w:val="center"/>
          </w:tcPr>
          <w:p>
            <w:pPr>
              <w:adjustRightInd w:val="0"/>
              <w:snapToGrid w:val="0"/>
              <w:jc w:val="center"/>
              <w:rPr>
                <w:rFonts w:ascii="宋体" w:hAnsi="宋体" w:cs="宋体"/>
                <w:color w:val="000000"/>
                <w:sz w:val="24"/>
              </w:rPr>
            </w:pPr>
            <w:r>
              <w:rPr>
                <w:rFonts w:hint="eastAsia" w:ascii="宋体" w:hAnsi="宋体" w:cs="宋体"/>
                <w:color w:val="000000"/>
                <w:sz w:val="24"/>
              </w:rPr>
              <w:t>建设项目名称</w:t>
            </w:r>
          </w:p>
        </w:tc>
        <w:tc>
          <w:tcPr>
            <w:tcW w:w="7581" w:type="dxa"/>
            <w:gridSpan w:val="5"/>
            <w:vAlign w:val="center"/>
          </w:tcPr>
          <w:p>
            <w:pPr>
              <w:adjustRightInd w:val="0"/>
              <w:snapToGrid w:val="0"/>
              <w:jc w:val="center"/>
              <w:rPr>
                <w:color w:val="000000"/>
                <w:sz w:val="24"/>
              </w:rPr>
            </w:pPr>
            <w:r>
              <w:rPr>
                <w:rFonts w:hint="eastAsia"/>
                <w:color w:val="000000"/>
                <w:sz w:val="24"/>
              </w:rPr>
              <w:t>河南兴泰纸业</w:t>
            </w:r>
            <w:r>
              <w:rPr>
                <w:color w:val="000000"/>
                <w:sz w:val="24"/>
              </w:rPr>
              <w:t>有限公司年加工</w:t>
            </w:r>
            <w:r>
              <w:rPr>
                <w:rFonts w:hint="eastAsia"/>
                <w:color w:val="000000"/>
                <w:sz w:val="24"/>
              </w:rPr>
              <w:t>5.6万吨涂布白卡纸</w:t>
            </w:r>
            <w:r>
              <w:rPr>
                <w:color w:val="000000"/>
                <w:sz w:val="24"/>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289" w:type="dxa"/>
            <w:tcMar>
              <w:top w:w="16" w:type="dxa"/>
              <w:left w:w="16" w:type="dxa"/>
              <w:right w:w="16" w:type="dxa"/>
            </w:tcMar>
            <w:vAlign w:val="center"/>
          </w:tcPr>
          <w:p>
            <w:pPr>
              <w:adjustRightInd w:val="0"/>
              <w:snapToGrid w:val="0"/>
              <w:jc w:val="center"/>
              <w:rPr>
                <w:rFonts w:ascii="宋体" w:hAnsi="宋体" w:cs="宋体"/>
                <w:color w:val="000000"/>
                <w:sz w:val="24"/>
              </w:rPr>
            </w:pPr>
            <w:r>
              <w:rPr>
                <w:rFonts w:hint="eastAsia" w:ascii="宋体" w:hAnsi="宋体" w:cs="宋体"/>
                <w:color w:val="000000"/>
                <w:sz w:val="24"/>
              </w:rPr>
              <w:t>项目代码</w:t>
            </w:r>
          </w:p>
        </w:tc>
        <w:tc>
          <w:tcPr>
            <w:tcW w:w="7581" w:type="dxa"/>
            <w:gridSpan w:val="5"/>
            <w:vAlign w:val="center"/>
          </w:tcPr>
          <w:p>
            <w:pPr>
              <w:adjustRightInd w:val="0"/>
              <w:snapToGrid w:val="0"/>
              <w:jc w:val="center"/>
              <w:rPr>
                <w:color w:val="000000"/>
                <w:sz w:val="24"/>
              </w:rPr>
            </w:pPr>
            <w:r>
              <w:rPr>
                <w:rFonts w:hint="eastAsia"/>
                <w:color w:val="000000"/>
                <w:sz w:val="24"/>
              </w:rPr>
              <w:t>2108-410721-04-02-863299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289" w:type="dxa"/>
            <w:tcMar>
              <w:top w:w="16" w:type="dxa"/>
              <w:left w:w="16" w:type="dxa"/>
              <w:right w:w="16" w:type="dxa"/>
            </w:tcMar>
            <w:vAlign w:val="center"/>
          </w:tcPr>
          <w:p>
            <w:pPr>
              <w:adjustRightInd w:val="0"/>
              <w:snapToGrid w:val="0"/>
              <w:jc w:val="center"/>
              <w:rPr>
                <w:rFonts w:ascii="宋体" w:hAnsi="宋体" w:cs="宋体"/>
                <w:color w:val="000000"/>
                <w:sz w:val="24"/>
              </w:rPr>
            </w:pPr>
            <w:r>
              <w:rPr>
                <w:rFonts w:hint="eastAsia" w:ascii="宋体" w:hAnsi="宋体" w:cs="宋体"/>
                <w:color w:val="000000"/>
                <w:sz w:val="24"/>
              </w:rPr>
              <w:t>建设单位联系人</w:t>
            </w:r>
          </w:p>
        </w:tc>
        <w:tc>
          <w:tcPr>
            <w:tcW w:w="2730" w:type="dxa"/>
            <w:gridSpan w:val="2"/>
            <w:vAlign w:val="center"/>
          </w:tcPr>
          <w:p>
            <w:pPr>
              <w:adjustRightInd w:val="0"/>
              <w:snapToGrid w:val="0"/>
              <w:jc w:val="center"/>
              <w:rPr>
                <w:rFonts w:ascii="宋体" w:hAnsi="宋体" w:cs="宋体"/>
                <w:color w:val="000000"/>
                <w:sz w:val="24"/>
              </w:rPr>
            </w:pPr>
            <w:r>
              <w:rPr>
                <w:rFonts w:hint="eastAsia"/>
                <w:color w:val="000000"/>
                <w:sz w:val="24"/>
              </w:rPr>
              <w:t>许亚萍</w:t>
            </w:r>
          </w:p>
        </w:tc>
        <w:tc>
          <w:tcPr>
            <w:tcW w:w="2212" w:type="dxa"/>
            <w:gridSpan w:val="2"/>
            <w:vAlign w:val="center"/>
          </w:tcPr>
          <w:p>
            <w:pPr>
              <w:adjustRightInd w:val="0"/>
              <w:snapToGrid w:val="0"/>
              <w:jc w:val="center"/>
              <w:rPr>
                <w:rFonts w:ascii="宋体" w:hAnsi="宋体" w:cs="宋体"/>
                <w:color w:val="000000"/>
                <w:sz w:val="24"/>
              </w:rPr>
            </w:pPr>
            <w:r>
              <w:rPr>
                <w:rFonts w:hint="eastAsia" w:ascii="宋体" w:hAnsi="宋体" w:cs="宋体"/>
                <w:color w:val="000000"/>
                <w:sz w:val="24"/>
              </w:rPr>
              <w:t>联系方式</w:t>
            </w:r>
          </w:p>
        </w:tc>
        <w:tc>
          <w:tcPr>
            <w:tcW w:w="2639" w:type="dxa"/>
            <w:vAlign w:val="center"/>
          </w:tcPr>
          <w:p>
            <w:pPr>
              <w:adjustRightInd w:val="0"/>
              <w:snapToGrid w:val="0"/>
              <w:jc w:val="center"/>
              <w:rPr>
                <w:rFonts w:ascii="宋体" w:hAnsi="宋体" w:cs="宋体"/>
                <w:color w:val="000000"/>
                <w:sz w:val="24"/>
              </w:rPr>
            </w:pPr>
            <w:r>
              <w:rPr>
                <w:rFonts w:hint="eastAsia"/>
                <w:color w:val="000000"/>
                <w:sz w:val="24"/>
              </w:rPr>
              <w:t>15103731362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289" w:type="dxa"/>
            <w:tcMar>
              <w:top w:w="16" w:type="dxa"/>
              <w:left w:w="16" w:type="dxa"/>
              <w:right w:w="16" w:type="dxa"/>
            </w:tcMar>
            <w:vAlign w:val="center"/>
          </w:tcPr>
          <w:p>
            <w:pPr>
              <w:adjustRightInd w:val="0"/>
              <w:snapToGrid w:val="0"/>
              <w:jc w:val="center"/>
              <w:rPr>
                <w:rFonts w:ascii="宋体" w:hAnsi="宋体" w:cs="宋体"/>
                <w:color w:val="000000"/>
                <w:sz w:val="24"/>
              </w:rPr>
            </w:pPr>
            <w:r>
              <w:rPr>
                <w:rFonts w:hint="eastAsia" w:ascii="宋体" w:hAnsi="宋体" w:cs="宋体"/>
                <w:color w:val="000000"/>
                <w:sz w:val="24"/>
              </w:rPr>
              <w:t>建设地点</w:t>
            </w:r>
          </w:p>
        </w:tc>
        <w:tc>
          <w:tcPr>
            <w:tcW w:w="7581" w:type="dxa"/>
            <w:gridSpan w:val="5"/>
            <w:vAlign w:val="center"/>
          </w:tcPr>
          <w:p>
            <w:pPr>
              <w:adjustRightInd w:val="0"/>
              <w:snapToGrid w:val="0"/>
              <w:jc w:val="center"/>
              <w:rPr>
                <w:rFonts w:ascii="宋体" w:hAnsi="宋体" w:cs="宋体"/>
                <w:color w:val="000000"/>
                <w:sz w:val="24"/>
              </w:rPr>
            </w:pPr>
            <w:r>
              <w:rPr>
                <w:rFonts w:hint="eastAsia" w:ascii="宋体" w:hAnsi="宋体" w:cs="宋体"/>
                <w:color w:val="000000"/>
                <w:sz w:val="24"/>
              </w:rPr>
              <w:t>新乡市新乡县新乡经济开发区黄河大道中段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289" w:type="dxa"/>
            <w:tcMar>
              <w:top w:w="16" w:type="dxa"/>
              <w:left w:w="16" w:type="dxa"/>
              <w:right w:w="16" w:type="dxa"/>
            </w:tcMar>
            <w:vAlign w:val="center"/>
          </w:tcPr>
          <w:p>
            <w:pPr>
              <w:adjustRightInd w:val="0"/>
              <w:snapToGrid w:val="0"/>
              <w:jc w:val="center"/>
              <w:rPr>
                <w:rFonts w:ascii="宋体" w:hAnsi="宋体" w:cs="宋体"/>
                <w:color w:val="000000"/>
                <w:sz w:val="24"/>
              </w:rPr>
            </w:pPr>
            <w:r>
              <w:rPr>
                <w:rFonts w:hint="eastAsia" w:ascii="宋体" w:hAnsi="宋体" w:cs="宋体"/>
                <w:color w:val="000000"/>
                <w:sz w:val="24"/>
              </w:rPr>
              <w:t>地理坐标</w:t>
            </w:r>
          </w:p>
        </w:tc>
        <w:tc>
          <w:tcPr>
            <w:tcW w:w="7581" w:type="dxa"/>
            <w:gridSpan w:val="5"/>
            <w:vAlign w:val="center"/>
          </w:tcPr>
          <w:p>
            <w:pPr>
              <w:jc w:val="center"/>
              <w:rPr>
                <w:color w:val="000000"/>
                <w:sz w:val="24"/>
              </w:rPr>
            </w:pPr>
            <w:r>
              <w:rPr>
                <w:color w:val="000000"/>
                <w:sz w:val="24"/>
              </w:rPr>
              <w:t>（</w:t>
            </w:r>
            <w:r>
              <w:rPr>
                <w:rFonts w:hint="eastAsia"/>
                <w:color w:val="000000"/>
                <w:sz w:val="24"/>
                <w:u w:val="single"/>
              </w:rPr>
              <w:t>113</w:t>
            </w:r>
            <w:r>
              <w:rPr>
                <w:color w:val="000000"/>
                <w:sz w:val="24"/>
              </w:rPr>
              <w:t>度</w:t>
            </w:r>
            <w:r>
              <w:rPr>
                <w:rFonts w:hint="eastAsia"/>
                <w:color w:val="000000"/>
                <w:sz w:val="24"/>
                <w:u w:val="single"/>
              </w:rPr>
              <w:t>48</w:t>
            </w:r>
            <w:r>
              <w:rPr>
                <w:color w:val="000000"/>
                <w:sz w:val="24"/>
              </w:rPr>
              <w:t>分</w:t>
            </w:r>
            <w:r>
              <w:rPr>
                <w:rFonts w:hint="eastAsia"/>
                <w:color w:val="000000"/>
                <w:sz w:val="24"/>
                <w:u w:val="single"/>
              </w:rPr>
              <w:t>57.56</w:t>
            </w:r>
            <w:r>
              <w:rPr>
                <w:color w:val="000000"/>
                <w:sz w:val="24"/>
              </w:rPr>
              <w:t>秒，</w:t>
            </w:r>
            <w:r>
              <w:rPr>
                <w:color w:val="000000"/>
                <w:sz w:val="24"/>
                <w:u w:val="single"/>
              </w:rPr>
              <w:t>35</w:t>
            </w:r>
            <w:r>
              <w:rPr>
                <w:color w:val="000000"/>
                <w:sz w:val="24"/>
              </w:rPr>
              <w:t>度</w:t>
            </w:r>
            <w:r>
              <w:rPr>
                <w:rFonts w:hint="eastAsia"/>
                <w:color w:val="000000"/>
                <w:sz w:val="24"/>
                <w:u w:val="single"/>
              </w:rPr>
              <w:t>12</w:t>
            </w:r>
            <w:r>
              <w:rPr>
                <w:color w:val="000000"/>
                <w:sz w:val="24"/>
              </w:rPr>
              <w:t>分</w:t>
            </w:r>
            <w:r>
              <w:rPr>
                <w:rFonts w:hint="eastAsia"/>
                <w:color w:val="000000"/>
                <w:sz w:val="24"/>
                <w:u w:val="single"/>
              </w:rPr>
              <w:t>44.23</w:t>
            </w:r>
            <w:r>
              <w:rPr>
                <w:color w:val="000000"/>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289" w:type="dxa"/>
            <w:tcMar>
              <w:top w:w="16" w:type="dxa"/>
              <w:left w:w="16" w:type="dxa"/>
              <w:right w:w="16" w:type="dxa"/>
            </w:tcMar>
            <w:vAlign w:val="center"/>
          </w:tcPr>
          <w:p>
            <w:pPr>
              <w:adjustRightInd w:val="0"/>
              <w:snapToGrid w:val="0"/>
              <w:jc w:val="center"/>
              <w:rPr>
                <w:rFonts w:ascii="宋体" w:hAnsi="宋体" w:cs="宋体"/>
                <w:color w:val="000000"/>
                <w:sz w:val="24"/>
              </w:rPr>
            </w:pPr>
            <w:r>
              <w:rPr>
                <w:rFonts w:hint="eastAsia" w:ascii="宋体" w:hAnsi="宋体" w:cs="宋体"/>
                <w:color w:val="000000"/>
                <w:sz w:val="24"/>
              </w:rPr>
              <w:t>国民经济</w:t>
            </w:r>
          </w:p>
          <w:p>
            <w:pPr>
              <w:adjustRightInd w:val="0"/>
              <w:snapToGrid w:val="0"/>
              <w:jc w:val="center"/>
              <w:rPr>
                <w:rFonts w:ascii="宋体" w:hAnsi="宋体" w:cs="宋体"/>
                <w:color w:val="000000"/>
                <w:sz w:val="24"/>
              </w:rPr>
            </w:pPr>
            <w:r>
              <w:rPr>
                <w:rFonts w:hint="eastAsia" w:ascii="宋体" w:hAnsi="宋体" w:cs="宋体"/>
                <w:color w:val="000000"/>
                <w:sz w:val="24"/>
              </w:rPr>
              <w:t>行业类别</w:t>
            </w:r>
          </w:p>
        </w:tc>
        <w:tc>
          <w:tcPr>
            <w:tcW w:w="2552" w:type="dxa"/>
            <w:vAlign w:val="center"/>
          </w:tcPr>
          <w:p>
            <w:pPr>
              <w:adjustRightInd w:val="0"/>
              <w:snapToGrid w:val="0"/>
              <w:jc w:val="center"/>
              <w:rPr>
                <w:color w:val="000000"/>
                <w:sz w:val="24"/>
              </w:rPr>
            </w:pPr>
            <w:r>
              <w:rPr>
                <w:color w:val="000000"/>
                <w:sz w:val="24"/>
              </w:rPr>
              <w:t>C</w:t>
            </w:r>
            <w:r>
              <w:rPr>
                <w:rFonts w:hint="eastAsia"/>
                <w:color w:val="000000"/>
                <w:sz w:val="24"/>
              </w:rPr>
              <w:t>2239其他纸制品制造</w:t>
            </w:r>
          </w:p>
        </w:tc>
        <w:tc>
          <w:tcPr>
            <w:tcW w:w="1842" w:type="dxa"/>
            <w:gridSpan w:val="2"/>
            <w:vAlign w:val="center"/>
          </w:tcPr>
          <w:p>
            <w:pPr>
              <w:adjustRightInd w:val="0"/>
              <w:snapToGrid w:val="0"/>
              <w:jc w:val="center"/>
              <w:rPr>
                <w:color w:val="000000"/>
                <w:sz w:val="24"/>
              </w:rPr>
            </w:pPr>
            <w:bookmarkStart w:id="1" w:name="_Hlk49843745"/>
            <w:r>
              <w:rPr>
                <w:color w:val="000000"/>
                <w:sz w:val="24"/>
              </w:rPr>
              <w:t>建设项目</w:t>
            </w:r>
          </w:p>
          <w:p>
            <w:pPr>
              <w:adjustRightInd w:val="0"/>
              <w:snapToGrid w:val="0"/>
              <w:jc w:val="center"/>
              <w:rPr>
                <w:color w:val="000000"/>
                <w:sz w:val="24"/>
              </w:rPr>
            </w:pPr>
            <w:r>
              <w:rPr>
                <w:color w:val="000000"/>
                <w:sz w:val="24"/>
              </w:rPr>
              <w:t>行业类别</w:t>
            </w:r>
            <w:bookmarkEnd w:id="1"/>
          </w:p>
        </w:tc>
        <w:tc>
          <w:tcPr>
            <w:tcW w:w="3187" w:type="dxa"/>
            <w:gridSpan w:val="2"/>
            <w:vAlign w:val="center"/>
          </w:tcPr>
          <w:p>
            <w:pPr>
              <w:adjustRightInd w:val="0"/>
              <w:snapToGrid w:val="0"/>
              <w:rPr>
                <w:color w:val="000000"/>
                <w:sz w:val="24"/>
              </w:rPr>
            </w:pPr>
            <w:r>
              <w:rPr>
                <w:color w:val="000000"/>
                <w:sz w:val="24"/>
              </w:rPr>
              <w:t>十九</w:t>
            </w:r>
            <w:r>
              <w:rPr>
                <w:rFonts w:hint="eastAsia"/>
                <w:color w:val="000000"/>
                <w:sz w:val="24"/>
              </w:rPr>
              <w:t>、“</w:t>
            </w:r>
            <w:r>
              <w:rPr>
                <w:color w:val="000000"/>
                <w:sz w:val="24"/>
              </w:rPr>
              <w:t>造纸和纸制品业</w:t>
            </w:r>
            <w:r>
              <w:rPr>
                <w:rFonts w:hint="eastAsia"/>
                <w:color w:val="000000"/>
                <w:sz w:val="24"/>
              </w:rPr>
              <w:t>22”：第38条“纸制品制造223</w:t>
            </w:r>
            <w:r>
              <w:rPr>
                <w:rFonts w:hint="eastAsia" w:ascii="宋体" w:hAnsi="宋体"/>
                <w:color w:val="000000"/>
                <w:sz w:val="24"/>
              </w:rPr>
              <w:t>*</w:t>
            </w:r>
            <w:r>
              <w:rPr>
                <w:rFonts w:hint="eastAsia"/>
                <w:color w:val="00000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289" w:type="dxa"/>
            <w:tcMar>
              <w:top w:w="16" w:type="dxa"/>
              <w:left w:w="16" w:type="dxa"/>
              <w:right w:w="16" w:type="dxa"/>
            </w:tcMar>
            <w:vAlign w:val="center"/>
          </w:tcPr>
          <w:p>
            <w:pPr>
              <w:adjustRightInd w:val="0"/>
              <w:snapToGrid w:val="0"/>
              <w:jc w:val="center"/>
              <w:rPr>
                <w:rFonts w:ascii="宋体" w:hAnsi="宋体" w:cs="宋体"/>
                <w:color w:val="000000"/>
                <w:sz w:val="24"/>
              </w:rPr>
            </w:pPr>
            <w:r>
              <w:rPr>
                <w:rFonts w:hint="eastAsia" w:ascii="宋体" w:hAnsi="宋体" w:cs="宋体"/>
                <w:color w:val="000000"/>
                <w:sz w:val="24"/>
              </w:rPr>
              <w:t>建设性质</w:t>
            </w:r>
          </w:p>
        </w:tc>
        <w:tc>
          <w:tcPr>
            <w:tcW w:w="2552" w:type="dxa"/>
            <w:vAlign w:val="center"/>
          </w:tcPr>
          <w:p>
            <w:pPr>
              <w:jc w:val="left"/>
              <w:rPr>
                <w:color w:val="000000"/>
                <w:sz w:val="24"/>
              </w:rPr>
            </w:pPr>
            <w:r>
              <w:rPr>
                <w:color w:val="000000"/>
                <w:sz w:val="24"/>
              </w:rPr>
              <w:sym w:font="Wingdings 2" w:char="00A3"/>
            </w:r>
            <w:r>
              <w:rPr>
                <w:color w:val="000000"/>
                <w:sz w:val="24"/>
              </w:rPr>
              <w:t>新建（迁建）</w:t>
            </w:r>
          </w:p>
          <w:p>
            <w:pPr>
              <w:jc w:val="left"/>
              <w:rPr>
                <w:color w:val="000000"/>
                <w:sz w:val="24"/>
              </w:rPr>
            </w:pPr>
            <w:r>
              <w:rPr>
                <w:color w:val="000000"/>
                <w:sz w:val="24"/>
              </w:rPr>
              <w:sym w:font="Wingdings 2" w:char="00A3"/>
            </w:r>
            <w:r>
              <w:rPr>
                <w:color w:val="000000"/>
                <w:sz w:val="24"/>
              </w:rPr>
              <w:t>改建</w:t>
            </w:r>
          </w:p>
          <w:p>
            <w:pPr>
              <w:jc w:val="left"/>
              <w:rPr>
                <w:color w:val="000000"/>
                <w:sz w:val="24"/>
              </w:rPr>
            </w:pPr>
            <w:r>
              <w:rPr>
                <w:rFonts w:hint="eastAsia" w:ascii="MS Gothic" w:hAnsi="MS Gothic" w:eastAsia="MS Gothic" w:cs="MS Gothic"/>
                <w:color w:val="000000"/>
                <w:sz w:val="24"/>
              </w:rPr>
              <w:t>☑</w:t>
            </w:r>
            <w:r>
              <w:rPr>
                <w:color w:val="000000"/>
                <w:sz w:val="24"/>
              </w:rPr>
              <w:t>扩建</w:t>
            </w:r>
          </w:p>
          <w:p>
            <w:pPr>
              <w:jc w:val="left"/>
              <w:rPr>
                <w:color w:val="000000"/>
                <w:sz w:val="24"/>
              </w:rPr>
            </w:pPr>
            <w:r>
              <w:rPr>
                <w:color w:val="000000"/>
                <w:sz w:val="24"/>
              </w:rPr>
              <w:sym w:font="Wingdings 2" w:char="00A3"/>
            </w:r>
            <w:r>
              <w:rPr>
                <w:color w:val="000000"/>
                <w:sz w:val="24"/>
              </w:rPr>
              <w:t>技术改造</w:t>
            </w:r>
          </w:p>
        </w:tc>
        <w:tc>
          <w:tcPr>
            <w:tcW w:w="1842" w:type="dxa"/>
            <w:gridSpan w:val="2"/>
            <w:vAlign w:val="center"/>
          </w:tcPr>
          <w:p>
            <w:pPr>
              <w:adjustRightInd w:val="0"/>
              <w:snapToGrid w:val="0"/>
              <w:jc w:val="center"/>
              <w:rPr>
                <w:color w:val="000000"/>
                <w:sz w:val="24"/>
              </w:rPr>
            </w:pPr>
            <w:r>
              <w:rPr>
                <w:color w:val="000000"/>
                <w:sz w:val="24"/>
              </w:rPr>
              <w:t>建设项目</w:t>
            </w:r>
          </w:p>
          <w:p>
            <w:pPr>
              <w:adjustRightInd w:val="0"/>
              <w:snapToGrid w:val="0"/>
              <w:jc w:val="center"/>
              <w:rPr>
                <w:color w:val="000000"/>
                <w:sz w:val="24"/>
              </w:rPr>
            </w:pPr>
            <w:r>
              <w:rPr>
                <w:color w:val="000000"/>
                <w:sz w:val="24"/>
              </w:rPr>
              <w:t>申报情形</w:t>
            </w:r>
          </w:p>
        </w:tc>
        <w:tc>
          <w:tcPr>
            <w:tcW w:w="3187" w:type="dxa"/>
            <w:gridSpan w:val="2"/>
            <w:vAlign w:val="center"/>
          </w:tcPr>
          <w:p>
            <w:pPr>
              <w:jc w:val="left"/>
              <w:rPr>
                <w:color w:val="000000"/>
                <w:sz w:val="24"/>
              </w:rPr>
            </w:pPr>
            <w:r>
              <w:rPr>
                <w:rFonts w:hint="eastAsia" w:ascii="MS Gothic" w:hAnsi="MS Gothic" w:eastAsia="MS Gothic" w:cs="MS Gothic"/>
                <w:color w:val="000000"/>
                <w:sz w:val="24"/>
              </w:rPr>
              <w:t>☑</w:t>
            </w:r>
            <w:r>
              <w:rPr>
                <w:color w:val="000000"/>
                <w:sz w:val="24"/>
              </w:rPr>
              <w:t xml:space="preserve">首次申报项目             </w:t>
            </w:r>
          </w:p>
          <w:p>
            <w:pPr>
              <w:jc w:val="left"/>
              <w:rPr>
                <w:color w:val="000000"/>
                <w:sz w:val="24"/>
              </w:rPr>
            </w:pPr>
            <w:r>
              <w:rPr>
                <w:color w:val="000000"/>
                <w:sz w:val="24"/>
              </w:rPr>
              <w:sym w:font="Wingdings 2" w:char="00A3"/>
            </w:r>
            <w:r>
              <w:rPr>
                <w:color w:val="000000"/>
                <w:sz w:val="24"/>
              </w:rPr>
              <w:t>不予批准后再次申报项目</w:t>
            </w:r>
          </w:p>
          <w:p>
            <w:pPr>
              <w:jc w:val="left"/>
              <w:rPr>
                <w:color w:val="000000"/>
                <w:sz w:val="24"/>
              </w:rPr>
            </w:pPr>
            <w:r>
              <w:rPr>
                <w:color w:val="000000"/>
                <w:sz w:val="24"/>
              </w:rPr>
              <w:sym w:font="Wingdings 2" w:char="00A3"/>
            </w:r>
            <w:r>
              <w:rPr>
                <w:color w:val="000000"/>
                <w:sz w:val="24"/>
              </w:rPr>
              <w:t xml:space="preserve">超五年重新审核项目     </w:t>
            </w:r>
          </w:p>
          <w:p>
            <w:pPr>
              <w:jc w:val="left"/>
              <w:rPr>
                <w:color w:val="000000"/>
                <w:sz w:val="24"/>
              </w:rPr>
            </w:pPr>
            <w:r>
              <w:rPr>
                <w:color w:val="000000"/>
                <w:sz w:val="24"/>
              </w:rPr>
              <w:sym w:font="Wingdings 2" w:char="00A3"/>
            </w:r>
            <w:r>
              <w:rPr>
                <w:color w:val="000000"/>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289" w:type="dxa"/>
            <w:tcMar>
              <w:top w:w="16" w:type="dxa"/>
              <w:left w:w="16" w:type="dxa"/>
              <w:right w:w="16" w:type="dxa"/>
            </w:tcMar>
            <w:vAlign w:val="center"/>
          </w:tcPr>
          <w:p>
            <w:pPr>
              <w:adjustRightInd w:val="0"/>
              <w:snapToGrid w:val="0"/>
              <w:jc w:val="center"/>
              <w:rPr>
                <w:rFonts w:ascii="宋体" w:hAnsi="宋体" w:cs="宋体"/>
                <w:color w:val="000000"/>
                <w:sz w:val="24"/>
              </w:rPr>
            </w:pPr>
            <w:r>
              <w:rPr>
                <w:rFonts w:hint="eastAsia" w:ascii="宋体" w:hAnsi="宋体" w:cs="宋体"/>
                <w:color w:val="000000"/>
                <w:sz w:val="24"/>
              </w:rPr>
              <w:t>项目审批（核准</w:t>
            </w:r>
            <w:r>
              <w:rPr>
                <w:rFonts w:ascii="宋体" w:hAnsi="宋体" w:cs="宋体"/>
                <w:color w:val="000000"/>
                <w:sz w:val="24"/>
              </w:rPr>
              <w:t>/</w:t>
            </w:r>
            <w:r>
              <w:rPr>
                <w:rFonts w:hint="eastAsia" w:ascii="宋体" w:hAnsi="宋体" w:cs="宋体"/>
                <w:color w:val="000000"/>
                <w:sz w:val="24"/>
              </w:rPr>
              <w:t>备案）部门</w:t>
            </w:r>
          </w:p>
        </w:tc>
        <w:tc>
          <w:tcPr>
            <w:tcW w:w="2552" w:type="dxa"/>
            <w:vAlign w:val="center"/>
          </w:tcPr>
          <w:p>
            <w:pPr>
              <w:adjustRightInd w:val="0"/>
              <w:snapToGrid w:val="0"/>
              <w:jc w:val="center"/>
              <w:rPr>
                <w:color w:val="000000"/>
                <w:sz w:val="24"/>
              </w:rPr>
            </w:pPr>
            <w:r>
              <w:rPr>
                <w:color w:val="000000"/>
                <w:sz w:val="24"/>
              </w:rPr>
              <w:t>新乡县发展和改革委员会</w:t>
            </w:r>
          </w:p>
        </w:tc>
        <w:tc>
          <w:tcPr>
            <w:tcW w:w="1842" w:type="dxa"/>
            <w:gridSpan w:val="2"/>
            <w:vAlign w:val="center"/>
          </w:tcPr>
          <w:p>
            <w:pPr>
              <w:adjustRightInd w:val="0"/>
              <w:snapToGrid w:val="0"/>
              <w:jc w:val="center"/>
              <w:rPr>
                <w:color w:val="000000"/>
                <w:sz w:val="24"/>
              </w:rPr>
            </w:pPr>
            <w:r>
              <w:rPr>
                <w:color w:val="000000"/>
                <w:sz w:val="24"/>
              </w:rPr>
              <w:t>项目审批（核准/备案）文号</w:t>
            </w:r>
          </w:p>
        </w:tc>
        <w:tc>
          <w:tcPr>
            <w:tcW w:w="3187" w:type="dxa"/>
            <w:gridSpan w:val="2"/>
            <w:vAlign w:val="center"/>
          </w:tcPr>
          <w:p>
            <w:pPr>
              <w:adjustRightInd w:val="0"/>
              <w:snapToGrid w:val="0"/>
              <w:jc w:val="center"/>
              <w:rPr>
                <w:color w:val="000000"/>
                <w:sz w:val="24"/>
              </w:rPr>
            </w:pPr>
            <w:r>
              <w:rPr>
                <w:color w:val="00000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289" w:type="dxa"/>
            <w:tcMar>
              <w:top w:w="16" w:type="dxa"/>
              <w:left w:w="16" w:type="dxa"/>
              <w:right w:w="16" w:type="dxa"/>
            </w:tcMar>
            <w:vAlign w:val="center"/>
          </w:tcPr>
          <w:p>
            <w:pPr>
              <w:adjustRightInd w:val="0"/>
              <w:snapToGrid w:val="0"/>
              <w:jc w:val="center"/>
              <w:rPr>
                <w:rFonts w:ascii="宋体" w:hAnsi="宋体" w:cs="宋体"/>
                <w:color w:val="000000"/>
                <w:sz w:val="24"/>
              </w:rPr>
            </w:pPr>
            <w:r>
              <w:rPr>
                <w:rFonts w:hint="eastAsia" w:ascii="宋体" w:hAnsi="宋体" w:cs="宋体"/>
                <w:color w:val="000000"/>
                <w:sz w:val="24"/>
              </w:rPr>
              <w:t>总投资（万元）</w:t>
            </w:r>
          </w:p>
        </w:tc>
        <w:tc>
          <w:tcPr>
            <w:tcW w:w="2552" w:type="dxa"/>
            <w:vAlign w:val="center"/>
          </w:tcPr>
          <w:p>
            <w:pPr>
              <w:adjustRightInd w:val="0"/>
              <w:snapToGrid w:val="0"/>
              <w:jc w:val="center"/>
              <w:rPr>
                <w:color w:val="000000"/>
                <w:sz w:val="24"/>
              </w:rPr>
            </w:pPr>
            <w:r>
              <w:rPr>
                <w:rFonts w:hint="eastAsia"/>
                <w:color w:val="000000"/>
                <w:sz w:val="24"/>
              </w:rPr>
              <w:t>1820</w:t>
            </w:r>
          </w:p>
        </w:tc>
        <w:tc>
          <w:tcPr>
            <w:tcW w:w="1842" w:type="dxa"/>
            <w:gridSpan w:val="2"/>
            <w:tcMar>
              <w:top w:w="16" w:type="dxa"/>
              <w:left w:w="16" w:type="dxa"/>
              <w:right w:w="16" w:type="dxa"/>
            </w:tcMar>
            <w:vAlign w:val="center"/>
          </w:tcPr>
          <w:p>
            <w:pPr>
              <w:adjustRightInd w:val="0"/>
              <w:snapToGrid w:val="0"/>
              <w:jc w:val="center"/>
              <w:rPr>
                <w:color w:val="000000"/>
                <w:sz w:val="24"/>
              </w:rPr>
            </w:pPr>
            <w:r>
              <w:rPr>
                <w:color w:val="000000"/>
                <w:sz w:val="24"/>
              </w:rPr>
              <w:t>环保投资（万元）</w:t>
            </w:r>
          </w:p>
        </w:tc>
        <w:tc>
          <w:tcPr>
            <w:tcW w:w="3187" w:type="dxa"/>
            <w:gridSpan w:val="2"/>
            <w:vAlign w:val="center"/>
          </w:tcPr>
          <w:p>
            <w:pPr>
              <w:adjustRightInd w:val="0"/>
              <w:snapToGrid w:val="0"/>
              <w:jc w:val="center"/>
              <w:rPr>
                <w:color w:val="000000"/>
                <w:sz w:val="24"/>
              </w:rPr>
            </w:pPr>
            <w:r>
              <w:rPr>
                <w:rFonts w:hint="eastAsia"/>
                <w:color w:val="000000"/>
                <w:sz w:val="24"/>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289" w:type="dxa"/>
            <w:tcMar>
              <w:top w:w="16" w:type="dxa"/>
              <w:left w:w="16" w:type="dxa"/>
              <w:right w:w="16" w:type="dxa"/>
            </w:tcMar>
            <w:vAlign w:val="center"/>
          </w:tcPr>
          <w:p>
            <w:pPr>
              <w:adjustRightInd w:val="0"/>
              <w:snapToGrid w:val="0"/>
              <w:jc w:val="center"/>
              <w:rPr>
                <w:rFonts w:ascii="宋体" w:hAnsi="宋体" w:cs="宋体"/>
                <w:color w:val="000000"/>
                <w:sz w:val="24"/>
              </w:rPr>
            </w:pPr>
            <w:r>
              <w:rPr>
                <w:rFonts w:hint="eastAsia" w:ascii="宋体" w:hAnsi="宋体" w:cs="宋体"/>
                <w:color w:val="000000"/>
                <w:sz w:val="24"/>
              </w:rPr>
              <w:t>环保投资占比</w:t>
            </w:r>
            <w:r>
              <w:rPr>
                <w:color w:val="000000"/>
                <w:sz w:val="24"/>
              </w:rPr>
              <w:t>（%）</w:t>
            </w:r>
          </w:p>
        </w:tc>
        <w:tc>
          <w:tcPr>
            <w:tcW w:w="2552" w:type="dxa"/>
            <w:vAlign w:val="center"/>
          </w:tcPr>
          <w:p>
            <w:pPr>
              <w:adjustRightInd w:val="0"/>
              <w:snapToGrid w:val="0"/>
              <w:jc w:val="center"/>
              <w:rPr>
                <w:color w:val="000000"/>
                <w:sz w:val="24"/>
              </w:rPr>
            </w:pPr>
            <w:r>
              <w:rPr>
                <w:rFonts w:hint="eastAsia"/>
                <w:color w:val="000000"/>
                <w:sz w:val="24"/>
              </w:rPr>
              <w:t>1.1</w:t>
            </w:r>
          </w:p>
        </w:tc>
        <w:tc>
          <w:tcPr>
            <w:tcW w:w="1842" w:type="dxa"/>
            <w:gridSpan w:val="2"/>
            <w:tcMar>
              <w:top w:w="16" w:type="dxa"/>
              <w:left w:w="16" w:type="dxa"/>
              <w:right w:w="16" w:type="dxa"/>
            </w:tcMar>
            <w:vAlign w:val="center"/>
          </w:tcPr>
          <w:p>
            <w:pPr>
              <w:adjustRightInd w:val="0"/>
              <w:snapToGrid w:val="0"/>
              <w:jc w:val="center"/>
              <w:rPr>
                <w:color w:val="000000"/>
                <w:sz w:val="24"/>
              </w:rPr>
            </w:pPr>
            <w:r>
              <w:rPr>
                <w:color w:val="000000"/>
                <w:sz w:val="24"/>
              </w:rPr>
              <w:t>施工工期</w:t>
            </w:r>
          </w:p>
        </w:tc>
        <w:tc>
          <w:tcPr>
            <w:tcW w:w="3187" w:type="dxa"/>
            <w:gridSpan w:val="2"/>
            <w:vAlign w:val="center"/>
          </w:tcPr>
          <w:p>
            <w:pPr>
              <w:adjustRightInd w:val="0"/>
              <w:snapToGrid w:val="0"/>
              <w:jc w:val="center"/>
              <w:rPr>
                <w:color w:val="000000"/>
                <w:sz w:val="24"/>
              </w:rPr>
            </w:pPr>
            <w:r>
              <w:rPr>
                <w:rFonts w:hint="eastAsia"/>
                <w:color w:val="000000"/>
                <w:sz w:val="24"/>
              </w:rPr>
              <w:t>2022年1月-2022年2月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289" w:type="dxa"/>
            <w:tcMar>
              <w:top w:w="16" w:type="dxa"/>
              <w:left w:w="16" w:type="dxa"/>
              <w:right w:w="16" w:type="dxa"/>
            </w:tcMar>
            <w:vAlign w:val="center"/>
          </w:tcPr>
          <w:p>
            <w:pPr>
              <w:adjustRightInd w:val="0"/>
              <w:snapToGrid w:val="0"/>
              <w:jc w:val="center"/>
              <w:rPr>
                <w:color w:val="000000"/>
                <w:sz w:val="24"/>
              </w:rPr>
            </w:pPr>
            <w:r>
              <w:rPr>
                <w:color w:val="000000"/>
                <w:sz w:val="24"/>
              </w:rPr>
              <w:t>是否开工建设</w:t>
            </w:r>
          </w:p>
        </w:tc>
        <w:tc>
          <w:tcPr>
            <w:tcW w:w="2552" w:type="dxa"/>
            <w:vAlign w:val="center"/>
          </w:tcPr>
          <w:p>
            <w:pPr>
              <w:adjustRightInd w:val="0"/>
              <w:snapToGrid w:val="0"/>
              <w:rPr>
                <w:color w:val="000000"/>
                <w:sz w:val="24"/>
              </w:rPr>
            </w:pPr>
            <w:r>
              <w:rPr>
                <w:rFonts w:hint="eastAsia" w:ascii="MS Gothic" w:hAnsi="MS Gothic" w:eastAsia="MS Gothic" w:cs="MS Gothic"/>
                <w:color w:val="000000"/>
                <w:sz w:val="24"/>
              </w:rPr>
              <w:t>☑</w:t>
            </w:r>
            <w:r>
              <w:rPr>
                <w:color w:val="000000"/>
                <w:sz w:val="24"/>
              </w:rPr>
              <w:t>否</w:t>
            </w:r>
          </w:p>
          <w:p>
            <w:pPr>
              <w:adjustRightInd w:val="0"/>
              <w:snapToGrid w:val="0"/>
              <w:rPr>
                <w:color w:val="000000"/>
                <w:sz w:val="24"/>
              </w:rPr>
            </w:pPr>
            <w:r>
              <w:rPr>
                <w:color w:val="000000"/>
                <w:sz w:val="24"/>
              </w:rPr>
              <w:sym w:font="Wingdings 2" w:char="00A3"/>
            </w:r>
            <w:r>
              <w:rPr>
                <w:color w:val="000000"/>
                <w:sz w:val="24"/>
              </w:rPr>
              <w:t>是：</w:t>
            </w:r>
            <w:r>
              <w:rPr>
                <w:color w:val="000000"/>
                <w:sz w:val="24"/>
                <w:u w:val="single"/>
              </w:rPr>
              <w:t xml:space="preserve">             </w:t>
            </w:r>
          </w:p>
        </w:tc>
        <w:tc>
          <w:tcPr>
            <w:tcW w:w="1842" w:type="dxa"/>
            <w:gridSpan w:val="2"/>
            <w:tcMar>
              <w:top w:w="16" w:type="dxa"/>
              <w:left w:w="16" w:type="dxa"/>
              <w:right w:w="16" w:type="dxa"/>
            </w:tcMar>
            <w:vAlign w:val="center"/>
          </w:tcPr>
          <w:p>
            <w:pPr>
              <w:adjustRightInd w:val="0"/>
              <w:snapToGrid w:val="0"/>
              <w:jc w:val="center"/>
              <w:rPr>
                <w:color w:val="000000"/>
                <w:spacing w:val="-6"/>
                <w:sz w:val="24"/>
              </w:rPr>
            </w:pPr>
            <w:r>
              <w:rPr>
                <w:color w:val="000000"/>
                <w:spacing w:val="-6"/>
                <w:sz w:val="24"/>
              </w:rPr>
              <w:t>用地（用海）</w:t>
            </w:r>
          </w:p>
          <w:p>
            <w:pPr>
              <w:adjustRightInd w:val="0"/>
              <w:snapToGrid w:val="0"/>
              <w:jc w:val="center"/>
              <w:rPr>
                <w:color w:val="000000"/>
                <w:sz w:val="24"/>
              </w:rPr>
            </w:pPr>
            <w:r>
              <w:rPr>
                <w:color w:val="000000"/>
                <w:spacing w:val="-6"/>
                <w:sz w:val="24"/>
              </w:rPr>
              <w:t>面积（m</w:t>
            </w:r>
            <w:r>
              <w:rPr>
                <w:color w:val="000000"/>
                <w:spacing w:val="-6"/>
                <w:sz w:val="24"/>
                <w:vertAlign w:val="superscript"/>
              </w:rPr>
              <w:t>2</w:t>
            </w:r>
            <w:r>
              <w:rPr>
                <w:color w:val="000000"/>
                <w:spacing w:val="-6"/>
                <w:sz w:val="24"/>
              </w:rPr>
              <w:t>）</w:t>
            </w:r>
          </w:p>
        </w:tc>
        <w:tc>
          <w:tcPr>
            <w:tcW w:w="3187" w:type="dxa"/>
            <w:gridSpan w:val="2"/>
            <w:vAlign w:val="center"/>
          </w:tcPr>
          <w:p>
            <w:pPr>
              <w:adjustRightInd w:val="0"/>
              <w:snapToGrid w:val="0"/>
              <w:jc w:val="center"/>
              <w:rPr>
                <w:color w:val="000000"/>
                <w:sz w:val="24"/>
              </w:rPr>
            </w:pPr>
            <w:r>
              <w:rPr>
                <w:rFonts w:hint="eastAsia"/>
                <w:color w:val="000000"/>
                <w:sz w:val="24"/>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680" w:hRule="atLeast"/>
          <w:jc w:val="center"/>
        </w:trPr>
        <w:tc>
          <w:tcPr>
            <w:tcW w:w="1289" w:type="dxa"/>
            <w:vAlign w:val="center"/>
          </w:tcPr>
          <w:p>
            <w:pPr>
              <w:autoSpaceDE w:val="0"/>
              <w:autoSpaceDN w:val="0"/>
              <w:adjustRightInd w:val="0"/>
              <w:snapToGrid w:val="0"/>
              <w:jc w:val="center"/>
              <w:rPr>
                <w:rFonts w:ascii="宋体" w:hAnsi="宋体" w:cs="宋体"/>
                <w:color w:val="000000"/>
                <w:kern w:val="0"/>
                <w:sz w:val="24"/>
              </w:rPr>
            </w:pPr>
            <w:r>
              <w:rPr>
                <w:rFonts w:hint="eastAsia" w:ascii="宋体" w:hAnsi="宋体" w:cs="宋体"/>
                <w:color w:val="000000"/>
                <w:kern w:val="0"/>
                <w:sz w:val="24"/>
              </w:rPr>
              <w:t>专项评价设置情况</w:t>
            </w:r>
          </w:p>
        </w:tc>
        <w:tc>
          <w:tcPr>
            <w:tcW w:w="7581" w:type="dxa"/>
            <w:gridSpan w:val="5"/>
            <w:vAlign w:val="center"/>
          </w:tcPr>
          <w:p>
            <w:pPr>
              <w:autoSpaceDE w:val="0"/>
              <w:autoSpaceDN w:val="0"/>
              <w:adjustRightInd w:val="0"/>
              <w:snapToGrid w:val="0"/>
              <w:jc w:val="center"/>
              <w:rPr>
                <w:color w:val="000000"/>
                <w:kern w:val="0"/>
                <w:sz w:val="24"/>
              </w:rPr>
            </w:pPr>
            <w:r>
              <w:rPr>
                <w:color w:val="000000"/>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680" w:hRule="atLeast"/>
          <w:jc w:val="center"/>
        </w:trPr>
        <w:tc>
          <w:tcPr>
            <w:tcW w:w="1289" w:type="dxa"/>
            <w:vAlign w:val="center"/>
          </w:tcPr>
          <w:p>
            <w:pPr>
              <w:autoSpaceDE w:val="0"/>
              <w:autoSpaceDN w:val="0"/>
              <w:adjustRightInd w:val="0"/>
              <w:snapToGrid w:val="0"/>
              <w:jc w:val="center"/>
              <w:rPr>
                <w:rFonts w:ascii="宋体" w:hAnsi="宋体" w:cs="宋体"/>
                <w:color w:val="000000"/>
                <w:kern w:val="0"/>
                <w:sz w:val="24"/>
                <w:highlight w:val="yellow"/>
              </w:rPr>
            </w:pPr>
            <w:r>
              <w:rPr>
                <w:rFonts w:hint="eastAsia" w:ascii="宋体" w:hAnsi="宋体" w:cs="宋体"/>
                <w:color w:val="000000"/>
                <w:sz w:val="24"/>
              </w:rPr>
              <w:t>规划情况</w:t>
            </w:r>
          </w:p>
        </w:tc>
        <w:tc>
          <w:tcPr>
            <w:tcW w:w="7581" w:type="dxa"/>
            <w:gridSpan w:val="5"/>
            <w:vAlign w:val="center"/>
          </w:tcPr>
          <w:p>
            <w:pPr>
              <w:autoSpaceDE w:val="0"/>
              <w:autoSpaceDN w:val="0"/>
              <w:adjustRightInd w:val="0"/>
              <w:snapToGrid w:val="0"/>
              <w:jc w:val="center"/>
              <w:rPr>
                <w:color w:val="000000"/>
                <w:kern w:val="0"/>
                <w:sz w:val="24"/>
              </w:rPr>
            </w:pPr>
            <w:r>
              <w:rPr>
                <w:rFonts w:hint="eastAsia"/>
                <w:color w:val="000000"/>
                <w:kern w:val="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1077" w:hRule="atLeast"/>
          <w:jc w:val="center"/>
        </w:trPr>
        <w:tc>
          <w:tcPr>
            <w:tcW w:w="1289"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规划环境影响评价情况</w:t>
            </w:r>
          </w:p>
        </w:tc>
        <w:tc>
          <w:tcPr>
            <w:tcW w:w="7581" w:type="dxa"/>
            <w:gridSpan w:val="5"/>
            <w:vAlign w:val="center"/>
          </w:tcPr>
          <w:p>
            <w:pPr>
              <w:autoSpaceDE w:val="0"/>
              <w:autoSpaceDN w:val="0"/>
              <w:adjustRightInd w:val="0"/>
              <w:snapToGrid w:val="0"/>
              <w:spacing w:line="440" w:lineRule="exact"/>
              <w:jc w:val="center"/>
              <w:rPr>
                <w:color w:val="000000"/>
                <w:kern w:val="0"/>
                <w:sz w:val="24"/>
              </w:rPr>
            </w:pPr>
            <w:r>
              <w:rPr>
                <w:rFonts w:hint="eastAsia"/>
                <w:color w:val="000000"/>
                <w:kern w:val="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1020" w:hRule="atLeast"/>
          <w:jc w:val="center"/>
        </w:trPr>
        <w:tc>
          <w:tcPr>
            <w:tcW w:w="1289" w:type="dxa"/>
            <w:vAlign w:val="center"/>
          </w:tcPr>
          <w:p>
            <w:pPr>
              <w:autoSpaceDE w:val="0"/>
              <w:autoSpaceDN w:val="0"/>
              <w:adjustRightInd w:val="0"/>
              <w:snapToGrid w:val="0"/>
              <w:jc w:val="center"/>
              <w:rPr>
                <w:rFonts w:ascii="宋体" w:hAnsi="宋体" w:cs="宋体"/>
                <w:color w:val="000000"/>
                <w:kern w:val="0"/>
                <w:sz w:val="24"/>
              </w:rPr>
            </w:pPr>
            <w:r>
              <w:rPr>
                <w:rFonts w:hint="eastAsia" w:ascii="宋体" w:hAnsi="宋体" w:cs="宋体"/>
                <w:color w:val="000000"/>
                <w:kern w:val="0"/>
                <w:sz w:val="24"/>
              </w:rPr>
              <w:t>规划及规划环境影响评价符合性分析</w:t>
            </w:r>
          </w:p>
        </w:tc>
        <w:tc>
          <w:tcPr>
            <w:tcW w:w="7581" w:type="dxa"/>
            <w:gridSpan w:val="5"/>
            <w:vAlign w:val="center"/>
          </w:tcPr>
          <w:p>
            <w:pPr>
              <w:adjustRightInd w:val="0"/>
              <w:snapToGrid w:val="0"/>
              <w:jc w:val="center"/>
              <w:textAlignment w:val="baseline"/>
              <w:rPr>
                <w:b/>
                <w:color w:val="000000"/>
                <w:sz w:val="24"/>
              </w:rPr>
            </w:pPr>
            <w:r>
              <w:rPr>
                <w:rFonts w:hint="eastAsia"/>
                <w:b/>
                <w:color w:val="00000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1975" w:hRule="atLeast"/>
          <w:jc w:val="center"/>
        </w:trPr>
        <w:tc>
          <w:tcPr>
            <w:tcW w:w="1289" w:type="dxa"/>
            <w:vAlign w:val="center"/>
          </w:tcPr>
          <w:p>
            <w:pPr>
              <w:autoSpaceDE w:val="0"/>
              <w:autoSpaceDN w:val="0"/>
              <w:adjustRightInd w:val="0"/>
              <w:snapToGrid w:val="0"/>
              <w:jc w:val="center"/>
              <w:rPr>
                <w:rFonts w:ascii="宋体" w:hAnsi="宋体" w:cs="宋体"/>
                <w:color w:val="000000"/>
                <w:kern w:val="0"/>
                <w:szCs w:val="21"/>
              </w:rPr>
            </w:pPr>
            <w:r>
              <w:rPr>
                <w:rFonts w:hint="eastAsia" w:ascii="宋体" w:hAnsi="宋体" w:cs="宋体"/>
                <w:color w:val="000000"/>
                <w:kern w:val="0"/>
                <w:sz w:val="24"/>
                <w:szCs w:val="21"/>
              </w:rPr>
              <w:t>其他符合性分析</w:t>
            </w:r>
          </w:p>
        </w:tc>
        <w:tc>
          <w:tcPr>
            <w:tcW w:w="7581" w:type="dxa"/>
            <w:gridSpan w:val="5"/>
            <w:vAlign w:val="center"/>
          </w:tcPr>
          <w:p>
            <w:pPr>
              <w:autoSpaceDE w:val="0"/>
              <w:autoSpaceDN w:val="0"/>
              <w:adjustRightInd w:val="0"/>
              <w:snapToGrid w:val="0"/>
              <w:spacing w:line="460" w:lineRule="exact"/>
              <w:ind w:firstLine="482" w:firstLineChars="200"/>
              <w:rPr>
                <w:b/>
                <w:color w:val="000000"/>
                <w:sz w:val="24"/>
                <w:szCs w:val="20"/>
              </w:rPr>
            </w:pPr>
            <w:r>
              <w:rPr>
                <w:rFonts w:hint="eastAsia"/>
                <w:b/>
                <w:color w:val="000000"/>
                <w:sz w:val="24"/>
                <w:szCs w:val="20"/>
              </w:rPr>
              <w:t>1、</w:t>
            </w:r>
            <w:r>
              <w:rPr>
                <w:b/>
                <w:kern w:val="0"/>
                <w:sz w:val="24"/>
              </w:rPr>
              <w:t>与《建设项目环境影响评价分类管理名录》（2021年版）相符性分析</w:t>
            </w:r>
          </w:p>
          <w:p>
            <w:pPr>
              <w:autoSpaceDE w:val="0"/>
              <w:autoSpaceDN w:val="0"/>
              <w:adjustRightInd w:val="0"/>
              <w:snapToGrid w:val="0"/>
              <w:spacing w:line="460" w:lineRule="exact"/>
              <w:ind w:firstLine="480" w:firstLineChars="200"/>
              <w:rPr>
                <w:color w:val="000000"/>
                <w:sz w:val="24"/>
                <w:szCs w:val="20"/>
              </w:rPr>
            </w:pPr>
            <w:r>
              <w:rPr>
                <w:color w:val="000000"/>
                <w:sz w:val="24"/>
                <w:szCs w:val="20"/>
              </w:rPr>
              <w:t>经查阅《建设项目环境影响评价分类管理名录》（</w:t>
            </w:r>
            <w:r>
              <w:rPr>
                <w:rFonts w:hint="eastAsia"/>
                <w:color w:val="000000"/>
                <w:sz w:val="24"/>
                <w:szCs w:val="20"/>
              </w:rPr>
              <w:t>2021年版</w:t>
            </w:r>
            <w:r>
              <w:rPr>
                <w:color w:val="000000"/>
                <w:sz w:val="24"/>
                <w:szCs w:val="20"/>
              </w:rPr>
              <w:t>），本项目属于</w:t>
            </w:r>
            <w:r>
              <w:rPr>
                <w:rFonts w:hint="eastAsia"/>
                <w:color w:val="000000"/>
                <w:sz w:val="24"/>
                <w:szCs w:val="20"/>
              </w:rPr>
              <w:t>十九</w:t>
            </w:r>
            <w:r>
              <w:rPr>
                <w:color w:val="000000"/>
                <w:sz w:val="24"/>
                <w:szCs w:val="20"/>
              </w:rPr>
              <w:t>、</w:t>
            </w:r>
            <w:r>
              <w:rPr>
                <w:rFonts w:hint="eastAsia"/>
                <w:color w:val="000000"/>
                <w:sz w:val="24"/>
                <w:szCs w:val="20"/>
              </w:rPr>
              <w:t>“造纸和纸制品业22”</w:t>
            </w:r>
            <w:r>
              <w:rPr>
                <w:color w:val="000000"/>
                <w:sz w:val="24"/>
                <w:szCs w:val="20"/>
              </w:rPr>
              <w:t>：第</w:t>
            </w:r>
            <w:r>
              <w:rPr>
                <w:rFonts w:hint="eastAsia"/>
                <w:color w:val="000000"/>
                <w:sz w:val="24"/>
                <w:szCs w:val="20"/>
              </w:rPr>
              <w:t>38</w:t>
            </w:r>
            <w:r>
              <w:rPr>
                <w:color w:val="000000"/>
                <w:sz w:val="24"/>
                <w:szCs w:val="20"/>
              </w:rPr>
              <w:t>条</w:t>
            </w:r>
            <w:r>
              <w:rPr>
                <w:rFonts w:hint="eastAsia"/>
                <w:color w:val="000000"/>
                <w:sz w:val="24"/>
                <w:szCs w:val="20"/>
              </w:rPr>
              <w:t>“纸制品制造223</w:t>
            </w:r>
            <w:r>
              <w:rPr>
                <w:rFonts w:hint="eastAsia" w:ascii="宋体" w:hAnsi="宋体"/>
                <w:color w:val="000000"/>
                <w:sz w:val="24"/>
                <w:szCs w:val="20"/>
              </w:rPr>
              <w:t>*</w:t>
            </w:r>
            <w:r>
              <w:rPr>
                <w:rFonts w:hint="eastAsia"/>
                <w:color w:val="000000"/>
                <w:sz w:val="24"/>
                <w:szCs w:val="20"/>
              </w:rPr>
              <w:t>”。</w:t>
            </w:r>
            <w:r>
              <w:rPr>
                <w:color w:val="000000"/>
                <w:sz w:val="24"/>
                <w:szCs w:val="20"/>
              </w:rPr>
              <w:t>名录规定：</w:t>
            </w:r>
            <w:r>
              <w:rPr>
                <w:rFonts w:hint="eastAsia"/>
                <w:color w:val="000000"/>
                <w:sz w:val="24"/>
                <w:szCs w:val="20"/>
              </w:rPr>
              <w:t>“有涂布、浸渍、印刷、粘胶工艺</w:t>
            </w:r>
            <w:r>
              <w:rPr>
                <w:rFonts w:hint="eastAsia"/>
                <w:bCs/>
                <w:color w:val="000000"/>
                <w:sz w:val="24"/>
                <w:szCs w:val="20"/>
              </w:rPr>
              <w:t>的</w:t>
            </w:r>
            <w:r>
              <w:rPr>
                <w:color w:val="000000"/>
                <w:sz w:val="24"/>
                <w:szCs w:val="20"/>
              </w:rPr>
              <w:t>应编制环境影响评价报告表</w:t>
            </w:r>
            <w:r>
              <w:rPr>
                <w:rFonts w:hint="eastAsia"/>
                <w:color w:val="000000"/>
                <w:sz w:val="24"/>
                <w:szCs w:val="20"/>
              </w:rPr>
              <w:t>”</w:t>
            </w:r>
            <w:r>
              <w:rPr>
                <w:color w:val="000000"/>
                <w:sz w:val="24"/>
                <w:szCs w:val="20"/>
              </w:rPr>
              <w:t>。</w:t>
            </w:r>
            <w:r>
              <w:rPr>
                <w:rFonts w:hint="eastAsia"/>
                <w:color w:val="000000"/>
                <w:sz w:val="24"/>
                <w:szCs w:val="20"/>
              </w:rPr>
              <w:t>本项目年加工5.6万吨涂布白卡纸，生产过程中含有涂布工序，按</w:t>
            </w:r>
            <w:r>
              <w:rPr>
                <w:color w:val="000000"/>
                <w:sz w:val="24"/>
                <w:szCs w:val="20"/>
              </w:rPr>
              <w:t>要求本项目需编制环境影响评价报告表。</w:t>
            </w:r>
          </w:p>
          <w:p>
            <w:pPr>
              <w:spacing w:line="460" w:lineRule="exact"/>
              <w:ind w:firstLine="482" w:firstLineChars="200"/>
              <w:rPr>
                <w:b/>
                <w:bCs/>
                <w:color w:val="000000"/>
                <w:sz w:val="24"/>
              </w:rPr>
            </w:pPr>
            <w:r>
              <w:rPr>
                <w:rFonts w:hint="eastAsia"/>
                <w:b/>
                <w:bCs/>
                <w:color w:val="000000"/>
                <w:sz w:val="24"/>
              </w:rPr>
              <w:t>2、与产业政策相符性分析</w:t>
            </w:r>
          </w:p>
          <w:p>
            <w:pPr>
              <w:spacing w:line="460" w:lineRule="exact"/>
              <w:ind w:firstLine="480" w:firstLineChars="200"/>
              <w:rPr>
                <w:color w:val="000000"/>
                <w:kern w:val="0"/>
                <w:sz w:val="24"/>
              </w:rPr>
            </w:pPr>
            <w:r>
              <w:rPr>
                <w:bCs/>
                <w:color w:val="000000"/>
                <w:sz w:val="24"/>
              </w:rPr>
              <w:t>经查阅《产业结构调整指导目录</w:t>
            </w:r>
            <w:r>
              <w:rPr>
                <w:rFonts w:hint="eastAsia"/>
                <w:bCs/>
                <w:color w:val="000000"/>
                <w:sz w:val="24"/>
              </w:rPr>
              <w:t>（</w:t>
            </w:r>
            <w:r>
              <w:rPr>
                <w:bCs/>
                <w:color w:val="000000"/>
                <w:sz w:val="24"/>
              </w:rPr>
              <w:t>201</w:t>
            </w:r>
            <w:r>
              <w:rPr>
                <w:rFonts w:hint="eastAsia"/>
                <w:bCs/>
                <w:color w:val="000000"/>
                <w:sz w:val="24"/>
              </w:rPr>
              <w:t>9</w:t>
            </w:r>
            <w:r>
              <w:rPr>
                <w:bCs/>
                <w:color w:val="000000"/>
                <w:sz w:val="24"/>
              </w:rPr>
              <w:t>年本</w:t>
            </w:r>
            <w:r>
              <w:rPr>
                <w:rFonts w:hint="eastAsia"/>
                <w:bCs/>
                <w:color w:val="000000"/>
                <w:sz w:val="24"/>
              </w:rPr>
              <w:t>）</w:t>
            </w:r>
            <w:r>
              <w:rPr>
                <w:bCs/>
                <w:color w:val="000000"/>
                <w:sz w:val="24"/>
              </w:rPr>
              <w:t>》，该项目生产规模、生产设备、生产工艺均不属于</w:t>
            </w:r>
            <w:r>
              <w:rPr>
                <w:rFonts w:ascii="宋体" w:hAnsi="宋体"/>
                <w:bCs/>
                <w:color w:val="000000"/>
                <w:sz w:val="24"/>
              </w:rPr>
              <w:t>“鼓励类”“限制类”</w:t>
            </w:r>
            <w:r>
              <w:rPr>
                <w:rFonts w:hint="eastAsia" w:ascii="宋体" w:hAnsi="宋体"/>
                <w:bCs/>
                <w:color w:val="000000"/>
                <w:sz w:val="24"/>
              </w:rPr>
              <w:t>或</w:t>
            </w:r>
            <w:r>
              <w:rPr>
                <w:rFonts w:ascii="宋体" w:hAnsi="宋体"/>
                <w:bCs/>
                <w:color w:val="000000"/>
                <w:sz w:val="24"/>
              </w:rPr>
              <w:t>“淘汰类”，为</w:t>
            </w:r>
            <w:r>
              <w:rPr>
                <w:rFonts w:hint="eastAsia" w:ascii="宋体" w:hAnsi="宋体"/>
                <w:bCs/>
                <w:color w:val="000000"/>
                <w:sz w:val="24"/>
              </w:rPr>
              <w:t>“允许类”</w:t>
            </w:r>
            <w:r>
              <w:rPr>
                <w:bCs/>
                <w:color w:val="000000"/>
                <w:sz w:val="24"/>
              </w:rPr>
              <w:t>，符合国家产业政策要求。本项目已通过</w:t>
            </w:r>
            <w:r>
              <w:rPr>
                <w:rFonts w:hint="eastAsia"/>
                <w:color w:val="000000"/>
                <w:sz w:val="24"/>
              </w:rPr>
              <w:t>新乡县</w:t>
            </w:r>
            <w:r>
              <w:rPr>
                <w:color w:val="000000"/>
                <w:sz w:val="24"/>
              </w:rPr>
              <w:t>发展和改革委员会备案，项目代码：</w:t>
            </w:r>
            <w:r>
              <w:rPr>
                <w:rFonts w:hint="eastAsia"/>
                <w:color w:val="000000"/>
                <w:sz w:val="24"/>
              </w:rPr>
              <w:t>2108-410721-04-02-863299</w:t>
            </w:r>
            <w:r>
              <w:rPr>
                <w:color w:val="000000"/>
                <w:sz w:val="24"/>
              </w:rPr>
              <w:t>（详见附件二）</w:t>
            </w:r>
            <w:r>
              <w:rPr>
                <w:color w:val="000000"/>
                <w:kern w:val="0"/>
                <w:sz w:val="24"/>
              </w:rPr>
              <w:t>。</w:t>
            </w:r>
          </w:p>
          <w:p>
            <w:pPr>
              <w:spacing w:line="460" w:lineRule="exact"/>
              <w:ind w:firstLine="480" w:firstLineChars="200"/>
              <w:jc w:val="left"/>
              <w:rPr>
                <w:color w:val="000000"/>
                <w:kern w:val="0"/>
                <w:sz w:val="24"/>
              </w:rPr>
            </w:pPr>
            <w:r>
              <w:rPr>
                <w:color w:val="000000"/>
                <w:kern w:val="0"/>
                <w:sz w:val="24"/>
              </w:rPr>
              <w:t>本项目情况与产业政策相符性分析见表</w:t>
            </w:r>
            <w:r>
              <w:rPr>
                <w:rFonts w:hint="eastAsia"/>
                <w:color w:val="000000"/>
                <w:kern w:val="0"/>
                <w:sz w:val="24"/>
              </w:rPr>
              <w:t>1</w:t>
            </w:r>
            <w:r>
              <w:rPr>
                <w:color w:val="000000"/>
                <w:kern w:val="0"/>
                <w:sz w:val="24"/>
              </w:rPr>
              <w:t>。</w:t>
            </w:r>
          </w:p>
          <w:p>
            <w:pPr>
              <w:spacing w:line="460" w:lineRule="exact"/>
              <w:ind w:left="7380" w:leftChars="200" w:hanging="6960" w:hangingChars="2900"/>
              <w:rPr>
                <w:rFonts w:eastAsia="黑体"/>
                <w:color w:val="000000"/>
                <w:sz w:val="24"/>
                <w:lang w:val="pt-BR"/>
              </w:rPr>
            </w:pPr>
            <w:r>
              <w:rPr>
                <w:rFonts w:eastAsia="黑体"/>
                <w:color w:val="000000"/>
                <w:sz w:val="24"/>
                <w:lang w:val="pt-BR"/>
              </w:rPr>
              <w:t>表</w:t>
            </w:r>
            <w:r>
              <w:rPr>
                <w:rFonts w:hint="eastAsia" w:eastAsia="黑体"/>
                <w:color w:val="000000"/>
                <w:sz w:val="24"/>
              </w:rPr>
              <w:t>1</w:t>
            </w:r>
            <w:r>
              <w:rPr>
                <w:rFonts w:eastAsia="黑体"/>
                <w:color w:val="000000"/>
                <w:sz w:val="24"/>
              </w:rPr>
              <w:t xml:space="preserve">  </w:t>
            </w:r>
            <w:r>
              <w:rPr>
                <w:rFonts w:eastAsia="黑体"/>
                <w:color w:val="000000"/>
                <w:sz w:val="24"/>
                <w:lang w:val="pt-BR"/>
              </w:rPr>
              <w:t xml:space="preserve"> </w:t>
            </w:r>
            <w:r>
              <w:rPr>
                <w:rFonts w:eastAsia="黑体"/>
                <w:color w:val="000000"/>
                <w:sz w:val="24"/>
              </w:rPr>
              <w:t xml:space="preserve">    </w:t>
            </w:r>
            <w:r>
              <w:rPr>
                <w:rFonts w:hint="eastAsia" w:eastAsia="黑体"/>
                <w:color w:val="000000"/>
                <w:sz w:val="24"/>
              </w:rPr>
              <w:t xml:space="preserve">      </w:t>
            </w:r>
            <w:r>
              <w:rPr>
                <w:rFonts w:eastAsia="黑体"/>
                <w:color w:val="000000"/>
                <w:sz w:val="24"/>
                <w:lang w:val="pt-BR"/>
              </w:rPr>
              <w:t>项目与产业政策相符性分析</w:t>
            </w:r>
            <w:r>
              <w:rPr>
                <w:rFonts w:hint="eastAsia" w:eastAsia="黑体"/>
                <w:color w:val="000000"/>
                <w:sz w:val="24"/>
                <w:lang w:val="pt-BR"/>
              </w:rPr>
              <w:t xml:space="preserve">                                                                                                                                                           </w:t>
            </w:r>
          </w:p>
          <w:tbl>
            <w:tblPr>
              <w:tblStyle w:val="3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07"/>
              <w:gridCol w:w="851"/>
              <w:gridCol w:w="3118"/>
              <w:gridCol w:w="1752"/>
              <w:gridCol w:w="78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07" w:type="dxa"/>
                  <w:vAlign w:val="center"/>
                </w:tcPr>
                <w:p>
                  <w:pPr>
                    <w:jc w:val="center"/>
                    <w:rPr>
                      <w:b/>
                      <w:color w:val="000000"/>
                      <w:szCs w:val="21"/>
                    </w:rPr>
                  </w:pPr>
                  <w:r>
                    <w:rPr>
                      <w:b/>
                      <w:color w:val="000000"/>
                      <w:szCs w:val="21"/>
                    </w:rPr>
                    <w:t>类别</w:t>
                  </w:r>
                </w:p>
              </w:tc>
              <w:tc>
                <w:tcPr>
                  <w:tcW w:w="851" w:type="dxa"/>
                  <w:vAlign w:val="center"/>
                </w:tcPr>
                <w:p>
                  <w:pPr>
                    <w:jc w:val="center"/>
                    <w:rPr>
                      <w:b/>
                      <w:color w:val="000000"/>
                      <w:szCs w:val="21"/>
                    </w:rPr>
                  </w:pPr>
                  <w:r>
                    <w:rPr>
                      <w:b/>
                      <w:color w:val="000000"/>
                      <w:szCs w:val="21"/>
                    </w:rPr>
                    <w:t>条款</w:t>
                  </w:r>
                </w:p>
              </w:tc>
              <w:tc>
                <w:tcPr>
                  <w:tcW w:w="3118" w:type="dxa"/>
                  <w:vAlign w:val="center"/>
                </w:tcPr>
                <w:p>
                  <w:pPr>
                    <w:jc w:val="center"/>
                    <w:rPr>
                      <w:b/>
                      <w:color w:val="000000"/>
                      <w:szCs w:val="21"/>
                    </w:rPr>
                  </w:pPr>
                  <w:r>
                    <w:rPr>
                      <w:b/>
                      <w:color w:val="000000"/>
                      <w:szCs w:val="21"/>
                    </w:rPr>
                    <w:t>内容</w:t>
                  </w:r>
                </w:p>
              </w:tc>
              <w:tc>
                <w:tcPr>
                  <w:tcW w:w="1752" w:type="dxa"/>
                  <w:vAlign w:val="center"/>
                </w:tcPr>
                <w:p>
                  <w:pPr>
                    <w:jc w:val="center"/>
                    <w:rPr>
                      <w:b/>
                      <w:color w:val="000000"/>
                      <w:szCs w:val="21"/>
                    </w:rPr>
                  </w:pPr>
                  <w:r>
                    <w:rPr>
                      <w:b/>
                      <w:color w:val="000000"/>
                      <w:szCs w:val="21"/>
                    </w:rPr>
                    <w:t>本项目情况</w:t>
                  </w:r>
                </w:p>
              </w:tc>
              <w:tc>
                <w:tcPr>
                  <w:tcW w:w="783" w:type="dxa"/>
                  <w:vAlign w:val="center"/>
                </w:tcPr>
                <w:p>
                  <w:pPr>
                    <w:jc w:val="center"/>
                    <w:rPr>
                      <w:b/>
                      <w:color w:val="000000"/>
                      <w:szCs w:val="21"/>
                    </w:rPr>
                  </w:pPr>
                  <w:r>
                    <w:rPr>
                      <w:b/>
                      <w:color w:val="000000"/>
                      <w:szCs w:val="21"/>
                    </w:rPr>
                    <w:t>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07" w:type="dxa"/>
                  <w:vAlign w:val="center"/>
                </w:tcPr>
                <w:p>
                  <w:pPr>
                    <w:jc w:val="center"/>
                    <w:rPr>
                      <w:color w:val="000000"/>
                      <w:szCs w:val="21"/>
                    </w:rPr>
                  </w:pPr>
                  <w:r>
                    <w:rPr>
                      <w:color w:val="000000"/>
                      <w:szCs w:val="21"/>
                    </w:rPr>
                    <w:t>鼓励类</w:t>
                  </w:r>
                </w:p>
              </w:tc>
              <w:tc>
                <w:tcPr>
                  <w:tcW w:w="851" w:type="dxa"/>
                  <w:vAlign w:val="center"/>
                </w:tcPr>
                <w:p>
                  <w:pPr>
                    <w:jc w:val="center"/>
                    <w:rPr>
                      <w:color w:val="000000"/>
                      <w:szCs w:val="21"/>
                    </w:rPr>
                  </w:pPr>
                  <w:r>
                    <w:rPr>
                      <w:color w:val="000000"/>
                      <w:szCs w:val="21"/>
                    </w:rPr>
                    <w:t>十九</w:t>
                  </w:r>
                  <w:r>
                    <w:rPr>
                      <w:rFonts w:hint="eastAsia"/>
                      <w:color w:val="000000"/>
                      <w:szCs w:val="21"/>
                    </w:rPr>
                    <w:t>、</w:t>
                  </w:r>
                  <w:r>
                    <w:rPr>
                      <w:color w:val="000000"/>
                      <w:szCs w:val="21"/>
                    </w:rPr>
                    <w:t>轻工</w:t>
                  </w:r>
                </w:p>
              </w:tc>
              <w:tc>
                <w:tcPr>
                  <w:tcW w:w="3118" w:type="dxa"/>
                  <w:vAlign w:val="center"/>
                </w:tcPr>
                <w:p>
                  <w:pPr>
                    <w:widowControl/>
                    <w:jc w:val="center"/>
                    <w:rPr>
                      <w:kern w:val="0"/>
                      <w:szCs w:val="21"/>
                    </w:rPr>
                  </w:pPr>
                  <w:r>
                    <w:rPr>
                      <w:kern w:val="0"/>
                      <w:szCs w:val="21"/>
                    </w:rPr>
                    <w:t>1</w:t>
                  </w:r>
                  <w:r>
                    <w:rPr>
                      <w:rFonts w:hint="eastAsia"/>
                      <w:kern w:val="0"/>
                      <w:szCs w:val="21"/>
                    </w:rPr>
                    <w:t>、单条化学木浆</w:t>
                  </w:r>
                  <w:r>
                    <w:rPr>
                      <w:kern w:val="0"/>
                      <w:szCs w:val="21"/>
                    </w:rPr>
                    <w:t>30</w:t>
                  </w:r>
                  <w:r>
                    <w:rPr>
                      <w:rFonts w:hint="eastAsia"/>
                      <w:kern w:val="0"/>
                      <w:szCs w:val="21"/>
                    </w:rPr>
                    <w:t>万吨</w:t>
                  </w:r>
                  <w:r>
                    <w:rPr>
                      <w:kern w:val="0"/>
                      <w:szCs w:val="21"/>
                    </w:rPr>
                    <w:t>/</w:t>
                  </w:r>
                  <w:r>
                    <w:rPr>
                      <w:rFonts w:hint="eastAsia"/>
                      <w:kern w:val="0"/>
                      <w:szCs w:val="21"/>
                    </w:rPr>
                    <w:t>年及以上、化学机械木浆</w:t>
                  </w:r>
                  <w:r>
                    <w:rPr>
                      <w:kern w:val="0"/>
                      <w:szCs w:val="21"/>
                    </w:rPr>
                    <w:t>10</w:t>
                  </w:r>
                  <w:r>
                    <w:rPr>
                      <w:rFonts w:hint="eastAsia"/>
                      <w:kern w:val="0"/>
                      <w:szCs w:val="21"/>
                    </w:rPr>
                    <w:t>万吨</w:t>
                  </w:r>
                  <w:r>
                    <w:rPr>
                      <w:kern w:val="0"/>
                      <w:szCs w:val="21"/>
                    </w:rPr>
                    <w:t>/</w:t>
                  </w:r>
                  <w:r>
                    <w:rPr>
                      <w:rFonts w:hint="eastAsia"/>
                      <w:kern w:val="0"/>
                      <w:szCs w:val="21"/>
                    </w:rPr>
                    <w:t>年及以上、化学竹浆</w:t>
                  </w:r>
                  <w:r>
                    <w:rPr>
                      <w:kern w:val="0"/>
                      <w:szCs w:val="21"/>
                    </w:rPr>
                    <w:t>10</w:t>
                  </w:r>
                  <w:r>
                    <w:rPr>
                      <w:rFonts w:hint="eastAsia"/>
                      <w:kern w:val="0"/>
                      <w:szCs w:val="21"/>
                    </w:rPr>
                    <w:t>万吨</w:t>
                  </w:r>
                  <w:r>
                    <w:rPr>
                      <w:kern w:val="0"/>
                      <w:szCs w:val="21"/>
                    </w:rPr>
                    <w:t>/</w:t>
                  </w:r>
                  <w:r>
                    <w:rPr>
                      <w:rFonts w:hint="eastAsia"/>
                      <w:kern w:val="0"/>
                      <w:szCs w:val="21"/>
                    </w:rPr>
                    <w:t>年及以上的林纸一体化生产线及相应配套的纸及纸板生产线（新闻纸、铜版纸除外）建设；采用清洁生产工艺、以非木纤维为原料、单条</w:t>
                  </w:r>
                  <w:r>
                    <w:rPr>
                      <w:kern w:val="0"/>
                      <w:szCs w:val="21"/>
                    </w:rPr>
                    <w:t>10</w:t>
                  </w:r>
                  <w:r>
                    <w:rPr>
                      <w:rFonts w:hint="eastAsia"/>
                      <w:kern w:val="0"/>
                      <w:szCs w:val="21"/>
                    </w:rPr>
                    <w:t>万吨</w:t>
                  </w:r>
                  <w:r>
                    <w:rPr>
                      <w:kern w:val="0"/>
                      <w:szCs w:val="21"/>
                    </w:rPr>
                    <w:t>/</w:t>
                  </w:r>
                  <w:r>
                    <w:rPr>
                      <w:rFonts w:hint="eastAsia"/>
                      <w:kern w:val="0"/>
                      <w:szCs w:val="21"/>
                    </w:rPr>
                    <w:t>年及以上的纸浆生产线建设；先进制浆、造纸设备开发与制造；无元素氯（</w:t>
                  </w:r>
                  <w:r>
                    <w:rPr>
                      <w:kern w:val="0"/>
                      <w:szCs w:val="21"/>
                    </w:rPr>
                    <w:t>ECF</w:t>
                  </w:r>
                  <w:r>
                    <w:rPr>
                      <w:rFonts w:hint="eastAsia"/>
                      <w:kern w:val="0"/>
                      <w:szCs w:val="21"/>
                    </w:rPr>
                    <w:t>）和全无氯（</w:t>
                  </w:r>
                  <w:r>
                    <w:rPr>
                      <w:kern w:val="0"/>
                      <w:szCs w:val="21"/>
                    </w:rPr>
                    <w:t>TCF</w:t>
                  </w:r>
                  <w:r>
                    <w:rPr>
                      <w:rFonts w:hint="eastAsia"/>
                      <w:kern w:val="0"/>
                      <w:szCs w:val="21"/>
                    </w:rPr>
                    <w:t>）化学纸浆漂白工艺开发及应用</w:t>
                  </w:r>
                </w:p>
              </w:tc>
              <w:tc>
                <w:tcPr>
                  <w:tcW w:w="1752" w:type="dxa"/>
                  <w:vMerge w:val="restart"/>
                  <w:vAlign w:val="center"/>
                </w:tcPr>
                <w:p>
                  <w:pPr>
                    <w:jc w:val="center"/>
                    <w:rPr>
                      <w:color w:val="000000"/>
                      <w:szCs w:val="21"/>
                    </w:rPr>
                  </w:pPr>
                  <w:r>
                    <w:rPr>
                      <w:rFonts w:hint="eastAsia"/>
                      <w:color w:val="000000"/>
                      <w:szCs w:val="21"/>
                    </w:rPr>
                    <w:t>本项目为在原料白卡纸上涂布压光等，不含造纸工序，规模为5.6万t/a</w:t>
                  </w:r>
                </w:p>
              </w:tc>
              <w:tc>
                <w:tcPr>
                  <w:tcW w:w="783" w:type="dxa"/>
                  <w:vAlign w:val="center"/>
                </w:tcPr>
                <w:p>
                  <w:pPr>
                    <w:jc w:val="center"/>
                    <w:rPr>
                      <w:color w:val="000000"/>
                      <w:szCs w:val="21"/>
                    </w:rPr>
                  </w:pPr>
                  <w:r>
                    <w:rPr>
                      <w:color w:val="000000"/>
                      <w:szCs w:val="21"/>
                    </w:rPr>
                    <w:t>不相符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07" w:type="dxa"/>
                  <w:vAlign w:val="center"/>
                </w:tcPr>
                <w:p>
                  <w:pPr>
                    <w:jc w:val="center"/>
                    <w:rPr>
                      <w:color w:val="000000"/>
                      <w:szCs w:val="21"/>
                    </w:rPr>
                  </w:pPr>
                  <w:r>
                    <w:rPr>
                      <w:color w:val="000000"/>
                      <w:szCs w:val="21"/>
                    </w:rPr>
                    <w:t>限制类</w:t>
                  </w:r>
                </w:p>
              </w:tc>
              <w:tc>
                <w:tcPr>
                  <w:tcW w:w="851" w:type="dxa"/>
                  <w:vAlign w:val="center"/>
                </w:tcPr>
                <w:p>
                  <w:pPr>
                    <w:jc w:val="center"/>
                    <w:rPr>
                      <w:color w:val="000000"/>
                      <w:szCs w:val="21"/>
                    </w:rPr>
                  </w:pPr>
                  <w:r>
                    <w:rPr>
                      <w:rFonts w:hint="eastAsia"/>
                      <w:color w:val="000000"/>
                      <w:szCs w:val="21"/>
                    </w:rPr>
                    <w:t>十二、轻工</w:t>
                  </w:r>
                </w:p>
              </w:tc>
              <w:tc>
                <w:tcPr>
                  <w:tcW w:w="3118" w:type="dxa"/>
                  <w:vAlign w:val="center"/>
                </w:tcPr>
                <w:p>
                  <w:pPr>
                    <w:jc w:val="center"/>
                    <w:rPr>
                      <w:color w:val="000000"/>
                      <w:szCs w:val="21"/>
                    </w:rPr>
                  </w:pPr>
                  <w:r>
                    <w:rPr>
                      <w:color w:val="000000"/>
                      <w:szCs w:val="21"/>
                    </w:rPr>
                    <w:t>18</w:t>
                  </w:r>
                  <w:r>
                    <w:rPr>
                      <w:rFonts w:hint="eastAsia"/>
                      <w:color w:val="000000"/>
                      <w:szCs w:val="21"/>
                    </w:rPr>
                    <w:t>、单条化学木浆</w:t>
                  </w:r>
                  <w:r>
                    <w:rPr>
                      <w:color w:val="000000"/>
                      <w:szCs w:val="21"/>
                    </w:rPr>
                    <w:t>30</w:t>
                  </w:r>
                  <w:r>
                    <w:rPr>
                      <w:rFonts w:hint="eastAsia"/>
                      <w:color w:val="000000"/>
                      <w:szCs w:val="21"/>
                    </w:rPr>
                    <w:t>万吨</w:t>
                  </w:r>
                  <w:r>
                    <w:rPr>
                      <w:color w:val="000000"/>
                      <w:szCs w:val="21"/>
                    </w:rPr>
                    <w:t>/</w:t>
                  </w:r>
                  <w:r>
                    <w:rPr>
                      <w:rFonts w:hint="eastAsia"/>
                      <w:color w:val="000000"/>
                      <w:szCs w:val="21"/>
                    </w:rPr>
                    <w:t>年以下、化学机械木浆</w:t>
                  </w:r>
                  <w:r>
                    <w:rPr>
                      <w:color w:val="000000"/>
                      <w:szCs w:val="21"/>
                    </w:rPr>
                    <w:t>10</w:t>
                  </w:r>
                  <w:r>
                    <w:rPr>
                      <w:rFonts w:hint="eastAsia"/>
                      <w:color w:val="000000"/>
                      <w:szCs w:val="21"/>
                    </w:rPr>
                    <w:t>万吨</w:t>
                  </w:r>
                  <w:r>
                    <w:rPr>
                      <w:color w:val="000000"/>
                      <w:szCs w:val="21"/>
                    </w:rPr>
                    <w:t>/</w:t>
                  </w:r>
                  <w:r>
                    <w:rPr>
                      <w:rFonts w:hint="eastAsia"/>
                      <w:color w:val="000000"/>
                      <w:szCs w:val="21"/>
                    </w:rPr>
                    <w:t>年</w:t>
                  </w:r>
                  <w:r>
                    <w:rPr>
                      <w:color w:val="000000"/>
                      <w:szCs w:val="21"/>
                    </w:rPr>
                    <w:t>96</w:t>
                  </w:r>
                  <w:r>
                    <w:rPr>
                      <w:rFonts w:hint="eastAsia"/>
                      <w:color w:val="000000"/>
                      <w:szCs w:val="21"/>
                    </w:rPr>
                    <w:t>以下、化学竹浆</w:t>
                  </w:r>
                  <w:r>
                    <w:rPr>
                      <w:color w:val="000000"/>
                      <w:szCs w:val="21"/>
                    </w:rPr>
                    <w:t>10</w:t>
                  </w:r>
                  <w:r>
                    <w:rPr>
                      <w:rFonts w:hint="eastAsia"/>
                      <w:color w:val="000000"/>
                      <w:szCs w:val="21"/>
                    </w:rPr>
                    <w:t>万吨</w:t>
                  </w:r>
                  <w:r>
                    <w:rPr>
                      <w:color w:val="000000"/>
                      <w:szCs w:val="21"/>
                    </w:rPr>
                    <w:t>/</w:t>
                  </w:r>
                  <w:r>
                    <w:rPr>
                      <w:rFonts w:hint="eastAsia"/>
                      <w:color w:val="000000"/>
                      <w:szCs w:val="21"/>
                    </w:rPr>
                    <w:t>年以下的生产线</w:t>
                  </w:r>
                </w:p>
              </w:tc>
              <w:tc>
                <w:tcPr>
                  <w:tcW w:w="1752" w:type="dxa"/>
                  <w:vMerge w:val="continue"/>
                  <w:vAlign w:val="center"/>
                </w:tcPr>
                <w:p>
                  <w:pPr>
                    <w:jc w:val="center"/>
                    <w:rPr>
                      <w:color w:val="000000"/>
                      <w:szCs w:val="21"/>
                    </w:rPr>
                  </w:pPr>
                </w:p>
              </w:tc>
              <w:tc>
                <w:tcPr>
                  <w:tcW w:w="783" w:type="dxa"/>
                  <w:vAlign w:val="center"/>
                </w:tcPr>
                <w:p>
                  <w:pPr>
                    <w:jc w:val="center"/>
                  </w:pPr>
                  <w:r>
                    <w:rPr>
                      <w:color w:val="000000"/>
                      <w:szCs w:val="21"/>
                    </w:rPr>
                    <w:t>不相符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07" w:type="dxa"/>
                  <w:vMerge w:val="restart"/>
                  <w:vAlign w:val="center"/>
                </w:tcPr>
                <w:p>
                  <w:pPr>
                    <w:jc w:val="center"/>
                    <w:rPr>
                      <w:color w:val="000000"/>
                      <w:szCs w:val="21"/>
                    </w:rPr>
                  </w:pPr>
                  <w:r>
                    <w:rPr>
                      <w:color w:val="000000"/>
                      <w:szCs w:val="21"/>
                    </w:rPr>
                    <w:t>淘汰类（落后生产工艺装备）</w:t>
                  </w:r>
                </w:p>
              </w:tc>
              <w:tc>
                <w:tcPr>
                  <w:tcW w:w="851" w:type="dxa"/>
                  <w:vMerge w:val="restart"/>
                  <w:vAlign w:val="center"/>
                </w:tcPr>
                <w:p>
                  <w:pPr>
                    <w:jc w:val="center"/>
                    <w:rPr>
                      <w:color w:val="000000"/>
                      <w:szCs w:val="21"/>
                    </w:rPr>
                  </w:pPr>
                  <w:r>
                    <w:rPr>
                      <w:rFonts w:hint="eastAsia"/>
                      <w:color w:val="000000"/>
                      <w:szCs w:val="21"/>
                    </w:rPr>
                    <w:t>（十二）轻工</w:t>
                  </w:r>
                </w:p>
              </w:tc>
              <w:tc>
                <w:tcPr>
                  <w:tcW w:w="3118" w:type="dxa"/>
                  <w:vAlign w:val="center"/>
                </w:tcPr>
                <w:p>
                  <w:pPr>
                    <w:jc w:val="center"/>
                    <w:rPr>
                      <w:color w:val="000000"/>
                      <w:szCs w:val="21"/>
                    </w:rPr>
                  </w:pPr>
                  <w:r>
                    <w:rPr>
                      <w:rFonts w:hint="eastAsia"/>
                      <w:color w:val="000000"/>
                      <w:szCs w:val="21"/>
                    </w:rPr>
                    <w:t>8、石灰法地池制浆设备（宣纸除外）</w:t>
                  </w:r>
                </w:p>
              </w:tc>
              <w:tc>
                <w:tcPr>
                  <w:tcW w:w="1752" w:type="dxa"/>
                  <w:vAlign w:val="center"/>
                </w:tcPr>
                <w:p>
                  <w:pPr>
                    <w:jc w:val="center"/>
                    <w:rPr>
                      <w:szCs w:val="21"/>
                    </w:rPr>
                  </w:pPr>
                  <w:r>
                    <w:rPr>
                      <w:rFonts w:hint="eastAsia"/>
                      <w:color w:val="000000"/>
                      <w:szCs w:val="21"/>
                    </w:rPr>
                    <w:t>不涉及</w:t>
                  </w:r>
                </w:p>
              </w:tc>
              <w:tc>
                <w:tcPr>
                  <w:tcW w:w="783" w:type="dxa"/>
                  <w:vAlign w:val="center"/>
                </w:tcPr>
                <w:p>
                  <w:pPr>
                    <w:jc w:val="center"/>
                  </w:pPr>
                  <w:r>
                    <w:rPr>
                      <w:color w:val="000000"/>
                      <w:szCs w:val="21"/>
                    </w:rPr>
                    <w:t>不相符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07" w:type="dxa"/>
                  <w:vMerge w:val="continue"/>
                  <w:vAlign w:val="center"/>
                </w:tcPr>
                <w:p>
                  <w:pPr>
                    <w:jc w:val="center"/>
                    <w:rPr>
                      <w:color w:val="000000"/>
                      <w:szCs w:val="21"/>
                    </w:rPr>
                  </w:pPr>
                </w:p>
              </w:tc>
              <w:tc>
                <w:tcPr>
                  <w:tcW w:w="851" w:type="dxa"/>
                  <w:vMerge w:val="continue"/>
                  <w:vAlign w:val="center"/>
                </w:tcPr>
                <w:p>
                  <w:pPr>
                    <w:jc w:val="center"/>
                    <w:rPr>
                      <w:color w:val="000000"/>
                      <w:szCs w:val="21"/>
                    </w:rPr>
                  </w:pPr>
                </w:p>
              </w:tc>
              <w:tc>
                <w:tcPr>
                  <w:tcW w:w="3118" w:type="dxa"/>
                  <w:vAlign w:val="center"/>
                </w:tcPr>
                <w:p>
                  <w:pPr>
                    <w:jc w:val="center"/>
                    <w:rPr>
                      <w:color w:val="000000"/>
                      <w:szCs w:val="21"/>
                    </w:rPr>
                  </w:pPr>
                  <w:r>
                    <w:rPr>
                      <w:color w:val="000000"/>
                      <w:szCs w:val="21"/>
                    </w:rPr>
                    <w:t>11</w:t>
                  </w:r>
                  <w:r>
                    <w:rPr>
                      <w:rFonts w:hint="eastAsia"/>
                      <w:color w:val="000000"/>
                      <w:szCs w:val="21"/>
                    </w:rPr>
                    <w:t>、单条</w:t>
                  </w:r>
                  <w:r>
                    <w:rPr>
                      <w:color w:val="000000"/>
                      <w:szCs w:val="21"/>
                    </w:rPr>
                    <w:t>1</w:t>
                  </w:r>
                  <w:r>
                    <w:rPr>
                      <w:rFonts w:hint="eastAsia"/>
                      <w:color w:val="000000"/>
                      <w:szCs w:val="21"/>
                    </w:rPr>
                    <w:t>万吨</w:t>
                  </w:r>
                  <w:r>
                    <w:rPr>
                      <w:color w:val="000000"/>
                      <w:szCs w:val="21"/>
                    </w:rPr>
                    <w:t>/</w:t>
                  </w:r>
                  <w:r>
                    <w:rPr>
                      <w:rFonts w:hint="eastAsia"/>
                      <w:color w:val="000000"/>
                      <w:szCs w:val="21"/>
                    </w:rPr>
                    <w:t>年及以下、以废纸为原料的制浆生产线</w:t>
                  </w:r>
                </w:p>
              </w:tc>
              <w:tc>
                <w:tcPr>
                  <w:tcW w:w="1752" w:type="dxa"/>
                  <w:vAlign w:val="center"/>
                </w:tcPr>
                <w:p>
                  <w:pPr>
                    <w:jc w:val="center"/>
                    <w:rPr>
                      <w:color w:val="000000"/>
                      <w:szCs w:val="21"/>
                    </w:rPr>
                  </w:pPr>
                  <w:r>
                    <w:rPr>
                      <w:rFonts w:hint="eastAsia"/>
                      <w:color w:val="000000"/>
                      <w:szCs w:val="21"/>
                    </w:rPr>
                    <w:t>不涉及</w:t>
                  </w:r>
                </w:p>
              </w:tc>
              <w:tc>
                <w:tcPr>
                  <w:tcW w:w="783" w:type="dxa"/>
                  <w:vAlign w:val="center"/>
                </w:tcPr>
                <w:p>
                  <w:pPr>
                    <w:jc w:val="center"/>
                    <w:rPr>
                      <w:color w:val="000000"/>
                      <w:szCs w:val="21"/>
                    </w:rPr>
                  </w:pPr>
                  <w:r>
                    <w:rPr>
                      <w:color w:val="000000"/>
                      <w:szCs w:val="21"/>
                    </w:rPr>
                    <w:t>不相符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07" w:type="dxa"/>
                  <w:vMerge w:val="continue"/>
                  <w:vAlign w:val="center"/>
                </w:tcPr>
                <w:p>
                  <w:pPr>
                    <w:jc w:val="center"/>
                    <w:rPr>
                      <w:color w:val="000000"/>
                      <w:szCs w:val="21"/>
                    </w:rPr>
                  </w:pPr>
                </w:p>
              </w:tc>
              <w:tc>
                <w:tcPr>
                  <w:tcW w:w="851" w:type="dxa"/>
                  <w:vMerge w:val="continue"/>
                  <w:vAlign w:val="center"/>
                </w:tcPr>
                <w:p>
                  <w:pPr>
                    <w:jc w:val="center"/>
                    <w:rPr>
                      <w:color w:val="000000"/>
                      <w:szCs w:val="21"/>
                    </w:rPr>
                  </w:pPr>
                </w:p>
              </w:tc>
              <w:tc>
                <w:tcPr>
                  <w:tcW w:w="3118" w:type="dxa"/>
                  <w:vAlign w:val="center"/>
                </w:tcPr>
                <w:p>
                  <w:pPr>
                    <w:jc w:val="center"/>
                    <w:rPr>
                      <w:color w:val="000000"/>
                      <w:szCs w:val="21"/>
                    </w:rPr>
                  </w:pPr>
                  <w:r>
                    <w:rPr>
                      <w:color w:val="000000"/>
                      <w:szCs w:val="21"/>
                    </w:rPr>
                    <w:t>12</w:t>
                  </w:r>
                  <w:r>
                    <w:rPr>
                      <w:rFonts w:hint="eastAsia"/>
                      <w:color w:val="000000"/>
                      <w:szCs w:val="21"/>
                    </w:rPr>
                    <w:t>、幅宽在</w:t>
                  </w:r>
                  <w:r>
                    <w:rPr>
                      <w:color w:val="000000"/>
                      <w:szCs w:val="21"/>
                    </w:rPr>
                    <w:t>1.76</w:t>
                  </w:r>
                  <w:r>
                    <w:rPr>
                      <w:rFonts w:hint="eastAsia"/>
                      <w:color w:val="000000"/>
                      <w:szCs w:val="21"/>
                    </w:rPr>
                    <w:t>米及以下并且车速为</w:t>
                  </w:r>
                  <w:r>
                    <w:rPr>
                      <w:color w:val="000000"/>
                      <w:szCs w:val="21"/>
                    </w:rPr>
                    <w:t>120</w:t>
                  </w:r>
                  <w:r>
                    <w:rPr>
                      <w:rFonts w:hint="eastAsia"/>
                      <w:color w:val="000000"/>
                      <w:szCs w:val="21"/>
                    </w:rPr>
                    <w:t>米</w:t>
                  </w:r>
                  <w:r>
                    <w:rPr>
                      <w:color w:val="000000"/>
                      <w:szCs w:val="21"/>
                    </w:rPr>
                    <w:t>/</w:t>
                  </w:r>
                  <w:r>
                    <w:rPr>
                      <w:rFonts w:hint="eastAsia"/>
                      <w:color w:val="000000"/>
                      <w:szCs w:val="21"/>
                    </w:rPr>
                    <w:t>分以下的文化纸生产线</w:t>
                  </w:r>
                </w:p>
              </w:tc>
              <w:tc>
                <w:tcPr>
                  <w:tcW w:w="1752" w:type="dxa"/>
                  <w:vAlign w:val="center"/>
                </w:tcPr>
                <w:p>
                  <w:pPr>
                    <w:jc w:val="center"/>
                    <w:rPr>
                      <w:color w:val="000000"/>
                      <w:szCs w:val="21"/>
                    </w:rPr>
                  </w:pPr>
                  <w:r>
                    <w:rPr>
                      <w:rFonts w:hint="eastAsia"/>
                      <w:color w:val="000000"/>
                      <w:szCs w:val="21"/>
                    </w:rPr>
                    <w:t>本项目产品为涂布白卡纸，非文化纸</w:t>
                  </w:r>
                </w:p>
              </w:tc>
              <w:tc>
                <w:tcPr>
                  <w:tcW w:w="783" w:type="dxa"/>
                  <w:vAlign w:val="center"/>
                </w:tcPr>
                <w:p>
                  <w:pPr>
                    <w:jc w:val="center"/>
                    <w:rPr>
                      <w:color w:val="000000"/>
                      <w:szCs w:val="21"/>
                    </w:rPr>
                  </w:pPr>
                  <w:r>
                    <w:rPr>
                      <w:color w:val="000000"/>
                      <w:szCs w:val="21"/>
                    </w:rPr>
                    <w:t>不相符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07" w:type="dxa"/>
                  <w:vMerge w:val="continue"/>
                  <w:vAlign w:val="center"/>
                </w:tcPr>
                <w:p>
                  <w:pPr>
                    <w:jc w:val="center"/>
                    <w:rPr>
                      <w:color w:val="000000"/>
                      <w:szCs w:val="21"/>
                    </w:rPr>
                  </w:pPr>
                </w:p>
              </w:tc>
              <w:tc>
                <w:tcPr>
                  <w:tcW w:w="851" w:type="dxa"/>
                  <w:vMerge w:val="continue"/>
                  <w:vAlign w:val="center"/>
                </w:tcPr>
                <w:p>
                  <w:pPr>
                    <w:jc w:val="center"/>
                    <w:rPr>
                      <w:color w:val="000000"/>
                      <w:szCs w:val="21"/>
                    </w:rPr>
                  </w:pPr>
                </w:p>
              </w:tc>
              <w:tc>
                <w:tcPr>
                  <w:tcW w:w="3118" w:type="dxa"/>
                  <w:vAlign w:val="center"/>
                </w:tcPr>
                <w:p>
                  <w:pPr>
                    <w:jc w:val="center"/>
                    <w:rPr>
                      <w:color w:val="000000"/>
                      <w:szCs w:val="21"/>
                    </w:rPr>
                  </w:pPr>
                  <w:r>
                    <w:rPr>
                      <w:color w:val="000000"/>
                      <w:szCs w:val="21"/>
                    </w:rPr>
                    <w:t>13</w:t>
                  </w:r>
                  <w:r>
                    <w:rPr>
                      <w:rFonts w:hint="eastAsia"/>
                      <w:color w:val="000000"/>
                      <w:szCs w:val="21"/>
                    </w:rPr>
                    <w:t>、幅宽在</w:t>
                  </w:r>
                  <w:r>
                    <w:rPr>
                      <w:color w:val="000000"/>
                      <w:szCs w:val="21"/>
                    </w:rPr>
                    <w:t>2</w:t>
                  </w:r>
                  <w:r>
                    <w:rPr>
                      <w:rFonts w:hint="eastAsia"/>
                      <w:color w:val="000000"/>
                      <w:szCs w:val="21"/>
                    </w:rPr>
                    <w:t>米及以下并且车速为</w:t>
                  </w:r>
                  <w:r>
                    <w:rPr>
                      <w:color w:val="000000"/>
                      <w:szCs w:val="21"/>
                    </w:rPr>
                    <w:t>80</w:t>
                  </w:r>
                  <w:r>
                    <w:rPr>
                      <w:rFonts w:hint="eastAsia"/>
                      <w:color w:val="000000"/>
                      <w:szCs w:val="21"/>
                    </w:rPr>
                    <w:t>米</w:t>
                  </w:r>
                  <w:r>
                    <w:rPr>
                      <w:color w:val="000000"/>
                      <w:szCs w:val="21"/>
                    </w:rPr>
                    <w:t>/</w:t>
                  </w:r>
                  <w:r>
                    <w:rPr>
                      <w:rFonts w:hint="eastAsia"/>
                      <w:color w:val="000000"/>
                      <w:szCs w:val="21"/>
                    </w:rPr>
                    <w:t>分以下的白板纸、箱板纸及瓦楞纸生产线</w:t>
                  </w:r>
                </w:p>
              </w:tc>
              <w:tc>
                <w:tcPr>
                  <w:tcW w:w="1752" w:type="dxa"/>
                  <w:vAlign w:val="center"/>
                </w:tcPr>
                <w:p>
                  <w:pPr>
                    <w:jc w:val="center"/>
                    <w:rPr>
                      <w:color w:val="000000"/>
                      <w:szCs w:val="21"/>
                    </w:rPr>
                  </w:pPr>
                  <w:r>
                    <w:rPr>
                      <w:rFonts w:hint="eastAsia"/>
                      <w:color w:val="000000"/>
                      <w:szCs w:val="21"/>
                    </w:rPr>
                    <w:t>本项目产品为涂布白卡纸，为在原料白卡纸上涂布压光等，非白板纸生产线</w:t>
                  </w:r>
                </w:p>
              </w:tc>
              <w:tc>
                <w:tcPr>
                  <w:tcW w:w="783" w:type="dxa"/>
                  <w:vAlign w:val="center"/>
                </w:tcPr>
                <w:p>
                  <w:pPr>
                    <w:jc w:val="center"/>
                    <w:rPr>
                      <w:color w:val="000000"/>
                      <w:szCs w:val="21"/>
                    </w:rPr>
                  </w:pPr>
                  <w:r>
                    <w:rPr>
                      <w:color w:val="000000"/>
                      <w:szCs w:val="21"/>
                    </w:rPr>
                    <w:t>不相符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07" w:type="dxa"/>
                  <w:vMerge w:val="continue"/>
                  <w:vAlign w:val="center"/>
                </w:tcPr>
                <w:p>
                  <w:pPr>
                    <w:jc w:val="center"/>
                    <w:rPr>
                      <w:color w:val="000000"/>
                      <w:szCs w:val="21"/>
                    </w:rPr>
                  </w:pPr>
                </w:p>
              </w:tc>
              <w:tc>
                <w:tcPr>
                  <w:tcW w:w="851" w:type="dxa"/>
                  <w:vAlign w:val="center"/>
                </w:tcPr>
                <w:p>
                  <w:pPr>
                    <w:jc w:val="center"/>
                    <w:rPr>
                      <w:color w:val="000000"/>
                      <w:szCs w:val="21"/>
                    </w:rPr>
                  </w:pPr>
                  <w:r>
                    <w:rPr>
                      <w:rFonts w:hint="eastAsia"/>
                      <w:color w:val="000000"/>
                      <w:szCs w:val="21"/>
                    </w:rPr>
                    <w:t>（十四）印刷</w:t>
                  </w:r>
                </w:p>
              </w:tc>
              <w:tc>
                <w:tcPr>
                  <w:tcW w:w="3118" w:type="dxa"/>
                  <w:vAlign w:val="center"/>
                </w:tcPr>
                <w:p>
                  <w:pPr>
                    <w:jc w:val="center"/>
                    <w:rPr>
                      <w:color w:val="000000"/>
                      <w:szCs w:val="21"/>
                    </w:rPr>
                  </w:pPr>
                  <w:r>
                    <w:rPr>
                      <w:color w:val="000000"/>
                      <w:szCs w:val="21"/>
                    </w:rPr>
                    <w:t>29</w:t>
                  </w:r>
                  <w:r>
                    <w:rPr>
                      <w:rFonts w:hint="eastAsia"/>
                      <w:color w:val="000000"/>
                      <w:szCs w:val="21"/>
                    </w:rPr>
                    <w:t>、离心涂布机</w:t>
                  </w:r>
                </w:p>
              </w:tc>
              <w:tc>
                <w:tcPr>
                  <w:tcW w:w="1752" w:type="dxa"/>
                  <w:vAlign w:val="center"/>
                </w:tcPr>
                <w:p>
                  <w:pPr>
                    <w:jc w:val="center"/>
                    <w:rPr>
                      <w:szCs w:val="21"/>
                    </w:rPr>
                  </w:pPr>
                  <w:r>
                    <w:rPr>
                      <w:rFonts w:hint="eastAsia"/>
                      <w:szCs w:val="21"/>
                    </w:rPr>
                    <w:t>本项目涂布机为</w:t>
                  </w:r>
                  <w:r>
                    <w:rPr>
                      <w:szCs w:val="21"/>
                    </w:rPr>
                    <w:t>2800</w:t>
                  </w:r>
                  <w:r>
                    <w:rPr>
                      <w:rFonts w:hint="eastAsia"/>
                      <w:szCs w:val="21"/>
                    </w:rPr>
                    <w:t>型涂布机，不含离心涂布机</w:t>
                  </w:r>
                </w:p>
              </w:tc>
              <w:tc>
                <w:tcPr>
                  <w:tcW w:w="783" w:type="dxa"/>
                  <w:vAlign w:val="center"/>
                </w:tcPr>
                <w:p>
                  <w:pPr>
                    <w:jc w:val="center"/>
                    <w:rPr>
                      <w:color w:val="000000"/>
                      <w:szCs w:val="21"/>
                    </w:rPr>
                  </w:pPr>
                  <w:r>
                    <w:rPr>
                      <w:color w:val="000000"/>
                      <w:szCs w:val="21"/>
                    </w:rPr>
                    <w:t>不相符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07" w:type="dxa"/>
                  <w:vAlign w:val="center"/>
                </w:tcPr>
                <w:p>
                  <w:pPr>
                    <w:jc w:val="center"/>
                    <w:rPr>
                      <w:color w:val="000000"/>
                      <w:szCs w:val="21"/>
                    </w:rPr>
                  </w:pPr>
                  <w:r>
                    <w:rPr>
                      <w:color w:val="000000"/>
                      <w:szCs w:val="21"/>
                    </w:rPr>
                    <w:t>淘汰类（落后产品）</w:t>
                  </w:r>
                </w:p>
              </w:tc>
              <w:tc>
                <w:tcPr>
                  <w:tcW w:w="851" w:type="dxa"/>
                  <w:vAlign w:val="center"/>
                </w:tcPr>
                <w:p>
                  <w:pPr>
                    <w:jc w:val="center"/>
                    <w:rPr>
                      <w:color w:val="000000"/>
                      <w:szCs w:val="21"/>
                    </w:rPr>
                  </w:pPr>
                  <w:r>
                    <w:rPr>
                      <w:rFonts w:hint="eastAsia"/>
                      <w:color w:val="000000"/>
                      <w:szCs w:val="21"/>
                    </w:rPr>
                    <w:t>（九）轻工</w:t>
                  </w:r>
                </w:p>
              </w:tc>
              <w:tc>
                <w:tcPr>
                  <w:tcW w:w="3118" w:type="dxa"/>
                  <w:vAlign w:val="center"/>
                </w:tcPr>
                <w:p>
                  <w:pPr>
                    <w:jc w:val="center"/>
                    <w:rPr>
                      <w:color w:val="000000"/>
                      <w:szCs w:val="21"/>
                    </w:rPr>
                  </w:pPr>
                  <w:r>
                    <w:rPr>
                      <w:rFonts w:hint="eastAsia"/>
                      <w:color w:val="000000"/>
                      <w:szCs w:val="21"/>
                    </w:rPr>
                    <w:t>含汞浆层纸</w:t>
                  </w:r>
                </w:p>
              </w:tc>
              <w:tc>
                <w:tcPr>
                  <w:tcW w:w="1752" w:type="dxa"/>
                  <w:vAlign w:val="center"/>
                </w:tcPr>
                <w:p>
                  <w:pPr>
                    <w:jc w:val="center"/>
                    <w:rPr>
                      <w:color w:val="000000"/>
                      <w:szCs w:val="21"/>
                    </w:rPr>
                  </w:pPr>
                  <w:r>
                    <w:rPr>
                      <w:rFonts w:hint="eastAsia"/>
                      <w:color w:val="000000"/>
                      <w:szCs w:val="21"/>
                    </w:rPr>
                    <w:t>不涉及</w:t>
                  </w:r>
                </w:p>
              </w:tc>
              <w:tc>
                <w:tcPr>
                  <w:tcW w:w="783" w:type="dxa"/>
                  <w:vAlign w:val="center"/>
                </w:tcPr>
                <w:p>
                  <w:pPr>
                    <w:jc w:val="center"/>
                  </w:pPr>
                  <w:r>
                    <w:rPr>
                      <w:color w:val="000000"/>
                      <w:szCs w:val="21"/>
                    </w:rPr>
                    <w:t>不相符</w:t>
                  </w:r>
                </w:p>
              </w:tc>
            </w:tr>
          </w:tbl>
          <w:p>
            <w:pPr>
              <w:spacing w:line="460" w:lineRule="exact"/>
              <w:ind w:firstLine="482" w:firstLineChars="200"/>
              <w:rPr>
                <w:b/>
                <w:color w:val="000000"/>
                <w:sz w:val="24"/>
              </w:rPr>
            </w:pPr>
            <w:r>
              <w:rPr>
                <w:rFonts w:hint="eastAsia"/>
                <w:b/>
                <w:color w:val="000000"/>
                <w:sz w:val="24"/>
              </w:rPr>
              <w:t>3、与当地建设相符性分析</w:t>
            </w:r>
          </w:p>
          <w:p>
            <w:pPr>
              <w:spacing w:line="460" w:lineRule="exact"/>
              <w:ind w:firstLine="480" w:firstLineChars="200"/>
              <w:rPr>
                <w:color w:val="000000"/>
                <w:sz w:val="24"/>
              </w:rPr>
            </w:pPr>
            <w:r>
              <w:rPr>
                <w:rFonts w:hint="eastAsia"/>
                <w:color w:val="000000"/>
                <w:sz w:val="24"/>
              </w:rPr>
              <w:t>（1）</w:t>
            </w:r>
            <w:r>
              <w:rPr>
                <w:color w:val="000000"/>
                <w:sz w:val="24"/>
              </w:rPr>
              <w:t>本项目</w:t>
            </w:r>
            <w:r>
              <w:rPr>
                <w:rFonts w:hint="eastAsia"/>
                <w:color w:val="000000"/>
                <w:sz w:val="24"/>
                <w:szCs w:val="20"/>
              </w:rPr>
              <w:t>选址</w:t>
            </w:r>
            <w:r>
              <w:rPr>
                <w:color w:val="000000"/>
                <w:sz w:val="24"/>
              </w:rPr>
              <w:t>位于</w:t>
            </w:r>
            <w:r>
              <w:rPr>
                <w:rFonts w:hint="eastAsia" w:ascii="宋体" w:hAnsi="宋体" w:cs="宋体"/>
                <w:color w:val="000000"/>
                <w:sz w:val="24"/>
              </w:rPr>
              <w:t>新乡市新乡县新乡经济开发区黄河大道中段</w:t>
            </w:r>
            <w:r>
              <w:rPr>
                <w:color w:val="000000"/>
                <w:sz w:val="24"/>
              </w:rPr>
              <w:t>，利用厂区内现有</w:t>
            </w:r>
            <w:r>
              <w:rPr>
                <w:rFonts w:hint="eastAsia"/>
                <w:color w:val="000000"/>
                <w:sz w:val="24"/>
              </w:rPr>
              <w:t>车间</w:t>
            </w:r>
            <w:r>
              <w:rPr>
                <w:color w:val="000000"/>
                <w:sz w:val="24"/>
              </w:rPr>
              <w:t>进行生产，根据</w:t>
            </w:r>
            <w:r>
              <w:rPr>
                <w:rFonts w:hint="eastAsia"/>
                <w:color w:val="000000"/>
                <w:sz w:val="24"/>
              </w:rPr>
              <w:t>《新乡县翟坡镇土地利用总体规划图（</w:t>
            </w:r>
            <w:r>
              <w:rPr>
                <w:color w:val="000000"/>
                <w:sz w:val="24"/>
              </w:rPr>
              <w:t>2010-2020</w:t>
            </w:r>
            <w:r>
              <w:rPr>
                <w:rFonts w:hint="eastAsia"/>
                <w:color w:val="000000"/>
                <w:sz w:val="24"/>
              </w:rPr>
              <w:t>）》（见附图），该项目用地属于建设用地，符合新乡县翟坡镇土地利用总体规划要求。</w:t>
            </w:r>
          </w:p>
          <w:p>
            <w:pPr>
              <w:spacing w:line="460" w:lineRule="exact"/>
              <w:ind w:firstLine="480" w:firstLineChars="200"/>
              <w:rPr>
                <w:color w:val="000000"/>
                <w:sz w:val="24"/>
              </w:rPr>
            </w:pPr>
            <w:r>
              <w:rPr>
                <w:rFonts w:hint="eastAsia"/>
                <w:color w:val="000000"/>
                <w:sz w:val="24"/>
              </w:rPr>
              <w:t>（2）项目选址距离最近的饮用水源地为新乡县翟坡镇水厂地下水井群（共3眼井），相距5135m，不在其保护区范围内。</w:t>
            </w:r>
          </w:p>
          <w:p>
            <w:pPr>
              <w:spacing w:line="460" w:lineRule="exact"/>
              <w:ind w:firstLine="482" w:firstLineChars="200"/>
              <w:rPr>
                <w:b/>
                <w:color w:val="000000"/>
                <w:sz w:val="24"/>
              </w:rPr>
            </w:pPr>
            <w:r>
              <w:rPr>
                <w:rFonts w:hint="eastAsia"/>
                <w:b/>
                <w:color w:val="000000"/>
                <w:sz w:val="24"/>
              </w:rPr>
              <w:t>4、与</w:t>
            </w:r>
            <w:r>
              <w:rPr>
                <w:b/>
                <w:color w:val="000000"/>
                <w:sz w:val="24"/>
              </w:rPr>
              <w:t>《新乡市</w:t>
            </w:r>
            <w:r>
              <w:rPr>
                <w:rFonts w:hint="eastAsia"/>
                <w:b/>
                <w:color w:val="000000"/>
                <w:sz w:val="24"/>
              </w:rPr>
              <w:t>“三线一单”生态</w:t>
            </w:r>
            <w:r>
              <w:rPr>
                <w:b/>
                <w:color w:val="000000"/>
                <w:sz w:val="24"/>
              </w:rPr>
              <w:t>环境准入清单》相符性分析</w:t>
            </w:r>
          </w:p>
          <w:p>
            <w:pPr>
              <w:autoSpaceDE w:val="0"/>
              <w:autoSpaceDN w:val="0"/>
              <w:adjustRightInd w:val="0"/>
              <w:snapToGrid w:val="0"/>
              <w:spacing w:line="460" w:lineRule="exact"/>
              <w:ind w:firstLine="480" w:firstLineChars="200"/>
              <w:rPr>
                <w:color w:val="000000"/>
                <w:sz w:val="24"/>
                <w:szCs w:val="20"/>
              </w:rPr>
            </w:pPr>
            <w:r>
              <w:rPr>
                <w:rFonts w:hint="eastAsia"/>
                <w:color w:val="000000"/>
                <w:sz w:val="24"/>
                <w:szCs w:val="20"/>
              </w:rPr>
              <w:t>（1）生态保护红线相符性</w:t>
            </w:r>
          </w:p>
          <w:p>
            <w:pPr>
              <w:autoSpaceDE w:val="0"/>
              <w:autoSpaceDN w:val="0"/>
              <w:adjustRightInd w:val="0"/>
              <w:snapToGrid w:val="0"/>
              <w:spacing w:line="460" w:lineRule="exact"/>
              <w:ind w:firstLine="480" w:firstLineChars="200"/>
              <w:rPr>
                <w:color w:val="000000"/>
                <w:sz w:val="24"/>
              </w:rPr>
            </w:pPr>
            <w:r>
              <w:rPr>
                <w:rFonts w:hint="eastAsia"/>
                <w:color w:val="000000"/>
                <w:sz w:val="24"/>
                <w:szCs w:val="20"/>
              </w:rPr>
              <w:t>本项目位于</w:t>
            </w:r>
            <w:r>
              <w:rPr>
                <w:rFonts w:hint="eastAsia" w:ascii="宋体" w:hAnsi="宋体" w:cs="宋体"/>
                <w:color w:val="000000"/>
                <w:sz w:val="24"/>
              </w:rPr>
              <w:t>新乡市新乡县新乡经济开发区黄河大道中段</w:t>
            </w:r>
            <w:r>
              <w:rPr>
                <w:color w:val="000000"/>
                <w:sz w:val="24"/>
              </w:rPr>
              <w:t>，</w:t>
            </w:r>
            <w:r>
              <w:rPr>
                <w:rFonts w:hint="eastAsia"/>
                <w:color w:val="000000"/>
                <w:sz w:val="24"/>
              </w:rPr>
              <w:t>不在当地饮用水源、风景区、自然保护区等生态保护区内，根据《河南省生态保护红线划定方案》，本项目选址范围不涉及生态保护红线，本项目的实施与生态保护红线不冲突。</w:t>
            </w:r>
          </w:p>
          <w:p>
            <w:pPr>
              <w:autoSpaceDE w:val="0"/>
              <w:autoSpaceDN w:val="0"/>
              <w:adjustRightInd w:val="0"/>
              <w:snapToGrid w:val="0"/>
              <w:spacing w:line="460" w:lineRule="exact"/>
              <w:ind w:firstLine="480" w:firstLineChars="200"/>
              <w:rPr>
                <w:color w:val="000000"/>
                <w:sz w:val="24"/>
              </w:rPr>
            </w:pPr>
            <w:r>
              <w:rPr>
                <w:rFonts w:hint="eastAsia"/>
                <w:color w:val="000000"/>
                <w:sz w:val="24"/>
              </w:rPr>
              <w:t>（2）资源利用上线相符性</w:t>
            </w:r>
          </w:p>
          <w:p>
            <w:pPr>
              <w:autoSpaceDE w:val="0"/>
              <w:autoSpaceDN w:val="0"/>
              <w:adjustRightInd w:val="0"/>
              <w:snapToGrid w:val="0"/>
              <w:spacing w:line="460" w:lineRule="exact"/>
              <w:ind w:firstLine="480" w:firstLineChars="200"/>
              <w:rPr>
                <w:color w:val="000000"/>
                <w:sz w:val="24"/>
              </w:rPr>
            </w:pPr>
            <w:r>
              <w:rPr>
                <w:rFonts w:hint="eastAsia"/>
                <w:color w:val="000000"/>
                <w:sz w:val="24"/>
              </w:rPr>
              <w:t>本项目用水源于自备水井；能源主要为电，电由翟坡镇统一供应。项目建成运行后通过内部管理、设备选择、原辅材料的选用和管理、废物回收利用、污染治理等多方面采取合理可行的防治措施，以“节能、降耗、减污”为目标，有效地控制污染。项目的水、气等资源利用不会突破区域的资源利用上线。</w:t>
            </w:r>
          </w:p>
          <w:p>
            <w:pPr>
              <w:autoSpaceDE w:val="0"/>
              <w:autoSpaceDN w:val="0"/>
              <w:adjustRightInd w:val="0"/>
              <w:snapToGrid w:val="0"/>
              <w:spacing w:line="460" w:lineRule="exact"/>
              <w:ind w:firstLine="480" w:firstLineChars="200"/>
              <w:rPr>
                <w:color w:val="000000"/>
                <w:sz w:val="24"/>
              </w:rPr>
            </w:pPr>
            <w:r>
              <w:rPr>
                <w:rFonts w:hint="eastAsia"/>
                <w:color w:val="000000"/>
                <w:sz w:val="24"/>
              </w:rPr>
              <w:t>（3）环境质量底线相符性</w:t>
            </w:r>
          </w:p>
          <w:p>
            <w:pPr>
              <w:autoSpaceDE w:val="0"/>
              <w:autoSpaceDN w:val="0"/>
              <w:adjustRightInd w:val="0"/>
              <w:snapToGrid w:val="0"/>
              <w:spacing w:line="460" w:lineRule="exact"/>
              <w:ind w:firstLine="480" w:firstLineChars="200"/>
              <w:rPr>
                <w:sz w:val="24"/>
              </w:rPr>
            </w:pPr>
            <w:r>
              <w:rPr>
                <w:rFonts w:hint="eastAsia"/>
                <w:sz w:val="24"/>
              </w:rPr>
              <w:t>根据项目所在地环境质量现状调查和污染排放工程分析可知，项目建成后，无废水排放，主要污染为投料工序产生的颗粒物，项目颗粒物通过区域双倍替代，不会对区域空气质量造成明显不良影响，可接受；项目建设前后不会改变周边噪声环境质量功能区划。综上，项目建设不会对区域环境质量底线造成冲击。项目对周边大气环境、地表水环境、地下水环境、声环境、土壤环境影响均可接受。</w:t>
            </w:r>
          </w:p>
          <w:p>
            <w:pPr>
              <w:autoSpaceDE w:val="0"/>
              <w:autoSpaceDN w:val="0"/>
              <w:adjustRightInd w:val="0"/>
              <w:snapToGrid w:val="0"/>
              <w:spacing w:line="460" w:lineRule="exact"/>
              <w:ind w:firstLine="480" w:firstLineChars="200"/>
              <w:rPr>
                <w:color w:val="000000"/>
                <w:sz w:val="24"/>
                <w:szCs w:val="20"/>
              </w:rPr>
            </w:pPr>
            <w:r>
              <w:rPr>
                <w:rFonts w:hint="eastAsia"/>
                <w:color w:val="000000"/>
                <w:sz w:val="24"/>
                <w:szCs w:val="20"/>
              </w:rPr>
              <w:t>（4）本项目选址位于</w:t>
            </w:r>
            <w:r>
              <w:rPr>
                <w:rFonts w:hint="eastAsia" w:ascii="宋体" w:hAnsi="宋体" w:cs="宋体"/>
                <w:color w:val="000000"/>
                <w:sz w:val="24"/>
              </w:rPr>
              <w:t>新乡市新乡县新乡经济开发区黄河大道中段</w:t>
            </w:r>
            <w:r>
              <w:rPr>
                <w:rFonts w:hint="eastAsia"/>
                <w:color w:val="000000"/>
                <w:sz w:val="24"/>
                <w:szCs w:val="20"/>
              </w:rPr>
              <w:t>，根据《新乡市环境管控单元图》，本项目位于重点管控区见下图：</w:t>
            </w:r>
          </w:p>
          <w:p>
            <w:pPr>
              <w:autoSpaceDE w:val="0"/>
              <w:autoSpaceDN w:val="0"/>
              <w:adjustRightInd w:val="0"/>
              <w:snapToGrid w:val="0"/>
              <w:spacing w:line="460" w:lineRule="exact"/>
              <w:ind w:firstLine="420" w:firstLineChars="200"/>
              <w:rPr>
                <w:color w:val="000000"/>
                <w:sz w:val="24"/>
                <w:szCs w:val="20"/>
              </w:rPr>
            </w:pPr>
            <w:r>
              <w:drawing>
                <wp:anchor distT="0" distB="0" distL="114300" distR="114300" simplePos="0" relativeHeight="251659264" behindDoc="0" locked="0" layoutInCell="1" allowOverlap="1">
                  <wp:simplePos x="0" y="0"/>
                  <wp:positionH relativeFrom="margin">
                    <wp:align>center</wp:align>
                  </wp:positionH>
                  <wp:positionV relativeFrom="paragraph">
                    <wp:posOffset>90805</wp:posOffset>
                  </wp:positionV>
                  <wp:extent cx="4699000" cy="3086100"/>
                  <wp:effectExtent l="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699000" cy="3086100"/>
                          </a:xfrm>
                          <a:prstGeom prst="rect">
                            <a:avLst/>
                          </a:prstGeom>
                          <a:noFill/>
                          <a:ln>
                            <a:noFill/>
                          </a:ln>
                        </pic:spPr>
                      </pic:pic>
                    </a:graphicData>
                  </a:graphic>
                </wp:anchor>
              </w:drawing>
            </w:r>
          </w:p>
          <w:p>
            <w:pPr>
              <w:autoSpaceDE w:val="0"/>
              <w:autoSpaceDN w:val="0"/>
              <w:adjustRightInd w:val="0"/>
              <w:snapToGrid w:val="0"/>
              <w:spacing w:line="460" w:lineRule="exact"/>
              <w:ind w:firstLine="480" w:firstLineChars="200"/>
              <w:rPr>
                <w:color w:val="000000"/>
                <w:sz w:val="24"/>
                <w:szCs w:val="20"/>
              </w:rPr>
            </w:pPr>
          </w:p>
          <w:p>
            <w:pPr>
              <w:autoSpaceDE w:val="0"/>
              <w:autoSpaceDN w:val="0"/>
              <w:adjustRightInd w:val="0"/>
              <w:snapToGrid w:val="0"/>
              <w:spacing w:line="460" w:lineRule="exact"/>
              <w:ind w:firstLine="480" w:firstLineChars="200"/>
              <w:rPr>
                <w:color w:val="000000"/>
                <w:sz w:val="24"/>
                <w:szCs w:val="20"/>
              </w:rPr>
            </w:pPr>
          </w:p>
          <w:p>
            <w:pPr>
              <w:autoSpaceDE w:val="0"/>
              <w:autoSpaceDN w:val="0"/>
              <w:adjustRightInd w:val="0"/>
              <w:snapToGrid w:val="0"/>
              <w:spacing w:line="460" w:lineRule="exact"/>
              <w:ind w:firstLine="480" w:firstLineChars="200"/>
              <w:rPr>
                <w:color w:val="000000"/>
                <w:sz w:val="24"/>
                <w:szCs w:val="20"/>
              </w:rPr>
            </w:pPr>
          </w:p>
          <w:p>
            <w:pPr>
              <w:autoSpaceDE w:val="0"/>
              <w:autoSpaceDN w:val="0"/>
              <w:adjustRightInd w:val="0"/>
              <w:snapToGrid w:val="0"/>
              <w:spacing w:line="460" w:lineRule="exact"/>
              <w:ind w:firstLine="480" w:firstLineChars="200"/>
              <w:rPr>
                <w:color w:val="000000"/>
                <w:sz w:val="24"/>
                <w:szCs w:val="20"/>
              </w:rPr>
            </w:pPr>
            <w:r>
              <w:rPr>
                <w:rFonts w:hint="eastAsia"/>
                <w:color w:val="000000"/>
                <w:sz w:val="24"/>
                <w:szCs w:val="20"/>
              </w:rPr>
              <mc:AlternateContent>
                <mc:Choice Requires="wpg">
                  <w:drawing>
                    <wp:anchor distT="0" distB="0" distL="114300" distR="114300" simplePos="0" relativeHeight="251659264" behindDoc="0" locked="0" layoutInCell="1" allowOverlap="1">
                      <wp:simplePos x="0" y="0"/>
                      <wp:positionH relativeFrom="column">
                        <wp:posOffset>843280</wp:posOffset>
                      </wp:positionH>
                      <wp:positionV relativeFrom="paragraph">
                        <wp:posOffset>165735</wp:posOffset>
                      </wp:positionV>
                      <wp:extent cx="643890" cy="504190"/>
                      <wp:effectExtent l="5080" t="13335" r="8255" b="6350"/>
                      <wp:wrapNone/>
                      <wp:docPr id="1" name="组合 37"/>
                      <wp:cNvGraphicFramePr/>
                      <a:graphic xmlns:a="http://schemas.openxmlformats.org/drawingml/2006/main">
                        <a:graphicData uri="http://schemas.microsoft.com/office/word/2010/wordprocessingGroup">
                          <wpg:wgp>
                            <wpg:cNvGrpSpPr/>
                            <wpg:grpSpPr>
                              <a:xfrm>
                                <a:off x="0" y="0"/>
                                <a:ext cx="643890" cy="504190"/>
                                <a:chOff x="4250" y="4175"/>
                                <a:chExt cx="1014" cy="794"/>
                              </a:xfrm>
                            </wpg:grpSpPr>
                            <wps:wsp>
                              <wps:cNvPr id="3" name="自选图形 36"/>
                              <wps:cNvSpPr>
                                <a:spLocks noChangeArrowheads="1"/>
                              </wps:cNvSpPr>
                              <wps:spPr bwMode="auto">
                                <a:xfrm>
                                  <a:off x="4250" y="4175"/>
                                  <a:ext cx="1014" cy="420"/>
                                </a:xfrm>
                                <a:prstGeom prst="wedgeRectCallout">
                                  <a:avLst>
                                    <a:gd name="adj1" fmla="val 36194"/>
                                    <a:gd name="adj2" fmla="val 121190"/>
                                  </a:avLst>
                                </a:prstGeom>
                                <a:solidFill>
                                  <a:srgbClr val="FFFFFF"/>
                                </a:solidFill>
                                <a:ln w="9525">
                                  <a:solidFill>
                                    <a:srgbClr val="000000"/>
                                  </a:solidFill>
                                  <a:miter lim="800000"/>
                                </a:ln>
                              </wps:spPr>
                              <wps:txbx>
                                <w:txbxContent>
                                  <w:p>
                                    <w:pPr>
                                      <w:spacing w:line="240" w:lineRule="atLeast"/>
                                      <w:jc w:val="center"/>
                                    </w:pPr>
                                    <w:r>
                                      <w:rPr>
                                        <w:szCs w:val="21"/>
                                      </w:rPr>
                                      <w:t>本项</w:t>
                                    </w:r>
                                    <w:r>
                                      <w:t>目</w:t>
                                    </w:r>
                                  </w:p>
                                </w:txbxContent>
                              </wps:txbx>
                              <wps:bodyPr rot="0" vert="horz" wrap="square" lIns="91440" tIns="45720" rIns="91440" bIns="45720" anchor="t" anchorCtr="0" upright="1">
                                <a:noAutofit/>
                              </wps:bodyPr>
                            </wps:wsp>
                            <wps:wsp>
                              <wps:cNvPr id="4" name="椭圆 30"/>
                              <wps:cNvSpPr>
                                <a:spLocks noChangeArrowheads="1"/>
                              </wps:cNvSpPr>
                              <wps:spPr bwMode="auto">
                                <a:xfrm>
                                  <a:off x="5054" y="4875"/>
                                  <a:ext cx="94" cy="94"/>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id="组合 37" o:spid="_x0000_s1026" o:spt="203" style="position:absolute;left:0pt;margin-left:66.4pt;margin-top:13.05pt;height:39.7pt;width:50.7pt;z-index:251659264;mso-width-relative:page;mso-height-relative:page;" coordorigin="4250,4175" coordsize="1014,794" o:gfxdata="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At9NwtgAAAAKAQAA&#10;DwAAAAAAAAABACAAAAAiAAAAZHJzL2Rvd25yZXYueG1sUEsBAhQAFAAAAAgAh07iQCjE3vk2AwAA&#10;kwgAAA4AAAAAAAAAAQAgAAAAJwEAAGRycy9lMm9Eb2MueG1sUEsFBgAAAAAGAAYAWQEAAM8GAAAA&#10;AA==&#10;">
                      <o:lock v:ext="edit" aspectratio="f"/>
                      <v:shape id="自选图形 36" o:spid="_x0000_s1026" o:spt="61" type="#_x0000_t61" style="position:absolute;left:4250;top:4175;height:420;width:1014;" fillcolor="#FFFFFF" filled="t" stroked="t" coordsize="21600,21600" o:gfxdata="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KwPr4A&#10;AADaAAAADwAAAAAAAAABACAAAAAiAAAAZHJzL2Rvd25yZXYueG1sUEsBAhQAFAAAAAgAh07iQDMv&#10;BZ47AAAAOQAAABAAAAAAAAAAAQAgAAAADQEAAGRycy9zaGFwZXhtbC54bWxQSwUGAAAAAAYABgBb&#10;AQAAtwMAAAAA&#10;" adj="18618,36977">
                        <v:fill on="t" focussize="0,0"/>
                        <v:stroke color="#000000" miterlimit="8" joinstyle="miter"/>
                        <v:imagedata o:title=""/>
                        <o:lock v:ext="edit" aspectratio="f"/>
                        <v:textbox>
                          <w:txbxContent>
                            <w:p>
                              <w:pPr>
                                <w:spacing w:line="240" w:lineRule="atLeast"/>
                                <w:jc w:val="center"/>
                              </w:pPr>
                              <w:r>
                                <w:rPr>
                                  <w:szCs w:val="21"/>
                                </w:rPr>
                                <w:t>本项</w:t>
                              </w:r>
                              <w:r>
                                <w:t>目</w:t>
                              </w:r>
                            </w:p>
                          </w:txbxContent>
                        </v:textbox>
                      </v:shape>
                      <v:shape id="椭圆 30" o:spid="_x0000_s1026" o:spt="3" type="#_x0000_t3" style="position:absolute;left:5054;top:4875;height:94;width:94;" fillcolor="#000000" filled="t" stroked="t" coordsize="21600,21600" o:gfxdata="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tbzQugAAANo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w:pict>
                </mc:Fallback>
              </mc:AlternateContent>
            </w:r>
          </w:p>
          <w:p>
            <w:pPr>
              <w:autoSpaceDE w:val="0"/>
              <w:autoSpaceDN w:val="0"/>
              <w:adjustRightInd w:val="0"/>
              <w:snapToGrid w:val="0"/>
              <w:spacing w:line="460" w:lineRule="exact"/>
              <w:ind w:firstLine="480" w:firstLineChars="200"/>
              <w:rPr>
                <w:color w:val="000000"/>
                <w:sz w:val="24"/>
                <w:szCs w:val="20"/>
              </w:rPr>
            </w:pPr>
          </w:p>
          <w:p>
            <w:pPr>
              <w:autoSpaceDE w:val="0"/>
              <w:autoSpaceDN w:val="0"/>
              <w:adjustRightInd w:val="0"/>
              <w:snapToGrid w:val="0"/>
              <w:spacing w:line="460" w:lineRule="exact"/>
              <w:ind w:firstLine="480" w:firstLineChars="200"/>
              <w:rPr>
                <w:color w:val="000000"/>
                <w:sz w:val="24"/>
                <w:szCs w:val="20"/>
              </w:rPr>
            </w:pPr>
          </w:p>
          <w:p>
            <w:pPr>
              <w:autoSpaceDE w:val="0"/>
              <w:autoSpaceDN w:val="0"/>
              <w:adjustRightInd w:val="0"/>
              <w:snapToGrid w:val="0"/>
              <w:spacing w:line="460" w:lineRule="exact"/>
              <w:ind w:firstLine="480" w:firstLineChars="200"/>
              <w:rPr>
                <w:color w:val="000000"/>
                <w:sz w:val="24"/>
                <w:szCs w:val="20"/>
              </w:rPr>
            </w:pPr>
          </w:p>
          <w:p>
            <w:pPr>
              <w:autoSpaceDE w:val="0"/>
              <w:autoSpaceDN w:val="0"/>
              <w:adjustRightInd w:val="0"/>
              <w:snapToGrid w:val="0"/>
              <w:spacing w:line="460" w:lineRule="exact"/>
              <w:ind w:firstLine="480" w:firstLineChars="200"/>
              <w:rPr>
                <w:color w:val="000000"/>
                <w:sz w:val="24"/>
                <w:szCs w:val="20"/>
              </w:rPr>
            </w:pPr>
          </w:p>
          <w:p>
            <w:pPr>
              <w:autoSpaceDE w:val="0"/>
              <w:autoSpaceDN w:val="0"/>
              <w:adjustRightInd w:val="0"/>
              <w:snapToGrid w:val="0"/>
              <w:spacing w:line="460" w:lineRule="exact"/>
              <w:ind w:firstLine="480" w:firstLineChars="200"/>
              <w:rPr>
                <w:color w:val="000000"/>
                <w:sz w:val="24"/>
                <w:szCs w:val="20"/>
              </w:rPr>
            </w:pPr>
          </w:p>
          <w:p>
            <w:pPr>
              <w:autoSpaceDE w:val="0"/>
              <w:autoSpaceDN w:val="0"/>
              <w:adjustRightInd w:val="0"/>
              <w:snapToGrid w:val="0"/>
              <w:spacing w:line="460" w:lineRule="exact"/>
              <w:rPr>
                <w:color w:val="000000"/>
                <w:sz w:val="24"/>
                <w:szCs w:val="20"/>
              </w:rPr>
            </w:pPr>
          </w:p>
          <w:p>
            <w:pPr>
              <w:autoSpaceDE w:val="0"/>
              <w:autoSpaceDN w:val="0"/>
              <w:adjustRightInd w:val="0"/>
              <w:snapToGrid w:val="0"/>
              <w:spacing w:line="460" w:lineRule="exact"/>
              <w:jc w:val="center"/>
              <w:rPr>
                <w:b/>
                <w:color w:val="000000"/>
                <w:sz w:val="24"/>
                <w:szCs w:val="20"/>
              </w:rPr>
            </w:pPr>
            <w:r>
              <w:rPr>
                <w:rFonts w:hint="eastAsia"/>
                <w:b/>
                <w:color w:val="000000"/>
                <w:sz w:val="24"/>
                <w:szCs w:val="20"/>
              </w:rPr>
              <w:t>图1   新乡市环境管控单元图</w:t>
            </w:r>
          </w:p>
          <w:p>
            <w:pPr>
              <w:autoSpaceDE w:val="0"/>
              <w:autoSpaceDN w:val="0"/>
              <w:adjustRightInd w:val="0"/>
              <w:snapToGrid w:val="0"/>
              <w:spacing w:line="460" w:lineRule="exact"/>
              <w:ind w:firstLine="480" w:firstLineChars="200"/>
              <w:rPr>
                <w:color w:val="000000"/>
                <w:sz w:val="24"/>
                <w:szCs w:val="20"/>
              </w:rPr>
            </w:pPr>
            <w:r>
              <w:rPr>
                <w:color w:val="000000"/>
                <w:sz w:val="24"/>
                <w:szCs w:val="20"/>
              </w:rPr>
              <w:t>本项目</w:t>
            </w:r>
            <w:r>
              <w:rPr>
                <w:rFonts w:hint="eastAsia"/>
                <w:color w:val="000000"/>
                <w:sz w:val="24"/>
                <w:szCs w:val="20"/>
              </w:rPr>
              <w:t>位于</w:t>
            </w:r>
            <w:r>
              <w:rPr>
                <w:rFonts w:hint="eastAsia" w:ascii="宋体" w:hAnsi="宋体" w:cs="宋体"/>
                <w:color w:val="000000"/>
                <w:sz w:val="24"/>
              </w:rPr>
              <w:t>新乡市新乡县新乡经济开发区黄河大道中段</w:t>
            </w:r>
            <w:r>
              <w:rPr>
                <w:color w:val="000000"/>
                <w:sz w:val="24"/>
              </w:rPr>
              <w:t>，根据上图</w:t>
            </w:r>
            <w:r>
              <w:rPr>
                <w:rFonts w:hint="eastAsia"/>
                <w:color w:val="000000"/>
                <w:sz w:val="24"/>
              </w:rPr>
              <w:t>，</w:t>
            </w:r>
            <w:r>
              <w:rPr>
                <w:color w:val="000000"/>
                <w:sz w:val="24"/>
              </w:rPr>
              <w:t>本项目厂址属于重点管控单元</w:t>
            </w:r>
            <w:r>
              <w:rPr>
                <w:rFonts w:hint="eastAsia"/>
                <w:color w:val="000000"/>
                <w:sz w:val="24"/>
              </w:rPr>
              <w:t>，</w:t>
            </w:r>
            <w:r>
              <w:rPr>
                <w:rFonts w:hint="eastAsia"/>
                <w:color w:val="000000"/>
                <w:sz w:val="24"/>
                <w:szCs w:val="20"/>
              </w:rPr>
              <w:t>与《新乡市“三线一单”生态环境准入清单</w:t>
            </w:r>
            <w:r>
              <w:rPr>
                <w:rFonts w:hint="eastAsia"/>
                <w:sz w:val="24"/>
              </w:rPr>
              <w:t>（试行）</w:t>
            </w:r>
            <w:r>
              <w:rPr>
                <w:rFonts w:hint="eastAsia"/>
                <w:color w:val="000000"/>
                <w:sz w:val="24"/>
                <w:szCs w:val="20"/>
              </w:rPr>
              <w:t>》（以下简称《清单》）中的</w:t>
            </w:r>
            <w:r>
              <w:rPr>
                <w:kern w:val="0"/>
                <w:sz w:val="24"/>
              </w:rPr>
              <w:t>相关内容对比一致性分析见下表。</w:t>
            </w:r>
          </w:p>
          <w:p>
            <w:pPr>
              <w:autoSpaceDE w:val="0"/>
              <w:autoSpaceDN w:val="0"/>
              <w:adjustRightInd w:val="0"/>
              <w:snapToGrid w:val="0"/>
              <w:spacing w:line="460" w:lineRule="exact"/>
              <w:rPr>
                <w:color w:val="000000"/>
                <w:sz w:val="24"/>
                <w:szCs w:val="20"/>
              </w:rPr>
            </w:pPr>
          </w:p>
          <w:p>
            <w:pPr>
              <w:autoSpaceDE w:val="0"/>
              <w:autoSpaceDN w:val="0"/>
              <w:adjustRightInd w:val="0"/>
              <w:snapToGrid w:val="0"/>
              <w:spacing w:line="460" w:lineRule="exact"/>
              <w:rPr>
                <w:color w:val="000000"/>
                <w:sz w:val="24"/>
                <w:szCs w:val="20"/>
              </w:rPr>
            </w:pPr>
          </w:p>
          <w:p>
            <w:pPr>
              <w:autoSpaceDE w:val="0"/>
              <w:autoSpaceDN w:val="0"/>
              <w:adjustRightInd w:val="0"/>
              <w:snapToGrid w:val="0"/>
              <w:spacing w:line="460" w:lineRule="exact"/>
              <w:rPr>
                <w:color w:val="000000"/>
                <w:sz w:val="24"/>
                <w:szCs w:val="20"/>
              </w:rPr>
            </w:pPr>
          </w:p>
          <w:p>
            <w:pPr>
              <w:autoSpaceDE w:val="0"/>
              <w:autoSpaceDN w:val="0"/>
              <w:adjustRightInd w:val="0"/>
              <w:snapToGrid w:val="0"/>
              <w:spacing w:line="460" w:lineRule="exact"/>
              <w:rPr>
                <w:color w:val="000000"/>
                <w:sz w:val="24"/>
                <w:szCs w:val="20"/>
              </w:rPr>
            </w:pPr>
          </w:p>
          <w:p>
            <w:pPr>
              <w:autoSpaceDE w:val="0"/>
              <w:autoSpaceDN w:val="0"/>
              <w:adjustRightInd w:val="0"/>
              <w:snapToGrid w:val="0"/>
              <w:spacing w:line="460" w:lineRule="exact"/>
              <w:rPr>
                <w:color w:val="000000"/>
                <w:sz w:val="24"/>
                <w:szCs w:val="20"/>
              </w:rPr>
            </w:pPr>
          </w:p>
          <w:p>
            <w:pPr>
              <w:autoSpaceDE w:val="0"/>
              <w:autoSpaceDN w:val="0"/>
              <w:adjustRightInd w:val="0"/>
              <w:snapToGrid w:val="0"/>
              <w:spacing w:line="460" w:lineRule="exact"/>
              <w:rPr>
                <w:color w:val="000000"/>
                <w:sz w:val="24"/>
                <w:szCs w:val="20"/>
              </w:rPr>
            </w:pPr>
          </w:p>
          <w:p>
            <w:pPr>
              <w:autoSpaceDE w:val="0"/>
              <w:autoSpaceDN w:val="0"/>
              <w:adjustRightInd w:val="0"/>
              <w:snapToGrid w:val="0"/>
              <w:spacing w:line="460" w:lineRule="exact"/>
              <w:rPr>
                <w:color w:val="000000"/>
                <w:sz w:val="24"/>
                <w:szCs w:val="20"/>
              </w:rPr>
            </w:pPr>
          </w:p>
        </w:tc>
      </w:tr>
    </w:tbl>
    <w:p>
      <w:pPr>
        <w:spacing w:line="360" w:lineRule="auto"/>
        <w:outlineLvl w:val="0"/>
        <w:rPr>
          <w:rFonts w:eastAsia="黑体"/>
          <w:color w:val="000000"/>
          <w:sz w:val="30"/>
        </w:rPr>
        <w:sectPr>
          <w:footerReference r:id="rId6" w:type="default"/>
          <w:pgSz w:w="11906" w:h="16838"/>
          <w:pgMar w:top="1701" w:right="1531" w:bottom="1701" w:left="1531" w:header="851" w:footer="1077" w:gutter="0"/>
          <w:pgNumType w:start="1"/>
          <w:cols w:space="720" w:num="1"/>
          <w:docGrid w:linePitch="312" w:charSpace="0"/>
        </w:sectPr>
      </w:pPr>
    </w:p>
    <w:tbl>
      <w:tblPr>
        <w:tblStyle w:val="31"/>
        <w:tblW w:w="13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2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460" w:lineRule="exact"/>
              <w:rPr>
                <w:rFonts w:eastAsia="黑体"/>
                <w:color w:val="000000"/>
                <w:sz w:val="24"/>
                <w:lang w:val="pt-BR"/>
              </w:rPr>
            </w:pPr>
          </w:p>
        </w:tc>
        <w:tc>
          <w:tcPr>
            <w:tcW w:w="12777" w:type="dxa"/>
          </w:tcPr>
          <w:p>
            <w:pPr>
              <w:spacing w:line="460" w:lineRule="exact"/>
              <w:ind w:firstLine="480" w:firstLineChars="200"/>
              <w:rPr>
                <w:rFonts w:eastAsia="黑体"/>
                <w:color w:val="000000"/>
                <w:sz w:val="24"/>
                <w:lang w:val="pt-BR"/>
              </w:rPr>
            </w:pPr>
            <w:r>
              <w:rPr>
                <w:rFonts w:eastAsia="黑体"/>
                <w:color w:val="000000"/>
                <w:sz w:val="24"/>
                <w:lang w:val="pt-BR"/>
              </w:rPr>
              <w:t>表2</w:t>
            </w:r>
            <w:r>
              <w:rPr>
                <w:rFonts w:hint="eastAsia" w:eastAsia="黑体"/>
                <w:color w:val="000000"/>
                <w:sz w:val="24"/>
                <w:lang w:val="pt-BR"/>
              </w:rPr>
              <w:t xml:space="preserve">                             本项目与《清单》中重点管控区对比分析一览表</w:t>
            </w:r>
          </w:p>
          <w:tbl>
            <w:tblPr>
              <w:tblStyle w:val="31"/>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742"/>
              <w:gridCol w:w="1012"/>
              <w:gridCol w:w="861"/>
              <w:gridCol w:w="962"/>
              <w:gridCol w:w="1045"/>
              <w:gridCol w:w="4342"/>
              <w:gridCol w:w="2911"/>
              <w:gridCol w:w="68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742" w:type="dxa"/>
                  <w:vAlign w:val="center"/>
                </w:tcPr>
                <w:p>
                  <w:pPr>
                    <w:pStyle w:val="29"/>
                    <w:spacing w:before="0" w:beforeAutospacing="0" w:after="0" w:afterAutospacing="0"/>
                    <w:jc w:val="center"/>
                    <w:outlineLvl w:val="0"/>
                    <w:rPr>
                      <w:rFonts w:ascii="Times New Roman" w:hAnsi="Times New Roman"/>
                      <w:b/>
                      <w:snapToGrid w:val="0"/>
                      <w:color w:val="000000"/>
                      <w:sz w:val="21"/>
                      <w:szCs w:val="21"/>
                    </w:rPr>
                  </w:pPr>
                  <w:r>
                    <w:rPr>
                      <w:rFonts w:ascii="Times New Roman" w:hAnsi="Times New Roman"/>
                      <w:b/>
                      <w:snapToGrid w:val="0"/>
                      <w:color w:val="000000"/>
                      <w:sz w:val="21"/>
                      <w:szCs w:val="21"/>
                    </w:rPr>
                    <w:t>行政区划</w:t>
                  </w:r>
                </w:p>
              </w:tc>
              <w:tc>
                <w:tcPr>
                  <w:tcW w:w="1012" w:type="dxa"/>
                  <w:vAlign w:val="center"/>
                </w:tcPr>
                <w:p>
                  <w:pPr>
                    <w:pStyle w:val="29"/>
                    <w:spacing w:before="0" w:beforeAutospacing="0" w:after="0" w:afterAutospacing="0"/>
                    <w:jc w:val="center"/>
                    <w:outlineLvl w:val="0"/>
                    <w:rPr>
                      <w:rFonts w:ascii="Times New Roman" w:hAnsi="Times New Roman"/>
                      <w:b/>
                      <w:snapToGrid w:val="0"/>
                      <w:color w:val="000000"/>
                      <w:sz w:val="21"/>
                      <w:szCs w:val="21"/>
                    </w:rPr>
                  </w:pPr>
                  <w:r>
                    <w:rPr>
                      <w:rFonts w:ascii="Times New Roman" w:hAnsi="Times New Roman"/>
                      <w:b/>
                      <w:snapToGrid w:val="0"/>
                      <w:color w:val="000000"/>
                      <w:sz w:val="21"/>
                      <w:szCs w:val="21"/>
                    </w:rPr>
                    <w:t>环境管控单元名称</w:t>
                  </w:r>
                </w:p>
              </w:tc>
              <w:tc>
                <w:tcPr>
                  <w:tcW w:w="861" w:type="dxa"/>
                  <w:vAlign w:val="center"/>
                </w:tcPr>
                <w:p>
                  <w:pPr>
                    <w:pStyle w:val="29"/>
                    <w:spacing w:before="0" w:beforeAutospacing="0" w:after="0" w:afterAutospacing="0"/>
                    <w:jc w:val="center"/>
                    <w:outlineLvl w:val="0"/>
                    <w:rPr>
                      <w:rFonts w:ascii="Times New Roman" w:hAnsi="Times New Roman"/>
                      <w:b/>
                      <w:snapToGrid w:val="0"/>
                      <w:color w:val="000000"/>
                      <w:sz w:val="21"/>
                      <w:szCs w:val="21"/>
                    </w:rPr>
                  </w:pPr>
                  <w:r>
                    <w:rPr>
                      <w:rFonts w:ascii="Times New Roman" w:hAnsi="Times New Roman"/>
                      <w:b/>
                      <w:snapToGrid w:val="0"/>
                      <w:color w:val="000000"/>
                      <w:sz w:val="21"/>
                      <w:szCs w:val="21"/>
                    </w:rPr>
                    <w:t>管控单元分类</w:t>
                  </w:r>
                </w:p>
              </w:tc>
              <w:tc>
                <w:tcPr>
                  <w:tcW w:w="962" w:type="dxa"/>
                  <w:vAlign w:val="center"/>
                </w:tcPr>
                <w:p>
                  <w:pPr>
                    <w:pStyle w:val="29"/>
                    <w:spacing w:before="0" w:beforeAutospacing="0" w:after="0" w:afterAutospacing="0"/>
                    <w:jc w:val="center"/>
                    <w:outlineLvl w:val="0"/>
                    <w:rPr>
                      <w:rFonts w:ascii="Times New Roman" w:hAnsi="Times New Roman"/>
                      <w:b/>
                      <w:snapToGrid w:val="0"/>
                      <w:color w:val="000000"/>
                      <w:sz w:val="21"/>
                      <w:szCs w:val="21"/>
                    </w:rPr>
                  </w:pPr>
                  <w:r>
                    <w:rPr>
                      <w:rFonts w:ascii="Times New Roman" w:hAnsi="Times New Roman"/>
                      <w:b/>
                      <w:snapToGrid w:val="0"/>
                      <w:color w:val="000000"/>
                      <w:sz w:val="21"/>
                      <w:szCs w:val="21"/>
                    </w:rPr>
                    <w:t>环境</w:t>
                  </w:r>
                  <w:r>
                    <w:rPr>
                      <w:rFonts w:hint="eastAsia" w:ascii="Times New Roman" w:hAnsi="Times New Roman"/>
                      <w:b/>
                      <w:snapToGrid w:val="0"/>
                      <w:color w:val="000000"/>
                      <w:sz w:val="21"/>
                      <w:szCs w:val="21"/>
                    </w:rPr>
                    <w:t>要素</w:t>
                  </w:r>
                  <w:r>
                    <w:rPr>
                      <w:rFonts w:ascii="Times New Roman" w:hAnsi="Times New Roman"/>
                      <w:b/>
                      <w:snapToGrid w:val="0"/>
                      <w:color w:val="000000"/>
                      <w:sz w:val="21"/>
                      <w:szCs w:val="21"/>
                    </w:rPr>
                    <w:t>类别</w:t>
                  </w:r>
                </w:p>
              </w:tc>
              <w:tc>
                <w:tcPr>
                  <w:tcW w:w="5387" w:type="dxa"/>
                  <w:gridSpan w:val="2"/>
                  <w:vAlign w:val="center"/>
                </w:tcPr>
                <w:p>
                  <w:pPr>
                    <w:pStyle w:val="29"/>
                    <w:spacing w:before="0" w:beforeAutospacing="0" w:after="0" w:afterAutospacing="0"/>
                    <w:jc w:val="center"/>
                    <w:outlineLvl w:val="0"/>
                    <w:rPr>
                      <w:rFonts w:ascii="Times New Roman" w:hAnsi="Times New Roman"/>
                      <w:b/>
                      <w:snapToGrid w:val="0"/>
                      <w:color w:val="000000"/>
                      <w:sz w:val="21"/>
                      <w:szCs w:val="21"/>
                    </w:rPr>
                  </w:pPr>
                  <w:r>
                    <w:rPr>
                      <w:rFonts w:ascii="Times New Roman" w:hAnsi="Times New Roman"/>
                      <w:b/>
                      <w:snapToGrid w:val="0"/>
                      <w:color w:val="000000"/>
                      <w:sz w:val="21"/>
                      <w:szCs w:val="21"/>
                    </w:rPr>
                    <w:t>管控要求</w:t>
                  </w:r>
                </w:p>
              </w:tc>
              <w:tc>
                <w:tcPr>
                  <w:tcW w:w="2911" w:type="dxa"/>
                  <w:vAlign w:val="center"/>
                </w:tcPr>
                <w:p>
                  <w:pPr>
                    <w:pStyle w:val="29"/>
                    <w:spacing w:before="0" w:beforeAutospacing="0" w:after="0" w:afterAutospacing="0"/>
                    <w:jc w:val="center"/>
                    <w:outlineLvl w:val="0"/>
                    <w:rPr>
                      <w:rFonts w:ascii="Times New Roman" w:hAnsi="Times New Roman"/>
                      <w:b/>
                      <w:snapToGrid w:val="0"/>
                      <w:color w:val="000000"/>
                      <w:sz w:val="21"/>
                      <w:szCs w:val="21"/>
                    </w:rPr>
                  </w:pPr>
                  <w:r>
                    <w:rPr>
                      <w:rFonts w:ascii="Times New Roman" w:hAnsi="Times New Roman"/>
                      <w:b/>
                      <w:snapToGrid w:val="0"/>
                      <w:color w:val="000000"/>
                      <w:sz w:val="21"/>
                      <w:szCs w:val="21"/>
                    </w:rPr>
                    <w:t>本项目情况</w:t>
                  </w:r>
                </w:p>
              </w:tc>
              <w:tc>
                <w:tcPr>
                  <w:tcW w:w="686" w:type="dxa"/>
                  <w:vAlign w:val="center"/>
                </w:tcPr>
                <w:p>
                  <w:pPr>
                    <w:pStyle w:val="29"/>
                    <w:spacing w:before="0" w:beforeAutospacing="0" w:after="0" w:afterAutospacing="0"/>
                    <w:jc w:val="center"/>
                    <w:outlineLvl w:val="0"/>
                    <w:rPr>
                      <w:rFonts w:ascii="Times New Roman" w:hAnsi="Times New Roman"/>
                      <w:b/>
                      <w:snapToGrid w:val="0"/>
                      <w:color w:val="000000"/>
                      <w:sz w:val="21"/>
                      <w:szCs w:val="21"/>
                    </w:rPr>
                  </w:pPr>
                  <w:r>
                    <w:rPr>
                      <w:rFonts w:hint="eastAsia" w:ascii="Times New Roman" w:hAnsi="Times New Roman"/>
                      <w:b/>
                      <w:snapToGrid w:val="0"/>
                      <w:color w:val="000000"/>
                      <w:sz w:val="21"/>
                      <w:szCs w:val="21"/>
                    </w:rPr>
                    <w:t>是否</w:t>
                  </w:r>
                  <w:r>
                    <w:rPr>
                      <w:rFonts w:ascii="Times New Roman" w:hAnsi="Times New Roman"/>
                      <w:b/>
                      <w:snapToGrid w:val="0"/>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87" w:hRule="atLeast"/>
              </w:trPr>
              <w:tc>
                <w:tcPr>
                  <w:tcW w:w="3577" w:type="dxa"/>
                  <w:gridSpan w:val="4"/>
                  <w:vMerge w:val="restart"/>
                  <w:vAlign w:val="center"/>
                </w:tcPr>
                <w:p>
                  <w:pPr>
                    <w:pStyle w:val="140"/>
                    <w:rPr>
                      <w:snapToGrid w:val="0"/>
                      <w:kern w:val="2"/>
                    </w:rPr>
                  </w:pPr>
                  <w:r>
                    <w:rPr>
                      <w:rFonts w:hint="eastAsia"/>
                      <w:color w:val="000000"/>
                    </w:rPr>
                    <w:t>新乡市生态环境总体准入要求</w:t>
                  </w:r>
                </w:p>
              </w:tc>
              <w:tc>
                <w:tcPr>
                  <w:tcW w:w="1045" w:type="dxa"/>
                  <w:vMerge w:val="restart"/>
                  <w:vAlign w:val="center"/>
                </w:tcPr>
                <w:p>
                  <w:pPr>
                    <w:widowControl/>
                    <w:jc w:val="center"/>
                    <w:outlineLvl w:val="0"/>
                  </w:pPr>
                  <w:r>
                    <w:rPr>
                      <w:rFonts w:hint="eastAsia"/>
                    </w:rPr>
                    <w:t>空间布局约束</w:t>
                  </w:r>
                </w:p>
              </w:tc>
              <w:tc>
                <w:tcPr>
                  <w:tcW w:w="4342" w:type="dxa"/>
                  <w:vAlign w:val="center"/>
                </w:tcPr>
                <w:p>
                  <w:pPr>
                    <w:widowControl/>
                    <w:outlineLvl w:val="0"/>
                  </w:pPr>
                  <w:r>
                    <w:rPr>
                      <w:rFonts w:hint="eastAsia"/>
                      <w:color w:val="000000"/>
                      <w:szCs w:val="21"/>
                    </w:rPr>
                    <w:t>1</w:t>
                  </w:r>
                  <w:r>
                    <w:rPr>
                      <w:color w:val="000000"/>
                      <w:szCs w:val="21"/>
                    </w:rPr>
                    <w:t>-4</w:t>
                  </w:r>
                  <w:r>
                    <w:rPr>
                      <w:rFonts w:hint="eastAsia"/>
                      <w:color w:val="000000"/>
                      <w:szCs w:val="21"/>
                    </w:rPr>
                    <w:t>：自然保护区、风景名胜区、饮用水源保护区、南水北调保护区的相关管控要求。</w:t>
                  </w:r>
                </w:p>
              </w:tc>
              <w:tc>
                <w:tcPr>
                  <w:tcW w:w="2911" w:type="dxa"/>
                  <w:vAlign w:val="center"/>
                </w:tcPr>
                <w:p>
                  <w:pPr>
                    <w:widowControl/>
                    <w:jc w:val="center"/>
                    <w:outlineLvl w:val="0"/>
                    <w:rPr>
                      <w:snapToGrid w:val="0"/>
                      <w:szCs w:val="21"/>
                    </w:rPr>
                  </w:pPr>
                  <w:r>
                    <w:rPr>
                      <w:rFonts w:hint="eastAsia"/>
                      <w:snapToGrid w:val="0"/>
                      <w:szCs w:val="21"/>
                    </w:rPr>
                    <w:t>项目评价</w:t>
                  </w:r>
                  <w:r>
                    <w:rPr>
                      <w:rFonts w:hint="eastAsia"/>
                      <w:color w:val="000000"/>
                      <w:szCs w:val="21"/>
                    </w:rPr>
                    <w:t>范围内不涉及自然保护区、风景名胜区、饮用水源保护区和南水北调保护区等优先保护单元。</w:t>
                  </w:r>
                </w:p>
              </w:tc>
              <w:tc>
                <w:tcPr>
                  <w:tcW w:w="686" w:type="dxa"/>
                  <w:vAlign w:val="center"/>
                </w:tcPr>
                <w:p>
                  <w:pPr>
                    <w:widowControl/>
                    <w:jc w:val="center"/>
                    <w:outlineLvl w:val="0"/>
                    <w:rPr>
                      <w:snapToGrid w:val="0"/>
                      <w:szCs w:val="21"/>
                    </w:rPr>
                  </w:pPr>
                  <w:r>
                    <w:rPr>
                      <w:rFonts w:hint="eastAsia"/>
                      <w:snapToGrid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86" w:hRule="atLeast"/>
              </w:trPr>
              <w:tc>
                <w:tcPr>
                  <w:tcW w:w="3577" w:type="dxa"/>
                  <w:gridSpan w:val="4"/>
                  <w:vMerge w:val="continue"/>
                  <w:vAlign w:val="center"/>
                </w:tcPr>
                <w:p>
                  <w:pPr>
                    <w:pStyle w:val="140"/>
                    <w:rPr>
                      <w:color w:val="000000"/>
                    </w:rPr>
                  </w:pPr>
                </w:p>
              </w:tc>
              <w:tc>
                <w:tcPr>
                  <w:tcW w:w="1045" w:type="dxa"/>
                  <w:vMerge w:val="continue"/>
                  <w:vAlign w:val="center"/>
                </w:tcPr>
                <w:p>
                  <w:pPr>
                    <w:widowControl/>
                    <w:jc w:val="center"/>
                    <w:outlineLvl w:val="0"/>
                  </w:pPr>
                </w:p>
              </w:tc>
              <w:tc>
                <w:tcPr>
                  <w:tcW w:w="4342" w:type="dxa"/>
                  <w:vAlign w:val="center"/>
                </w:tcPr>
                <w:p>
                  <w:pPr>
                    <w:widowControl/>
                    <w:outlineLvl w:val="0"/>
                  </w:pPr>
                  <w:r>
                    <w:rPr>
                      <w:rFonts w:hint="eastAsia"/>
                      <w:color w:val="000000"/>
                      <w:szCs w:val="21"/>
                    </w:rPr>
                    <w:t>5、河湖湿地、森林公园内的珍贵景物和风景名胜区核心景区、自然保护区的核心区和缓冲区、土地利用总体规划所确定的永久基本农田保护区、地质遗迹一级保护区、饮用水水源一级保护区、水工程保护范围、地质灾害危险区、矿产资源密集地区的禁止开采区、工程建设不适宜区、大于25%的陡坡地、行洪通道、防洪工程设施保护范围、高压输电线路走廊、天然气输送管线及其防护区、成品油输送管线及其防护区、区域性调水工程管线及其防护区和生态保护红线属于规划的禁止建设区。</w:t>
                  </w:r>
                </w:p>
              </w:tc>
              <w:tc>
                <w:tcPr>
                  <w:tcW w:w="2911" w:type="dxa"/>
                  <w:vAlign w:val="center"/>
                </w:tcPr>
                <w:p>
                  <w:pPr>
                    <w:widowControl/>
                    <w:jc w:val="center"/>
                    <w:outlineLvl w:val="0"/>
                    <w:rPr>
                      <w:snapToGrid w:val="0"/>
                      <w:szCs w:val="21"/>
                    </w:rPr>
                  </w:pPr>
                  <w:r>
                    <w:rPr>
                      <w:rFonts w:hint="eastAsia"/>
                      <w:snapToGrid w:val="0"/>
                      <w:szCs w:val="21"/>
                    </w:rPr>
                    <w:t>项目选址位于新乡市新乡县新乡经济开发区黄河大道中段，根据《新乡县翟坡镇土地利用总体规划图》（2010-2020），项目所占用地为建设用地。</w:t>
                  </w:r>
                </w:p>
              </w:tc>
              <w:tc>
                <w:tcPr>
                  <w:tcW w:w="686" w:type="dxa"/>
                  <w:vAlign w:val="center"/>
                </w:tcPr>
                <w:p>
                  <w:pPr>
                    <w:widowControl/>
                    <w:jc w:val="center"/>
                    <w:outlineLvl w:val="0"/>
                    <w:rPr>
                      <w:snapToGrid w:val="0"/>
                      <w:szCs w:val="21"/>
                    </w:rPr>
                  </w:pPr>
                  <w:r>
                    <w:rPr>
                      <w:rFonts w:hint="eastAsia"/>
                      <w:snapToGrid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86" w:hRule="atLeast"/>
              </w:trPr>
              <w:tc>
                <w:tcPr>
                  <w:tcW w:w="3577" w:type="dxa"/>
                  <w:gridSpan w:val="4"/>
                  <w:vMerge w:val="continue"/>
                  <w:vAlign w:val="center"/>
                </w:tcPr>
                <w:p>
                  <w:pPr>
                    <w:pStyle w:val="140"/>
                    <w:rPr>
                      <w:color w:val="000000"/>
                    </w:rPr>
                  </w:pPr>
                </w:p>
              </w:tc>
              <w:tc>
                <w:tcPr>
                  <w:tcW w:w="1045" w:type="dxa"/>
                  <w:vMerge w:val="continue"/>
                  <w:vAlign w:val="center"/>
                </w:tcPr>
                <w:p>
                  <w:pPr>
                    <w:widowControl/>
                    <w:jc w:val="center"/>
                    <w:outlineLvl w:val="0"/>
                  </w:pPr>
                </w:p>
              </w:tc>
              <w:tc>
                <w:tcPr>
                  <w:tcW w:w="4342" w:type="dxa"/>
                  <w:vAlign w:val="center"/>
                </w:tcPr>
                <w:p>
                  <w:pPr>
                    <w:widowControl/>
                    <w:outlineLvl w:val="0"/>
                  </w:pPr>
                  <w:r>
                    <w:rPr>
                      <w:rFonts w:hint="eastAsia"/>
                      <w:color w:val="000000"/>
                      <w:szCs w:val="21"/>
                    </w:rPr>
                    <w:t>6、禁止在水产种质资源保护区内从事围湖造田、围海造地或围填海工程。禁止在水产种质资源保护区内新建排污口。在水产种质资源保护区附近新建、改建、扩建排污口，应当保证保护区水体不受污染。</w:t>
                  </w:r>
                </w:p>
              </w:tc>
              <w:tc>
                <w:tcPr>
                  <w:tcW w:w="2911" w:type="dxa"/>
                  <w:vAlign w:val="center"/>
                </w:tcPr>
                <w:p>
                  <w:pPr>
                    <w:pStyle w:val="29"/>
                    <w:spacing w:before="0" w:beforeAutospacing="0" w:after="0" w:afterAutospacing="0"/>
                    <w:jc w:val="center"/>
                    <w:outlineLvl w:val="0"/>
                    <w:rPr>
                      <w:snapToGrid w:val="0"/>
                      <w:kern w:val="2"/>
                      <w:sz w:val="21"/>
                      <w:szCs w:val="21"/>
                    </w:rPr>
                  </w:pPr>
                  <w:r>
                    <w:rPr>
                      <w:rFonts w:hint="eastAsia"/>
                      <w:snapToGrid w:val="0"/>
                      <w:kern w:val="2"/>
                      <w:sz w:val="21"/>
                      <w:szCs w:val="21"/>
                    </w:rPr>
                    <w:t>不涉及。</w:t>
                  </w:r>
                </w:p>
              </w:tc>
              <w:tc>
                <w:tcPr>
                  <w:tcW w:w="686" w:type="dxa"/>
                  <w:vAlign w:val="center"/>
                </w:tcPr>
                <w:p>
                  <w:pPr>
                    <w:widowControl/>
                    <w:jc w:val="center"/>
                    <w:outlineLvl w:val="0"/>
                    <w:rPr>
                      <w:snapToGrid w:val="0"/>
                      <w:szCs w:val="21"/>
                    </w:rPr>
                  </w:pPr>
                  <w:r>
                    <w:rPr>
                      <w:rFonts w:hint="eastAsia"/>
                      <w:snapToGrid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86" w:hRule="atLeast"/>
              </w:trPr>
              <w:tc>
                <w:tcPr>
                  <w:tcW w:w="3577" w:type="dxa"/>
                  <w:gridSpan w:val="4"/>
                  <w:vMerge w:val="continue"/>
                  <w:vAlign w:val="center"/>
                </w:tcPr>
                <w:p>
                  <w:pPr>
                    <w:pStyle w:val="140"/>
                    <w:rPr>
                      <w:color w:val="000000"/>
                    </w:rPr>
                  </w:pPr>
                </w:p>
              </w:tc>
              <w:tc>
                <w:tcPr>
                  <w:tcW w:w="1045" w:type="dxa"/>
                  <w:vMerge w:val="continue"/>
                  <w:vAlign w:val="center"/>
                </w:tcPr>
                <w:p>
                  <w:pPr>
                    <w:widowControl/>
                    <w:jc w:val="center"/>
                    <w:outlineLvl w:val="0"/>
                  </w:pPr>
                </w:p>
              </w:tc>
              <w:tc>
                <w:tcPr>
                  <w:tcW w:w="4342" w:type="dxa"/>
                  <w:vAlign w:val="center"/>
                </w:tcPr>
                <w:p>
                  <w:pPr>
                    <w:widowControl/>
                    <w:outlineLvl w:val="0"/>
                  </w:pPr>
                  <w:r>
                    <w:rPr>
                      <w:rFonts w:hint="eastAsia"/>
                      <w:color w:val="000000"/>
                      <w:szCs w:val="21"/>
                    </w:rPr>
                    <w:t>7、共产主义渠城区段按三年一遇标准开挖疏浚河道，按百年一遇标准设置堤防。对不符合城市防洪标准要求的建设项目应拆除或限期改造。</w:t>
                  </w:r>
                </w:p>
              </w:tc>
              <w:tc>
                <w:tcPr>
                  <w:tcW w:w="2911" w:type="dxa"/>
                  <w:vAlign w:val="center"/>
                </w:tcPr>
                <w:p>
                  <w:pPr>
                    <w:pStyle w:val="29"/>
                    <w:spacing w:before="0" w:beforeAutospacing="0" w:after="0" w:afterAutospacing="0"/>
                    <w:jc w:val="center"/>
                    <w:outlineLvl w:val="0"/>
                    <w:rPr>
                      <w:snapToGrid w:val="0"/>
                      <w:kern w:val="2"/>
                      <w:sz w:val="21"/>
                      <w:szCs w:val="21"/>
                    </w:rPr>
                  </w:pPr>
                  <w:r>
                    <w:rPr>
                      <w:rFonts w:hint="eastAsia"/>
                      <w:snapToGrid w:val="0"/>
                      <w:kern w:val="2"/>
                      <w:sz w:val="21"/>
                      <w:szCs w:val="21"/>
                    </w:rPr>
                    <w:t>不涉及。</w:t>
                  </w:r>
                </w:p>
              </w:tc>
              <w:tc>
                <w:tcPr>
                  <w:tcW w:w="686" w:type="dxa"/>
                  <w:vAlign w:val="center"/>
                </w:tcPr>
                <w:p>
                  <w:pPr>
                    <w:widowControl/>
                    <w:jc w:val="center"/>
                    <w:outlineLvl w:val="0"/>
                    <w:rPr>
                      <w:snapToGrid w:val="0"/>
                      <w:szCs w:val="21"/>
                    </w:rPr>
                  </w:pPr>
                  <w:r>
                    <w:rPr>
                      <w:rFonts w:hint="eastAsia"/>
                      <w:snapToGrid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86" w:hRule="atLeast"/>
              </w:trPr>
              <w:tc>
                <w:tcPr>
                  <w:tcW w:w="3577" w:type="dxa"/>
                  <w:gridSpan w:val="4"/>
                  <w:vMerge w:val="continue"/>
                  <w:vAlign w:val="center"/>
                </w:tcPr>
                <w:p>
                  <w:pPr>
                    <w:pStyle w:val="140"/>
                    <w:rPr>
                      <w:color w:val="000000"/>
                    </w:rPr>
                  </w:pPr>
                </w:p>
              </w:tc>
              <w:tc>
                <w:tcPr>
                  <w:tcW w:w="1045" w:type="dxa"/>
                  <w:vMerge w:val="continue"/>
                  <w:vAlign w:val="center"/>
                </w:tcPr>
                <w:p>
                  <w:pPr>
                    <w:widowControl/>
                    <w:jc w:val="center"/>
                    <w:outlineLvl w:val="0"/>
                  </w:pPr>
                </w:p>
              </w:tc>
              <w:tc>
                <w:tcPr>
                  <w:tcW w:w="4342" w:type="dxa"/>
                  <w:vAlign w:val="center"/>
                </w:tcPr>
                <w:p>
                  <w:pPr>
                    <w:widowControl/>
                    <w:outlineLvl w:val="0"/>
                  </w:pPr>
                  <w:r>
                    <w:rPr>
                      <w:rFonts w:hint="eastAsia"/>
                      <w:color w:val="000000"/>
                      <w:szCs w:val="21"/>
                    </w:rPr>
                    <w:t>8、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禁止建设生产和使用高挥发性有机物含量的溶剂型涂料、油墨、胶粘剂等项目。新、改、扩建排放VOCs的项目，应从源头加强控制，使用低（无）VOCs含量的原辅材料，配套安装高效收集、治理设施，其中新建涉VOCs排放的工业企业要入园区，实行区域内VOCs排放总量倍量消减替代。禁止生产、销售不符合标准的机动车船、非道路移动机械用燃料；禁止向汽车和摩托车销售普通柴油以及其他非机动车用燃料；禁止向非道路移动机械销售渣油、重油和不符合规定的燃用油。</w:t>
                  </w:r>
                </w:p>
              </w:tc>
              <w:tc>
                <w:tcPr>
                  <w:tcW w:w="2911" w:type="dxa"/>
                  <w:vAlign w:val="center"/>
                </w:tcPr>
                <w:p>
                  <w:pPr>
                    <w:widowControl/>
                    <w:jc w:val="center"/>
                    <w:outlineLvl w:val="0"/>
                    <w:rPr>
                      <w:snapToGrid w:val="0"/>
                      <w:szCs w:val="21"/>
                    </w:rPr>
                  </w:pPr>
                  <w:r>
                    <w:rPr>
                      <w:rFonts w:hint="eastAsia"/>
                      <w:snapToGrid w:val="0"/>
                      <w:szCs w:val="21"/>
                    </w:rPr>
                    <w:t>本项目不涉及VOCs物料使用和VOCs废气排放。</w:t>
                  </w:r>
                </w:p>
              </w:tc>
              <w:tc>
                <w:tcPr>
                  <w:tcW w:w="686" w:type="dxa"/>
                  <w:vAlign w:val="center"/>
                </w:tcPr>
                <w:p>
                  <w:pPr>
                    <w:widowControl/>
                    <w:jc w:val="center"/>
                    <w:outlineLvl w:val="0"/>
                    <w:rPr>
                      <w:snapToGrid w:val="0"/>
                      <w:szCs w:val="21"/>
                    </w:rPr>
                  </w:pPr>
                  <w:r>
                    <w:rPr>
                      <w:rFonts w:hint="eastAsia"/>
                      <w:snapToGrid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86" w:hRule="atLeast"/>
              </w:trPr>
              <w:tc>
                <w:tcPr>
                  <w:tcW w:w="3577" w:type="dxa"/>
                  <w:gridSpan w:val="4"/>
                  <w:vMerge w:val="continue"/>
                  <w:vAlign w:val="center"/>
                </w:tcPr>
                <w:p>
                  <w:pPr>
                    <w:pStyle w:val="140"/>
                    <w:rPr>
                      <w:color w:val="000000"/>
                    </w:rPr>
                  </w:pPr>
                </w:p>
              </w:tc>
              <w:tc>
                <w:tcPr>
                  <w:tcW w:w="1045" w:type="dxa"/>
                  <w:vMerge w:val="continue"/>
                  <w:vAlign w:val="center"/>
                </w:tcPr>
                <w:p>
                  <w:pPr>
                    <w:widowControl/>
                    <w:jc w:val="center"/>
                    <w:outlineLvl w:val="0"/>
                  </w:pPr>
                </w:p>
              </w:tc>
              <w:tc>
                <w:tcPr>
                  <w:tcW w:w="4342" w:type="dxa"/>
                  <w:vAlign w:val="center"/>
                </w:tcPr>
                <w:p>
                  <w:pPr>
                    <w:widowControl/>
                    <w:outlineLvl w:val="0"/>
                  </w:pPr>
                  <w:r>
                    <w:rPr>
                      <w:rFonts w:hint="eastAsia"/>
                      <w:color w:val="000000"/>
                      <w:szCs w:val="21"/>
                    </w:rPr>
                    <w:t>9、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严格控制新增燃煤项目建设，燃煤发电项目严格按照政府工作部署落实。</w:t>
                  </w:r>
                </w:p>
              </w:tc>
              <w:tc>
                <w:tcPr>
                  <w:tcW w:w="2911" w:type="dxa"/>
                  <w:vAlign w:val="center"/>
                </w:tcPr>
                <w:p>
                  <w:pPr>
                    <w:pStyle w:val="29"/>
                    <w:spacing w:before="0" w:beforeAutospacing="0" w:after="0" w:afterAutospacing="0"/>
                    <w:jc w:val="center"/>
                    <w:outlineLvl w:val="0"/>
                    <w:rPr>
                      <w:snapToGrid w:val="0"/>
                      <w:kern w:val="2"/>
                      <w:sz w:val="21"/>
                      <w:szCs w:val="21"/>
                    </w:rPr>
                  </w:pPr>
                  <w:r>
                    <w:rPr>
                      <w:rFonts w:hint="eastAsia"/>
                      <w:snapToGrid w:val="0"/>
                      <w:kern w:val="2"/>
                      <w:sz w:val="21"/>
                      <w:szCs w:val="21"/>
                    </w:rPr>
                    <w:t>本项目为纸制品制造项目，属于造纸和纸制品业，不属于“两高”项目。</w:t>
                  </w:r>
                </w:p>
              </w:tc>
              <w:tc>
                <w:tcPr>
                  <w:tcW w:w="686" w:type="dxa"/>
                  <w:vAlign w:val="center"/>
                </w:tcPr>
                <w:p>
                  <w:pPr>
                    <w:widowControl/>
                    <w:jc w:val="center"/>
                    <w:outlineLvl w:val="0"/>
                    <w:rPr>
                      <w:snapToGrid w:val="0"/>
                      <w:szCs w:val="21"/>
                    </w:rPr>
                  </w:pPr>
                  <w:r>
                    <w:rPr>
                      <w:rFonts w:hint="eastAsia"/>
                      <w:snapToGrid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86" w:hRule="atLeast"/>
              </w:trPr>
              <w:tc>
                <w:tcPr>
                  <w:tcW w:w="3577" w:type="dxa"/>
                  <w:gridSpan w:val="4"/>
                  <w:vMerge w:val="continue"/>
                  <w:vAlign w:val="center"/>
                </w:tcPr>
                <w:p>
                  <w:pPr>
                    <w:pStyle w:val="140"/>
                    <w:rPr>
                      <w:color w:val="000000"/>
                    </w:rPr>
                  </w:pPr>
                </w:p>
              </w:tc>
              <w:tc>
                <w:tcPr>
                  <w:tcW w:w="1045" w:type="dxa"/>
                  <w:vMerge w:val="continue"/>
                  <w:vAlign w:val="center"/>
                </w:tcPr>
                <w:p>
                  <w:pPr>
                    <w:widowControl/>
                    <w:jc w:val="center"/>
                    <w:outlineLvl w:val="0"/>
                  </w:pPr>
                </w:p>
              </w:tc>
              <w:tc>
                <w:tcPr>
                  <w:tcW w:w="4342" w:type="dxa"/>
                  <w:vAlign w:val="center"/>
                </w:tcPr>
                <w:p>
                  <w:pPr>
                    <w:widowControl/>
                    <w:outlineLvl w:val="0"/>
                  </w:pPr>
                  <w:r>
                    <w:rPr>
                      <w:rFonts w:hint="eastAsia"/>
                      <w:color w:val="000000"/>
                      <w:szCs w:val="21"/>
                    </w:rPr>
                    <w:t>10、按照各产业集聚区建设发展规划，培育和建设关联企业高度集中的产业基地，积极推行区域、规划环境影响评价，对搬迁升级改造石化、化工、建材、有色等项目的环境影响评价，应满足区域、规划环评要求。对水泥行业不再实施省内产能置换，对本地过剩产能重点行业搬迁、改建项目，实行污染物排放倍量削减替代。</w:t>
                  </w:r>
                </w:p>
              </w:tc>
              <w:tc>
                <w:tcPr>
                  <w:tcW w:w="2911" w:type="dxa"/>
                  <w:vAlign w:val="center"/>
                </w:tcPr>
                <w:p>
                  <w:pPr>
                    <w:pStyle w:val="29"/>
                    <w:spacing w:before="0" w:beforeAutospacing="0" w:after="0" w:afterAutospacing="0"/>
                    <w:jc w:val="center"/>
                    <w:outlineLvl w:val="0"/>
                    <w:rPr>
                      <w:snapToGrid w:val="0"/>
                      <w:kern w:val="2"/>
                      <w:sz w:val="21"/>
                      <w:szCs w:val="21"/>
                    </w:rPr>
                  </w:pPr>
                  <w:r>
                    <w:rPr>
                      <w:rFonts w:hint="eastAsia"/>
                      <w:snapToGrid w:val="0"/>
                      <w:kern w:val="2"/>
                      <w:sz w:val="21"/>
                      <w:szCs w:val="21"/>
                    </w:rPr>
                    <w:t>本项目为纸制品制造项目，属于造纸和纸制品业，不属于本地产能过剩行业。</w:t>
                  </w:r>
                </w:p>
              </w:tc>
              <w:tc>
                <w:tcPr>
                  <w:tcW w:w="686" w:type="dxa"/>
                  <w:vAlign w:val="center"/>
                </w:tcPr>
                <w:p>
                  <w:pPr>
                    <w:pStyle w:val="140"/>
                    <w:rPr>
                      <w:snapToGrid w:val="0"/>
                      <w:kern w:val="2"/>
                    </w:rPr>
                  </w:pPr>
                  <w:r>
                    <w:rPr>
                      <w:rFonts w:hint="eastAsia"/>
                      <w:snapToGrid w:val="0"/>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13" w:hRule="atLeast"/>
              </w:trPr>
              <w:tc>
                <w:tcPr>
                  <w:tcW w:w="3577" w:type="dxa"/>
                  <w:gridSpan w:val="4"/>
                  <w:vMerge w:val="continue"/>
                  <w:vAlign w:val="center"/>
                </w:tcPr>
                <w:p>
                  <w:pPr>
                    <w:pStyle w:val="140"/>
                    <w:rPr>
                      <w:snapToGrid w:val="0"/>
                      <w:kern w:val="2"/>
                    </w:rPr>
                  </w:pPr>
                </w:p>
              </w:tc>
              <w:tc>
                <w:tcPr>
                  <w:tcW w:w="1045" w:type="dxa"/>
                  <w:vMerge w:val="restart"/>
                  <w:vAlign w:val="center"/>
                </w:tcPr>
                <w:p>
                  <w:pPr>
                    <w:widowControl/>
                    <w:jc w:val="center"/>
                    <w:outlineLvl w:val="0"/>
                  </w:pPr>
                  <w:r>
                    <w:rPr>
                      <w:rFonts w:hint="eastAsia"/>
                    </w:rPr>
                    <w:t>污染物排放管控</w:t>
                  </w:r>
                </w:p>
              </w:tc>
              <w:tc>
                <w:tcPr>
                  <w:tcW w:w="4342" w:type="dxa"/>
                  <w:vAlign w:val="center"/>
                </w:tcPr>
                <w:p>
                  <w:pPr>
                    <w:widowControl/>
                    <w:outlineLvl w:val="0"/>
                  </w:pPr>
                  <w:r>
                    <w:rPr>
                      <w:rFonts w:hint="eastAsia"/>
                      <w:color w:val="000000"/>
                      <w:szCs w:val="21"/>
                    </w:rPr>
                    <w:t>1、新、改、扩建项目主要污染物排放要求满足当地总量减排要求。</w:t>
                  </w:r>
                </w:p>
              </w:tc>
              <w:tc>
                <w:tcPr>
                  <w:tcW w:w="2911" w:type="dxa"/>
                  <w:vAlign w:val="center"/>
                </w:tcPr>
                <w:p>
                  <w:pPr>
                    <w:widowControl/>
                    <w:jc w:val="center"/>
                    <w:outlineLvl w:val="0"/>
                    <w:rPr>
                      <w:color w:val="000000"/>
                      <w:szCs w:val="21"/>
                    </w:rPr>
                  </w:pPr>
                  <w:r>
                    <w:rPr>
                      <w:rFonts w:hint="eastAsia"/>
                      <w:snapToGrid w:val="0"/>
                      <w:szCs w:val="21"/>
                    </w:rPr>
                    <w:t>项目新增总量污染物仅为颗粒物，颗粒物将根据要求从新乡县区域总量内进行双倍替代，区域内颗粒物做到进一步削减。</w:t>
                  </w:r>
                </w:p>
              </w:tc>
              <w:tc>
                <w:tcPr>
                  <w:tcW w:w="686" w:type="dxa"/>
                  <w:vAlign w:val="center"/>
                </w:tcPr>
                <w:p>
                  <w:pPr>
                    <w:widowControl/>
                    <w:jc w:val="center"/>
                    <w:outlineLvl w:val="0"/>
                    <w:rPr>
                      <w:snapToGrid w:val="0"/>
                      <w:szCs w:val="21"/>
                    </w:rPr>
                  </w:pPr>
                  <w:r>
                    <w:rPr>
                      <w:rFonts w:hint="eastAsia"/>
                      <w:snapToGrid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13" w:hRule="atLeast"/>
              </w:trPr>
              <w:tc>
                <w:tcPr>
                  <w:tcW w:w="3577" w:type="dxa"/>
                  <w:gridSpan w:val="4"/>
                  <w:vMerge w:val="continue"/>
                  <w:vAlign w:val="center"/>
                </w:tcPr>
                <w:p>
                  <w:pPr>
                    <w:pStyle w:val="140"/>
                    <w:rPr>
                      <w:snapToGrid w:val="0"/>
                      <w:kern w:val="2"/>
                    </w:rPr>
                  </w:pPr>
                </w:p>
              </w:tc>
              <w:tc>
                <w:tcPr>
                  <w:tcW w:w="1045" w:type="dxa"/>
                  <w:vMerge w:val="continue"/>
                  <w:vAlign w:val="center"/>
                </w:tcPr>
                <w:p>
                  <w:pPr>
                    <w:widowControl/>
                    <w:jc w:val="center"/>
                    <w:outlineLvl w:val="0"/>
                  </w:pPr>
                </w:p>
              </w:tc>
              <w:tc>
                <w:tcPr>
                  <w:tcW w:w="4342" w:type="dxa"/>
                  <w:vAlign w:val="center"/>
                </w:tcPr>
                <w:p>
                  <w:pPr>
                    <w:widowControl/>
                    <w:outlineLvl w:val="0"/>
                  </w:pPr>
                  <w:r>
                    <w:rPr>
                      <w:color w:val="000000"/>
                      <w:szCs w:val="21"/>
                    </w:rPr>
                    <w:t>2、卫河、共产主义渠、文岩渠保持Ⅴ类指标，黄庄河、西柳青河达到Ⅳ类指标，天然渠、人民胜利渠达到Ⅲ类指标；城市集中式饮用水水源地取水水质达标率达到100%；地下水质量考核点位水质级别保持稳定；确保完成国家水质考核目标。全市建成区全面消除黑臭水体，县（市）建成区基本完成黑臭水体整治任务。重点治理市域内卫河、共产主义渠、东孟姜女河等海河流域河流，以及西柳青河、天然渠、文岩渠等黄河流域河流，全面开展清河行动、实施河道清淤、规范入河排污口管理，统筹推进水污染综合整治及水生态保护修复，提升河流自净能力，建立生态调水长效机制，保障河流水质稳定达标。禁止以任何方式直接向水功能区要求为Ⅱ类的水体和地表水型集中式生活饮用水水源保护区内的水体排放污水；污水排入黄河干流、黄河一级支流和涉及Ⅲ类水功能区要求的其它水体时，执行一级标准；污水排入除上述水体以外的其它河流、湖泊、水库、运河、渠道、湿地、坑塘、蓄滞洪区等地表水体时，执行二级标准。</w:t>
                  </w:r>
                </w:p>
              </w:tc>
              <w:tc>
                <w:tcPr>
                  <w:tcW w:w="2911" w:type="dxa"/>
                  <w:vAlign w:val="center"/>
                </w:tcPr>
                <w:p>
                  <w:pPr>
                    <w:pStyle w:val="29"/>
                    <w:spacing w:before="0" w:beforeAutospacing="0" w:after="0" w:afterAutospacing="0"/>
                    <w:jc w:val="center"/>
                    <w:outlineLvl w:val="0"/>
                    <w:rPr>
                      <w:snapToGrid w:val="0"/>
                      <w:kern w:val="2"/>
                      <w:sz w:val="21"/>
                      <w:szCs w:val="21"/>
                    </w:rPr>
                  </w:pPr>
                  <w:r>
                    <w:rPr>
                      <w:rFonts w:hint="eastAsia"/>
                      <w:snapToGrid w:val="0"/>
                      <w:kern w:val="2"/>
                      <w:sz w:val="21"/>
                      <w:szCs w:val="21"/>
                    </w:rPr>
                    <w:t>项目无生产废水排放。</w:t>
                  </w:r>
                </w:p>
              </w:tc>
              <w:tc>
                <w:tcPr>
                  <w:tcW w:w="686" w:type="dxa"/>
                  <w:vAlign w:val="center"/>
                </w:tcPr>
                <w:p>
                  <w:pPr>
                    <w:widowControl/>
                    <w:jc w:val="center"/>
                    <w:outlineLvl w:val="0"/>
                    <w:rPr>
                      <w:snapToGrid w:val="0"/>
                      <w:szCs w:val="21"/>
                    </w:rPr>
                  </w:pPr>
                  <w:r>
                    <w:rPr>
                      <w:rFonts w:hint="eastAsia"/>
                      <w:snapToGrid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13" w:hRule="atLeast"/>
              </w:trPr>
              <w:tc>
                <w:tcPr>
                  <w:tcW w:w="3577" w:type="dxa"/>
                  <w:gridSpan w:val="4"/>
                  <w:vMerge w:val="continue"/>
                  <w:vAlign w:val="center"/>
                </w:tcPr>
                <w:p>
                  <w:pPr>
                    <w:pStyle w:val="140"/>
                    <w:rPr>
                      <w:snapToGrid w:val="0"/>
                      <w:kern w:val="2"/>
                    </w:rPr>
                  </w:pPr>
                </w:p>
              </w:tc>
              <w:tc>
                <w:tcPr>
                  <w:tcW w:w="1045" w:type="dxa"/>
                  <w:vMerge w:val="continue"/>
                  <w:vAlign w:val="center"/>
                </w:tcPr>
                <w:p>
                  <w:pPr>
                    <w:widowControl/>
                    <w:jc w:val="center"/>
                    <w:outlineLvl w:val="0"/>
                  </w:pPr>
                </w:p>
              </w:tc>
              <w:tc>
                <w:tcPr>
                  <w:tcW w:w="4342" w:type="dxa"/>
                  <w:vAlign w:val="center"/>
                </w:tcPr>
                <w:p>
                  <w:pPr>
                    <w:widowControl/>
                    <w:outlineLvl w:val="0"/>
                  </w:pPr>
                  <w:r>
                    <w:rPr>
                      <w:rFonts w:hint="eastAsia"/>
                      <w:color w:val="000000"/>
                      <w:szCs w:val="21"/>
                    </w:rPr>
                    <w:t>3、全面推进城镇（产业集聚区）污水处理厂</w:t>
                  </w:r>
                  <w:r>
                    <w:rPr>
                      <w:color w:val="000000"/>
                      <w:szCs w:val="21"/>
                    </w:rPr>
                    <w:t>Ⅴ</w:t>
                  </w:r>
                  <w:r>
                    <w:rPr>
                      <w:rFonts w:hint="eastAsia"/>
                      <w:color w:val="000000"/>
                      <w:szCs w:val="21"/>
                    </w:rPr>
                    <w:t>类水提标改造工程建设，市、县（市、区）污水处理率、城市污泥无害化处置率达到政府目标任务。</w:t>
                  </w:r>
                </w:p>
              </w:tc>
              <w:tc>
                <w:tcPr>
                  <w:tcW w:w="2911" w:type="dxa"/>
                  <w:vAlign w:val="center"/>
                </w:tcPr>
                <w:p>
                  <w:pPr>
                    <w:pStyle w:val="29"/>
                    <w:spacing w:before="0" w:beforeAutospacing="0" w:after="0" w:afterAutospacing="0"/>
                    <w:jc w:val="center"/>
                    <w:outlineLvl w:val="0"/>
                    <w:rPr>
                      <w:snapToGrid w:val="0"/>
                      <w:kern w:val="2"/>
                      <w:sz w:val="21"/>
                      <w:szCs w:val="21"/>
                    </w:rPr>
                  </w:pPr>
                  <w:r>
                    <w:rPr>
                      <w:rFonts w:hint="eastAsia"/>
                      <w:snapToGrid w:val="0"/>
                      <w:kern w:val="2"/>
                      <w:sz w:val="21"/>
                      <w:szCs w:val="21"/>
                    </w:rPr>
                    <w:t>不涉及。</w:t>
                  </w:r>
                </w:p>
              </w:tc>
              <w:tc>
                <w:tcPr>
                  <w:tcW w:w="686" w:type="dxa"/>
                  <w:vAlign w:val="center"/>
                </w:tcPr>
                <w:p>
                  <w:pPr>
                    <w:widowControl/>
                    <w:jc w:val="center"/>
                    <w:outlineLvl w:val="0"/>
                    <w:rPr>
                      <w:snapToGrid w:val="0"/>
                      <w:szCs w:val="21"/>
                    </w:rPr>
                  </w:pPr>
                  <w:r>
                    <w:rPr>
                      <w:rFonts w:hint="eastAsia"/>
                      <w:snapToGrid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13" w:hRule="atLeast"/>
              </w:trPr>
              <w:tc>
                <w:tcPr>
                  <w:tcW w:w="3577" w:type="dxa"/>
                  <w:gridSpan w:val="4"/>
                  <w:vMerge w:val="continue"/>
                  <w:vAlign w:val="center"/>
                </w:tcPr>
                <w:p>
                  <w:pPr>
                    <w:pStyle w:val="140"/>
                    <w:rPr>
                      <w:snapToGrid w:val="0"/>
                      <w:kern w:val="2"/>
                    </w:rPr>
                  </w:pPr>
                </w:p>
              </w:tc>
              <w:tc>
                <w:tcPr>
                  <w:tcW w:w="1045" w:type="dxa"/>
                  <w:vMerge w:val="continue"/>
                  <w:vAlign w:val="center"/>
                </w:tcPr>
                <w:p>
                  <w:pPr>
                    <w:widowControl/>
                    <w:jc w:val="center"/>
                    <w:outlineLvl w:val="0"/>
                  </w:pPr>
                </w:p>
              </w:tc>
              <w:tc>
                <w:tcPr>
                  <w:tcW w:w="4342" w:type="dxa"/>
                  <w:vAlign w:val="center"/>
                </w:tcPr>
                <w:p>
                  <w:pPr>
                    <w:widowControl/>
                    <w:outlineLvl w:val="0"/>
                  </w:pPr>
                  <w:r>
                    <w:rPr>
                      <w:rFonts w:hint="eastAsia"/>
                      <w:color w:val="000000"/>
                      <w:szCs w:val="21"/>
                    </w:rPr>
                    <w:t>4、新建项目审批实施“增产不増污”或“增产减污”。全省新建、改建、扩建重点行业重金属污染物排放项目，通过“以新带老”治理、淘汰落后产能、区域替代曾“等量置换”或“减量置换”措施，实现所在区域重点重金属污染排放总量零增长或进一步削减。</w:t>
                  </w:r>
                </w:p>
              </w:tc>
              <w:tc>
                <w:tcPr>
                  <w:tcW w:w="2911" w:type="dxa"/>
                  <w:vAlign w:val="center"/>
                </w:tcPr>
                <w:p>
                  <w:pPr>
                    <w:widowControl/>
                    <w:jc w:val="center"/>
                    <w:outlineLvl w:val="0"/>
                    <w:rPr>
                      <w:color w:val="000000"/>
                      <w:szCs w:val="21"/>
                    </w:rPr>
                  </w:pPr>
                  <w:r>
                    <w:rPr>
                      <w:color w:val="000000"/>
                      <w:szCs w:val="21"/>
                    </w:rPr>
                    <w:t>本项目属于</w:t>
                  </w:r>
                  <w:r>
                    <w:rPr>
                      <w:rFonts w:hint="eastAsia"/>
                      <w:color w:val="000000"/>
                      <w:szCs w:val="21"/>
                    </w:rPr>
                    <w:t>纸制品制造项目</w:t>
                  </w:r>
                  <w:r>
                    <w:rPr>
                      <w:color w:val="000000"/>
                      <w:szCs w:val="21"/>
                    </w:rPr>
                    <w:t>，</w:t>
                  </w:r>
                  <w:r>
                    <w:rPr>
                      <w:rFonts w:hint="eastAsia"/>
                      <w:snapToGrid w:val="0"/>
                      <w:color w:val="000000"/>
                      <w:szCs w:val="21"/>
                    </w:rPr>
                    <w:t>生产原辅料</w:t>
                  </w:r>
                  <w:r>
                    <w:rPr>
                      <w:snapToGrid w:val="0"/>
                      <w:color w:val="000000"/>
                      <w:szCs w:val="21"/>
                    </w:rPr>
                    <w:t>中不涉及重金属物质</w:t>
                  </w:r>
                  <w:r>
                    <w:rPr>
                      <w:rFonts w:hint="eastAsia"/>
                      <w:snapToGrid w:val="0"/>
                      <w:color w:val="000000"/>
                      <w:szCs w:val="21"/>
                    </w:rPr>
                    <w:t>，</w:t>
                  </w:r>
                  <w:r>
                    <w:rPr>
                      <w:snapToGrid w:val="0"/>
                      <w:color w:val="000000"/>
                      <w:szCs w:val="21"/>
                    </w:rPr>
                    <w:t>项目生产不涉及重金属排放</w:t>
                  </w:r>
                  <w:r>
                    <w:rPr>
                      <w:rFonts w:hint="eastAsia"/>
                      <w:snapToGrid w:val="0"/>
                      <w:color w:val="000000"/>
                      <w:szCs w:val="21"/>
                    </w:rPr>
                    <w:t>。</w:t>
                  </w:r>
                </w:p>
              </w:tc>
              <w:tc>
                <w:tcPr>
                  <w:tcW w:w="686" w:type="dxa"/>
                  <w:vAlign w:val="center"/>
                </w:tcPr>
                <w:p>
                  <w:pPr>
                    <w:widowControl/>
                    <w:jc w:val="center"/>
                    <w:outlineLvl w:val="0"/>
                    <w:rPr>
                      <w:snapToGrid w:val="0"/>
                      <w:szCs w:val="21"/>
                    </w:rPr>
                  </w:pPr>
                  <w:r>
                    <w:rPr>
                      <w:rFonts w:hint="eastAsia"/>
                      <w:snapToGrid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13" w:hRule="atLeast"/>
              </w:trPr>
              <w:tc>
                <w:tcPr>
                  <w:tcW w:w="3577" w:type="dxa"/>
                  <w:gridSpan w:val="4"/>
                  <w:vMerge w:val="continue"/>
                  <w:vAlign w:val="center"/>
                </w:tcPr>
                <w:p>
                  <w:pPr>
                    <w:pStyle w:val="140"/>
                    <w:rPr>
                      <w:snapToGrid w:val="0"/>
                      <w:kern w:val="2"/>
                    </w:rPr>
                  </w:pPr>
                </w:p>
              </w:tc>
              <w:tc>
                <w:tcPr>
                  <w:tcW w:w="1045" w:type="dxa"/>
                  <w:vMerge w:val="continue"/>
                  <w:vAlign w:val="center"/>
                </w:tcPr>
                <w:p>
                  <w:pPr>
                    <w:widowControl/>
                    <w:jc w:val="center"/>
                    <w:outlineLvl w:val="0"/>
                  </w:pPr>
                </w:p>
              </w:tc>
              <w:tc>
                <w:tcPr>
                  <w:tcW w:w="4342" w:type="dxa"/>
                  <w:vAlign w:val="center"/>
                </w:tcPr>
                <w:p>
                  <w:pPr>
                    <w:widowControl/>
                    <w:outlineLvl w:val="0"/>
                  </w:pPr>
                  <w:r>
                    <w:rPr>
                      <w:rFonts w:hint="eastAsia"/>
                      <w:color w:val="000000"/>
                      <w:szCs w:val="21"/>
                    </w:rPr>
                    <w:t>5、全面推进企业清洁生产，完善省级产业集聚区污水处理设施水平。加强造纸、氮肥、农副食品加工、毛皮制革、印染、有色金属、原料药制造、电镀等水污染物排放行业重点企业强制性清洁生产审核，全面推进其清洁生产改造或清洁化改造。省级产业集聚区建成区域必须实现管网全配套，污水集中处理设施必须做到稳定达标运行，同时安装自动在线监控装置。</w:t>
                  </w:r>
                </w:p>
              </w:tc>
              <w:tc>
                <w:tcPr>
                  <w:tcW w:w="2911" w:type="dxa"/>
                  <w:vAlign w:val="center"/>
                </w:tcPr>
                <w:p>
                  <w:pPr>
                    <w:pStyle w:val="29"/>
                    <w:spacing w:before="0" w:beforeAutospacing="0" w:after="0" w:afterAutospacing="0"/>
                    <w:jc w:val="center"/>
                    <w:outlineLvl w:val="0"/>
                    <w:rPr>
                      <w:rFonts w:ascii="Times New Roman" w:hAnsi="Times New Roman"/>
                      <w:snapToGrid w:val="0"/>
                      <w:kern w:val="2"/>
                      <w:sz w:val="21"/>
                      <w:szCs w:val="21"/>
                    </w:rPr>
                  </w:pPr>
                  <w:r>
                    <w:rPr>
                      <w:rFonts w:ascii="Times New Roman" w:hAnsi="Times New Roman"/>
                      <w:snapToGrid w:val="0"/>
                      <w:kern w:val="2"/>
                      <w:sz w:val="21"/>
                      <w:szCs w:val="21"/>
                    </w:rPr>
                    <w:t>河南兴泰纸业有限公司2021年已经完成清洁生产第二轮的评价。</w:t>
                  </w:r>
                </w:p>
              </w:tc>
              <w:tc>
                <w:tcPr>
                  <w:tcW w:w="686" w:type="dxa"/>
                  <w:vAlign w:val="center"/>
                </w:tcPr>
                <w:p>
                  <w:pPr>
                    <w:widowControl/>
                    <w:jc w:val="center"/>
                    <w:outlineLvl w:val="0"/>
                    <w:rPr>
                      <w:snapToGrid w:val="0"/>
                      <w:szCs w:val="21"/>
                    </w:rPr>
                  </w:pPr>
                  <w:r>
                    <w:rPr>
                      <w:rFonts w:hint="eastAsia"/>
                      <w:snapToGrid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13" w:hRule="atLeast"/>
              </w:trPr>
              <w:tc>
                <w:tcPr>
                  <w:tcW w:w="3577" w:type="dxa"/>
                  <w:gridSpan w:val="4"/>
                  <w:vMerge w:val="continue"/>
                  <w:vAlign w:val="center"/>
                </w:tcPr>
                <w:p>
                  <w:pPr>
                    <w:pStyle w:val="140"/>
                    <w:rPr>
                      <w:snapToGrid w:val="0"/>
                      <w:kern w:val="2"/>
                    </w:rPr>
                  </w:pPr>
                </w:p>
              </w:tc>
              <w:tc>
                <w:tcPr>
                  <w:tcW w:w="1045" w:type="dxa"/>
                  <w:vMerge w:val="continue"/>
                  <w:vAlign w:val="center"/>
                </w:tcPr>
                <w:p>
                  <w:pPr>
                    <w:widowControl/>
                    <w:jc w:val="center"/>
                    <w:outlineLvl w:val="0"/>
                  </w:pPr>
                </w:p>
              </w:tc>
              <w:tc>
                <w:tcPr>
                  <w:tcW w:w="4342" w:type="dxa"/>
                  <w:vAlign w:val="center"/>
                </w:tcPr>
                <w:p>
                  <w:pPr>
                    <w:widowControl/>
                    <w:outlineLvl w:val="0"/>
                  </w:pPr>
                  <w:r>
                    <w:rPr>
                      <w:rFonts w:hint="eastAsia"/>
                      <w:color w:val="000000"/>
                      <w:szCs w:val="21"/>
                    </w:rPr>
                    <w:t>6、新建“两高”项目应按照《关于加强重点行业建设项目区域削减措施监督管理的通知》（环办环评〔2020〕36号）要求，依据区域环境质量改善目标，制定配套区域污染物削减方案，采取有效的污染物区域削减措施，腾出足够的环境容量。国家大气污染防治重点区域内新建耗煤项目还应严格按规定采取煤炭消费减量替代措施，不得使用高污染燃料作为煤炭减量替代措施。</w:t>
                  </w:r>
                </w:p>
              </w:tc>
              <w:tc>
                <w:tcPr>
                  <w:tcW w:w="2911" w:type="dxa"/>
                  <w:vAlign w:val="center"/>
                </w:tcPr>
                <w:p>
                  <w:pPr>
                    <w:pStyle w:val="29"/>
                    <w:spacing w:before="0" w:beforeAutospacing="0" w:after="0" w:afterAutospacing="0"/>
                    <w:jc w:val="center"/>
                    <w:outlineLvl w:val="0"/>
                    <w:rPr>
                      <w:snapToGrid w:val="0"/>
                      <w:kern w:val="2"/>
                      <w:sz w:val="21"/>
                      <w:szCs w:val="21"/>
                    </w:rPr>
                  </w:pPr>
                  <w:r>
                    <w:rPr>
                      <w:rFonts w:ascii="Times New Roman" w:hAnsi="Times New Roman"/>
                      <w:snapToGrid w:val="0"/>
                      <w:color w:val="000000"/>
                      <w:sz w:val="21"/>
                      <w:szCs w:val="21"/>
                    </w:rPr>
                    <w:t>本项目不属于</w:t>
                  </w:r>
                  <w:r>
                    <w:rPr>
                      <w:rFonts w:hint="eastAsia" w:ascii="Times New Roman" w:hAnsi="Times New Roman"/>
                      <w:snapToGrid w:val="0"/>
                      <w:color w:val="000000"/>
                      <w:sz w:val="21"/>
                      <w:szCs w:val="21"/>
                    </w:rPr>
                    <w:t>“两高”项目。</w:t>
                  </w:r>
                </w:p>
              </w:tc>
              <w:tc>
                <w:tcPr>
                  <w:tcW w:w="686" w:type="dxa"/>
                  <w:vAlign w:val="center"/>
                </w:tcPr>
                <w:p>
                  <w:pPr>
                    <w:widowControl/>
                    <w:jc w:val="center"/>
                    <w:outlineLvl w:val="0"/>
                    <w:rPr>
                      <w:snapToGrid w:val="0"/>
                      <w:szCs w:val="21"/>
                    </w:rPr>
                  </w:pPr>
                  <w:r>
                    <w:rPr>
                      <w:rFonts w:hint="eastAsia"/>
                      <w:snapToGrid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13" w:hRule="atLeast"/>
              </w:trPr>
              <w:tc>
                <w:tcPr>
                  <w:tcW w:w="3577" w:type="dxa"/>
                  <w:gridSpan w:val="4"/>
                  <w:vMerge w:val="continue"/>
                  <w:vAlign w:val="center"/>
                </w:tcPr>
                <w:p>
                  <w:pPr>
                    <w:pStyle w:val="140"/>
                    <w:rPr>
                      <w:snapToGrid w:val="0"/>
                      <w:kern w:val="2"/>
                    </w:rPr>
                  </w:pPr>
                </w:p>
              </w:tc>
              <w:tc>
                <w:tcPr>
                  <w:tcW w:w="1045" w:type="dxa"/>
                  <w:vMerge w:val="continue"/>
                  <w:vAlign w:val="center"/>
                </w:tcPr>
                <w:p>
                  <w:pPr>
                    <w:widowControl/>
                    <w:jc w:val="center"/>
                    <w:outlineLvl w:val="0"/>
                  </w:pPr>
                </w:p>
              </w:tc>
              <w:tc>
                <w:tcPr>
                  <w:tcW w:w="4342" w:type="dxa"/>
                  <w:vAlign w:val="center"/>
                </w:tcPr>
                <w:p>
                  <w:pPr>
                    <w:widowControl/>
                    <w:outlineLvl w:val="0"/>
                  </w:pPr>
                  <w:r>
                    <w:rPr>
                      <w:rFonts w:hint="eastAsia"/>
                      <w:color w:val="000000"/>
                      <w:szCs w:val="21"/>
                    </w:rPr>
                    <w:t>7、原阳县、封丘县和长垣市等沿黄重点地区涉及“三高”项目应按照《关于“十四五”推进沿黄重点地区工业项目入园及严控高污染、高耗水、高耗能项目的通知》（豫发改工业〔2021〕812号）要求，梳理规范相关工业园区，清理拟建工业和高污染、高耗水、高耗能项目，稳妥推进园区外工业项目入园。</w:t>
                  </w:r>
                </w:p>
              </w:tc>
              <w:tc>
                <w:tcPr>
                  <w:tcW w:w="2911" w:type="dxa"/>
                  <w:vAlign w:val="center"/>
                </w:tcPr>
                <w:p>
                  <w:pPr>
                    <w:pStyle w:val="29"/>
                    <w:spacing w:before="0" w:beforeAutospacing="0" w:after="0" w:afterAutospacing="0"/>
                    <w:jc w:val="center"/>
                    <w:outlineLvl w:val="0"/>
                    <w:rPr>
                      <w:snapToGrid w:val="0"/>
                      <w:kern w:val="2"/>
                      <w:sz w:val="21"/>
                      <w:szCs w:val="21"/>
                    </w:rPr>
                  </w:pPr>
                  <w:r>
                    <w:rPr>
                      <w:rFonts w:hint="eastAsia"/>
                      <w:snapToGrid w:val="0"/>
                      <w:kern w:val="2"/>
                      <w:sz w:val="21"/>
                      <w:szCs w:val="21"/>
                    </w:rPr>
                    <w:t>不涉及。</w:t>
                  </w:r>
                </w:p>
              </w:tc>
              <w:tc>
                <w:tcPr>
                  <w:tcW w:w="686" w:type="dxa"/>
                  <w:vAlign w:val="center"/>
                </w:tcPr>
                <w:p>
                  <w:pPr>
                    <w:widowControl/>
                    <w:jc w:val="center"/>
                    <w:outlineLvl w:val="0"/>
                    <w:rPr>
                      <w:snapToGrid w:val="0"/>
                      <w:szCs w:val="21"/>
                    </w:rPr>
                  </w:pPr>
                  <w:r>
                    <w:rPr>
                      <w:rFonts w:hint="eastAsia"/>
                      <w:snapToGrid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13" w:hRule="atLeast"/>
              </w:trPr>
              <w:tc>
                <w:tcPr>
                  <w:tcW w:w="3577" w:type="dxa"/>
                  <w:gridSpan w:val="4"/>
                  <w:vMerge w:val="continue"/>
                  <w:vAlign w:val="center"/>
                </w:tcPr>
                <w:p>
                  <w:pPr>
                    <w:pStyle w:val="140"/>
                    <w:rPr>
                      <w:snapToGrid w:val="0"/>
                      <w:kern w:val="2"/>
                    </w:rPr>
                  </w:pPr>
                </w:p>
              </w:tc>
              <w:tc>
                <w:tcPr>
                  <w:tcW w:w="1045" w:type="dxa"/>
                  <w:vMerge w:val="continue"/>
                  <w:vAlign w:val="center"/>
                </w:tcPr>
                <w:p>
                  <w:pPr>
                    <w:widowControl/>
                    <w:jc w:val="center"/>
                    <w:outlineLvl w:val="0"/>
                  </w:pPr>
                </w:p>
              </w:tc>
              <w:tc>
                <w:tcPr>
                  <w:tcW w:w="4342" w:type="dxa"/>
                  <w:vAlign w:val="center"/>
                </w:tcPr>
                <w:p>
                  <w:pPr>
                    <w:widowControl/>
                    <w:outlineLvl w:val="0"/>
                  </w:pPr>
                  <w:r>
                    <w:rPr>
                      <w:rFonts w:hint="eastAsia"/>
                      <w:color w:val="000000"/>
                      <w:szCs w:val="21"/>
                    </w:rPr>
                    <w:t>8、测土配方施肥技术推广覆盖率、绿色防控覆盖率达到政府目标任务，实现化肥农药施用量零增长。</w:t>
                  </w:r>
                </w:p>
              </w:tc>
              <w:tc>
                <w:tcPr>
                  <w:tcW w:w="2911" w:type="dxa"/>
                  <w:vAlign w:val="center"/>
                </w:tcPr>
                <w:p>
                  <w:pPr>
                    <w:pStyle w:val="29"/>
                    <w:spacing w:before="0" w:beforeAutospacing="0" w:after="0" w:afterAutospacing="0"/>
                    <w:jc w:val="center"/>
                    <w:outlineLvl w:val="0"/>
                    <w:rPr>
                      <w:snapToGrid w:val="0"/>
                      <w:kern w:val="2"/>
                      <w:sz w:val="21"/>
                      <w:szCs w:val="21"/>
                    </w:rPr>
                  </w:pPr>
                  <w:r>
                    <w:rPr>
                      <w:rFonts w:hint="eastAsia"/>
                      <w:snapToGrid w:val="0"/>
                      <w:kern w:val="2"/>
                      <w:sz w:val="21"/>
                      <w:szCs w:val="21"/>
                    </w:rPr>
                    <w:t>不涉及。</w:t>
                  </w:r>
                </w:p>
              </w:tc>
              <w:tc>
                <w:tcPr>
                  <w:tcW w:w="686" w:type="dxa"/>
                  <w:vAlign w:val="center"/>
                </w:tcPr>
                <w:p>
                  <w:pPr>
                    <w:widowControl/>
                    <w:jc w:val="center"/>
                    <w:outlineLvl w:val="0"/>
                    <w:rPr>
                      <w:snapToGrid w:val="0"/>
                      <w:szCs w:val="21"/>
                    </w:rPr>
                  </w:pPr>
                  <w:r>
                    <w:rPr>
                      <w:rFonts w:hint="eastAsia"/>
                      <w:snapToGrid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02" w:hRule="atLeast"/>
              </w:trPr>
              <w:tc>
                <w:tcPr>
                  <w:tcW w:w="3577" w:type="dxa"/>
                  <w:gridSpan w:val="4"/>
                  <w:vMerge w:val="continue"/>
                  <w:vAlign w:val="center"/>
                </w:tcPr>
                <w:p>
                  <w:pPr>
                    <w:pStyle w:val="140"/>
                    <w:rPr>
                      <w:snapToGrid w:val="0"/>
                      <w:kern w:val="2"/>
                    </w:rPr>
                  </w:pPr>
                </w:p>
              </w:tc>
              <w:tc>
                <w:tcPr>
                  <w:tcW w:w="1045" w:type="dxa"/>
                  <w:vMerge w:val="restart"/>
                  <w:vAlign w:val="center"/>
                </w:tcPr>
                <w:p>
                  <w:pPr>
                    <w:widowControl/>
                    <w:jc w:val="center"/>
                    <w:outlineLvl w:val="0"/>
                  </w:pPr>
                  <w:r>
                    <w:rPr>
                      <w:rFonts w:hint="eastAsia"/>
                    </w:rPr>
                    <w:t>环境风险防控</w:t>
                  </w:r>
                </w:p>
              </w:tc>
              <w:tc>
                <w:tcPr>
                  <w:tcW w:w="4342" w:type="dxa"/>
                  <w:vAlign w:val="center"/>
                </w:tcPr>
                <w:p>
                  <w:pPr>
                    <w:widowControl/>
                    <w:outlineLvl w:val="0"/>
                  </w:pPr>
                  <w:r>
                    <w:rPr>
                      <w:rFonts w:hint="eastAsia"/>
                      <w:color w:val="000000"/>
                      <w:szCs w:val="21"/>
                    </w:rPr>
                    <w:t>1、地下水漏斗区、重金属污染区、生态严重退化区等区域：探索开展耕地轮作休耕试点；实行休耕补贴，引导农民自愿将重度污染耕地退出农业生产。</w:t>
                  </w:r>
                </w:p>
              </w:tc>
              <w:tc>
                <w:tcPr>
                  <w:tcW w:w="2911" w:type="dxa"/>
                  <w:vAlign w:val="center"/>
                </w:tcPr>
                <w:p>
                  <w:pPr>
                    <w:pStyle w:val="29"/>
                    <w:spacing w:before="0" w:beforeAutospacing="0" w:after="0" w:afterAutospacing="0"/>
                    <w:jc w:val="center"/>
                    <w:outlineLvl w:val="0"/>
                    <w:rPr>
                      <w:snapToGrid w:val="0"/>
                      <w:kern w:val="2"/>
                      <w:sz w:val="21"/>
                      <w:szCs w:val="21"/>
                    </w:rPr>
                  </w:pPr>
                  <w:r>
                    <w:rPr>
                      <w:rFonts w:hint="eastAsia"/>
                      <w:snapToGrid w:val="0"/>
                      <w:kern w:val="2"/>
                      <w:sz w:val="21"/>
                      <w:szCs w:val="21"/>
                    </w:rPr>
                    <w:t>不涉及。</w:t>
                  </w:r>
                </w:p>
              </w:tc>
              <w:tc>
                <w:tcPr>
                  <w:tcW w:w="686" w:type="dxa"/>
                  <w:vAlign w:val="center"/>
                </w:tcPr>
                <w:p>
                  <w:pPr>
                    <w:widowControl/>
                    <w:jc w:val="center"/>
                    <w:outlineLvl w:val="0"/>
                    <w:rPr>
                      <w:snapToGrid w:val="0"/>
                      <w:szCs w:val="21"/>
                    </w:rPr>
                  </w:pPr>
                  <w:r>
                    <w:rPr>
                      <w:rFonts w:hint="eastAsia"/>
                      <w:snapToGrid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01" w:hRule="atLeast"/>
              </w:trPr>
              <w:tc>
                <w:tcPr>
                  <w:tcW w:w="3577" w:type="dxa"/>
                  <w:gridSpan w:val="4"/>
                  <w:vMerge w:val="continue"/>
                  <w:vAlign w:val="center"/>
                </w:tcPr>
                <w:p>
                  <w:pPr>
                    <w:pStyle w:val="140"/>
                    <w:rPr>
                      <w:snapToGrid w:val="0"/>
                      <w:kern w:val="2"/>
                    </w:rPr>
                  </w:pPr>
                </w:p>
              </w:tc>
              <w:tc>
                <w:tcPr>
                  <w:tcW w:w="1045" w:type="dxa"/>
                  <w:vMerge w:val="continue"/>
                  <w:vAlign w:val="center"/>
                </w:tcPr>
                <w:p>
                  <w:pPr>
                    <w:widowControl/>
                    <w:jc w:val="center"/>
                    <w:outlineLvl w:val="0"/>
                  </w:pPr>
                </w:p>
              </w:tc>
              <w:tc>
                <w:tcPr>
                  <w:tcW w:w="4342" w:type="dxa"/>
                  <w:vAlign w:val="center"/>
                </w:tcPr>
                <w:p>
                  <w:pPr>
                    <w:widowControl/>
                    <w:outlineLvl w:val="0"/>
                  </w:pPr>
                  <w:r>
                    <w:rPr>
                      <w:rFonts w:hint="eastAsia"/>
                      <w:color w:val="000000"/>
                      <w:szCs w:val="21"/>
                    </w:rPr>
                    <w:t>2、具备饮用水水源保护区及影响范围内风险源名录和风险防控方案、饮用水水源地突发环境事件应急处置技术方案及应急专家库、应急监测能力。定期或不定期开展饮用水水源地周边环境安全隐患排查及饮用水水源地环境风险评估。饮用水水源地有专项应急预案，做到“一源一案”，按照环境保护主管部门要求备案并定演练和修订预案。饮用水水源地周边高风险区域设有应急物资（装备）储备库及事故应急池等应急防护工程，上游连接水体设有节制闸、拦污坝、导流渠、调水沟渠等防护工程设施。</w:t>
                  </w:r>
                </w:p>
              </w:tc>
              <w:tc>
                <w:tcPr>
                  <w:tcW w:w="2911" w:type="dxa"/>
                  <w:vAlign w:val="center"/>
                </w:tcPr>
                <w:p>
                  <w:pPr>
                    <w:pStyle w:val="29"/>
                    <w:spacing w:before="0" w:beforeAutospacing="0" w:after="0" w:afterAutospacing="0"/>
                    <w:jc w:val="center"/>
                    <w:outlineLvl w:val="0"/>
                    <w:rPr>
                      <w:snapToGrid w:val="0"/>
                      <w:kern w:val="2"/>
                      <w:sz w:val="21"/>
                      <w:szCs w:val="21"/>
                    </w:rPr>
                  </w:pPr>
                  <w:r>
                    <w:rPr>
                      <w:rFonts w:hint="eastAsia"/>
                      <w:snapToGrid w:val="0"/>
                      <w:kern w:val="2"/>
                      <w:sz w:val="21"/>
                      <w:szCs w:val="21"/>
                    </w:rPr>
                    <w:t>不涉及。</w:t>
                  </w:r>
                </w:p>
              </w:tc>
              <w:tc>
                <w:tcPr>
                  <w:tcW w:w="686" w:type="dxa"/>
                  <w:vAlign w:val="center"/>
                </w:tcPr>
                <w:p>
                  <w:pPr>
                    <w:widowControl/>
                    <w:jc w:val="center"/>
                    <w:outlineLvl w:val="0"/>
                    <w:rPr>
                      <w:snapToGrid w:val="0"/>
                      <w:szCs w:val="21"/>
                    </w:rPr>
                  </w:pPr>
                  <w:r>
                    <w:rPr>
                      <w:rFonts w:hint="eastAsia"/>
                      <w:snapToGrid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54" w:hRule="atLeast"/>
              </w:trPr>
              <w:tc>
                <w:tcPr>
                  <w:tcW w:w="3577" w:type="dxa"/>
                  <w:gridSpan w:val="4"/>
                  <w:vMerge w:val="continue"/>
                  <w:vAlign w:val="center"/>
                </w:tcPr>
                <w:p>
                  <w:pPr>
                    <w:pStyle w:val="140"/>
                    <w:rPr>
                      <w:snapToGrid w:val="0"/>
                      <w:kern w:val="2"/>
                    </w:rPr>
                  </w:pPr>
                </w:p>
              </w:tc>
              <w:tc>
                <w:tcPr>
                  <w:tcW w:w="1045" w:type="dxa"/>
                  <w:vMerge w:val="restart"/>
                  <w:vAlign w:val="center"/>
                </w:tcPr>
                <w:p>
                  <w:pPr>
                    <w:widowControl/>
                    <w:jc w:val="center"/>
                    <w:outlineLvl w:val="0"/>
                  </w:pPr>
                  <w:r>
                    <w:rPr>
                      <w:rFonts w:hint="eastAsia"/>
                    </w:rPr>
                    <w:t>资源开发效率要求</w:t>
                  </w:r>
                </w:p>
              </w:tc>
              <w:tc>
                <w:tcPr>
                  <w:tcW w:w="4342" w:type="dxa"/>
                  <w:vAlign w:val="center"/>
                </w:tcPr>
                <w:p>
                  <w:pPr>
                    <w:widowControl/>
                    <w:outlineLvl w:val="0"/>
                  </w:pPr>
                  <w:r>
                    <w:rPr>
                      <w:rFonts w:hint="eastAsia"/>
                      <w:color w:val="000000"/>
                      <w:szCs w:val="21"/>
                    </w:rPr>
                    <w:t>1、“十四五”期间按照政府目标控制能耗增量指标。鼓励使用清洁燃料，重点区域建设项目原则上不新建燃煤自备锅炉。</w:t>
                  </w:r>
                </w:p>
              </w:tc>
              <w:tc>
                <w:tcPr>
                  <w:tcW w:w="2911" w:type="dxa"/>
                  <w:vAlign w:val="center"/>
                </w:tcPr>
                <w:p>
                  <w:pPr>
                    <w:pStyle w:val="29"/>
                    <w:spacing w:before="0" w:beforeAutospacing="0" w:after="0" w:afterAutospacing="0"/>
                    <w:jc w:val="center"/>
                    <w:outlineLvl w:val="0"/>
                    <w:rPr>
                      <w:snapToGrid w:val="0"/>
                      <w:kern w:val="2"/>
                      <w:sz w:val="21"/>
                      <w:szCs w:val="21"/>
                    </w:rPr>
                  </w:pPr>
                  <w:r>
                    <w:rPr>
                      <w:rFonts w:hint="eastAsia"/>
                      <w:snapToGrid w:val="0"/>
                      <w:kern w:val="2"/>
                      <w:sz w:val="21"/>
                      <w:szCs w:val="21"/>
                    </w:rPr>
                    <w:t>不涉及。</w:t>
                  </w:r>
                </w:p>
              </w:tc>
              <w:tc>
                <w:tcPr>
                  <w:tcW w:w="686" w:type="dxa"/>
                  <w:vAlign w:val="center"/>
                </w:tcPr>
                <w:p>
                  <w:pPr>
                    <w:widowControl/>
                    <w:jc w:val="center"/>
                    <w:outlineLvl w:val="0"/>
                    <w:rPr>
                      <w:snapToGrid w:val="0"/>
                      <w:szCs w:val="21"/>
                    </w:rPr>
                  </w:pPr>
                  <w:r>
                    <w:rPr>
                      <w:rFonts w:hint="eastAsia"/>
                      <w:snapToGrid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50" w:hRule="atLeast"/>
              </w:trPr>
              <w:tc>
                <w:tcPr>
                  <w:tcW w:w="3577" w:type="dxa"/>
                  <w:gridSpan w:val="4"/>
                  <w:vMerge w:val="continue"/>
                  <w:vAlign w:val="center"/>
                </w:tcPr>
                <w:p>
                  <w:pPr>
                    <w:pStyle w:val="140"/>
                    <w:rPr>
                      <w:snapToGrid w:val="0"/>
                      <w:kern w:val="2"/>
                    </w:rPr>
                  </w:pPr>
                </w:p>
              </w:tc>
              <w:tc>
                <w:tcPr>
                  <w:tcW w:w="1045" w:type="dxa"/>
                  <w:vMerge w:val="continue"/>
                  <w:vAlign w:val="center"/>
                </w:tcPr>
                <w:p>
                  <w:pPr>
                    <w:widowControl/>
                    <w:jc w:val="center"/>
                    <w:outlineLvl w:val="0"/>
                  </w:pPr>
                </w:p>
              </w:tc>
              <w:tc>
                <w:tcPr>
                  <w:tcW w:w="4342" w:type="dxa"/>
                  <w:vAlign w:val="center"/>
                </w:tcPr>
                <w:p>
                  <w:pPr>
                    <w:widowControl/>
                    <w:outlineLvl w:val="0"/>
                  </w:pPr>
                  <w:r>
                    <w:rPr>
                      <w:rFonts w:hint="eastAsia"/>
                      <w:color w:val="000000"/>
                      <w:szCs w:val="21"/>
                    </w:rPr>
                    <w:t>2、重点推进南水北调受水区地下水压采工作，加快公共供水管网建设，促进供水管网覆盖范围以外的自备井封闭工作。</w:t>
                  </w:r>
                </w:p>
              </w:tc>
              <w:tc>
                <w:tcPr>
                  <w:tcW w:w="2911" w:type="dxa"/>
                  <w:vAlign w:val="center"/>
                </w:tcPr>
                <w:p>
                  <w:pPr>
                    <w:pStyle w:val="29"/>
                    <w:spacing w:before="0" w:beforeAutospacing="0" w:after="0" w:afterAutospacing="0"/>
                    <w:jc w:val="center"/>
                    <w:outlineLvl w:val="0"/>
                    <w:rPr>
                      <w:snapToGrid w:val="0"/>
                      <w:kern w:val="2"/>
                      <w:sz w:val="21"/>
                      <w:szCs w:val="21"/>
                    </w:rPr>
                  </w:pPr>
                  <w:r>
                    <w:rPr>
                      <w:rFonts w:hint="eastAsia"/>
                      <w:snapToGrid w:val="0"/>
                      <w:kern w:val="2"/>
                      <w:sz w:val="21"/>
                      <w:szCs w:val="21"/>
                    </w:rPr>
                    <w:t>不涉及。</w:t>
                  </w:r>
                </w:p>
              </w:tc>
              <w:tc>
                <w:tcPr>
                  <w:tcW w:w="686" w:type="dxa"/>
                  <w:vAlign w:val="center"/>
                </w:tcPr>
                <w:p>
                  <w:pPr>
                    <w:widowControl/>
                    <w:jc w:val="center"/>
                    <w:outlineLvl w:val="0"/>
                    <w:rPr>
                      <w:snapToGrid w:val="0"/>
                      <w:szCs w:val="21"/>
                    </w:rPr>
                  </w:pPr>
                  <w:r>
                    <w:rPr>
                      <w:rFonts w:hint="eastAsia"/>
                      <w:snapToGrid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50" w:hRule="atLeast"/>
              </w:trPr>
              <w:tc>
                <w:tcPr>
                  <w:tcW w:w="3577" w:type="dxa"/>
                  <w:gridSpan w:val="4"/>
                  <w:vMerge w:val="continue"/>
                  <w:vAlign w:val="center"/>
                </w:tcPr>
                <w:p>
                  <w:pPr>
                    <w:pStyle w:val="140"/>
                    <w:rPr>
                      <w:snapToGrid w:val="0"/>
                      <w:kern w:val="2"/>
                    </w:rPr>
                  </w:pPr>
                </w:p>
              </w:tc>
              <w:tc>
                <w:tcPr>
                  <w:tcW w:w="1045" w:type="dxa"/>
                  <w:vMerge w:val="continue"/>
                  <w:vAlign w:val="center"/>
                </w:tcPr>
                <w:p>
                  <w:pPr>
                    <w:widowControl/>
                    <w:jc w:val="center"/>
                    <w:outlineLvl w:val="0"/>
                  </w:pPr>
                </w:p>
              </w:tc>
              <w:tc>
                <w:tcPr>
                  <w:tcW w:w="4342" w:type="dxa"/>
                  <w:vAlign w:val="center"/>
                </w:tcPr>
                <w:p>
                  <w:pPr>
                    <w:widowControl/>
                    <w:outlineLvl w:val="0"/>
                  </w:pPr>
                  <w:r>
                    <w:rPr>
                      <w:rFonts w:hint="eastAsia"/>
                      <w:color w:val="000000"/>
                      <w:szCs w:val="21"/>
                    </w:rPr>
                    <w:t>3、开展高耗水工业行业节水技术改造，大力推广工业水循环利用，推进节水型企业、节水型工业园区建设。</w:t>
                  </w:r>
                </w:p>
              </w:tc>
              <w:tc>
                <w:tcPr>
                  <w:tcW w:w="2911" w:type="dxa"/>
                  <w:vAlign w:val="center"/>
                </w:tcPr>
                <w:p>
                  <w:pPr>
                    <w:pStyle w:val="29"/>
                    <w:spacing w:before="0" w:beforeAutospacing="0" w:after="0" w:afterAutospacing="0"/>
                    <w:jc w:val="center"/>
                    <w:outlineLvl w:val="0"/>
                    <w:rPr>
                      <w:snapToGrid w:val="0"/>
                      <w:kern w:val="2"/>
                      <w:sz w:val="21"/>
                      <w:szCs w:val="21"/>
                    </w:rPr>
                  </w:pPr>
                  <w:r>
                    <w:rPr>
                      <w:rFonts w:hint="eastAsia"/>
                      <w:snapToGrid w:val="0"/>
                      <w:kern w:val="2"/>
                      <w:sz w:val="21"/>
                      <w:szCs w:val="21"/>
                    </w:rPr>
                    <w:t>不涉及。</w:t>
                  </w:r>
                </w:p>
              </w:tc>
              <w:tc>
                <w:tcPr>
                  <w:tcW w:w="686" w:type="dxa"/>
                  <w:vAlign w:val="center"/>
                </w:tcPr>
                <w:p>
                  <w:pPr>
                    <w:widowControl/>
                    <w:jc w:val="center"/>
                    <w:outlineLvl w:val="0"/>
                    <w:rPr>
                      <w:snapToGrid w:val="0"/>
                      <w:szCs w:val="21"/>
                    </w:rPr>
                  </w:pPr>
                  <w:r>
                    <w:rPr>
                      <w:rFonts w:hint="eastAsia"/>
                      <w:snapToGrid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50" w:hRule="atLeast"/>
              </w:trPr>
              <w:tc>
                <w:tcPr>
                  <w:tcW w:w="3577" w:type="dxa"/>
                  <w:gridSpan w:val="4"/>
                  <w:vMerge w:val="continue"/>
                  <w:vAlign w:val="center"/>
                </w:tcPr>
                <w:p>
                  <w:pPr>
                    <w:pStyle w:val="140"/>
                    <w:rPr>
                      <w:snapToGrid w:val="0"/>
                      <w:kern w:val="2"/>
                    </w:rPr>
                  </w:pPr>
                </w:p>
              </w:tc>
              <w:tc>
                <w:tcPr>
                  <w:tcW w:w="1045" w:type="dxa"/>
                  <w:vMerge w:val="continue"/>
                  <w:vAlign w:val="center"/>
                </w:tcPr>
                <w:p>
                  <w:pPr>
                    <w:widowControl/>
                    <w:jc w:val="center"/>
                    <w:outlineLvl w:val="0"/>
                  </w:pPr>
                </w:p>
              </w:tc>
              <w:tc>
                <w:tcPr>
                  <w:tcW w:w="4342" w:type="dxa"/>
                  <w:vAlign w:val="center"/>
                </w:tcPr>
                <w:p>
                  <w:pPr>
                    <w:widowControl/>
                    <w:outlineLvl w:val="0"/>
                  </w:pPr>
                  <w:r>
                    <w:rPr>
                      <w:rFonts w:hint="eastAsia"/>
                      <w:color w:val="000000"/>
                      <w:szCs w:val="21"/>
                    </w:rPr>
                    <w:t>4、按照合理有序使用地表水、控制使用地下水、积极利用非常规水源的要求，做好区域水资源统筹调配，逐步降低区域内的水资源开发利用强度，退减被挤占的生态用水，2030年全市浅层地下水开采控制在57390万立方米。</w:t>
                  </w:r>
                </w:p>
              </w:tc>
              <w:tc>
                <w:tcPr>
                  <w:tcW w:w="2911" w:type="dxa"/>
                  <w:vAlign w:val="center"/>
                </w:tcPr>
                <w:p>
                  <w:pPr>
                    <w:pStyle w:val="29"/>
                    <w:spacing w:before="0" w:beforeAutospacing="0" w:after="0" w:afterAutospacing="0"/>
                    <w:jc w:val="center"/>
                    <w:outlineLvl w:val="0"/>
                    <w:rPr>
                      <w:rFonts w:ascii="Times New Roman" w:hAnsi="Times New Roman"/>
                      <w:snapToGrid w:val="0"/>
                      <w:kern w:val="2"/>
                      <w:sz w:val="21"/>
                      <w:szCs w:val="21"/>
                    </w:rPr>
                  </w:pPr>
                  <w:r>
                    <w:rPr>
                      <w:rFonts w:ascii="Times New Roman" w:hAnsi="Times New Roman"/>
                      <w:snapToGrid w:val="0"/>
                      <w:kern w:val="2"/>
                      <w:sz w:val="21"/>
                      <w:szCs w:val="21"/>
                    </w:rPr>
                    <w:t>本项目地表水与地表水结合使用，取水许可证编号为取水（豫0705）字[2020]第412号</w:t>
                  </w:r>
                  <w:r>
                    <w:rPr>
                      <w:rFonts w:hint="eastAsia" w:ascii="Times New Roman" w:hAnsi="Times New Roman"/>
                      <w:snapToGrid w:val="0"/>
                      <w:kern w:val="2"/>
                      <w:sz w:val="21"/>
                      <w:szCs w:val="21"/>
                    </w:rPr>
                    <w:t>。</w:t>
                  </w:r>
                </w:p>
              </w:tc>
              <w:tc>
                <w:tcPr>
                  <w:tcW w:w="686" w:type="dxa"/>
                  <w:vAlign w:val="center"/>
                </w:tcPr>
                <w:p>
                  <w:pPr>
                    <w:widowControl/>
                    <w:jc w:val="center"/>
                    <w:outlineLvl w:val="0"/>
                    <w:rPr>
                      <w:snapToGrid w:val="0"/>
                      <w:szCs w:val="21"/>
                    </w:rPr>
                  </w:pPr>
                  <w:r>
                    <w:rPr>
                      <w:rFonts w:hint="eastAsia"/>
                      <w:snapToGrid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50" w:hRule="atLeast"/>
              </w:trPr>
              <w:tc>
                <w:tcPr>
                  <w:tcW w:w="3577" w:type="dxa"/>
                  <w:gridSpan w:val="4"/>
                  <w:vMerge w:val="continue"/>
                  <w:vAlign w:val="center"/>
                </w:tcPr>
                <w:p>
                  <w:pPr>
                    <w:pStyle w:val="140"/>
                    <w:rPr>
                      <w:snapToGrid w:val="0"/>
                      <w:kern w:val="2"/>
                    </w:rPr>
                  </w:pPr>
                </w:p>
              </w:tc>
              <w:tc>
                <w:tcPr>
                  <w:tcW w:w="1045" w:type="dxa"/>
                  <w:vMerge w:val="continue"/>
                  <w:vAlign w:val="center"/>
                </w:tcPr>
                <w:p>
                  <w:pPr>
                    <w:widowControl/>
                    <w:jc w:val="center"/>
                    <w:outlineLvl w:val="0"/>
                  </w:pPr>
                </w:p>
              </w:tc>
              <w:tc>
                <w:tcPr>
                  <w:tcW w:w="4342" w:type="dxa"/>
                  <w:vAlign w:val="center"/>
                </w:tcPr>
                <w:p>
                  <w:pPr>
                    <w:widowControl/>
                    <w:outlineLvl w:val="0"/>
                  </w:pPr>
                  <w:r>
                    <w:rPr>
                      <w:rFonts w:hint="eastAsia"/>
                      <w:color w:val="000000"/>
                      <w:szCs w:val="21"/>
                    </w:rPr>
                    <w:t>5、到2025年，全国地级及以上缺水城市再生水利用率达到25%以上。</w:t>
                  </w:r>
                </w:p>
              </w:tc>
              <w:tc>
                <w:tcPr>
                  <w:tcW w:w="2911" w:type="dxa"/>
                  <w:vAlign w:val="center"/>
                </w:tcPr>
                <w:p>
                  <w:pPr>
                    <w:pStyle w:val="29"/>
                    <w:spacing w:before="0" w:beforeAutospacing="0" w:after="0" w:afterAutospacing="0"/>
                    <w:jc w:val="center"/>
                    <w:outlineLvl w:val="0"/>
                    <w:rPr>
                      <w:snapToGrid w:val="0"/>
                      <w:kern w:val="2"/>
                      <w:sz w:val="21"/>
                      <w:szCs w:val="21"/>
                    </w:rPr>
                  </w:pPr>
                  <w:r>
                    <w:rPr>
                      <w:rFonts w:hint="eastAsia"/>
                      <w:snapToGrid w:val="0"/>
                      <w:kern w:val="2"/>
                      <w:sz w:val="21"/>
                      <w:szCs w:val="21"/>
                    </w:rPr>
                    <w:t>河南兴泰有限公司现有工程再生水利用率为</w:t>
                  </w:r>
                  <w:r>
                    <w:rPr>
                      <w:rFonts w:ascii="Times New Roman" w:hAnsi="Times New Roman"/>
                      <w:snapToGrid w:val="0"/>
                      <w:kern w:val="2"/>
                      <w:sz w:val="21"/>
                      <w:szCs w:val="21"/>
                    </w:rPr>
                    <w:t>85%</w:t>
                  </w:r>
                  <w:r>
                    <w:rPr>
                      <w:rFonts w:hint="eastAsia"/>
                      <w:snapToGrid w:val="0"/>
                      <w:kern w:val="2"/>
                      <w:sz w:val="21"/>
                      <w:szCs w:val="21"/>
                    </w:rPr>
                    <w:t>。</w:t>
                  </w:r>
                </w:p>
              </w:tc>
              <w:tc>
                <w:tcPr>
                  <w:tcW w:w="686" w:type="dxa"/>
                  <w:vAlign w:val="center"/>
                </w:tcPr>
                <w:p>
                  <w:pPr>
                    <w:widowControl/>
                    <w:jc w:val="center"/>
                    <w:outlineLvl w:val="0"/>
                    <w:rPr>
                      <w:snapToGrid w:val="0"/>
                      <w:szCs w:val="21"/>
                    </w:rPr>
                  </w:pPr>
                  <w:r>
                    <w:rPr>
                      <w:rFonts w:hint="eastAsia"/>
                      <w:snapToGrid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50" w:hRule="atLeast"/>
              </w:trPr>
              <w:tc>
                <w:tcPr>
                  <w:tcW w:w="3577" w:type="dxa"/>
                  <w:gridSpan w:val="4"/>
                  <w:vMerge w:val="continue"/>
                  <w:vAlign w:val="center"/>
                </w:tcPr>
                <w:p>
                  <w:pPr>
                    <w:pStyle w:val="140"/>
                    <w:rPr>
                      <w:snapToGrid w:val="0"/>
                      <w:kern w:val="2"/>
                    </w:rPr>
                  </w:pPr>
                </w:p>
              </w:tc>
              <w:tc>
                <w:tcPr>
                  <w:tcW w:w="1045" w:type="dxa"/>
                  <w:vMerge w:val="continue"/>
                  <w:vAlign w:val="center"/>
                </w:tcPr>
                <w:p>
                  <w:pPr>
                    <w:widowControl/>
                    <w:jc w:val="center"/>
                    <w:outlineLvl w:val="0"/>
                  </w:pPr>
                </w:p>
              </w:tc>
              <w:tc>
                <w:tcPr>
                  <w:tcW w:w="4342" w:type="dxa"/>
                  <w:vAlign w:val="center"/>
                </w:tcPr>
                <w:p>
                  <w:pPr>
                    <w:widowControl/>
                    <w:outlineLvl w:val="0"/>
                  </w:pPr>
                  <w:r>
                    <w:rPr>
                      <w:rFonts w:hint="eastAsia"/>
                      <w:color w:val="000000"/>
                      <w:szCs w:val="21"/>
                    </w:rPr>
                    <w:t>6、二级国家级公益林在不影响整体森林生态系统功能发挥的前提下，可以按照相关技术规程的规定开展抚育和更新性质的采伐。在不破坏森林植被的前提下，可以合理利用其林地资源，适度开展林下种植养殖和森林游憩等非木质资源开发与利用，科学发展林下经济。国有二级国家级公益林除执行上述规定外，需要开展抚育和更新采伐或者非木质资源培育利用的，还应当符合森林经营方案的规划，并编制采伐或非木质资源培育利用作业设计，经县级以上林业主管部门依法批准后实施。</w:t>
                  </w:r>
                </w:p>
              </w:tc>
              <w:tc>
                <w:tcPr>
                  <w:tcW w:w="2911" w:type="dxa"/>
                  <w:vAlign w:val="center"/>
                </w:tcPr>
                <w:p>
                  <w:pPr>
                    <w:pStyle w:val="29"/>
                    <w:spacing w:before="0" w:beforeAutospacing="0" w:after="0" w:afterAutospacing="0"/>
                    <w:jc w:val="center"/>
                    <w:outlineLvl w:val="0"/>
                    <w:rPr>
                      <w:snapToGrid w:val="0"/>
                      <w:kern w:val="2"/>
                      <w:sz w:val="21"/>
                      <w:szCs w:val="21"/>
                    </w:rPr>
                  </w:pPr>
                  <w:r>
                    <w:rPr>
                      <w:rFonts w:hint="eastAsia"/>
                      <w:snapToGrid w:val="0"/>
                      <w:kern w:val="2"/>
                      <w:sz w:val="21"/>
                      <w:szCs w:val="21"/>
                    </w:rPr>
                    <w:t>不涉及。</w:t>
                  </w:r>
                </w:p>
              </w:tc>
              <w:tc>
                <w:tcPr>
                  <w:tcW w:w="686" w:type="dxa"/>
                  <w:vAlign w:val="center"/>
                </w:tcPr>
                <w:p>
                  <w:pPr>
                    <w:widowControl/>
                    <w:jc w:val="center"/>
                    <w:outlineLvl w:val="0"/>
                    <w:rPr>
                      <w:snapToGrid w:val="0"/>
                      <w:szCs w:val="21"/>
                    </w:rPr>
                  </w:pPr>
                  <w:r>
                    <w:rPr>
                      <w:rFonts w:hint="eastAsia"/>
                      <w:snapToGrid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23" w:hRule="atLeast"/>
              </w:trPr>
              <w:tc>
                <w:tcPr>
                  <w:tcW w:w="742" w:type="dxa"/>
                  <w:vMerge w:val="restart"/>
                  <w:vAlign w:val="center"/>
                </w:tcPr>
                <w:p>
                  <w:pPr>
                    <w:pStyle w:val="140"/>
                    <w:rPr>
                      <w:snapToGrid w:val="0"/>
                      <w:kern w:val="2"/>
                      <w:highlight w:val="yellow"/>
                    </w:rPr>
                  </w:pPr>
                  <w:r>
                    <w:rPr>
                      <w:rFonts w:hint="eastAsia"/>
                      <w:snapToGrid w:val="0"/>
                      <w:kern w:val="2"/>
                    </w:rPr>
                    <w:t>河南省新乡市新乡县朗公庙镇、七里营镇、翟坡镇、小冀镇、新乡经济开发区</w:t>
                  </w:r>
                </w:p>
              </w:tc>
              <w:tc>
                <w:tcPr>
                  <w:tcW w:w="1012" w:type="dxa"/>
                  <w:vMerge w:val="restart"/>
                  <w:vAlign w:val="center"/>
                </w:tcPr>
                <w:p>
                  <w:pPr>
                    <w:pStyle w:val="140"/>
                    <w:rPr>
                      <w:snapToGrid w:val="0"/>
                      <w:kern w:val="2"/>
                      <w:highlight w:val="yellow"/>
                    </w:rPr>
                  </w:pPr>
                  <w:r>
                    <w:rPr>
                      <w:rFonts w:hint="eastAsia"/>
                      <w:snapToGrid w:val="0"/>
                      <w:kern w:val="2"/>
                    </w:rPr>
                    <w:t>新乡县城镇重点单元</w:t>
                  </w:r>
                </w:p>
              </w:tc>
              <w:tc>
                <w:tcPr>
                  <w:tcW w:w="861" w:type="dxa"/>
                  <w:vMerge w:val="restart"/>
                  <w:vAlign w:val="center"/>
                </w:tcPr>
                <w:p>
                  <w:pPr>
                    <w:pStyle w:val="140"/>
                    <w:rPr>
                      <w:snapToGrid w:val="0"/>
                      <w:kern w:val="2"/>
                    </w:rPr>
                  </w:pPr>
                  <w:r>
                    <w:rPr>
                      <w:rFonts w:hint="eastAsia"/>
                      <w:snapToGrid w:val="0"/>
                      <w:kern w:val="2"/>
                    </w:rPr>
                    <w:t>重点管控单元</w:t>
                  </w:r>
                  <w:r>
                    <w:rPr>
                      <w:snapToGrid w:val="0"/>
                      <w:kern w:val="2"/>
                    </w:rPr>
                    <w:t>3</w:t>
                  </w:r>
                </w:p>
              </w:tc>
              <w:tc>
                <w:tcPr>
                  <w:tcW w:w="962" w:type="dxa"/>
                  <w:vMerge w:val="restart"/>
                  <w:vAlign w:val="center"/>
                </w:tcPr>
                <w:p>
                  <w:pPr>
                    <w:pStyle w:val="140"/>
                    <w:rPr>
                      <w:snapToGrid w:val="0"/>
                      <w:kern w:val="2"/>
                    </w:rPr>
                  </w:pPr>
                  <w:r>
                    <w:rPr>
                      <w:rFonts w:hint="eastAsia"/>
                      <w:snapToGrid w:val="0"/>
                      <w:kern w:val="2"/>
                    </w:rPr>
                    <w:t>大气受体敏感区、大气高排放区、大气布局敏感区、大气弱扩散区</w:t>
                  </w:r>
                </w:p>
              </w:tc>
              <w:tc>
                <w:tcPr>
                  <w:tcW w:w="1045" w:type="dxa"/>
                  <w:vMerge w:val="restart"/>
                  <w:vAlign w:val="center"/>
                </w:tcPr>
                <w:p>
                  <w:pPr>
                    <w:pStyle w:val="140"/>
                    <w:rPr>
                      <w:snapToGrid w:val="0"/>
                      <w:kern w:val="2"/>
                    </w:rPr>
                  </w:pPr>
                  <w:r>
                    <w:rPr>
                      <w:rFonts w:hint="eastAsia"/>
                      <w:snapToGrid w:val="0"/>
                      <w:kern w:val="2"/>
                    </w:rPr>
                    <w:t>空间布局约束</w:t>
                  </w:r>
                </w:p>
              </w:tc>
              <w:tc>
                <w:tcPr>
                  <w:tcW w:w="4342" w:type="dxa"/>
                  <w:vAlign w:val="center"/>
                </w:tcPr>
                <w:p>
                  <w:pPr>
                    <w:pStyle w:val="140"/>
                    <w:jc w:val="both"/>
                    <w:rPr>
                      <w:snapToGrid w:val="0"/>
                      <w:kern w:val="2"/>
                    </w:rPr>
                  </w:pPr>
                  <w:r>
                    <w:rPr>
                      <w:snapToGrid w:val="0"/>
                      <w:kern w:val="2"/>
                    </w:rPr>
                    <w:t>1</w:t>
                  </w:r>
                  <w:r>
                    <w:rPr>
                      <w:rFonts w:hint="eastAsia"/>
                      <w:snapToGrid w:val="0"/>
                      <w:kern w:val="2"/>
                    </w:rPr>
                    <w:t>、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已建成的，应当逐步搬迁或者升级改造。</w:t>
                  </w:r>
                </w:p>
              </w:tc>
              <w:tc>
                <w:tcPr>
                  <w:tcW w:w="2911" w:type="dxa"/>
                  <w:vAlign w:val="center"/>
                </w:tcPr>
                <w:p>
                  <w:pPr>
                    <w:pStyle w:val="29"/>
                    <w:spacing w:before="0" w:beforeAutospacing="0" w:after="0" w:afterAutospacing="0"/>
                    <w:outlineLvl w:val="0"/>
                    <w:rPr>
                      <w:rFonts w:ascii="Times New Roman" w:hAnsi="Times New Roman"/>
                      <w:snapToGrid w:val="0"/>
                      <w:color w:val="000000"/>
                      <w:sz w:val="21"/>
                      <w:szCs w:val="21"/>
                    </w:rPr>
                  </w:pPr>
                  <w:r>
                    <w:rPr>
                      <w:rFonts w:hint="eastAsia"/>
                      <w:snapToGrid w:val="0"/>
                      <w:kern w:val="2"/>
                      <w:sz w:val="21"/>
                      <w:szCs w:val="21"/>
                    </w:rPr>
                    <w:t>本项目位于新乡市新乡县新乡经济开发区黄河大道中段，选址不属于人口密集区域和其他需要特殊保护的区域及其周边区域，且项目生产期间无废水排放，污染物仅为颗粒物，不存在恶臭气体排放情况。</w:t>
                  </w:r>
                </w:p>
              </w:tc>
              <w:tc>
                <w:tcPr>
                  <w:tcW w:w="686" w:type="dxa"/>
                  <w:vAlign w:val="center"/>
                </w:tcPr>
                <w:p>
                  <w:pPr>
                    <w:pStyle w:val="140"/>
                    <w:rPr>
                      <w:snapToGrid w:val="0"/>
                      <w:kern w:val="2"/>
                    </w:rPr>
                  </w:pPr>
                  <w:r>
                    <w:rPr>
                      <w:rFonts w:hint="eastAsia"/>
                      <w:snapToGrid w:val="0"/>
                      <w:kern w:val="2"/>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20" w:hRule="atLeast"/>
              </w:trPr>
              <w:tc>
                <w:tcPr>
                  <w:tcW w:w="742" w:type="dxa"/>
                  <w:vMerge w:val="continue"/>
                  <w:vAlign w:val="center"/>
                </w:tcPr>
                <w:p>
                  <w:pPr>
                    <w:pStyle w:val="140"/>
                    <w:rPr>
                      <w:snapToGrid w:val="0"/>
                      <w:kern w:val="2"/>
                    </w:rPr>
                  </w:pPr>
                </w:p>
              </w:tc>
              <w:tc>
                <w:tcPr>
                  <w:tcW w:w="1012" w:type="dxa"/>
                  <w:vMerge w:val="continue"/>
                  <w:vAlign w:val="center"/>
                </w:tcPr>
                <w:p>
                  <w:pPr>
                    <w:pStyle w:val="140"/>
                    <w:rPr>
                      <w:snapToGrid w:val="0"/>
                      <w:kern w:val="2"/>
                    </w:rPr>
                  </w:pPr>
                </w:p>
              </w:tc>
              <w:tc>
                <w:tcPr>
                  <w:tcW w:w="861" w:type="dxa"/>
                  <w:vMerge w:val="continue"/>
                  <w:vAlign w:val="center"/>
                </w:tcPr>
                <w:p>
                  <w:pPr>
                    <w:pStyle w:val="140"/>
                    <w:rPr>
                      <w:snapToGrid w:val="0"/>
                      <w:kern w:val="2"/>
                    </w:rPr>
                  </w:pPr>
                </w:p>
              </w:tc>
              <w:tc>
                <w:tcPr>
                  <w:tcW w:w="962" w:type="dxa"/>
                  <w:vMerge w:val="continue"/>
                  <w:vAlign w:val="center"/>
                </w:tcPr>
                <w:p>
                  <w:pPr>
                    <w:pStyle w:val="140"/>
                    <w:rPr>
                      <w:snapToGrid w:val="0"/>
                      <w:kern w:val="2"/>
                    </w:rPr>
                  </w:pPr>
                </w:p>
              </w:tc>
              <w:tc>
                <w:tcPr>
                  <w:tcW w:w="1045" w:type="dxa"/>
                  <w:vMerge w:val="continue"/>
                  <w:vAlign w:val="center"/>
                </w:tcPr>
                <w:p>
                  <w:pPr>
                    <w:pStyle w:val="140"/>
                    <w:rPr>
                      <w:snapToGrid w:val="0"/>
                      <w:kern w:val="2"/>
                    </w:rPr>
                  </w:pPr>
                </w:p>
              </w:tc>
              <w:tc>
                <w:tcPr>
                  <w:tcW w:w="4342" w:type="dxa"/>
                  <w:vAlign w:val="center"/>
                </w:tcPr>
                <w:p>
                  <w:pPr>
                    <w:pStyle w:val="140"/>
                    <w:jc w:val="both"/>
                    <w:rPr>
                      <w:snapToGrid w:val="0"/>
                      <w:kern w:val="2"/>
                    </w:rPr>
                  </w:pPr>
                  <w:r>
                    <w:rPr>
                      <w:snapToGrid w:val="0"/>
                      <w:kern w:val="2"/>
                    </w:rPr>
                    <w:t>2</w:t>
                  </w:r>
                  <w:r>
                    <w:rPr>
                      <w:rFonts w:hint="eastAsia"/>
                      <w:snapToGrid w:val="0"/>
                      <w:kern w:val="2"/>
                    </w:rPr>
                    <w:t>、禁止新建、改建及扩建高排放、高污染项目，包括钢铁、有色、水泥、化工、平板玻璃、建筑陶瓷等行业及其他排放重金属、持久性有机污染物、以及挥发性有机污染物排放量大的工业项目等。</w:t>
                  </w:r>
                </w:p>
              </w:tc>
              <w:tc>
                <w:tcPr>
                  <w:tcW w:w="2911"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本项目为扩建项目</w:t>
                  </w:r>
                  <w:r>
                    <w:rPr>
                      <w:rFonts w:hint="eastAsia" w:ascii="Times New Roman" w:hAnsi="Times New Roman"/>
                      <w:snapToGrid w:val="0"/>
                      <w:color w:val="000000"/>
                      <w:sz w:val="21"/>
                      <w:szCs w:val="21"/>
                    </w:rPr>
                    <w:t>，</w:t>
                  </w:r>
                  <w:r>
                    <w:rPr>
                      <w:rFonts w:ascii="Times New Roman" w:hAnsi="Times New Roman"/>
                      <w:snapToGrid w:val="0"/>
                      <w:color w:val="000000"/>
                      <w:sz w:val="21"/>
                      <w:szCs w:val="21"/>
                    </w:rPr>
                    <w:t>属于纸制品制造</w:t>
                  </w:r>
                  <w:r>
                    <w:rPr>
                      <w:rFonts w:hint="eastAsia" w:ascii="Times New Roman" w:hAnsi="Times New Roman"/>
                      <w:snapToGrid w:val="0"/>
                      <w:color w:val="000000"/>
                      <w:sz w:val="21"/>
                      <w:szCs w:val="21"/>
                    </w:rPr>
                    <w:t>，</w:t>
                  </w:r>
                  <w:r>
                    <w:rPr>
                      <w:rFonts w:ascii="Times New Roman" w:hAnsi="Times New Roman"/>
                      <w:snapToGrid w:val="0"/>
                      <w:color w:val="000000"/>
                      <w:sz w:val="21"/>
                      <w:szCs w:val="21"/>
                    </w:rPr>
                    <w:t>不属于钢铁</w:t>
                  </w:r>
                  <w:r>
                    <w:rPr>
                      <w:rFonts w:hint="eastAsia" w:ascii="Times New Roman" w:hAnsi="Times New Roman"/>
                      <w:snapToGrid w:val="0"/>
                      <w:color w:val="000000"/>
                      <w:sz w:val="21"/>
                      <w:szCs w:val="21"/>
                    </w:rPr>
                    <w:t>、</w:t>
                  </w:r>
                  <w:r>
                    <w:rPr>
                      <w:rFonts w:ascii="Times New Roman" w:hAnsi="Times New Roman"/>
                      <w:snapToGrid w:val="0"/>
                      <w:color w:val="000000"/>
                      <w:sz w:val="21"/>
                      <w:szCs w:val="21"/>
                    </w:rPr>
                    <w:t>有色</w:t>
                  </w:r>
                  <w:r>
                    <w:rPr>
                      <w:rFonts w:hint="eastAsia" w:ascii="Times New Roman" w:hAnsi="Times New Roman"/>
                      <w:snapToGrid w:val="0"/>
                      <w:color w:val="000000"/>
                      <w:sz w:val="21"/>
                      <w:szCs w:val="21"/>
                    </w:rPr>
                    <w:t>、</w:t>
                  </w:r>
                  <w:r>
                    <w:rPr>
                      <w:rFonts w:ascii="Times New Roman" w:hAnsi="Times New Roman"/>
                      <w:snapToGrid w:val="0"/>
                      <w:color w:val="000000"/>
                      <w:sz w:val="21"/>
                      <w:szCs w:val="21"/>
                    </w:rPr>
                    <w:t>水泥</w:t>
                  </w:r>
                  <w:r>
                    <w:rPr>
                      <w:rFonts w:hint="eastAsia" w:ascii="Times New Roman" w:hAnsi="Times New Roman"/>
                      <w:snapToGrid w:val="0"/>
                      <w:color w:val="000000"/>
                      <w:sz w:val="21"/>
                      <w:szCs w:val="21"/>
                    </w:rPr>
                    <w:t>、</w:t>
                  </w:r>
                  <w:r>
                    <w:rPr>
                      <w:rFonts w:ascii="Times New Roman" w:hAnsi="Times New Roman"/>
                      <w:snapToGrid w:val="0"/>
                      <w:color w:val="000000"/>
                      <w:sz w:val="21"/>
                      <w:szCs w:val="21"/>
                    </w:rPr>
                    <w:t>化工</w:t>
                  </w:r>
                  <w:r>
                    <w:rPr>
                      <w:rFonts w:hint="eastAsia" w:ascii="Times New Roman" w:hAnsi="Times New Roman"/>
                      <w:snapToGrid w:val="0"/>
                      <w:color w:val="000000"/>
                      <w:sz w:val="21"/>
                      <w:szCs w:val="21"/>
                    </w:rPr>
                    <w:t>、</w:t>
                  </w:r>
                  <w:r>
                    <w:rPr>
                      <w:rFonts w:ascii="Times New Roman" w:hAnsi="Times New Roman"/>
                      <w:snapToGrid w:val="0"/>
                      <w:color w:val="000000"/>
                      <w:sz w:val="21"/>
                      <w:szCs w:val="21"/>
                    </w:rPr>
                    <w:t>平板玻璃</w:t>
                  </w:r>
                  <w:r>
                    <w:rPr>
                      <w:rFonts w:hint="eastAsia" w:ascii="Times New Roman" w:hAnsi="Times New Roman"/>
                      <w:snapToGrid w:val="0"/>
                      <w:color w:val="000000"/>
                      <w:sz w:val="21"/>
                      <w:szCs w:val="21"/>
                    </w:rPr>
                    <w:t>、</w:t>
                  </w:r>
                  <w:r>
                    <w:rPr>
                      <w:rFonts w:ascii="Times New Roman" w:hAnsi="Times New Roman"/>
                      <w:snapToGrid w:val="0"/>
                      <w:color w:val="000000"/>
                      <w:sz w:val="21"/>
                      <w:szCs w:val="21"/>
                    </w:rPr>
                    <w:t>建筑陶瓷等行业及其他重金属</w:t>
                  </w:r>
                  <w:r>
                    <w:rPr>
                      <w:rFonts w:hint="eastAsia" w:ascii="Times New Roman" w:hAnsi="Times New Roman"/>
                      <w:snapToGrid w:val="0"/>
                      <w:color w:val="000000"/>
                      <w:sz w:val="21"/>
                      <w:szCs w:val="21"/>
                    </w:rPr>
                    <w:t>、</w:t>
                  </w:r>
                  <w:r>
                    <w:rPr>
                      <w:rFonts w:ascii="Times New Roman" w:hAnsi="Times New Roman"/>
                      <w:snapToGrid w:val="0"/>
                      <w:color w:val="000000"/>
                      <w:sz w:val="21"/>
                      <w:szCs w:val="21"/>
                    </w:rPr>
                    <w:t>持久性有机污染物</w:t>
                  </w:r>
                  <w:r>
                    <w:rPr>
                      <w:rFonts w:hint="eastAsia" w:ascii="Times New Roman" w:hAnsi="Times New Roman"/>
                      <w:snapToGrid w:val="0"/>
                      <w:color w:val="000000"/>
                      <w:sz w:val="21"/>
                      <w:szCs w:val="21"/>
                    </w:rPr>
                    <w:t>、</w:t>
                  </w:r>
                  <w:r>
                    <w:rPr>
                      <w:rFonts w:ascii="Times New Roman" w:hAnsi="Times New Roman"/>
                      <w:snapToGrid w:val="0"/>
                      <w:color w:val="000000"/>
                      <w:sz w:val="21"/>
                      <w:szCs w:val="21"/>
                    </w:rPr>
                    <w:t>以及挥发性有机污染物排放量大的工业项目等高排放</w:t>
                  </w:r>
                  <w:r>
                    <w:rPr>
                      <w:rFonts w:hint="eastAsia" w:ascii="Times New Roman" w:hAnsi="Times New Roman"/>
                      <w:snapToGrid w:val="0"/>
                      <w:color w:val="000000"/>
                      <w:sz w:val="21"/>
                      <w:szCs w:val="21"/>
                    </w:rPr>
                    <w:t>、</w:t>
                  </w:r>
                  <w:r>
                    <w:rPr>
                      <w:rFonts w:ascii="Times New Roman" w:hAnsi="Times New Roman"/>
                      <w:snapToGrid w:val="0"/>
                      <w:color w:val="000000"/>
                      <w:sz w:val="21"/>
                      <w:szCs w:val="21"/>
                    </w:rPr>
                    <w:t>高污染项目</w:t>
                  </w:r>
                  <w:r>
                    <w:rPr>
                      <w:rFonts w:hint="eastAsia" w:ascii="Times New Roman" w:hAnsi="Times New Roman"/>
                      <w:snapToGrid w:val="0"/>
                      <w:color w:val="000000"/>
                      <w:sz w:val="21"/>
                      <w:szCs w:val="21"/>
                    </w:rPr>
                    <w:t>。</w:t>
                  </w:r>
                </w:p>
              </w:tc>
              <w:tc>
                <w:tcPr>
                  <w:tcW w:w="686" w:type="dxa"/>
                  <w:vAlign w:val="center"/>
                </w:tcPr>
                <w:p>
                  <w:pPr>
                    <w:pStyle w:val="140"/>
                    <w:rPr>
                      <w:snapToGrid w:val="0"/>
                      <w:kern w:val="2"/>
                    </w:rPr>
                  </w:pPr>
                  <w:r>
                    <w:rPr>
                      <w:rFonts w:hint="eastAsia"/>
                      <w:snapToGrid w:val="0"/>
                      <w:kern w:val="2"/>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20" w:hRule="atLeast"/>
              </w:trPr>
              <w:tc>
                <w:tcPr>
                  <w:tcW w:w="742" w:type="dxa"/>
                  <w:vMerge w:val="continue"/>
                  <w:vAlign w:val="center"/>
                </w:tcPr>
                <w:p>
                  <w:pPr>
                    <w:pStyle w:val="140"/>
                    <w:rPr>
                      <w:snapToGrid w:val="0"/>
                      <w:kern w:val="2"/>
                    </w:rPr>
                  </w:pPr>
                </w:p>
              </w:tc>
              <w:tc>
                <w:tcPr>
                  <w:tcW w:w="1012" w:type="dxa"/>
                  <w:vMerge w:val="continue"/>
                  <w:vAlign w:val="center"/>
                </w:tcPr>
                <w:p>
                  <w:pPr>
                    <w:pStyle w:val="140"/>
                    <w:rPr>
                      <w:snapToGrid w:val="0"/>
                      <w:kern w:val="2"/>
                    </w:rPr>
                  </w:pPr>
                </w:p>
              </w:tc>
              <w:tc>
                <w:tcPr>
                  <w:tcW w:w="861" w:type="dxa"/>
                  <w:vMerge w:val="continue"/>
                  <w:vAlign w:val="center"/>
                </w:tcPr>
                <w:p>
                  <w:pPr>
                    <w:pStyle w:val="140"/>
                    <w:rPr>
                      <w:snapToGrid w:val="0"/>
                      <w:kern w:val="2"/>
                    </w:rPr>
                  </w:pPr>
                </w:p>
              </w:tc>
              <w:tc>
                <w:tcPr>
                  <w:tcW w:w="962" w:type="dxa"/>
                  <w:vMerge w:val="continue"/>
                  <w:vAlign w:val="center"/>
                </w:tcPr>
                <w:p>
                  <w:pPr>
                    <w:pStyle w:val="140"/>
                    <w:rPr>
                      <w:snapToGrid w:val="0"/>
                      <w:kern w:val="2"/>
                    </w:rPr>
                  </w:pPr>
                </w:p>
              </w:tc>
              <w:tc>
                <w:tcPr>
                  <w:tcW w:w="1045" w:type="dxa"/>
                  <w:vMerge w:val="continue"/>
                  <w:vAlign w:val="center"/>
                </w:tcPr>
                <w:p>
                  <w:pPr>
                    <w:pStyle w:val="140"/>
                    <w:rPr>
                      <w:snapToGrid w:val="0"/>
                      <w:kern w:val="2"/>
                    </w:rPr>
                  </w:pPr>
                </w:p>
              </w:tc>
              <w:tc>
                <w:tcPr>
                  <w:tcW w:w="4342" w:type="dxa"/>
                  <w:vAlign w:val="center"/>
                </w:tcPr>
                <w:p>
                  <w:pPr>
                    <w:pStyle w:val="140"/>
                    <w:jc w:val="both"/>
                    <w:rPr>
                      <w:snapToGrid w:val="0"/>
                      <w:kern w:val="2"/>
                    </w:rPr>
                  </w:pPr>
                  <w:r>
                    <w:rPr>
                      <w:snapToGrid w:val="0"/>
                      <w:kern w:val="2"/>
                    </w:rPr>
                    <w:t>3</w:t>
                  </w:r>
                  <w:r>
                    <w:rPr>
                      <w:rFonts w:hint="eastAsia"/>
                      <w:snapToGrid w:val="0"/>
                      <w:kern w:val="2"/>
                    </w:rPr>
                    <w:t>、对列入疑似污染地块名单的地块，未经土壤污染状况调查确定为未污染地块的，不得进入用地程序，自然资源部门不得核发建设工程规划许可证。</w:t>
                  </w:r>
                </w:p>
              </w:tc>
              <w:tc>
                <w:tcPr>
                  <w:tcW w:w="2911" w:type="dxa"/>
                  <w:vAlign w:val="center"/>
                </w:tcPr>
                <w:p>
                  <w:pPr>
                    <w:pStyle w:val="29"/>
                    <w:spacing w:before="0" w:beforeAutospacing="0" w:after="0" w:afterAutospacing="0"/>
                    <w:outlineLvl w:val="0"/>
                    <w:rPr>
                      <w:rFonts w:ascii="Times New Roman" w:hAnsi="Times New Roman"/>
                      <w:snapToGrid w:val="0"/>
                      <w:color w:val="000000"/>
                      <w:sz w:val="21"/>
                      <w:szCs w:val="21"/>
                    </w:rPr>
                  </w:pPr>
                  <w:r>
                    <w:rPr>
                      <w:rFonts w:ascii="Times New Roman" w:hAnsi="Times New Roman"/>
                      <w:snapToGrid w:val="0"/>
                      <w:color w:val="000000"/>
                      <w:sz w:val="21"/>
                      <w:szCs w:val="21"/>
                    </w:rPr>
                    <w:t>本项目占地不属于疑似污染地块</w:t>
                  </w:r>
                  <w:r>
                    <w:rPr>
                      <w:rFonts w:hint="eastAsia" w:ascii="Times New Roman" w:hAnsi="Times New Roman"/>
                      <w:snapToGrid w:val="0"/>
                      <w:color w:val="000000"/>
                      <w:sz w:val="21"/>
                      <w:szCs w:val="21"/>
                    </w:rPr>
                    <w:t>。</w:t>
                  </w:r>
                </w:p>
              </w:tc>
              <w:tc>
                <w:tcPr>
                  <w:tcW w:w="686" w:type="dxa"/>
                  <w:vAlign w:val="center"/>
                </w:tcPr>
                <w:p>
                  <w:pPr>
                    <w:pStyle w:val="140"/>
                    <w:rPr>
                      <w:snapToGrid w:val="0"/>
                      <w:kern w:val="2"/>
                    </w:rPr>
                  </w:pPr>
                  <w:r>
                    <w:rPr>
                      <w:rFonts w:hint="eastAsia"/>
                      <w:snapToGrid w:val="0"/>
                      <w:kern w:val="2"/>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20" w:hRule="atLeast"/>
              </w:trPr>
              <w:tc>
                <w:tcPr>
                  <w:tcW w:w="742" w:type="dxa"/>
                  <w:vMerge w:val="continue"/>
                  <w:vAlign w:val="center"/>
                </w:tcPr>
                <w:p>
                  <w:pPr>
                    <w:pStyle w:val="140"/>
                    <w:rPr>
                      <w:snapToGrid w:val="0"/>
                      <w:kern w:val="2"/>
                    </w:rPr>
                  </w:pPr>
                </w:p>
              </w:tc>
              <w:tc>
                <w:tcPr>
                  <w:tcW w:w="1012" w:type="dxa"/>
                  <w:vMerge w:val="continue"/>
                  <w:vAlign w:val="center"/>
                </w:tcPr>
                <w:p>
                  <w:pPr>
                    <w:pStyle w:val="140"/>
                    <w:rPr>
                      <w:snapToGrid w:val="0"/>
                      <w:kern w:val="2"/>
                    </w:rPr>
                  </w:pPr>
                </w:p>
              </w:tc>
              <w:tc>
                <w:tcPr>
                  <w:tcW w:w="861" w:type="dxa"/>
                  <w:vMerge w:val="continue"/>
                  <w:vAlign w:val="center"/>
                </w:tcPr>
                <w:p>
                  <w:pPr>
                    <w:pStyle w:val="140"/>
                    <w:rPr>
                      <w:snapToGrid w:val="0"/>
                      <w:kern w:val="2"/>
                    </w:rPr>
                  </w:pPr>
                </w:p>
              </w:tc>
              <w:tc>
                <w:tcPr>
                  <w:tcW w:w="962" w:type="dxa"/>
                  <w:vMerge w:val="continue"/>
                  <w:vAlign w:val="center"/>
                </w:tcPr>
                <w:p>
                  <w:pPr>
                    <w:pStyle w:val="140"/>
                    <w:rPr>
                      <w:snapToGrid w:val="0"/>
                      <w:kern w:val="2"/>
                    </w:rPr>
                  </w:pPr>
                </w:p>
              </w:tc>
              <w:tc>
                <w:tcPr>
                  <w:tcW w:w="1045" w:type="dxa"/>
                  <w:vMerge w:val="continue"/>
                  <w:vAlign w:val="center"/>
                </w:tcPr>
                <w:p>
                  <w:pPr>
                    <w:pStyle w:val="140"/>
                    <w:rPr>
                      <w:snapToGrid w:val="0"/>
                      <w:kern w:val="2"/>
                    </w:rPr>
                  </w:pPr>
                </w:p>
              </w:tc>
              <w:tc>
                <w:tcPr>
                  <w:tcW w:w="4342" w:type="dxa"/>
                  <w:vAlign w:val="center"/>
                </w:tcPr>
                <w:p>
                  <w:pPr>
                    <w:pStyle w:val="140"/>
                    <w:jc w:val="both"/>
                    <w:rPr>
                      <w:snapToGrid w:val="0"/>
                      <w:kern w:val="2"/>
                    </w:rPr>
                  </w:pPr>
                  <w:r>
                    <w:rPr>
                      <w:snapToGrid w:val="0"/>
                      <w:kern w:val="2"/>
                    </w:rPr>
                    <w:t>4</w:t>
                  </w:r>
                  <w:r>
                    <w:rPr>
                      <w:rFonts w:hint="eastAsia"/>
                      <w:snapToGrid w:val="0"/>
                      <w:kern w:val="2"/>
                    </w:rPr>
                    <w:t>、禁止新、改、扩建“两高”项目。</w:t>
                  </w:r>
                </w:p>
              </w:tc>
              <w:tc>
                <w:tcPr>
                  <w:tcW w:w="2911" w:type="dxa"/>
                  <w:vAlign w:val="center"/>
                </w:tcPr>
                <w:p>
                  <w:pPr>
                    <w:pStyle w:val="29"/>
                    <w:spacing w:before="0" w:beforeAutospacing="0" w:after="0" w:afterAutospacing="0"/>
                    <w:outlineLvl w:val="0"/>
                    <w:rPr>
                      <w:rFonts w:ascii="Times New Roman" w:hAnsi="Times New Roman"/>
                      <w:snapToGrid w:val="0"/>
                      <w:color w:val="000000"/>
                      <w:sz w:val="21"/>
                      <w:szCs w:val="21"/>
                    </w:rPr>
                  </w:pPr>
                  <w:r>
                    <w:rPr>
                      <w:rFonts w:ascii="Times New Roman" w:hAnsi="Times New Roman"/>
                      <w:snapToGrid w:val="0"/>
                      <w:color w:val="000000"/>
                      <w:sz w:val="21"/>
                      <w:szCs w:val="21"/>
                    </w:rPr>
                    <w:t>本项目不属于</w:t>
                  </w:r>
                  <w:r>
                    <w:rPr>
                      <w:rFonts w:hint="eastAsia" w:ascii="Times New Roman" w:hAnsi="Times New Roman"/>
                      <w:snapToGrid w:val="0"/>
                      <w:color w:val="000000"/>
                      <w:sz w:val="21"/>
                      <w:szCs w:val="21"/>
                    </w:rPr>
                    <w:t>“两高”项目。</w:t>
                  </w:r>
                </w:p>
              </w:tc>
              <w:tc>
                <w:tcPr>
                  <w:tcW w:w="686" w:type="dxa"/>
                  <w:vAlign w:val="center"/>
                </w:tcPr>
                <w:p>
                  <w:pPr>
                    <w:pStyle w:val="140"/>
                    <w:rPr>
                      <w:snapToGrid w:val="0"/>
                      <w:kern w:val="2"/>
                    </w:rPr>
                  </w:pPr>
                  <w:r>
                    <w:rPr>
                      <w:rFonts w:hint="eastAsia"/>
                      <w:snapToGrid w:val="0"/>
                      <w:kern w:val="2"/>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26" w:hRule="atLeast"/>
              </w:trPr>
              <w:tc>
                <w:tcPr>
                  <w:tcW w:w="74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12" w:type="dxa"/>
                  <w:vMerge w:val="continue"/>
                  <w:vAlign w:val="center"/>
                </w:tcPr>
                <w:p>
                  <w:pPr>
                    <w:pStyle w:val="29"/>
                    <w:spacing w:before="0" w:beforeAutospacing="0" w:after="0" w:afterAutospacing="0"/>
                    <w:jc w:val="center"/>
                    <w:outlineLvl w:val="0"/>
                    <w:rPr>
                      <w:color w:val="000000"/>
                      <w:sz w:val="21"/>
                      <w:szCs w:val="21"/>
                    </w:rPr>
                  </w:pPr>
                </w:p>
              </w:tc>
              <w:tc>
                <w:tcPr>
                  <w:tcW w:w="861"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962" w:type="dxa"/>
                  <w:vMerge w:val="continue"/>
                  <w:vAlign w:val="center"/>
                </w:tcPr>
                <w:p>
                  <w:pPr>
                    <w:pStyle w:val="29"/>
                    <w:spacing w:before="0" w:beforeAutospacing="0" w:after="0" w:afterAutospacing="0"/>
                    <w:jc w:val="center"/>
                    <w:outlineLvl w:val="0"/>
                    <w:rPr>
                      <w:color w:val="000000"/>
                      <w:sz w:val="21"/>
                      <w:szCs w:val="21"/>
                    </w:rPr>
                  </w:pPr>
                </w:p>
              </w:tc>
              <w:tc>
                <w:tcPr>
                  <w:tcW w:w="1045" w:type="dxa"/>
                  <w:vMerge w:val="restart"/>
                  <w:vAlign w:val="center"/>
                </w:tcPr>
                <w:p>
                  <w:pPr>
                    <w:pStyle w:val="140"/>
                    <w:rPr>
                      <w:snapToGrid w:val="0"/>
                      <w:kern w:val="2"/>
                    </w:rPr>
                  </w:pPr>
                  <w:r>
                    <w:rPr>
                      <w:rFonts w:hint="eastAsia"/>
                      <w:snapToGrid w:val="0"/>
                      <w:kern w:val="2"/>
                    </w:rPr>
                    <w:t>污染物排放管控</w:t>
                  </w:r>
                </w:p>
              </w:tc>
              <w:tc>
                <w:tcPr>
                  <w:tcW w:w="4342" w:type="dxa"/>
                  <w:vAlign w:val="center"/>
                </w:tcPr>
                <w:p>
                  <w:pPr>
                    <w:pStyle w:val="140"/>
                    <w:jc w:val="both"/>
                    <w:rPr>
                      <w:snapToGrid w:val="0"/>
                      <w:kern w:val="2"/>
                    </w:rPr>
                  </w:pPr>
                  <w:r>
                    <w:rPr>
                      <w:snapToGrid w:val="0"/>
                      <w:kern w:val="2"/>
                    </w:rPr>
                    <w:t>1、</w:t>
                  </w:r>
                  <w:r>
                    <w:rPr>
                      <w:rFonts w:hint="eastAsia"/>
                      <w:snapToGrid w:val="0"/>
                      <w:kern w:val="2"/>
                    </w:rPr>
                    <w:t>二氧化硫、氮氧化物、颗粒物、VOCs全面执行大气污染物特别排放限值。</w:t>
                  </w:r>
                </w:p>
              </w:tc>
              <w:tc>
                <w:tcPr>
                  <w:tcW w:w="2911" w:type="dxa"/>
                  <w:vAlign w:val="center"/>
                </w:tcPr>
                <w:p>
                  <w:pPr>
                    <w:pStyle w:val="140"/>
                    <w:jc w:val="both"/>
                    <w:rPr>
                      <w:snapToGrid w:val="0"/>
                      <w:kern w:val="2"/>
                    </w:rPr>
                  </w:pPr>
                  <w:r>
                    <w:rPr>
                      <w:snapToGrid w:val="0"/>
                      <w:kern w:val="2"/>
                    </w:rPr>
                    <w:t>本项目属于纸制品制造项目，产生的颗粒物执行《新乡市生态环境局关于进一步规范工业企业颗粒物排放限值的通知》（其他涉气工业企业）中颗粒物10mg/m</w:t>
                  </w:r>
                  <w:r>
                    <w:rPr>
                      <w:snapToGrid w:val="0"/>
                      <w:kern w:val="2"/>
                      <w:vertAlign w:val="superscript"/>
                    </w:rPr>
                    <w:t>3</w:t>
                  </w:r>
                  <w:r>
                    <w:rPr>
                      <w:snapToGrid w:val="0"/>
                      <w:kern w:val="2"/>
                    </w:rPr>
                    <w:t>的限值要求。</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26" w:hRule="atLeast"/>
              </w:trPr>
              <w:tc>
                <w:tcPr>
                  <w:tcW w:w="74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12" w:type="dxa"/>
                  <w:vMerge w:val="continue"/>
                  <w:vAlign w:val="center"/>
                </w:tcPr>
                <w:p>
                  <w:pPr>
                    <w:pStyle w:val="29"/>
                    <w:spacing w:before="0" w:beforeAutospacing="0" w:after="0" w:afterAutospacing="0"/>
                    <w:jc w:val="center"/>
                    <w:outlineLvl w:val="0"/>
                    <w:rPr>
                      <w:color w:val="000000"/>
                      <w:sz w:val="21"/>
                      <w:szCs w:val="21"/>
                    </w:rPr>
                  </w:pPr>
                </w:p>
              </w:tc>
              <w:tc>
                <w:tcPr>
                  <w:tcW w:w="861"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962" w:type="dxa"/>
                  <w:vMerge w:val="continue"/>
                  <w:vAlign w:val="center"/>
                </w:tcPr>
                <w:p>
                  <w:pPr>
                    <w:pStyle w:val="29"/>
                    <w:spacing w:before="0" w:beforeAutospacing="0" w:after="0" w:afterAutospacing="0"/>
                    <w:jc w:val="center"/>
                    <w:outlineLvl w:val="0"/>
                    <w:rPr>
                      <w:color w:val="000000"/>
                      <w:sz w:val="21"/>
                      <w:szCs w:val="21"/>
                    </w:rPr>
                  </w:pPr>
                </w:p>
              </w:tc>
              <w:tc>
                <w:tcPr>
                  <w:tcW w:w="1045" w:type="dxa"/>
                  <w:vMerge w:val="continue"/>
                  <w:vAlign w:val="center"/>
                </w:tcPr>
                <w:p>
                  <w:pPr>
                    <w:pStyle w:val="140"/>
                    <w:rPr>
                      <w:snapToGrid w:val="0"/>
                      <w:kern w:val="2"/>
                    </w:rPr>
                  </w:pPr>
                </w:p>
              </w:tc>
              <w:tc>
                <w:tcPr>
                  <w:tcW w:w="4342" w:type="dxa"/>
                  <w:vAlign w:val="center"/>
                </w:tcPr>
                <w:p>
                  <w:pPr>
                    <w:pStyle w:val="140"/>
                    <w:jc w:val="both"/>
                    <w:rPr>
                      <w:snapToGrid w:val="0"/>
                      <w:kern w:val="2"/>
                    </w:rPr>
                  </w:pPr>
                  <w:r>
                    <w:rPr>
                      <w:snapToGrid w:val="0"/>
                      <w:kern w:val="2"/>
                    </w:rPr>
                    <w:t>2、加强柴油车NOx排放监管，严格实施非道路移动机械排放标准，推进重点场所清洁能源机械替代。</w:t>
                  </w:r>
                </w:p>
              </w:tc>
              <w:tc>
                <w:tcPr>
                  <w:tcW w:w="2911" w:type="dxa"/>
                  <w:vAlign w:val="center"/>
                </w:tcPr>
                <w:p>
                  <w:pPr>
                    <w:pStyle w:val="140"/>
                    <w:jc w:val="both"/>
                    <w:rPr>
                      <w:snapToGrid w:val="0"/>
                      <w:color w:val="000000"/>
                    </w:rPr>
                  </w:pPr>
                  <w:r>
                    <w:rPr>
                      <w:rFonts w:hint="eastAsia"/>
                      <w:snapToGrid w:val="0"/>
                      <w:kern w:val="2"/>
                    </w:rPr>
                    <w:t>本项目建成后严格按照最新环保标准和要求对企业柴油车和非道路移动机械进行管控。</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26" w:hRule="atLeast"/>
              </w:trPr>
              <w:tc>
                <w:tcPr>
                  <w:tcW w:w="74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12" w:type="dxa"/>
                  <w:vMerge w:val="continue"/>
                  <w:vAlign w:val="center"/>
                </w:tcPr>
                <w:p>
                  <w:pPr>
                    <w:pStyle w:val="29"/>
                    <w:spacing w:before="0" w:beforeAutospacing="0" w:after="0" w:afterAutospacing="0"/>
                    <w:jc w:val="center"/>
                    <w:outlineLvl w:val="0"/>
                    <w:rPr>
                      <w:color w:val="000000"/>
                      <w:sz w:val="21"/>
                      <w:szCs w:val="21"/>
                    </w:rPr>
                  </w:pPr>
                </w:p>
              </w:tc>
              <w:tc>
                <w:tcPr>
                  <w:tcW w:w="861"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962" w:type="dxa"/>
                  <w:vMerge w:val="continue"/>
                  <w:vAlign w:val="center"/>
                </w:tcPr>
                <w:p>
                  <w:pPr>
                    <w:pStyle w:val="29"/>
                    <w:spacing w:before="0" w:beforeAutospacing="0" w:after="0" w:afterAutospacing="0"/>
                    <w:jc w:val="center"/>
                    <w:outlineLvl w:val="0"/>
                    <w:rPr>
                      <w:color w:val="000000"/>
                      <w:sz w:val="21"/>
                      <w:szCs w:val="21"/>
                    </w:rPr>
                  </w:pPr>
                </w:p>
              </w:tc>
              <w:tc>
                <w:tcPr>
                  <w:tcW w:w="1045" w:type="dxa"/>
                  <w:vMerge w:val="continue"/>
                  <w:vAlign w:val="center"/>
                </w:tcPr>
                <w:p>
                  <w:pPr>
                    <w:pStyle w:val="140"/>
                    <w:rPr>
                      <w:snapToGrid w:val="0"/>
                      <w:kern w:val="2"/>
                    </w:rPr>
                  </w:pPr>
                </w:p>
              </w:tc>
              <w:tc>
                <w:tcPr>
                  <w:tcW w:w="4342" w:type="dxa"/>
                  <w:vAlign w:val="center"/>
                </w:tcPr>
                <w:p>
                  <w:pPr>
                    <w:pStyle w:val="140"/>
                    <w:jc w:val="both"/>
                    <w:rPr>
                      <w:snapToGrid w:val="0"/>
                      <w:kern w:val="2"/>
                    </w:rPr>
                  </w:pPr>
                  <w:r>
                    <w:rPr>
                      <w:snapToGrid w:val="0"/>
                      <w:kern w:val="2"/>
                    </w:rPr>
                    <w:t>3、禁止含重金属废水进入城市生活污水处理厂。</w:t>
                  </w:r>
                </w:p>
              </w:tc>
              <w:tc>
                <w:tcPr>
                  <w:tcW w:w="2911" w:type="dxa"/>
                  <w:vAlign w:val="center"/>
                </w:tcPr>
                <w:p>
                  <w:pPr>
                    <w:pStyle w:val="140"/>
                    <w:jc w:val="both"/>
                    <w:rPr>
                      <w:snapToGrid w:val="0"/>
                      <w:kern w:val="2"/>
                    </w:rPr>
                  </w:pPr>
                  <w:r>
                    <w:rPr>
                      <w:rFonts w:hint="eastAsia"/>
                      <w:snapToGrid w:val="0"/>
                      <w:kern w:val="2"/>
                    </w:rPr>
                    <w:t>本项目不产生含重金属的废水。</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74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12" w:type="dxa"/>
                  <w:vMerge w:val="continue"/>
                  <w:vAlign w:val="center"/>
                </w:tcPr>
                <w:p>
                  <w:pPr>
                    <w:pStyle w:val="29"/>
                    <w:spacing w:before="0" w:beforeAutospacing="0" w:after="0" w:afterAutospacing="0"/>
                    <w:jc w:val="center"/>
                    <w:outlineLvl w:val="0"/>
                    <w:rPr>
                      <w:color w:val="000000"/>
                      <w:sz w:val="21"/>
                      <w:szCs w:val="21"/>
                    </w:rPr>
                  </w:pPr>
                </w:p>
              </w:tc>
              <w:tc>
                <w:tcPr>
                  <w:tcW w:w="861"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962" w:type="dxa"/>
                  <w:vMerge w:val="continue"/>
                  <w:vAlign w:val="center"/>
                </w:tcPr>
                <w:p>
                  <w:pPr>
                    <w:pStyle w:val="29"/>
                    <w:spacing w:before="0" w:beforeAutospacing="0" w:after="0" w:afterAutospacing="0"/>
                    <w:jc w:val="center"/>
                    <w:outlineLvl w:val="0"/>
                    <w:rPr>
                      <w:color w:val="000000"/>
                      <w:sz w:val="21"/>
                      <w:szCs w:val="21"/>
                    </w:rPr>
                  </w:pPr>
                </w:p>
              </w:tc>
              <w:tc>
                <w:tcPr>
                  <w:tcW w:w="1045" w:type="dxa"/>
                  <w:vAlign w:val="center"/>
                </w:tcPr>
                <w:p>
                  <w:pPr>
                    <w:pStyle w:val="140"/>
                    <w:rPr>
                      <w:snapToGrid w:val="0"/>
                      <w:kern w:val="2"/>
                    </w:rPr>
                  </w:pPr>
                  <w:r>
                    <w:rPr>
                      <w:rFonts w:hint="eastAsia"/>
                      <w:snapToGrid w:val="0"/>
                      <w:kern w:val="2"/>
                    </w:rPr>
                    <w:t>环境风险防控</w:t>
                  </w:r>
                </w:p>
              </w:tc>
              <w:tc>
                <w:tcPr>
                  <w:tcW w:w="4342" w:type="dxa"/>
                  <w:vAlign w:val="center"/>
                </w:tcPr>
                <w:p>
                  <w:pPr>
                    <w:pStyle w:val="140"/>
                    <w:jc w:val="both"/>
                    <w:rPr>
                      <w:snapToGrid w:val="0"/>
                      <w:kern w:val="2"/>
                    </w:rPr>
                  </w:pPr>
                  <w:r>
                    <w:rPr>
                      <w:snapToGrid w:val="0"/>
                      <w:kern w:val="2"/>
                    </w:rPr>
                    <w:t>高关注地块划分污染风险等级，纳入优先管控名录。</w:t>
                  </w:r>
                </w:p>
              </w:tc>
              <w:tc>
                <w:tcPr>
                  <w:tcW w:w="2911" w:type="dxa"/>
                  <w:vAlign w:val="center"/>
                </w:tcPr>
                <w:p>
                  <w:pPr>
                    <w:pStyle w:val="140"/>
                    <w:jc w:val="both"/>
                    <w:rPr>
                      <w:snapToGrid w:val="0"/>
                      <w:kern w:val="2"/>
                    </w:rPr>
                  </w:pPr>
                  <w:r>
                    <w:rPr>
                      <w:rFonts w:hint="eastAsia"/>
                      <w:kern w:val="2"/>
                    </w:rPr>
                    <w:t>本项目占地不属于高关注地块。</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74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12" w:type="dxa"/>
                  <w:vMerge w:val="continue"/>
                  <w:vAlign w:val="center"/>
                </w:tcPr>
                <w:p>
                  <w:pPr>
                    <w:pStyle w:val="29"/>
                    <w:spacing w:before="0" w:beforeAutospacing="0" w:after="0" w:afterAutospacing="0"/>
                    <w:jc w:val="center"/>
                    <w:outlineLvl w:val="0"/>
                    <w:rPr>
                      <w:color w:val="000000"/>
                      <w:sz w:val="21"/>
                      <w:szCs w:val="21"/>
                    </w:rPr>
                  </w:pPr>
                </w:p>
              </w:tc>
              <w:tc>
                <w:tcPr>
                  <w:tcW w:w="861"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962" w:type="dxa"/>
                  <w:vMerge w:val="continue"/>
                  <w:vAlign w:val="center"/>
                </w:tcPr>
                <w:p>
                  <w:pPr>
                    <w:pStyle w:val="29"/>
                    <w:spacing w:before="0" w:beforeAutospacing="0" w:after="0" w:afterAutospacing="0"/>
                    <w:jc w:val="center"/>
                    <w:outlineLvl w:val="0"/>
                    <w:rPr>
                      <w:color w:val="000000"/>
                      <w:sz w:val="21"/>
                      <w:szCs w:val="21"/>
                    </w:rPr>
                  </w:pPr>
                </w:p>
              </w:tc>
              <w:tc>
                <w:tcPr>
                  <w:tcW w:w="1045" w:type="dxa"/>
                  <w:vAlign w:val="center"/>
                </w:tcPr>
                <w:p>
                  <w:pPr>
                    <w:pStyle w:val="140"/>
                    <w:rPr>
                      <w:snapToGrid w:val="0"/>
                      <w:kern w:val="2"/>
                    </w:rPr>
                  </w:pPr>
                  <w:r>
                    <w:rPr>
                      <w:rFonts w:hint="eastAsia"/>
                      <w:snapToGrid w:val="0"/>
                      <w:kern w:val="2"/>
                    </w:rPr>
                    <w:t>资源利用效率要求</w:t>
                  </w:r>
                </w:p>
              </w:tc>
              <w:tc>
                <w:tcPr>
                  <w:tcW w:w="4342" w:type="dxa"/>
                  <w:vAlign w:val="center"/>
                </w:tcPr>
                <w:p>
                  <w:pPr>
                    <w:pStyle w:val="140"/>
                    <w:jc w:val="both"/>
                    <w:rPr>
                      <w:snapToGrid w:val="0"/>
                      <w:kern w:val="2"/>
                    </w:rPr>
                  </w:pPr>
                  <w:r>
                    <w:rPr>
                      <w:rFonts w:hint="eastAsia"/>
                      <w:snapToGrid w:val="0"/>
                      <w:kern w:val="2"/>
                    </w:rPr>
                    <w:t>进一步优化能源结构，加快集中供热、供气及配套管网建设。不得新改扩建分散燃煤设施。</w:t>
                  </w:r>
                </w:p>
              </w:tc>
              <w:tc>
                <w:tcPr>
                  <w:tcW w:w="2911" w:type="dxa"/>
                  <w:vAlign w:val="center"/>
                </w:tcPr>
                <w:p>
                  <w:pPr>
                    <w:pStyle w:val="140"/>
                    <w:rPr>
                      <w:snapToGrid w:val="0"/>
                      <w:kern w:val="2"/>
                    </w:rPr>
                  </w:pPr>
                  <w:r>
                    <w:rPr>
                      <w:kern w:val="2"/>
                    </w:rPr>
                    <w:t>不涉及</w:t>
                  </w:r>
                  <w:r>
                    <w:rPr>
                      <w:rFonts w:hint="eastAsia"/>
                      <w:kern w:val="2"/>
                    </w:rPr>
                    <w:t>。</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hint="eastAsia" w:ascii="Times New Roman" w:hAnsi="Times New Roman"/>
                      <w:snapToGrid w:val="0"/>
                      <w:color w:val="000000"/>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742" w:type="dxa"/>
                  <w:vMerge w:val="restart"/>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hint="eastAsia" w:ascii="Times New Roman" w:hAnsi="Times New Roman"/>
                      <w:snapToGrid w:val="0"/>
                      <w:color w:val="000000"/>
                      <w:sz w:val="21"/>
                      <w:szCs w:val="21"/>
                    </w:rPr>
                    <w:t>河南省新乡市新乡县大召营镇、翟坡镇、小冀镇</w:t>
                  </w:r>
                </w:p>
              </w:tc>
              <w:tc>
                <w:tcPr>
                  <w:tcW w:w="1012" w:type="dxa"/>
                  <w:vMerge w:val="restart"/>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hint="eastAsia"/>
                      <w:color w:val="000000"/>
                      <w:sz w:val="21"/>
                      <w:szCs w:val="21"/>
                    </w:rPr>
                    <w:t>新乡县</w:t>
                  </w:r>
                  <w:r>
                    <w:rPr>
                      <w:color w:val="000000"/>
                      <w:sz w:val="21"/>
                      <w:szCs w:val="21"/>
                    </w:rPr>
                    <w:t>大气高排放区</w:t>
                  </w:r>
                </w:p>
              </w:tc>
              <w:tc>
                <w:tcPr>
                  <w:tcW w:w="861" w:type="dxa"/>
                  <w:vMerge w:val="restart"/>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重点管控单元</w:t>
                  </w:r>
                  <w:r>
                    <w:rPr>
                      <w:rFonts w:hint="eastAsia" w:ascii="Times New Roman" w:hAnsi="Times New Roman"/>
                      <w:snapToGrid w:val="0"/>
                      <w:color w:val="000000"/>
                      <w:sz w:val="21"/>
                      <w:szCs w:val="21"/>
                    </w:rPr>
                    <w:t>4</w:t>
                  </w:r>
                </w:p>
              </w:tc>
              <w:tc>
                <w:tcPr>
                  <w:tcW w:w="962" w:type="dxa"/>
                  <w:vMerge w:val="restart"/>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color w:val="000000"/>
                      <w:sz w:val="21"/>
                      <w:szCs w:val="21"/>
                    </w:rPr>
                    <w:t>大气高排放区、大气布局敏感区、大气弱扩散区、</w:t>
                  </w:r>
                  <w:r>
                    <w:rPr>
                      <w:rFonts w:hint="eastAsia"/>
                      <w:color w:val="000000"/>
                      <w:sz w:val="21"/>
                      <w:szCs w:val="21"/>
                    </w:rPr>
                    <w:t>水环境生活污染重点管控区、</w:t>
                  </w:r>
                  <w:r>
                    <w:rPr>
                      <w:color w:val="000000"/>
                      <w:sz w:val="21"/>
                      <w:szCs w:val="21"/>
                    </w:rPr>
                    <w:t>建设用地重点管控区</w:t>
                  </w:r>
                </w:p>
              </w:tc>
              <w:tc>
                <w:tcPr>
                  <w:tcW w:w="1045" w:type="dxa"/>
                  <w:vMerge w:val="restart"/>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空间布局约束</w:t>
                  </w:r>
                </w:p>
              </w:tc>
              <w:tc>
                <w:tcPr>
                  <w:tcW w:w="4342" w:type="dxa"/>
                  <w:vAlign w:val="center"/>
                </w:tcPr>
                <w:p>
                  <w:pPr>
                    <w:pStyle w:val="140"/>
                    <w:jc w:val="both"/>
                    <w:rPr>
                      <w:snapToGrid w:val="0"/>
                      <w:kern w:val="2"/>
                    </w:rPr>
                  </w:pPr>
                  <w:r>
                    <w:rPr>
                      <w:rFonts w:hint="eastAsia"/>
                      <w:snapToGrid w:val="0"/>
                      <w:kern w:val="2"/>
                    </w:rPr>
                    <w:t>1、产业集聚区限制高耗能、高污染、低水平重复建设的企业入驻；禁止化学原料药及生物发酵制药等行业单纯新建和单纯扩大产能的项目入驻；禁止新增铅、铬、镉、汞、砷等重金属污染物排放的项目入驻；限制喷漆工序使用含苯漆料；限制装备制造业中的电镀项目；禁止不符合土地利用性质的三类工业项目入驻。</w:t>
                  </w:r>
                </w:p>
              </w:tc>
              <w:tc>
                <w:tcPr>
                  <w:tcW w:w="2911"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hint="eastAsia" w:ascii="Times New Roman" w:hAnsi="Times New Roman"/>
                      <w:snapToGrid w:val="0"/>
                      <w:color w:val="000000"/>
                      <w:sz w:val="21"/>
                      <w:szCs w:val="21"/>
                    </w:rPr>
                    <w:t>不涉及。</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74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12" w:type="dxa"/>
                  <w:vMerge w:val="continue"/>
                  <w:vAlign w:val="center"/>
                </w:tcPr>
                <w:p>
                  <w:pPr>
                    <w:pStyle w:val="29"/>
                    <w:spacing w:before="0" w:beforeAutospacing="0" w:after="0" w:afterAutospacing="0"/>
                    <w:jc w:val="center"/>
                    <w:outlineLvl w:val="0"/>
                    <w:rPr>
                      <w:color w:val="000000"/>
                      <w:sz w:val="21"/>
                      <w:szCs w:val="21"/>
                    </w:rPr>
                  </w:pPr>
                </w:p>
              </w:tc>
              <w:tc>
                <w:tcPr>
                  <w:tcW w:w="861"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962" w:type="dxa"/>
                  <w:vMerge w:val="continue"/>
                  <w:vAlign w:val="center"/>
                </w:tcPr>
                <w:p>
                  <w:pPr>
                    <w:pStyle w:val="29"/>
                    <w:spacing w:before="0" w:beforeAutospacing="0" w:after="0" w:afterAutospacing="0"/>
                    <w:jc w:val="center"/>
                    <w:outlineLvl w:val="0"/>
                    <w:rPr>
                      <w:color w:val="000000"/>
                      <w:sz w:val="21"/>
                      <w:szCs w:val="21"/>
                    </w:rPr>
                  </w:pPr>
                </w:p>
              </w:tc>
              <w:tc>
                <w:tcPr>
                  <w:tcW w:w="1045"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4342" w:type="dxa"/>
                  <w:vAlign w:val="center"/>
                </w:tcPr>
                <w:p>
                  <w:pPr>
                    <w:pStyle w:val="140"/>
                    <w:jc w:val="both"/>
                    <w:rPr>
                      <w:snapToGrid w:val="0"/>
                      <w:kern w:val="2"/>
                    </w:rPr>
                  </w:pPr>
                  <w:r>
                    <w:rPr>
                      <w:rFonts w:hint="eastAsia"/>
                      <w:snapToGrid w:val="0"/>
                      <w:kern w:val="2"/>
                    </w:rPr>
                    <w:t>2、大召营镇西南精细化工片区维持现有企业现状及范围，仅仅作节能减排、延长产业链类升级改造，不再新增规模及排放。现有企业升级改造要考虑拟建飞机场的选址要求。</w:t>
                  </w:r>
                </w:p>
              </w:tc>
              <w:tc>
                <w:tcPr>
                  <w:tcW w:w="2911"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不涉及</w:t>
                  </w:r>
                  <w:r>
                    <w:rPr>
                      <w:rFonts w:hint="eastAsia" w:ascii="Times New Roman" w:hAnsi="Times New Roman"/>
                      <w:snapToGrid w:val="0"/>
                      <w:color w:val="000000"/>
                      <w:sz w:val="21"/>
                      <w:szCs w:val="21"/>
                    </w:rPr>
                    <w:t>。</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74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12" w:type="dxa"/>
                  <w:vMerge w:val="continue"/>
                  <w:vAlign w:val="center"/>
                </w:tcPr>
                <w:p>
                  <w:pPr>
                    <w:pStyle w:val="29"/>
                    <w:spacing w:before="0" w:beforeAutospacing="0" w:after="0" w:afterAutospacing="0"/>
                    <w:jc w:val="center"/>
                    <w:outlineLvl w:val="0"/>
                    <w:rPr>
                      <w:color w:val="000000"/>
                      <w:sz w:val="21"/>
                      <w:szCs w:val="21"/>
                    </w:rPr>
                  </w:pPr>
                </w:p>
              </w:tc>
              <w:tc>
                <w:tcPr>
                  <w:tcW w:w="861"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962" w:type="dxa"/>
                  <w:vMerge w:val="continue"/>
                  <w:vAlign w:val="center"/>
                </w:tcPr>
                <w:p>
                  <w:pPr>
                    <w:pStyle w:val="29"/>
                    <w:spacing w:before="0" w:beforeAutospacing="0" w:after="0" w:afterAutospacing="0"/>
                    <w:jc w:val="center"/>
                    <w:outlineLvl w:val="0"/>
                    <w:rPr>
                      <w:color w:val="000000"/>
                      <w:sz w:val="21"/>
                      <w:szCs w:val="21"/>
                    </w:rPr>
                  </w:pPr>
                </w:p>
              </w:tc>
              <w:tc>
                <w:tcPr>
                  <w:tcW w:w="1045"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4342" w:type="dxa"/>
                  <w:vAlign w:val="center"/>
                </w:tcPr>
                <w:p>
                  <w:pPr>
                    <w:pStyle w:val="140"/>
                    <w:jc w:val="both"/>
                    <w:rPr>
                      <w:snapToGrid w:val="0"/>
                      <w:kern w:val="2"/>
                    </w:rPr>
                  </w:pPr>
                  <w:r>
                    <w:rPr>
                      <w:rFonts w:hint="eastAsia"/>
                      <w:snapToGrid w:val="0"/>
                      <w:kern w:val="2"/>
                    </w:rPr>
                    <w:t>3、环保过滤片区内的新乡市瑞丰产业园，允许其开展润滑油添加剂系列产品的扩建和升级改造，禁止发展其他化学合成类化工、制药、煤化工等项目。</w:t>
                  </w:r>
                </w:p>
              </w:tc>
              <w:tc>
                <w:tcPr>
                  <w:tcW w:w="2911"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hint="eastAsia" w:ascii="Times New Roman" w:hAnsi="Times New Roman"/>
                      <w:snapToGrid w:val="0"/>
                      <w:color w:val="000000"/>
                      <w:sz w:val="21"/>
                      <w:szCs w:val="21"/>
                    </w:rPr>
                    <w:t>不涉及。</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74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12" w:type="dxa"/>
                  <w:vMerge w:val="continue"/>
                  <w:vAlign w:val="center"/>
                </w:tcPr>
                <w:p>
                  <w:pPr>
                    <w:pStyle w:val="29"/>
                    <w:spacing w:before="0" w:beforeAutospacing="0" w:after="0" w:afterAutospacing="0"/>
                    <w:jc w:val="center"/>
                    <w:outlineLvl w:val="0"/>
                    <w:rPr>
                      <w:color w:val="000000"/>
                      <w:sz w:val="21"/>
                      <w:szCs w:val="21"/>
                    </w:rPr>
                  </w:pPr>
                </w:p>
              </w:tc>
              <w:tc>
                <w:tcPr>
                  <w:tcW w:w="861"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962" w:type="dxa"/>
                  <w:vMerge w:val="continue"/>
                  <w:vAlign w:val="center"/>
                </w:tcPr>
                <w:p>
                  <w:pPr>
                    <w:pStyle w:val="29"/>
                    <w:spacing w:before="0" w:beforeAutospacing="0" w:after="0" w:afterAutospacing="0"/>
                    <w:jc w:val="center"/>
                    <w:outlineLvl w:val="0"/>
                    <w:rPr>
                      <w:color w:val="000000"/>
                      <w:sz w:val="21"/>
                      <w:szCs w:val="21"/>
                    </w:rPr>
                  </w:pPr>
                </w:p>
              </w:tc>
              <w:tc>
                <w:tcPr>
                  <w:tcW w:w="1045"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4342" w:type="dxa"/>
                  <w:vAlign w:val="center"/>
                </w:tcPr>
                <w:p>
                  <w:pPr>
                    <w:pStyle w:val="140"/>
                    <w:jc w:val="both"/>
                    <w:rPr>
                      <w:snapToGrid w:val="0"/>
                      <w:kern w:val="2"/>
                    </w:rPr>
                  </w:pPr>
                  <w:r>
                    <w:rPr>
                      <w:rFonts w:hint="eastAsia"/>
                      <w:snapToGrid w:val="0"/>
                      <w:kern w:val="2"/>
                    </w:rPr>
                    <w:t>4、土地利用规划调整到位前不得入驻与土地性质不符的项目。</w:t>
                  </w:r>
                </w:p>
              </w:tc>
              <w:tc>
                <w:tcPr>
                  <w:tcW w:w="2911"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hint="eastAsia" w:ascii="Times New Roman" w:hAnsi="Times New Roman"/>
                      <w:snapToGrid w:val="0"/>
                      <w:color w:val="000000"/>
                      <w:sz w:val="21"/>
                      <w:szCs w:val="21"/>
                    </w:rPr>
                    <w:t>不涉及。</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74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12" w:type="dxa"/>
                  <w:vMerge w:val="continue"/>
                  <w:vAlign w:val="center"/>
                </w:tcPr>
                <w:p>
                  <w:pPr>
                    <w:pStyle w:val="29"/>
                    <w:spacing w:before="0" w:beforeAutospacing="0" w:after="0" w:afterAutospacing="0"/>
                    <w:jc w:val="center"/>
                    <w:outlineLvl w:val="0"/>
                    <w:rPr>
                      <w:color w:val="000000"/>
                      <w:sz w:val="21"/>
                      <w:szCs w:val="21"/>
                    </w:rPr>
                  </w:pPr>
                </w:p>
              </w:tc>
              <w:tc>
                <w:tcPr>
                  <w:tcW w:w="861"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962" w:type="dxa"/>
                  <w:vMerge w:val="continue"/>
                  <w:vAlign w:val="center"/>
                </w:tcPr>
                <w:p>
                  <w:pPr>
                    <w:pStyle w:val="29"/>
                    <w:spacing w:before="0" w:beforeAutospacing="0" w:after="0" w:afterAutospacing="0"/>
                    <w:jc w:val="center"/>
                    <w:outlineLvl w:val="0"/>
                    <w:rPr>
                      <w:color w:val="000000"/>
                      <w:sz w:val="21"/>
                      <w:szCs w:val="21"/>
                    </w:rPr>
                  </w:pPr>
                </w:p>
              </w:tc>
              <w:tc>
                <w:tcPr>
                  <w:tcW w:w="1045"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4342" w:type="dxa"/>
                  <w:vAlign w:val="center"/>
                </w:tcPr>
                <w:p>
                  <w:pPr>
                    <w:pStyle w:val="140"/>
                    <w:jc w:val="both"/>
                    <w:rPr>
                      <w:snapToGrid w:val="0"/>
                      <w:kern w:val="2"/>
                    </w:rPr>
                  </w:pPr>
                  <w:r>
                    <w:rPr>
                      <w:rFonts w:hint="eastAsia"/>
                      <w:snapToGrid w:val="0"/>
                      <w:kern w:val="2"/>
                    </w:rPr>
                    <w:t>5、对列入疑似污染地块名单的地块，未经土壤污染状况调查确定为未污染地块的，不得进入用地程序，自然资源部门不得核发建设工程规划许可证。</w:t>
                  </w:r>
                </w:p>
              </w:tc>
              <w:tc>
                <w:tcPr>
                  <w:tcW w:w="2911"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本项目占地不属于疑似污染地块</w:t>
                  </w:r>
                  <w:r>
                    <w:rPr>
                      <w:rFonts w:hint="eastAsia" w:ascii="Times New Roman" w:hAnsi="Times New Roman"/>
                      <w:snapToGrid w:val="0"/>
                      <w:color w:val="000000"/>
                      <w:sz w:val="21"/>
                      <w:szCs w:val="21"/>
                    </w:rPr>
                    <w:t>。</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74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12" w:type="dxa"/>
                  <w:vMerge w:val="continue"/>
                  <w:vAlign w:val="center"/>
                </w:tcPr>
                <w:p>
                  <w:pPr>
                    <w:pStyle w:val="29"/>
                    <w:spacing w:before="0" w:beforeAutospacing="0" w:after="0" w:afterAutospacing="0"/>
                    <w:jc w:val="center"/>
                    <w:outlineLvl w:val="0"/>
                    <w:rPr>
                      <w:color w:val="000000"/>
                      <w:sz w:val="21"/>
                      <w:szCs w:val="21"/>
                    </w:rPr>
                  </w:pPr>
                </w:p>
              </w:tc>
              <w:tc>
                <w:tcPr>
                  <w:tcW w:w="861"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962" w:type="dxa"/>
                  <w:vMerge w:val="continue"/>
                  <w:vAlign w:val="center"/>
                </w:tcPr>
                <w:p>
                  <w:pPr>
                    <w:pStyle w:val="29"/>
                    <w:spacing w:before="0" w:beforeAutospacing="0" w:after="0" w:afterAutospacing="0"/>
                    <w:jc w:val="center"/>
                    <w:outlineLvl w:val="0"/>
                    <w:rPr>
                      <w:color w:val="000000"/>
                      <w:sz w:val="21"/>
                      <w:szCs w:val="21"/>
                    </w:rPr>
                  </w:pPr>
                </w:p>
              </w:tc>
              <w:tc>
                <w:tcPr>
                  <w:tcW w:w="1045"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4342" w:type="dxa"/>
                  <w:vAlign w:val="center"/>
                </w:tcPr>
                <w:p>
                  <w:pPr>
                    <w:pStyle w:val="140"/>
                    <w:jc w:val="both"/>
                  </w:pPr>
                  <w:r>
                    <w:rPr>
                      <w:rFonts w:hint="eastAsia"/>
                      <w:snapToGrid w:val="0"/>
                      <w:kern w:val="2"/>
                    </w:rPr>
                    <w:t>6、禁止新、改、扩建“两高”项目。</w:t>
                  </w:r>
                </w:p>
              </w:tc>
              <w:tc>
                <w:tcPr>
                  <w:tcW w:w="2911" w:type="dxa"/>
                  <w:vAlign w:val="center"/>
                </w:tcPr>
                <w:p>
                  <w:pPr>
                    <w:pStyle w:val="29"/>
                    <w:spacing w:before="0" w:beforeAutospacing="0" w:after="0" w:afterAutospacing="0"/>
                    <w:outlineLvl w:val="0"/>
                    <w:rPr>
                      <w:rFonts w:ascii="Times New Roman" w:hAnsi="Times New Roman"/>
                      <w:snapToGrid w:val="0"/>
                      <w:color w:val="000000"/>
                      <w:sz w:val="21"/>
                      <w:szCs w:val="21"/>
                    </w:rPr>
                  </w:pPr>
                  <w:r>
                    <w:rPr>
                      <w:rFonts w:ascii="Times New Roman" w:hAnsi="Times New Roman"/>
                      <w:snapToGrid w:val="0"/>
                      <w:color w:val="000000"/>
                      <w:sz w:val="21"/>
                      <w:szCs w:val="21"/>
                    </w:rPr>
                    <w:t>本项目不属于</w:t>
                  </w:r>
                  <w:r>
                    <w:rPr>
                      <w:rFonts w:hint="eastAsia" w:ascii="Times New Roman" w:hAnsi="Times New Roman"/>
                      <w:snapToGrid w:val="0"/>
                      <w:color w:val="000000"/>
                      <w:sz w:val="21"/>
                      <w:szCs w:val="21"/>
                    </w:rPr>
                    <w:t>“两高”项目。</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74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1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861"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96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45" w:type="dxa"/>
                  <w:vMerge w:val="restart"/>
                  <w:vAlign w:val="center"/>
                </w:tcPr>
                <w:p>
                  <w:pPr>
                    <w:autoSpaceDE w:val="0"/>
                    <w:autoSpaceDN w:val="0"/>
                    <w:adjustRightInd w:val="0"/>
                    <w:jc w:val="center"/>
                    <w:rPr>
                      <w:color w:val="000000"/>
                      <w:kern w:val="0"/>
                      <w:szCs w:val="21"/>
                    </w:rPr>
                  </w:pPr>
                  <w:r>
                    <w:rPr>
                      <w:color w:val="000000"/>
                      <w:kern w:val="0"/>
                      <w:szCs w:val="21"/>
                    </w:rPr>
                    <w:t>污染物排放管控</w:t>
                  </w:r>
                </w:p>
              </w:tc>
              <w:tc>
                <w:tcPr>
                  <w:tcW w:w="4342" w:type="dxa"/>
                  <w:vAlign w:val="center"/>
                </w:tcPr>
                <w:p>
                  <w:pPr>
                    <w:pStyle w:val="29"/>
                    <w:jc w:val="both"/>
                    <w:outlineLvl w:val="0"/>
                    <w:rPr>
                      <w:rFonts w:ascii="Times New Roman" w:hAnsi="Times New Roman"/>
                      <w:sz w:val="21"/>
                      <w:szCs w:val="21"/>
                    </w:rPr>
                  </w:pPr>
                  <w:r>
                    <w:rPr>
                      <w:rFonts w:ascii="Times New Roman" w:hAnsi="Times New Roman"/>
                      <w:sz w:val="21"/>
                      <w:szCs w:val="21"/>
                    </w:rPr>
                    <w:t>1、禁止含重金属废水进入城市生活污水处理厂。</w:t>
                  </w:r>
                </w:p>
              </w:tc>
              <w:tc>
                <w:tcPr>
                  <w:tcW w:w="2911"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本项目</w:t>
                  </w:r>
                  <w:r>
                    <w:rPr>
                      <w:rFonts w:hint="eastAsia" w:ascii="Times New Roman" w:hAnsi="Times New Roman"/>
                      <w:snapToGrid w:val="0"/>
                      <w:color w:val="000000"/>
                      <w:sz w:val="21"/>
                      <w:szCs w:val="21"/>
                    </w:rPr>
                    <w:t>为纸制品制造</w:t>
                  </w:r>
                  <w:r>
                    <w:rPr>
                      <w:rFonts w:ascii="Times New Roman" w:hAnsi="Times New Roman"/>
                      <w:snapToGrid w:val="0"/>
                      <w:color w:val="000000"/>
                      <w:sz w:val="21"/>
                      <w:szCs w:val="21"/>
                    </w:rPr>
                    <w:t>项目</w:t>
                  </w:r>
                  <w:r>
                    <w:rPr>
                      <w:rFonts w:hint="eastAsia" w:ascii="Times New Roman" w:hAnsi="Times New Roman"/>
                      <w:snapToGrid w:val="0"/>
                      <w:color w:val="000000"/>
                      <w:sz w:val="21"/>
                      <w:szCs w:val="21"/>
                    </w:rPr>
                    <w:t>，生产过程中不产生废水，故</w:t>
                  </w:r>
                  <w:r>
                    <w:rPr>
                      <w:rFonts w:ascii="Times New Roman" w:hAnsi="Times New Roman"/>
                      <w:snapToGrid w:val="0"/>
                      <w:color w:val="000000"/>
                      <w:sz w:val="21"/>
                      <w:szCs w:val="21"/>
                    </w:rPr>
                    <w:t>不</w:t>
                  </w:r>
                  <w:r>
                    <w:rPr>
                      <w:rFonts w:hint="eastAsia" w:ascii="Times New Roman" w:hAnsi="Times New Roman"/>
                      <w:snapToGrid w:val="0"/>
                      <w:color w:val="000000"/>
                      <w:sz w:val="21"/>
                      <w:szCs w:val="21"/>
                    </w:rPr>
                    <w:t>产排</w:t>
                  </w:r>
                  <w:r>
                    <w:rPr>
                      <w:rFonts w:ascii="Times New Roman" w:hAnsi="Times New Roman"/>
                      <w:snapToGrid w:val="0"/>
                      <w:color w:val="000000"/>
                      <w:sz w:val="21"/>
                      <w:szCs w:val="21"/>
                    </w:rPr>
                    <w:t>重金属废水进入城市生活污水处理厂</w:t>
                  </w:r>
                  <w:r>
                    <w:rPr>
                      <w:rFonts w:hint="eastAsia" w:ascii="Times New Roman" w:hAnsi="Times New Roman"/>
                      <w:snapToGrid w:val="0"/>
                      <w:color w:val="000000"/>
                      <w:sz w:val="21"/>
                      <w:szCs w:val="21"/>
                    </w:rPr>
                    <w:t>。</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74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1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861"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96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45" w:type="dxa"/>
                  <w:vMerge w:val="continue"/>
                  <w:vAlign w:val="center"/>
                </w:tcPr>
                <w:p>
                  <w:pPr>
                    <w:autoSpaceDE w:val="0"/>
                    <w:autoSpaceDN w:val="0"/>
                    <w:adjustRightInd w:val="0"/>
                    <w:jc w:val="center"/>
                    <w:rPr>
                      <w:color w:val="000000"/>
                      <w:kern w:val="0"/>
                      <w:szCs w:val="21"/>
                    </w:rPr>
                  </w:pPr>
                </w:p>
              </w:tc>
              <w:tc>
                <w:tcPr>
                  <w:tcW w:w="4342" w:type="dxa"/>
                  <w:vAlign w:val="center"/>
                </w:tcPr>
                <w:p>
                  <w:pPr>
                    <w:pStyle w:val="270"/>
                    <w:framePr w:hSpace="0" w:wrap="auto" w:vAnchor="margin" w:hAnchor="text" w:yAlign="inline"/>
                    <w:rPr>
                      <w:rFonts w:ascii="Times New Roman" w:hAnsi="Times New Roman" w:eastAsia="宋体"/>
                      <w:sz w:val="21"/>
                      <w:szCs w:val="21"/>
                    </w:rPr>
                  </w:pPr>
                  <w:r>
                    <w:rPr>
                      <w:rFonts w:ascii="Times New Roman" w:hAnsi="Times New Roman" w:eastAsia="宋体"/>
                      <w:sz w:val="21"/>
                      <w:szCs w:val="21"/>
                    </w:rPr>
                    <w:t>2、禁止填埋场渗滤液直排或超标排放。</w:t>
                  </w:r>
                </w:p>
              </w:tc>
              <w:tc>
                <w:tcPr>
                  <w:tcW w:w="2911" w:type="dxa"/>
                  <w:vAlign w:val="center"/>
                </w:tcPr>
                <w:p>
                  <w:pPr>
                    <w:pStyle w:val="29"/>
                    <w:jc w:val="center"/>
                    <w:outlineLvl w:val="0"/>
                    <w:rPr>
                      <w:bCs/>
                      <w:color w:val="000000"/>
                      <w:szCs w:val="21"/>
                      <w:highlight w:val="yellow"/>
                    </w:rPr>
                  </w:pPr>
                  <w:r>
                    <w:rPr>
                      <w:rFonts w:hint="eastAsia" w:ascii="Times New Roman" w:hAnsi="Times New Roman"/>
                      <w:snapToGrid w:val="0"/>
                      <w:color w:val="000000"/>
                      <w:sz w:val="21"/>
                      <w:szCs w:val="21"/>
                    </w:rPr>
                    <w:t>不涉及。</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74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1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861"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96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45" w:type="dxa"/>
                  <w:vMerge w:val="continue"/>
                  <w:vAlign w:val="center"/>
                </w:tcPr>
                <w:p>
                  <w:pPr>
                    <w:autoSpaceDE w:val="0"/>
                    <w:autoSpaceDN w:val="0"/>
                    <w:adjustRightInd w:val="0"/>
                    <w:jc w:val="center"/>
                    <w:rPr>
                      <w:color w:val="000000"/>
                      <w:kern w:val="0"/>
                      <w:szCs w:val="21"/>
                    </w:rPr>
                  </w:pPr>
                </w:p>
              </w:tc>
              <w:tc>
                <w:tcPr>
                  <w:tcW w:w="4342" w:type="dxa"/>
                  <w:vAlign w:val="center"/>
                </w:tcPr>
                <w:p>
                  <w:pPr>
                    <w:pStyle w:val="29"/>
                    <w:jc w:val="both"/>
                    <w:outlineLvl w:val="0"/>
                    <w:rPr>
                      <w:rFonts w:ascii="Times New Roman" w:hAnsi="Times New Roman"/>
                      <w:sz w:val="21"/>
                      <w:szCs w:val="21"/>
                    </w:rPr>
                  </w:pPr>
                  <w:r>
                    <w:rPr>
                      <w:rFonts w:ascii="Times New Roman" w:hAnsi="Times New Roman"/>
                      <w:sz w:val="21"/>
                      <w:szCs w:val="21"/>
                    </w:rPr>
                    <w:t>3、推进城中村、老旧城区和城乡结合部污水处理配套管网建设和雨污分流系统改造，实现污水全收集、全处理。</w:t>
                  </w:r>
                </w:p>
              </w:tc>
              <w:tc>
                <w:tcPr>
                  <w:tcW w:w="2911" w:type="dxa"/>
                  <w:vAlign w:val="center"/>
                </w:tcPr>
                <w:p>
                  <w:pPr>
                    <w:pStyle w:val="29"/>
                    <w:outlineLvl w:val="0"/>
                    <w:rPr>
                      <w:rFonts w:ascii="Times New Roman" w:hAnsi="Times New Roman"/>
                      <w:snapToGrid w:val="0"/>
                      <w:color w:val="000000"/>
                      <w:sz w:val="21"/>
                      <w:szCs w:val="21"/>
                    </w:rPr>
                  </w:pPr>
                  <w:r>
                    <w:rPr>
                      <w:rFonts w:hint="eastAsia" w:ascii="Times New Roman" w:hAnsi="Times New Roman"/>
                      <w:snapToGrid w:val="0"/>
                      <w:color w:val="000000"/>
                      <w:sz w:val="21"/>
                      <w:szCs w:val="21"/>
                    </w:rPr>
                    <w:t>项目</w:t>
                  </w:r>
                  <w:r>
                    <w:rPr>
                      <w:rFonts w:ascii="Times New Roman" w:hAnsi="Times New Roman"/>
                      <w:snapToGrid w:val="0"/>
                      <w:color w:val="000000"/>
                      <w:sz w:val="21"/>
                      <w:szCs w:val="21"/>
                    </w:rPr>
                    <w:t>生产不涉及废水排放</w:t>
                  </w:r>
                  <w:r>
                    <w:rPr>
                      <w:rFonts w:hint="eastAsia" w:ascii="Times New Roman" w:hAnsi="Times New Roman"/>
                      <w:snapToGrid w:val="0"/>
                      <w:color w:val="000000"/>
                      <w:sz w:val="21"/>
                      <w:szCs w:val="21"/>
                    </w:rPr>
                    <w:t>，</w:t>
                  </w:r>
                  <w:r>
                    <w:rPr>
                      <w:rFonts w:ascii="Times New Roman" w:hAnsi="Times New Roman"/>
                      <w:snapToGrid w:val="0"/>
                      <w:color w:val="000000"/>
                      <w:sz w:val="21"/>
                      <w:szCs w:val="21"/>
                    </w:rPr>
                    <w:t>厂区现有废水经处理后可以通过市政污水管网进入新乡县综合污水处理厂</w:t>
                  </w:r>
                  <w:r>
                    <w:rPr>
                      <w:rFonts w:hint="eastAsia" w:ascii="Times New Roman" w:hAnsi="Times New Roman"/>
                      <w:snapToGrid w:val="0"/>
                      <w:color w:val="000000"/>
                      <w:sz w:val="21"/>
                      <w:szCs w:val="21"/>
                    </w:rPr>
                    <w:t>。</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74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1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861"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96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45" w:type="dxa"/>
                  <w:vMerge w:val="continue"/>
                  <w:vAlign w:val="center"/>
                </w:tcPr>
                <w:p>
                  <w:pPr>
                    <w:autoSpaceDE w:val="0"/>
                    <w:autoSpaceDN w:val="0"/>
                    <w:adjustRightInd w:val="0"/>
                    <w:jc w:val="center"/>
                    <w:rPr>
                      <w:color w:val="000000"/>
                      <w:kern w:val="0"/>
                      <w:szCs w:val="21"/>
                    </w:rPr>
                  </w:pPr>
                </w:p>
              </w:tc>
              <w:tc>
                <w:tcPr>
                  <w:tcW w:w="4342" w:type="dxa"/>
                  <w:vAlign w:val="center"/>
                </w:tcPr>
                <w:p>
                  <w:pPr>
                    <w:pStyle w:val="29"/>
                    <w:jc w:val="both"/>
                    <w:outlineLvl w:val="0"/>
                    <w:rPr>
                      <w:rFonts w:ascii="Times New Roman" w:hAnsi="Times New Roman"/>
                      <w:sz w:val="21"/>
                      <w:szCs w:val="21"/>
                    </w:rPr>
                  </w:pPr>
                  <w:r>
                    <w:rPr>
                      <w:rFonts w:hint="eastAsia" w:ascii="Times New Roman" w:hAnsi="Times New Roman"/>
                      <w:sz w:val="21"/>
                      <w:szCs w:val="21"/>
                    </w:rPr>
                    <w:t>4、二氧化硫、氮氧化物、颗粒物、VOCs全面执行大气污染物特别排放限值。</w:t>
                  </w:r>
                </w:p>
              </w:tc>
              <w:tc>
                <w:tcPr>
                  <w:tcW w:w="2911" w:type="dxa"/>
                  <w:vAlign w:val="center"/>
                </w:tcPr>
                <w:p>
                  <w:pPr>
                    <w:pStyle w:val="140"/>
                    <w:jc w:val="both"/>
                    <w:rPr>
                      <w:snapToGrid w:val="0"/>
                      <w:kern w:val="2"/>
                    </w:rPr>
                  </w:pPr>
                  <w:r>
                    <w:rPr>
                      <w:snapToGrid w:val="0"/>
                      <w:kern w:val="2"/>
                    </w:rPr>
                    <w:t>本项目属于纸制品制造，产生的颗粒物执行《新乡市生态环境局关于进一步规范工业企业颗粒物排放限值的通知》（其他涉气工业企业）中颗粒物10mg/m</w:t>
                  </w:r>
                  <w:r>
                    <w:rPr>
                      <w:snapToGrid w:val="0"/>
                      <w:kern w:val="2"/>
                      <w:vertAlign w:val="superscript"/>
                    </w:rPr>
                    <w:t>3</w:t>
                  </w:r>
                  <w:r>
                    <w:rPr>
                      <w:snapToGrid w:val="0"/>
                      <w:kern w:val="2"/>
                    </w:rPr>
                    <w:t>的限值要求。</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74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1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861"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96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45" w:type="dxa"/>
                  <w:vMerge w:val="continue"/>
                  <w:vAlign w:val="center"/>
                </w:tcPr>
                <w:p>
                  <w:pPr>
                    <w:autoSpaceDE w:val="0"/>
                    <w:autoSpaceDN w:val="0"/>
                    <w:adjustRightInd w:val="0"/>
                    <w:jc w:val="center"/>
                    <w:rPr>
                      <w:color w:val="000000"/>
                      <w:kern w:val="0"/>
                      <w:szCs w:val="21"/>
                    </w:rPr>
                  </w:pPr>
                </w:p>
              </w:tc>
              <w:tc>
                <w:tcPr>
                  <w:tcW w:w="4342" w:type="dxa"/>
                  <w:vAlign w:val="center"/>
                </w:tcPr>
                <w:p>
                  <w:pPr>
                    <w:pStyle w:val="29"/>
                    <w:jc w:val="both"/>
                    <w:outlineLvl w:val="0"/>
                    <w:rPr>
                      <w:rFonts w:ascii="Times New Roman" w:hAnsi="Times New Roman"/>
                      <w:sz w:val="21"/>
                      <w:szCs w:val="21"/>
                    </w:rPr>
                  </w:pPr>
                  <w:r>
                    <w:rPr>
                      <w:rFonts w:hint="eastAsia" w:ascii="Times New Roman" w:hAnsi="Times New Roman"/>
                      <w:sz w:val="21"/>
                      <w:szCs w:val="21"/>
                    </w:rPr>
                    <w:t>5、污水处理厂逐步实施技改，出水执行《地表水环境质量标准》（GB3838-2002）</w:t>
                  </w:r>
                  <w:r>
                    <w:rPr>
                      <w:rFonts w:ascii="Times New Roman" w:hAnsi="Times New Roman"/>
                      <w:sz w:val="21"/>
                      <w:szCs w:val="21"/>
                    </w:rPr>
                    <w:t>Ⅴ</w:t>
                  </w:r>
                  <w:r>
                    <w:rPr>
                      <w:rFonts w:hint="eastAsia" w:ascii="Times New Roman" w:hAnsi="Times New Roman"/>
                      <w:sz w:val="21"/>
                      <w:szCs w:val="21"/>
                    </w:rPr>
                    <w:t>类标准要求，减少对纳污水体的影响；加快污水处理厂配套管网建设，以满足园区企业污水处理的需求，确保入区企业外排废水全部经管网收集后进入污水处理厂处理。</w:t>
                  </w:r>
                </w:p>
              </w:tc>
              <w:tc>
                <w:tcPr>
                  <w:tcW w:w="2911" w:type="dxa"/>
                  <w:vAlign w:val="center"/>
                </w:tcPr>
                <w:p>
                  <w:pPr>
                    <w:pStyle w:val="29"/>
                    <w:jc w:val="center"/>
                    <w:outlineLvl w:val="0"/>
                    <w:rPr>
                      <w:rFonts w:ascii="Times New Roman" w:hAnsi="Times New Roman"/>
                      <w:snapToGrid w:val="0"/>
                      <w:color w:val="000000"/>
                      <w:sz w:val="21"/>
                      <w:szCs w:val="21"/>
                    </w:rPr>
                  </w:pPr>
                  <w:r>
                    <w:rPr>
                      <w:rFonts w:hint="eastAsia" w:ascii="Times New Roman" w:hAnsi="Times New Roman"/>
                      <w:snapToGrid w:val="0"/>
                      <w:color w:val="000000"/>
                      <w:sz w:val="21"/>
                      <w:szCs w:val="21"/>
                    </w:rPr>
                    <w:t>不涉及。</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74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1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861"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96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45" w:type="dxa"/>
                  <w:vMerge w:val="restart"/>
                  <w:vAlign w:val="center"/>
                </w:tcPr>
                <w:p>
                  <w:pPr>
                    <w:autoSpaceDE w:val="0"/>
                    <w:autoSpaceDN w:val="0"/>
                    <w:adjustRightInd w:val="0"/>
                    <w:jc w:val="center"/>
                    <w:rPr>
                      <w:color w:val="000000"/>
                      <w:kern w:val="0"/>
                      <w:szCs w:val="21"/>
                    </w:rPr>
                  </w:pPr>
                  <w:r>
                    <w:rPr>
                      <w:color w:val="000000"/>
                      <w:kern w:val="0"/>
                      <w:szCs w:val="21"/>
                    </w:rPr>
                    <w:t>环境风险防控</w:t>
                  </w:r>
                </w:p>
              </w:tc>
              <w:tc>
                <w:tcPr>
                  <w:tcW w:w="4342" w:type="dxa"/>
                  <w:vAlign w:val="center"/>
                </w:tcPr>
                <w:p>
                  <w:pPr>
                    <w:pStyle w:val="29"/>
                    <w:jc w:val="both"/>
                    <w:outlineLvl w:val="0"/>
                    <w:rPr>
                      <w:rFonts w:ascii="Times New Roman" w:hAnsi="Times New Roman" w:eastAsia="仿宋"/>
                      <w:sz w:val="20"/>
                    </w:rPr>
                  </w:pPr>
                  <w:r>
                    <w:rPr>
                      <w:rFonts w:ascii="Times New Roman" w:hAnsi="Times New Roman"/>
                      <w:sz w:val="21"/>
                      <w:szCs w:val="21"/>
                    </w:rPr>
                    <w:t>1、有色金属冶炼、铅酸蓄电池、石油加工、化工、电镀、制革和危险化学品生产、储存、使用等企业在拆除生产设施设备、污染治理设施时，要事先制定残留污染物清理和安全处置方案。</w:t>
                  </w:r>
                </w:p>
              </w:tc>
              <w:tc>
                <w:tcPr>
                  <w:tcW w:w="2911"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color w:val="000000"/>
                      <w:sz w:val="21"/>
                      <w:szCs w:val="21"/>
                    </w:rPr>
                    <w:t>本项目</w:t>
                  </w:r>
                  <w:r>
                    <w:rPr>
                      <w:rFonts w:hint="eastAsia" w:ascii="Times New Roman" w:hAnsi="Times New Roman"/>
                      <w:color w:val="000000"/>
                      <w:sz w:val="21"/>
                      <w:szCs w:val="21"/>
                    </w:rPr>
                    <w:t>为纸制品制造项目，不属于管控要求中的行业，故不需要制定残留污染物清理和安全处置方案。</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74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1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861"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96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45" w:type="dxa"/>
                  <w:vMerge w:val="continue"/>
                  <w:vAlign w:val="center"/>
                </w:tcPr>
                <w:p>
                  <w:pPr>
                    <w:autoSpaceDE w:val="0"/>
                    <w:autoSpaceDN w:val="0"/>
                    <w:adjustRightInd w:val="0"/>
                    <w:jc w:val="center"/>
                    <w:rPr>
                      <w:color w:val="000000"/>
                      <w:kern w:val="0"/>
                      <w:szCs w:val="21"/>
                    </w:rPr>
                  </w:pPr>
                </w:p>
              </w:tc>
              <w:tc>
                <w:tcPr>
                  <w:tcW w:w="4342" w:type="dxa"/>
                  <w:vAlign w:val="center"/>
                </w:tcPr>
                <w:p>
                  <w:pPr>
                    <w:autoSpaceDE w:val="0"/>
                    <w:autoSpaceDN w:val="0"/>
                    <w:adjustRightInd w:val="0"/>
                    <w:rPr>
                      <w:color w:val="000000"/>
                      <w:kern w:val="0"/>
                      <w:szCs w:val="21"/>
                    </w:rPr>
                  </w:pPr>
                  <w:r>
                    <w:rPr>
                      <w:rFonts w:hint="eastAsia"/>
                      <w:color w:val="000000"/>
                      <w:kern w:val="0"/>
                      <w:szCs w:val="21"/>
                    </w:rPr>
                    <w:t>2</w:t>
                  </w:r>
                  <w:r>
                    <w:rPr>
                      <w:color w:val="000000"/>
                      <w:kern w:val="0"/>
                      <w:szCs w:val="21"/>
                    </w:rPr>
                    <w:t>、高关注地块划分污染风险等级，纳入优先管控名录。</w:t>
                  </w:r>
                </w:p>
              </w:tc>
              <w:tc>
                <w:tcPr>
                  <w:tcW w:w="2911"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本项目选址不属于高关注地块</w:t>
                  </w:r>
                  <w:r>
                    <w:rPr>
                      <w:rFonts w:hint="eastAsia" w:ascii="Times New Roman" w:hAnsi="Times New Roman"/>
                      <w:snapToGrid w:val="0"/>
                      <w:color w:val="000000"/>
                      <w:sz w:val="21"/>
                      <w:szCs w:val="21"/>
                    </w:rPr>
                    <w:t>，不划分污染风险等级，不纳入优先管控名录。</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74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1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861"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96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45" w:type="dxa"/>
                  <w:vMerge w:val="continue"/>
                  <w:vAlign w:val="center"/>
                </w:tcPr>
                <w:p>
                  <w:pPr>
                    <w:autoSpaceDE w:val="0"/>
                    <w:autoSpaceDN w:val="0"/>
                    <w:adjustRightInd w:val="0"/>
                    <w:jc w:val="center"/>
                    <w:rPr>
                      <w:color w:val="000000"/>
                      <w:kern w:val="0"/>
                      <w:szCs w:val="21"/>
                    </w:rPr>
                  </w:pPr>
                </w:p>
              </w:tc>
              <w:tc>
                <w:tcPr>
                  <w:tcW w:w="4342" w:type="dxa"/>
                  <w:vAlign w:val="center"/>
                </w:tcPr>
                <w:p>
                  <w:pPr>
                    <w:pStyle w:val="29"/>
                    <w:jc w:val="both"/>
                    <w:outlineLvl w:val="0"/>
                    <w:rPr>
                      <w:rFonts w:ascii="Times New Roman" w:hAnsi="Times New Roman"/>
                      <w:sz w:val="21"/>
                      <w:szCs w:val="21"/>
                    </w:rPr>
                  </w:pPr>
                  <w:r>
                    <w:rPr>
                      <w:rFonts w:hint="eastAsia" w:ascii="Times New Roman" w:hAnsi="Times New Roman"/>
                      <w:sz w:val="21"/>
                      <w:szCs w:val="21"/>
                    </w:rPr>
                    <w:t>3、产业集聚区加快环境风险预警体系建设，健全环境风险单位信息库，严格危险化学品管理。</w:t>
                  </w:r>
                </w:p>
              </w:tc>
              <w:tc>
                <w:tcPr>
                  <w:tcW w:w="2911"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不涉及</w:t>
                  </w:r>
                  <w:r>
                    <w:rPr>
                      <w:rFonts w:hint="eastAsia" w:ascii="Times New Roman" w:hAnsi="Times New Roman"/>
                      <w:snapToGrid w:val="0"/>
                      <w:color w:val="000000"/>
                      <w:sz w:val="21"/>
                      <w:szCs w:val="21"/>
                    </w:rPr>
                    <w:t>。</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74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1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861"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96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45" w:type="dxa"/>
                  <w:vMerge w:val="continue"/>
                  <w:vAlign w:val="center"/>
                </w:tcPr>
                <w:p>
                  <w:pPr>
                    <w:autoSpaceDE w:val="0"/>
                    <w:autoSpaceDN w:val="0"/>
                    <w:adjustRightInd w:val="0"/>
                    <w:jc w:val="center"/>
                    <w:rPr>
                      <w:color w:val="000000"/>
                      <w:kern w:val="0"/>
                      <w:szCs w:val="21"/>
                    </w:rPr>
                  </w:pPr>
                </w:p>
              </w:tc>
              <w:tc>
                <w:tcPr>
                  <w:tcW w:w="4342" w:type="dxa"/>
                  <w:vAlign w:val="center"/>
                </w:tcPr>
                <w:p>
                  <w:pPr>
                    <w:pStyle w:val="29"/>
                    <w:jc w:val="both"/>
                    <w:outlineLvl w:val="0"/>
                    <w:rPr>
                      <w:rFonts w:ascii="Times New Roman" w:hAnsi="Times New Roman"/>
                      <w:sz w:val="21"/>
                      <w:szCs w:val="21"/>
                    </w:rPr>
                  </w:pPr>
                  <w:r>
                    <w:rPr>
                      <w:rFonts w:hint="eastAsia" w:ascii="Times New Roman" w:hAnsi="Times New Roman"/>
                      <w:sz w:val="21"/>
                      <w:szCs w:val="21"/>
                    </w:rPr>
                    <w:t>4、产业集聚区建立完善有效的环境风险防控设施和有效的拦截、降污、导流等措施，防止对地表水环境造成危害。</w:t>
                  </w:r>
                </w:p>
              </w:tc>
              <w:tc>
                <w:tcPr>
                  <w:tcW w:w="2911"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不涉及</w:t>
                  </w:r>
                  <w:r>
                    <w:rPr>
                      <w:rFonts w:hint="eastAsia" w:ascii="Times New Roman" w:hAnsi="Times New Roman"/>
                      <w:snapToGrid w:val="0"/>
                      <w:color w:val="000000"/>
                      <w:sz w:val="21"/>
                      <w:szCs w:val="21"/>
                    </w:rPr>
                    <w:t>。</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74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1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861"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96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45" w:type="dxa"/>
                  <w:vMerge w:val="continue"/>
                  <w:vAlign w:val="center"/>
                </w:tcPr>
                <w:p>
                  <w:pPr>
                    <w:autoSpaceDE w:val="0"/>
                    <w:autoSpaceDN w:val="0"/>
                    <w:adjustRightInd w:val="0"/>
                    <w:jc w:val="center"/>
                    <w:rPr>
                      <w:color w:val="000000"/>
                      <w:kern w:val="0"/>
                      <w:szCs w:val="21"/>
                    </w:rPr>
                  </w:pPr>
                </w:p>
              </w:tc>
              <w:tc>
                <w:tcPr>
                  <w:tcW w:w="4342" w:type="dxa"/>
                  <w:vAlign w:val="center"/>
                </w:tcPr>
                <w:p>
                  <w:pPr>
                    <w:pStyle w:val="29"/>
                    <w:jc w:val="both"/>
                    <w:outlineLvl w:val="0"/>
                    <w:rPr>
                      <w:rFonts w:ascii="Times New Roman" w:hAnsi="Times New Roman"/>
                      <w:sz w:val="21"/>
                      <w:szCs w:val="21"/>
                    </w:rPr>
                  </w:pPr>
                  <w:r>
                    <w:rPr>
                      <w:rFonts w:hint="eastAsia" w:ascii="Times New Roman" w:hAnsi="Times New Roman"/>
                      <w:sz w:val="21"/>
                      <w:szCs w:val="21"/>
                    </w:rPr>
                    <w:t>5、产业集聚区对化工企业加强管理，建立土壤和地下水污染隐患排查治理制度、风险防控体系和长效监管机制。</w:t>
                  </w:r>
                </w:p>
              </w:tc>
              <w:tc>
                <w:tcPr>
                  <w:tcW w:w="2911"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不涉及</w:t>
                  </w:r>
                  <w:r>
                    <w:rPr>
                      <w:rFonts w:hint="eastAsia" w:ascii="Times New Roman" w:hAnsi="Times New Roman"/>
                      <w:snapToGrid w:val="0"/>
                      <w:color w:val="000000"/>
                      <w:sz w:val="21"/>
                      <w:szCs w:val="21"/>
                    </w:rPr>
                    <w:t>。</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74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1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861"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96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45" w:type="dxa"/>
                  <w:vMerge w:val="continue"/>
                  <w:vAlign w:val="center"/>
                </w:tcPr>
                <w:p>
                  <w:pPr>
                    <w:autoSpaceDE w:val="0"/>
                    <w:autoSpaceDN w:val="0"/>
                    <w:adjustRightInd w:val="0"/>
                    <w:jc w:val="center"/>
                    <w:rPr>
                      <w:color w:val="000000"/>
                      <w:kern w:val="0"/>
                      <w:szCs w:val="21"/>
                    </w:rPr>
                  </w:pPr>
                </w:p>
              </w:tc>
              <w:tc>
                <w:tcPr>
                  <w:tcW w:w="4342" w:type="dxa"/>
                  <w:vAlign w:val="center"/>
                </w:tcPr>
                <w:p>
                  <w:pPr>
                    <w:pStyle w:val="29"/>
                    <w:jc w:val="both"/>
                    <w:outlineLvl w:val="0"/>
                    <w:rPr>
                      <w:rFonts w:ascii="Times New Roman" w:hAnsi="Times New Roman"/>
                      <w:sz w:val="21"/>
                      <w:szCs w:val="21"/>
                    </w:rPr>
                  </w:pPr>
                  <w:r>
                    <w:rPr>
                      <w:rFonts w:hint="eastAsia" w:ascii="Times New Roman" w:hAnsi="Times New Roman"/>
                      <w:sz w:val="21"/>
                      <w:szCs w:val="21"/>
                    </w:rPr>
                    <w:t>6、产业集聚区加强应急方案的制定，制定区域环境监管计划，保证周围居民不受大的影响。</w:t>
                  </w:r>
                </w:p>
              </w:tc>
              <w:tc>
                <w:tcPr>
                  <w:tcW w:w="2911"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不涉及</w:t>
                  </w:r>
                  <w:r>
                    <w:rPr>
                      <w:rFonts w:hint="eastAsia" w:ascii="Times New Roman" w:hAnsi="Times New Roman"/>
                      <w:snapToGrid w:val="0"/>
                      <w:color w:val="000000"/>
                      <w:sz w:val="21"/>
                      <w:szCs w:val="21"/>
                    </w:rPr>
                    <w:t>。</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74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1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861"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96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45" w:type="dxa"/>
                  <w:vMerge w:val="continue"/>
                  <w:vAlign w:val="center"/>
                </w:tcPr>
                <w:p>
                  <w:pPr>
                    <w:autoSpaceDE w:val="0"/>
                    <w:autoSpaceDN w:val="0"/>
                    <w:adjustRightInd w:val="0"/>
                    <w:jc w:val="center"/>
                    <w:rPr>
                      <w:color w:val="000000"/>
                      <w:kern w:val="0"/>
                      <w:szCs w:val="21"/>
                    </w:rPr>
                  </w:pPr>
                </w:p>
              </w:tc>
              <w:tc>
                <w:tcPr>
                  <w:tcW w:w="4342" w:type="dxa"/>
                  <w:vAlign w:val="center"/>
                </w:tcPr>
                <w:p>
                  <w:pPr>
                    <w:pStyle w:val="29"/>
                    <w:jc w:val="both"/>
                    <w:outlineLvl w:val="0"/>
                    <w:rPr>
                      <w:rFonts w:ascii="Times New Roman" w:hAnsi="Times New Roman"/>
                      <w:sz w:val="21"/>
                      <w:szCs w:val="21"/>
                    </w:rPr>
                  </w:pPr>
                  <w:r>
                    <w:rPr>
                      <w:rFonts w:hint="eastAsia" w:ascii="Times New Roman" w:hAnsi="Times New Roman"/>
                      <w:sz w:val="21"/>
                      <w:szCs w:val="21"/>
                    </w:rPr>
                    <w:t>7、规划项目在选址布局时要充分考虑大气防护距离要求，避免事故发生时对居住人群的影响。</w:t>
                  </w:r>
                </w:p>
              </w:tc>
              <w:tc>
                <w:tcPr>
                  <w:tcW w:w="2911"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snapToGrid w:val="0"/>
                      <w:color w:val="000000"/>
                      <w:sz w:val="21"/>
                      <w:szCs w:val="21"/>
                    </w:rPr>
                    <w:t>本项目选址</w:t>
                  </w:r>
                  <w:r>
                    <w:rPr>
                      <w:rFonts w:hint="eastAsia"/>
                      <w:snapToGrid w:val="0"/>
                      <w:kern w:val="2"/>
                      <w:sz w:val="21"/>
                      <w:szCs w:val="21"/>
                    </w:rPr>
                    <w:t>位于河南兴泰纸业有限公司现有厂区进行建设，项目本身不涉及重大环境风险。</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74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1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861"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962" w:type="dxa"/>
                  <w:vMerge w:val="continue"/>
                  <w:vAlign w:val="center"/>
                </w:tcPr>
                <w:p>
                  <w:pPr>
                    <w:pStyle w:val="29"/>
                    <w:spacing w:before="0" w:beforeAutospacing="0" w:after="0" w:afterAutospacing="0"/>
                    <w:jc w:val="center"/>
                    <w:outlineLvl w:val="0"/>
                    <w:rPr>
                      <w:rFonts w:ascii="Times New Roman" w:hAnsi="Times New Roman"/>
                      <w:snapToGrid w:val="0"/>
                      <w:color w:val="000000"/>
                      <w:sz w:val="21"/>
                      <w:szCs w:val="21"/>
                    </w:rPr>
                  </w:pPr>
                </w:p>
              </w:tc>
              <w:tc>
                <w:tcPr>
                  <w:tcW w:w="1045" w:type="dxa"/>
                  <w:vAlign w:val="center"/>
                </w:tcPr>
                <w:p>
                  <w:pPr>
                    <w:autoSpaceDE w:val="0"/>
                    <w:autoSpaceDN w:val="0"/>
                    <w:adjustRightInd w:val="0"/>
                    <w:jc w:val="center"/>
                    <w:rPr>
                      <w:color w:val="000000"/>
                      <w:kern w:val="0"/>
                      <w:szCs w:val="21"/>
                    </w:rPr>
                  </w:pPr>
                  <w:r>
                    <w:rPr>
                      <w:color w:val="000000"/>
                      <w:kern w:val="0"/>
                      <w:szCs w:val="21"/>
                    </w:rPr>
                    <w:t>资源利用效率要求</w:t>
                  </w:r>
                </w:p>
              </w:tc>
              <w:tc>
                <w:tcPr>
                  <w:tcW w:w="4342" w:type="dxa"/>
                  <w:vAlign w:val="center"/>
                </w:tcPr>
                <w:p>
                  <w:pPr>
                    <w:pStyle w:val="29"/>
                    <w:jc w:val="both"/>
                    <w:outlineLvl w:val="0"/>
                    <w:rPr>
                      <w:rFonts w:ascii="Times New Roman" w:hAnsi="Times New Roman"/>
                      <w:color w:val="000000"/>
                      <w:sz w:val="21"/>
                      <w:szCs w:val="21"/>
                    </w:rPr>
                  </w:pPr>
                  <w:r>
                    <w:rPr>
                      <w:rFonts w:hint="eastAsia" w:ascii="Times New Roman" w:hAnsi="Times New Roman"/>
                      <w:sz w:val="21"/>
                      <w:szCs w:val="21"/>
                    </w:rPr>
                    <w:t>进一步优化能源结构，加快产业集聚区集中供热、供水及中水回用等配套管网建设。</w:t>
                  </w:r>
                </w:p>
              </w:tc>
              <w:tc>
                <w:tcPr>
                  <w:tcW w:w="2911" w:type="dxa"/>
                  <w:vAlign w:val="center"/>
                </w:tcPr>
                <w:p>
                  <w:pPr>
                    <w:pStyle w:val="29"/>
                    <w:spacing w:before="0" w:beforeAutospacing="0" w:after="0" w:afterAutospacing="0"/>
                    <w:jc w:val="center"/>
                    <w:outlineLvl w:val="0"/>
                    <w:rPr>
                      <w:rFonts w:ascii="Times New Roman" w:hAnsi="Times New Roman"/>
                      <w:color w:val="000000"/>
                      <w:sz w:val="21"/>
                      <w:szCs w:val="21"/>
                    </w:rPr>
                  </w:pPr>
                  <w:r>
                    <w:rPr>
                      <w:rFonts w:hint="eastAsia" w:ascii="Times New Roman" w:hAnsi="Times New Roman"/>
                      <w:color w:val="000000"/>
                      <w:sz w:val="21"/>
                      <w:szCs w:val="21"/>
                    </w:rPr>
                    <w:t>/</w:t>
                  </w:r>
                </w:p>
              </w:tc>
              <w:tc>
                <w:tcPr>
                  <w:tcW w:w="686" w:type="dxa"/>
                  <w:vAlign w:val="center"/>
                </w:tcPr>
                <w:p>
                  <w:pPr>
                    <w:pStyle w:val="29"/>
                    <w:spacing w:before="0" w:beforeAutospacing="0" w:after="0" w:afterAutospacing="0"/>
                    <w:jc w:val="center"/>
                    <w:outlineLvl w:val="0"/>
                    <w:rPr>
                      <w:rFonts w:ascii="Times New Roman" w:hAnsi="Times New Roman"/>
                      <w:snapToGrid w:val="0"/>
                      <w:color w:val="000000"/>
                      <w:sz w:val="21"/>
                      <w:szCs w:val="21"/>
                    </w:rPr>
                  </w:pPr>
                  <w:r>
                    <w:rPr>
                      <w:rFonts w:hint="eastAsia" w:ascii="Times New Roman" w:hAnsi="Times New Roman"/>
                      <w:snapToGrid w:val="0"/>
                      <w:color w:val="000000"/>
                      <w:sz w:val="21"/>
                      <w:szCs w:val="21"/>
                    </w:rPr>
                    <w:t>/</w:t>
                  </w:r>
                </w:p>
              </w:tc>
            </w:tr>
          </w:tbl>
          <w:p>
            <w:pPr>
              <w:pStyle w:val="29"/>
              <w:spacing w:before="0" w:beforeAutospacing="0" w:after="0" w:afterAutospacing="0" w:line="460" w:lineRule="exact"/>
              <w:ind w:firstLine="480" w:firstLineChars="200"/>
              <w:jc w:val="both"/>
              <w:outlineLvl w:val="0"/>
              <w:rPr>
                <w:color w:val="000000"/>
              </w:rPr>
            </w:pPr>
            <w:r>
              <w:rPr>
                <w:rFonts w:hint="eastAsia" w:ascii="Times New Roman" w:hAnsi="Times New Roman"/>
                <w:color w:val="000000"/>
              </w:rPr>
              <w:t>由上表可知，本项目符合</w:t>
            </w:r>
            <w:r>
              <w:rPr>
                <w:rFonts w:hint="eastAsia"/>
                <w:color w:val="000000"/>
              </w:rPr>
              <w:t>《新乡市“三线一单”生态环境准入清单</w:t>
            </w:r>
            <w:r>
              <w:rPr>
                <w:rFonts w:hint="eastAsia"/>
              </w:rPr>
              <w:t>（试行）</w:t>
            </w:r>
            <w:r>
              <w:rPr>
                <w:rFonts w:hint="eastAsia"/>
                <w:color w:val="000000"/>
              </w:rPr>
              <w:t>》要求。</w:t>
            </w:r>
          </w:p>
        </w:tc>
      </w:tr>
    </w:tbl>
    <w:p>
      <w:pPr>
        <w:pStyle w:val="29"/>
        <w:jc w:val="center"/>
        <w:outlineLvl w:val="0"/>
        <w:rPr>
          <w:rFonts w:ascii="黑体" w:hAnsi="黑体" w:eastAsia="黑体"/>
          <w:snapToGrid w:val="0"/>
          <w:color w:val="000000"/>
          <w:sz w:val="30"/>
          <w:szCs w:val="30"/>
          <w:lang w:val="pt-BR"/>
        </w:rPr>
        <w:sectPr>
          <w:pgSz w:w="16838" w:h="11906" w:orient="landscape"/>
          <w:pgMar w:top="1531" w:right="1701" w:bottom="1531" w:left="1701" w:header="851" w:footer="851" w:gutter="0"/>
          <w:cols w:space="720" w:num="1"/>
          <w:docGrid w:linePitch="312" w:charSpace="0"/>
        </w:sectPr>
      </w:pPr>
    </w:p>
    <w:tbl>
      <w:tblPr>
        <w:tblStyle w:val="31"/>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7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Pr>
          <w:p>
            <w:pPr>
              <w:pStyle w:val="29"/>
              <w:jc w:val="center"/>
              <w:outlineLvl w:val="0"/>
              <w:rPr>
                <w:rFonts w:ascii="黑体" w:hAnsi="黑体" w:eastAsia="黑体"/>
                <w:snapToGrid w:val="0"/>
                <w:color w:val="000000"/>
                <w:sz w:val="30"/>
                <w:szCs w:val="30"/>
              </w:rPr>
            </w:pPr>
          </w:p>
        </w:tc>
        <w:tc>
          <w:tcPr>
            <w:tcW w:w="7818" w:type="dxa"/>
          </w:tcPr>
          <w:p>
            <w:pPr>
              <w:spacing w:line="460" w:lineRule="exact"/>
              <w:ind w:firstLine="482" w:firstLineChars="200"/>
              <w:rPr>
                <w:b/>
                <w:color w:val="000000"/>
                <w:sz w:val="24"/>
              </w:rPr>
            </w:pPr>
            <w:r>
              <w:rPr>
                <w:rFonts w:hint="eastAsia"/>
                <w:b/>
                <w:color w:val="000000"/>
                <w:sz w:val="24"/>
              </w:rPr>
              <w:t>5、与其他相关政策文件相符性分析</w:t>
            </w:r>
          </w:p>
          <w:p>
            <w:pPr>
              <w:pStyle w:val="29"/>
              <w:spacing w:before="0" w:beforeAutospacing="0" w:after="0" w:afterAutospacing="0" w:line="480" w:lineRule="exact"/>
              <w:ind w:firstLine="480" w:firstLineChars="200"/>
              <w:outlineLvl w:val="0"/>
              <w:rPr>
                <w:rFonts w:ascii="Times New Roman" w:hAnsi="Times New Roman"/>
                <w:color w:val="000000"/>
              </w:rPr>
            </w:pPr>
            <w:r>
              <w:rPr>
                <w:rFonts w:hint="eastAsia" w:ascii="Times New Roman" w:hAnsi="Times New Roman"/>
                <w:color w:val="000000"/>
              </w:rPr>
              <w:t>（1）</w:t>
            </w:r>
            <w:r>
              <w:rPr>
                <w:rFonts w:ascii="Times New Roman" w:hAnsi="Times New Roman"/>
                <w:color w:val="000000"/>
              </w:rPr>
              <w:t>本项目</w:t>
            </w:r>
            <w:r>
              <w:rPr>
                <w:rFonts w:hint="eastAsia" w:ascii="Times New Roman" w:hAnsi="Times New Roman"/>
                <w:color w:val="000000"/>
              </w:rPr>
              <w:t>与</w:t>
            </w:r>
            <w:r>
              <w:rPr>
                <w:rFonts w:ascii="Times New Roman" w:hAnsi="Times New Roman"/>
                <w:color w:val="000000"/>
              </w:rPr>
              <w:t>《新乡市环境污染防治攻坚指挥部办公室关于印发新乡市2021年大气、水、土壤污染防治攻坚战及农业农村污染治理攻坚实施方案的通知》（新环攻坚办〔2021〕90号）</w:t>
            </w:r>
            <w:r>
              <w:rPr>
                <w:rFonts w:hint="eastAsia" w:ascii="Times New Roman" w:hAnsi="Times New Roman"/>
                <w:color w:val="000000"/>
              </w:rPr>
              <w:t>（以下简称《攻坚战实施方案》）对比分析</w:t>
            </w:r>
          </w:p>
          <w:p>
            <w:pPr>
              <w:spacing w:line="480" w:lineRule="exact"/>
              <w:ind w:firstLine="480" w:firstLineChars="200"/>
              <w:rPr>
                <w:rFonts w:eastAsia="黑体"/>
                <w:color w:val="000000"/>
                <w:sz w:val="24"/>
                <w:lang w:val="pt-BR"/>
              </w:rPr>
            </w:pPr>
            <w:r>
              <w:rPr>
                <w:rFonts w:eastAsia="黑体"/>
                <w:color w:val="000000"/>
                <w:sz w:val="24"/>
                <w:lang w:val="pt-BR"/>
              </w:rPr>
              <w:t>表3            与《攻坚战实施方案》对比表</w:t>
            </w:r>
          </w:p>
          <w:tbl>
            <w:tblPr>
              <w:tblStyle w:val="31"/>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983"/>
              <w:gridCol w:w="4027"/>
              <w:gridCol w:w="1861"/>
              <w:gridCol w:w="73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rPr>
              <w:tc>
                <w:tcPr>
                  <w:tcW w:w="8456" w:type="dxa"/>
                  <w:gridSpan w:val="2"/>
                  <w:vAlign w:val="center"/>
                </w:tcPr>
                <w:p>
                  <w:pPr>
                    <w:adjustRightInd w:val="0"/>
                    <w:snapToGrid w:val="0"/>
                    <w:jc w:val="center"/>
                    <w:textAlignment w:val="baseline"/>
                    <w:outlineLvl w:val="0"/>
                    <w:rPr>
                      <w:b/>
                      <w:bCs/>
                      <w:szCs w:val="21"/>
                    </w:rPr>
                  </w:pPr>
                  <w:r>
                    <w:rPr>
                      <w:b/>
                      <w:bCs/>
                      <w:szCs w:val="21"/>
                    </w:rPr>
                    <w:t>与本项目相关条文</w:t>
                  </w:r>
                </w:p>
              </w:tc>
              <w:tc>
                <w:tcPr>
                  <w:tcW w:w="3020" w:type="dxa"/>
                  <w:vAlign w:val="center"/>
                </w:tcPr>
                <w:p>
                  <w:pPr>
                    <w:adjustRightInd w:val="0"/>
                    <w:snapToGrid w:val="0"/>
                    <w:jc w:val="center"/>
                    <w:textAlignment w:val="baseline"/>
                    <w:outlineLvl w:val="0"/>
                    <w:rPr>
                      <w:b/>
                      <w:bCs/>
                      <w:szCs w:val="21"/>
                    </w:rPr>
                  </w:pPr>
                  <w:r>
                    <w:rPr>
                      <w:b/>
                      <w:bCs/>
                      <w:szCs w:val="21"/>
                    </w:rPr>
                    <w:t>本项目情况</w:t>
                  </w:r>
                </w:p>
              </w:tc>
              <w:tc>
                <w:tcPr>
                  <w:tcW w:w="1085" w:type="dxa"/>
                  <w:vAlign w:val="center"/>
                </w:tcPr>
                <w:p>
                  <w:pPr>
                    <w:adjustRightInd w:val="0"/>
                    <w:snapToGrid w:val="0"/>
                    <w:jc w:val="center"/>
                    <w:textAlignment w:val="baseline"/>
                    <w:outlineLvl w:val="0"/>
                    <w:rPr>
                      <w:b/>
                      <w:bCs/>
                      <w:szCs w:val="21"/>
                    </w:rPr>
                  </w:pPr>
                  <w:r>
                    <w:rPr>
                      <w:b/>
                      <w:bCs/>
                      <w:szCs w:val="21"/>
                    </w:rPr>
                    <w:t>对比结果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561" w:type="dxa"/>
                  <w:gridSpan w:val="4"/>
                  <w:vAlign w:val="center"/>
                </w:tcPr>
                <w:p>
                  <w:pPr>
                    <w:adjustRightInd w:val="0"/>
                    <w:snapToGrid w:val="0"/>
                    <w:jc w:val="center"/>
                    <w:textAlignment w:val="baseline"/>
                    <w:outlineLvl w:val="0"/>
                    <w:rPr>
                      <w:b/>
                      <w:bCs/>
                      <w:szCs w:val="21"/>
                    </w:rPr>
                  </w:pPr>
                  <w:r>
                    <w:rPr>
                      <w:b/>
                      <w:szCs w:val="21"/>
                    </w:rPr>
                    <w:t>《新乡市2021年大气污染防治攻坚战实施方案》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560" w:type="dxa"/>
                  <w:vAlign w:val="center"/>
                </w:tcPr>
                <w:p>
                  <w:pPr>
                    <w:adjustRightInd w:val="0"/>
                    <w:snapToGrid w:val="0"/>
                    <w:jc w:val="center"/>
                    <w:textAlignment w:val="baseline"/>
                    <w:outlineLvl w:val="0"/>
                  </w:pPr>
                  <w:r>
                    <w:rPr>
                      <w:rFonts w:hint="eastAsia"/>
                    </w:rPr>
                    <w:t>2.</w:t>
                  </w:r>
                  <w:r>
                    <w:t>严格</w:t>
                  </w:r>
                  <w:r>
                    <w:rPr>
                      <w:rFonts w:hint="eastAsia"/>
                    </w:rPr>
                    <w:t>环境</w:t>
                  </w:r>
                  <w:r>
                    <w:t>准入</w:t>
                  </w:r>
                </w:p>
              </w:tc>
              <w:tc>
                <w:tcPr>
                  <w:tcW w:w="6896" w:type="dxa"/>
                  <w:vAlign w:val="center"/>
                </w:tcPr>
                <w:p>
                  <w:pPr>
                    <w:adjustRightInd w:val="0"/>
                    <w:snapToGrid w:val="0"/>
                    <w:textAlignment w:val="baseline"/>
                    <w:outlineLvl w:val="0"/>
                    <w:rPr>
                      <w:szCs w:val="21"/>
                    </w:rPr>
                  </w:pPr>
                  <w:r>
                    <w:t>落实</w:t>
                  </w:r>
                  <w:r>
                    <w:rPr>
                      <w:rFonts w:hint="eastAsia" w:ascii="宋体" w:hAnsi="宋体"/>
                    </w:rPr>
                    <w:t>“</w:t>
                  </w:r>
                  <w:r>
                    <w:t>三线一单</w:t>
                  </w:r>
                  <w:r>
                    <w:rPr>
                      <w:rFonts w:hint="eastAsia" w:ascii="宋体" w:hAnsi="宋体"/>
                    </w:rPr>
                    <w:t>”</w:t>
                  </w:r>
                  <w:r>
                    <w:t>（生态保护红线、环境质量底线、资源利用上线和生态环境准入清单）生态环境分区管控要求，从严从紧从实控制高耗能、高排放项目建设，全省原则上禁止新建、扩建单纯新增产能的钢铁、电解铝、水泥、平板玻璃、传统煤化工（甲醇、合成氨）、焦化、铸造、铝用炭素、耐火材料制品、砖瓦窑、铅锌冶炼（含再生铅）等高耗能、高排放和产能过剩的产业项目，严格项目备案审查，强化项目现场核查，保持违规新增产能项目露头就打的高压态势。完善生态环境准入清单，强化项目环评及“</w:t>
                  </w:r>
                  <w:r>
                    <w:rPr>
                      <w:rFonts w:ascii="宋体" w:hAnsi="宋体"/>
                    </w:rPr>
                    <w:t>三同时</w:t>
                  </w:r>
                  <w:r>
                    <w:t>”</w:t>
                  </w:r>
                  <w:r>
                    <w:rPr>
                      <w:rFonts w:ascii="宋体" w:hAnsi="宋体"/>
                    </w:rPr>
                    <w:t>管理，国家、省绩效分级重点行业的新建、改建、扩建项目达到</w:t>
                  </w:r>
                  <w:r>
                    <w:t>B</w:t>
                  </w:r>
                  <w:r>
                    <w:rPr>
                      <w:rFonts w:ascii="宋体" w:hAnsi="宋体"/>
                    </w:rPr>
                    <w:t>级以上要求。</w:t>
                  </w:r>
                </w:p>
              </w:tc>
              <w:tc>
                <w:tcPr>
                  <w:tcW w:w="3020" w:type="dxa"/>
                  <w:vAlign w:val="center"/>
                </w:tcPr>
                <w:p>
                  <w:pPr>
                    <w:adjustRightInd w:val="0"/>
                    <w:snapToGrid w:val="0"/>
                    <w:textAlignment w:val="baseline"/>
                    <w:outlineLvl w:val="0"/>
                    <w:rPr>
                      <w:szCs w:val="21"/>
                    </w:rPr>
                  </w:pPr>
                  <w:r>
                    <w:t>本项目为</w:t>
                  </w:r>
                  <w:r>
                    <w:rPr>
                      <w:rFonts w:hint="eastAsia"/>
                    </w:rPr>
                    <w:t>纸制品制造</w:t>
                  </w:r>
                  <w:r>
                    <w:rPr>
                      <w:rFonts w:hint="eastAsia"/>
                      <w:snapToGrid w:val="0"/>
                      <w:szCs w:val="21"/>
                    </w:rPr>
                    <w:t>项目</w:t>
                  </w:r>
                  <w:r>
                    <w:t>，属于</w:t>
                  </w:r>
                  <w:r>
                    <w:rPr>
                      <w:rFonts w:hint="eastAsia"/>
                      <w:snapToGrid w:val="0"/>
                      <w:szCs w:val="21"/>
                    </w:rPr>
                    <w:t>造纸和纸制品</w:t>
                  </w:r>
                  <w:r>
                    <w:rPr>
                      <w:snapToGrid w:val="0"/>
                      <w:szCs w:val="21"/>
                    </w:rPr>
                    <w:t>业</w:t>
                  </w:r>
                  <w:r>
                    <w:rPr>
                      <w:rFonts w:hint="eastAsia"/>
                    </w:rPr>
                    <w:t>，</w:t>
                  </w:r>
                  <w:r>
                    <w:rPr>
                      <w:rFonts w:ascii="宋体" w:hAnsi="宋体"/>
                    </w:rPr>
                    <w:t>位于</w:t>
                  </w:r>
                  <w:r>
                    <w:rPr>
                      <w:rFonts w:hint="eastAsia" w:ascii="宋体" w:hAnsi="宋体"/>
                    </w:rPr>
                    <w:t>新乡市新乡县新乡经济开发区黄河大道中段</w:t>
                  </w:r>
                  <w:r>
                    <w:rPr>
                      <w:rFonts w:ascii="宋体" w:hAnsi="宋体"/>
                    </w:rPr>
                    <w:t>。项</w:t>
                  </w:r>
                  <w:r>
                    <w:t>目满足</w:t>
                  </w:r>
                  <w:r>
                    <w:rPr>
                      <w:rFonts w:hint="eastAsia" w:ascii="宋体" w:hAnsi="宋体"/>
                    </w:rPr>
                    <w:t>“</w:t>
                  </w:r>
                  <w:r>
                    <w:t>三线一单</w:t>
                  </w:r>
                  <w:r>
                    <w:rPr>
                      <w:rFonts w:hint="eastAsia" w:ascii="宋体" w:hAnsi="宋体"/>
                    </w:rPr>
                    <w:t>”</w:t>
                  </w:r>
                  <w:r>
                    <w:t>生态环境分区管控要求</w:t>
                  </w:r>
                  <w:r>
                    <w:rPr>
                      <w:rFonts w:hint="eastAsia"/>
                    </w:rPr>
                    <w:t>，</w:t>
                  </w:r>
                  <w:r>
                    <w:t>不属于高耗能</w:t>
                  </w:r>
                  <w:r>
                    <w:rPr>
                      <w:rFonts w:hint="eastAsia"/>
                    </w:rPr>
                    <w:t>、</w:t>
                  </w:r>
                  <w:r>
                    <w:t>高排放项目</w:t>
                  </w:r>
                  <w:r>
                    <w:rPr>
                      <w:rFonts w:hint="eastAsia"/>
                    </w:rPr>
                    <w:t>，本项目将严格按照绩效分级通用行业绩效先进的基本要求进行设计与建设。</w:t>
                  </w:r>
                </w:p>
              </w:tc>
              <w:tc>
                <w:tcPr>
                  <w:tcW w:w="1085" w:type="dxa"/>
                  <w:vAlign w:val="center"/>
                </w:tcPr>
                <w:p>
                  <w:pPr>
                    <w:adjustRightInd w:val="0"/>
                    <w:snapToGrid w:val="0"/>
                    <w:jc w:val="center"/>
                    <w:textAlignment w:val="baseline"/>
                    <w:outlineLvl w:val="0"/>
                    <w:rPr>
                      <w:szCs w:val="21"/>
                    </w:rPr>
                  </w:pPr>
                  <w: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561" w:type="dxa"/>
                  <w:gridSpan w:val="4"/>
                  <w:vAlign w:val="center"/>
                </w:tcPr>
                <w:p>
                  <w:pPr>
                    <w:adjustRightInd w:val="0"/>
                    <w:snapToGrid w:val="0"/>
                    <w:jc w:val="center"/>
                    <w:textAlignment w:val="baseline"/>
                    <w:outlineLvl w:val="0"/>
                    <w:rPr>
                      <w:szCs w:val="21"/>
                    </w:rPr>
                  </w:pPr>
                  <w:r>
                    <w:rPr>
                      <w:b/>
                      <w:color w:val="000000"/>
                      <w:szCs w:val="21"/>
                    </w:rPr>
                    <w:t>《新乡市2021年水污染防治攻坚战实施方案》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rPr>
              <w:tc>
                <w:tcPr>
                  <w:tcW w:w="1560" w:type="dxa"/>
                  <w:vAlign w:val="center"/>
                </w:tcPr>
                <w:p>
                  <w:pPr>
                    <w:adjustRightInd w:val="0"/>
                    <w:snapToGrid w:val="0"/>
                    <w:jc w:val="center"/>
                    <w:textAlignment w:val="baseline"/>
                    <w:outlineLvl w:val="0"/>
                  </w:pPr>
                  <w:r>
                    <w:rPr>
                      <w:rFonts w:hint="eastAsia"/>
                    </w:rPr>
                    <w:t>4．严格环境准入</w:t>
                  </w:r>
                </w:p>
              </w:tc>
              <w:tc>
                <w:tcPr>
                  <w:tcW w:w="6896" w:type="dxa"/>
                  <w:vAlign w:val="center"/>
                </w:tcPr>
                <w:p>
                  <w:pPr>
                    <w:adjustRightInd w:val="0"/>
                    <w:snapToGrid w:val="0"/>
                    <w:textAlignment w:val="baseline"/>
                    <w:outlineLvl w:val="0"/>
                  </w:pPr>
                  <w:r>
                    <w:rPr>
                      <w:rFonts w:hint="eastAsia"/>
                    </w:rPr>
                    <w:t>深化“放、管、服”改革，强化项目事中、事后监管，提升服务水平。推进“三线一单”生态环境分区管控要求落地应用，严控新建高耗水、高排放工业项目。把好项目环境准入关。</w:t>
                  </w:r>
                </w:p>
              </w:tc>
              <w:tc>
                <w:tcPr>
                  <w:tcW w:w="3020" w:type="dxa"/>
                  <w:vAlign w:val="center"/>
                </w:tcPr>
                <w:p>
                  <w:pPr>
                    <w:adjustRightInd w:val="0"/>
                    <w:snapToGrid w:val="0"/>
                    <w:textAlignment w:val="baseline"/>
                    <w:outlineLvl w:val="0"/>
                  </w:pPr>
                  <w:r>
                    <w:t>本项目属于</w:t>
                  </w:r>
                  <w:r>
                    <w:rPr>
                      <w:rFonts w:hint="eastAsia"/>
                    </w:rPr>
                    <w:t>纸制品制造</w:t>
                  </w:r>
                  <w:r>
                    <w:rPr>
                      <w:rFonts w:hint="eastAsia"/>
                      <w:snapToGrid w:val="0"/>
                      <w:szCs w:val="21"/>
                    </w:rPr>
                    <w:t>项目</w:t>
                  </w:r>
                  <w:r>
                    <w:t>，不属于高耗水、高排放工业项目。</w:t>
                  </w:r>
                </w:p>
              </w:tc>
              <w:tc>
                <w:tcPr>
                  <w:tcW w:w="1085" w:type="dxa"/>
                  <w:vAlign w:val="center"/>
                </w:tcPr>
                <w:p>
                  <w:pPr>
                    <w:adjustRightInd w:val="0"/>
                    <w:snapToGrid w:val="0"/>
                    <w:jc w:val="center"/>
                    <w:textAlignment w:val="baseline"/>
                    <w:outlineLvl w:val="0"/>
                  </w:pPr>
                  <w: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rPr>
              <w:tc>
                <w:tcPr>
                  <w:tcW w:w="12561" w:type="dxa"/>
                  <w:gridSpan w:val="4"/>
                  <w:vAlign w:val="center"/>
                </w:tcPr>
                <w:p>
                  <w:pPr>
                    <w:adjustRightInd w:val="0"/>
                    <w:snapToGrid w:val="0"/>
                    <w:jc w:val="center"/>
                    <w:textAlignment w:val="baseline"/>
                    <w:outlineLvl w:val="0"/>
                    <w:rPr>
                      <w:szCs w:val="21"/>
                    </w:rPr>
                  </w:pPr>
                  <w:r>
                    <w:rPr>
                      <w:b/>
                      <w:color w:val="000000"/>
                      <w:szCs w:val="21"/>
                    </w:rPr>
                    <w:t>《新乡市2021年土壤污染防治攻坚战实施方案》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rPr>
              <w:tc>
                <w:tcPr>
                  <w:tcW w:w="1560" w:type="dxa"/>
                  <w:vAlign w:val="center"/>
                </w:tcPr>
                <w:p>
                  <w:pPr>
                    <w:adjustRightInd w:val="0"/>
                    <w:snapToGrid w:val="0"/>
                    <w:jc w:val="center"/>
                    <w:textAlignment w:val="baseline"/>
                    <w:outlineLvl w:val="0"/>
                  </w:pPr>
                  <w:r>
                    <w:rPr>
                      <w:rFonts w:hint="eastAsia"/>
                    </w:rPr>
                    <w:t>7．严格建设项目环境准入</w:t>
                  </w:r>
                </w:p>
              </w:tc>
              <w:tc>
                <w:tcPr>
                  <w:tcW w:w="6896" w:type="dxa"/>
                  <w:vAlign w:val="center"/>
                </w:tcPr>
                <w:p>
                  <w:pPr>
                    <w:adjustRightInd w:val="0"/>
                    <w:snapToGrid w:val="0"/>
                    <w:textAlignment w:val="baseline"/>
                    <w:outlineLvl w:val="0"/>
                  </w:pPr>
                  <w:r>
                    <w:rPr>
                      <w:rFonts w:hint="eastAsia"/>
                    </w:rPr>
                    <w:t>推进“三线一单”生态环境分区管控要求落地应用，严控不符合土壤环境管控要求的项目落地；把好建设项目环境准入关，对可能造成土壤污染的建设项目依法开展环境影响评价，并强化土壤环评相关内容，提出有效的防范措施。</w:t>
                  </w:r>
                </w:p>
              </w:tc>
              <w:tc>
                <w:tcPr>
                  <w:tcW w:w="3020" w:type="dxa"/>
                  <w:vAlign w:val="center"/>
                </w:tcPr>
                <w:p>
                  <w:pPr>
                    <w:adjustRightInd w:val="0"/>
                    <w:snapToGrid w:val="0"/>
                    <w:textAlignment w:val="baseline"/>
                    <w:outlineLvl w:val="0"/>
                  </w:pPr>
                  <w:r>
                    <w:t>本项目满足</w:t>
                  </w:r>
                  <w:r>
                    <w:rPr>
                      <w:rFonts w:hint="eastAsia"/>
                    </w:rPr>
                    <w:t>“三线一单”的要求，</w:t>
                  </w:r>
                  <w:r>
                    <w:t>符合土壤环境管控要求</w:t>
                  </w:r>
                  <w:r>
                    <w:rPr>
                      <w:rFonts w:hint="eastAsia"/>
                    </w:rPr>
                    <w:t>。</w:t>
                  </w:r>
                </w:p>
              </w:tc>
              <w:tc>
                <w:tcPr>
                  <w:tcW w:w="1085" w:type="dxa"/>
                  <w:vAlign w:val="center"/>
                </w:tcPr>
                <w:p>
                  <w:pPr>
                    <w:adjustRightInd w:val="0"/>
                    <w:snapToGrid w:val="0"/>
                    <w:jc w:val="center"/>
                    <w:textAlignment w:val="baseline"/>
                    <w:outlineLvl w:val="0"/>
                  </w:pPr>
                  <w:r>
                    <w:t>符合</w:t>
                  </w:r>
                </w:p>
              </w:tc>
            </w:tr>
          </w:tbl>
          <w:p>
            <w:pPr>
              <w:pStyle w:val="29"/>
              <w:spacing w:before="0" w:beforeAutospacing="0" w:after="0" w:afterAutospacing="0" w:line="480" w:lineRule="exact"/>
              <w:ind w:firstLine="480" w:firstLineChars="200"/>
              <w:jc w:val="both"/>
              <w:outlineLvl w:val="0"/>
              <w:rPr>
                <w:rFonts w:ascii="黑体" w:hAnsi="黑体" w:eastAsia="黑体"/>
                <w:snapToGrid w:val="0"/>
                <w:sz w:val="30"/>
                <w:szCs w:val="30"/>
              </w:rPr>
            </w:pPr>
            <w:r>
              <w:rPr>
                <w:rFonts w:ascii="Times New Roman" w:hAnsi="Times New Roman"/>
              </w:rPr>
              <w:t>由上表可知，本项目符合《攻坚战实施方案》相关要求。</w:t>
            </w:r>
          </w:p>
          <w:p>
            <w:pPr>
              <w:pStyle w:val="29"/>
              <w:adjustRightInd w:val="0"/>
              <w:snapToGrid w:val="0"/>
              <w:spacing w:before="0" w:beforeAutospacing="0" w:after="0" w:afterAutospacing="0" w:line="480" w:lineRule="exact"/>
              <w:ind w:firstLine="480" w:firstLineChars="200"/>
              <w:outlineLvl w:val="0"/>
              <w:rPr>
                <w:rFonts w:ascii="Times New Roman" w:hAnsi="Times New Roman"/>
                <w:color w:val="000000"/>
              </w:rPr>
            </w:pPr>
            <w:r>
              <w:rPr>
                <w:rFonts w:hint="eastAsia" w:ascii="Times New Roman" w:hAnsi="Times New Roman"/>
                <w:color w:val="000000"/>
              </w:rPr>
              <w:t>（2）</w:t>
            </w:r>
            <w:r>
              <w:rPr>
                <w:rFonts w:ascii="Times New Roman" w:hAnsi="Times New Roman"/>
                <w:color w:val="000000"/>
              </w:rPr>
              <w:t>与《202</w:t>
            </w:r>
            <w:r>
              <w:rPr>
                <w:rFonts w:hint="eastAsia" w:ascii="Times New Roman" w:hAnsi="Times New Roman"/>
                <w:color w:val="000000"/>
              </w:rPr>
              <w:t>1</w:t>
            </w:r>
            <w:r>
              <w:rPr>
                <w:rFonts w:ascii="Times New Roman" w:hAnsi="Times New Roman"/>
                <w:color w:val="000000"/>
              </w:rPr>
              <w:t>-202</w:t>
            </w:r>
            <w:r>
              <w:rPr>
                <w:rFonts w:hint="eastAsia" w:ascii="Times New Roman" w:hAnsi="Times New Roman"/>
                <w:color w:val="000000"/>
              </w:rPr>
              <w:t>2</w:t>
            </w:r>
            <w:r>
              <w:rPr>
                <w:rFonts w:ascii="Times New Roman" w:hAnsi="Times New Roman"/>
                <w:color w:val="000000"/>
              </w:rPr>
              <w:t>年秋冬季大气污染综合治理攻坚方案》（</w:t>
            </w:r>
            <w:r>
              <w:rPr>
                <w:rFonts w:ascii="Times New Roman" w:hAnsi="Times New Roman"/>
              </w:rPr>
              <w:t>环大气[2021]104号</w:t>
            </w:r>
            <w:r>
              <w:rPr>
                <w:rFonts w:ascii="Times New Roman" w:hAnsi="Times New Roman"/>
                <w:color w:val="000000"/>
              </w:rPr>
              <w:t>）（以下简称《攻坚方案》）的对比分析</w:t>
            </w:r>
          </w:p>
          <w:p>
            <w:pPr>
              <w:spacing w:line="480" w:lineRule="exact"/>
              <w:ind w:firstLine="480" w:firstLineChars="200"/>
              <w:rPr>
                <w:rFonts w:eastAsia="黑体"/>
                <w:color w:val="000000"/>
                <w:sz w:val="24"/>
                <w:lang w:val="pt-BR"/>
              </w:rPr>
            </w:pPr>
            <w:r>
              <w:rPr>
                <w:rFonts w:eastAsia="黑体"/>
                <w:color w:val="000000"/>
                <w:sz w:val="24"/>
                <w:lang w:val="pt-BR"/>
              </w:rPr>
              <w:t xml:space="preserve">表4        </w:t>
            </w:r>
            <w:r>
              <w:rPr>
                <w:rFonts w:hint="eastAsia" w:eastAsia="黑体"/>
                <w:color w:val="000000"/>
                <w:sz w:val="24"/>
                <w:lang w:val="pt-BR"/>
              </w:rPr>
              <w:t xml:space="preserve"> </w:t>
            </w:r>
            <w:r>
              <w:rPr>
                <w:rFonts w:eastAsia="黑体"/>
                <w:color w:val="000000"/>
                <w:sz w:val="24"/>
                <w:lang w:val="pt-BR"/>
              </w:rPr>
              <w:t>与《攻坚方案》对比分析一览表</w:t>
            </w:r>
          </w:p>
          <w:tbl>
            <w:tblPr>
              <w:tblStyle w:val="31"/>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4156"/>
              <w:gridCol w:w="2070"/>
              <w:gridCol w:w="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12" w:type="dxa"/>
                  <w:gridSpan w:val="2"/>
                  <w:tcBorders>
                    <w:top w:val="single" w:color="auto" w:sz="8" w:space="0"/>
                    <w:left w:val="nil"/>
                    <w:bottom w:val="single" w:color="auto" w:sz="4" w:space="0"/>
                    <w:right w:val="single" w:color="auto" w:sz="4" w:space="0"/>
                  </w:tcBorders>
                  <w:vAlign w:val="center"/>
                </w:tcPr>
                <w:p>
                  <w:pPr>
                    <w:adjustRightInd w:val="0"/>
                    <w:snapToGrid w:val="0"/>
                    <w:spacing w:line="480" w:lineRule="exact"/>
                    <w:jc w:val="center"/>
                    <w:textAlignment w:val="baseline"/>
                    <w:outlineLvl w:val="0"/>
                    <w:rPr>
                      <w:b/>
                      <w:bCs/>
                      <w:szCs w:val="21"/>
                    </w:rPr>
                  </w:pPr>
                  <w:r>
                    <w:rPr>
                      <w:b/>
                      <w:bCs/>
                    </w:rPr>
                    <w:t>与本项目相关条文</w:t>
                  </w:r>
                </w:p>
              </w:tc>
              <w:tc>
                <w:tcPr>
                  <w:tcW w:w="2213" w:type="dxa"/>
                  <w:tcBorders>
                    <w:top w:val="single" w:color="auto" w:sz="8" w:space="0"/>
                    <w:left w:val="nil"/>
                    <w:bottom w:val="single" w:color="auto" w:sz="4" w:space="0"/>
                    <w:right w:val="single" w:color="auto" w:sz="4" w:space="0"/>
                  </w:tcBorders>
                  <w:vAlign w:val="center"/>
                </w:tcPr>
                <w:p>
                  <w:pPr>
                    <w:adjustRightInd w:val="0"/>
                    <w:snapToGrid w:val="0"/>
                    <w:spacing w:line="480" w:lineRule="exact"/>
                    <w:jc w:val="center"/>
                    <w:textAlignment w:val="baseline"/>
                    <w:outlineLvl w:val="0"/>
                    <w:rPr>
                      <w:b/>
                      <w:bCs/>
                      <w:szCs w:val="21"/>
                    </w:rPr>
                  </w:pPr>
                  <w:r>
                    <w:rPr>
                      <w:b/>
                      <w:bCs/>
                    </w:rPr>
                    <w:t>本项目情况</w:t>
                  </w:r>
                </w:p>
              </w:tc>
              <w:tc>
                <w:tcPr>
                  <w:tcW w:w="760" w:type="dxa"/>
                  <w:tcBorders>
                    <w:top w:val="single" w:color="auto" w:sz="8" w:space="0"/>
                    <w:left w:val="nil"/>
                    <w:bottom w:val="single" w:color="auto" w:sz="4" w:space="0"/>
                    <w:right w:val="nil"/>
                  </w:tcBorders>
                  <w:vAlign w:val="center"/>
                </w:tcPr>
                <w:p>
                  <w:pPr>
                    <w:adjustRightInd w:val="0"/>
                    <w:snapToGrid w:val="0"/>
                    <w:spacing w:line="480" w:lineRule="exact"/>
                    <w:jc w:val="center"/>
                    <w:textAlignment w:val="baseline"/>
                    <w:outlineLvl w:val="0"/>
                    <w:rPr>
                      <w:b/>
                      <w:bCs/>
                      <w:szCs w:val="21"/>
                    </w:rPr>
                  </w:pPr>
                  <w:r>
                    <w:rPr>
                      <w:b/>
                      <w:bCs/>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op w:val="nil"/>
                    <w:left w:val="nil"/>
                    <w:right w:val="single" w:color="auto" w:sz="4" w:space="0"/>
                  </w:tcBorders>
                  <w:vAlign w:val="center"/>
                </w:tcPr>
                <w:p>
                  <w:pPr>
                    <w:adjustRightInd w:val="0"/>
                    <w:snapToGrid w:val="0"/>
                    <w:textAlignment w:val="baseline"/>
                    <w:outlineLvl w:val="0"/>
                  </w:pPr>
                  <w:r>
                    <w:t>二</w:t>
                  </w:r>
                  <w:r>
                    <w:rPr>
                      <w:rFonts w:hint="eastAsia"/>
                    </w:rPr>
                    <w:t>、</w:t>
                  </w:r>
                  <w:r>
                    <w:t>主要任务</w:t>
                  </w:r>
                </w:p>
              </w:tc>
              <w:tc>
                <w:tcPr>
                  <w:tcW w:w="4486" w:type="dxa"/>
                  <w:tcBorders>
                    <w:top w:val="single" w:color="auto" w:sz="4" w:space="0"/>
                    <w:left w:val="nil"/>
                    <w:bottom w:val="single" w:color="auto" w:sz="4" w:space="0"/>
                    <w:right w:val="single" w:color="auto" w:sz="4" w:space="0"/>
                  </w:tcBorders>
                  <w:vAlign w:val="center"/>
                </w:tcPr>
                <w:p>
                  <w:pPr>
                    <w:adjustRightInd w:val="0"/>
                    <w:snapToGrid w:val="0"/>
                    <w:textAlignment w:val="baseline"/>
                    <w:outlineLvl w:val="0"/>
                  </w:pPr>
                  <w:r>
                    <w:rPr>
                      <w:rFonts w:hint="eastAsia"/>
                    </w:rPr>
                    <w:t>（十）有效应对重污染天气</w:t>
                  </w:r>
                </w:p>
                <w:p>
                  <w:pPr>
                    <w:adjustRightInd w:val="0"/>
                    <w:snapToGrid w:val="0"/>
                    <w:ind w:firstLine="420" w:firstLineChars="200"/>
                    <w:textAlignment w:val="baseline"/>
                    <w:outlineLvl w:val="0"/>
                  </w:pPr>
                  <w:r>
                    <w:rPr>
                      <w:rFonts w:hint="eastAsia"/>
                    </w:rPr>
                    <w:t>持续优化绩效分级应急减排工作。各地应严格按照《重污染天气重点行业绩效分级及减排措施》及其补充说明的相关要求，持续推进重点行业绩效分级工作，并针对地方特色行业，结合实际污染排放水平自行制定绩效分级标准，实施差异化减排措施。在此基础或涉及国家战略性产业等保障类企业名单，细化除小微涉气企业外的非保障类企业管控措施。做到减排清单涉气企业覆盖全、保障类企业名单真实有效、非保障类企业管控措施可落地、可核查。落实《关于进一步做好水泥常态化错峰生产的通知》要求，做好水泥行业错峰生产工作。</w:t>
                  </w:r>
                </w:p>
              </w:tc>
              <w:tc>
                <w:tcPr>
                  <w:tcW w:w="2213" w:type="dxa"/>
                  <w:tcBorders>
                    <w:top w:val="single" w:color="auto" w:sz="4" w:space="0"/>
                    <w:left w:val="nil"/>
                    <w:bottom w:val="single" w:color="auto" w:sz="4" w:space="0"/>
                    <w:right w:val="single" w:color="auto" w:sz="4" w:space="0"/>
                  </w:tcBorders>
                  <w:vAlign w:val="center"/>
                </w:tcPr>
                <w:p>
                  <w:pPr>
                    <w:adjustRightInd w:val="0"/>
                    <w:snapToGrid w:val="0"/>
                    <w:textAlignment w:val="baseline"/>
                    <w:outlineLvl w:val="0"/>
                  </w:pPr>
                  <w:r>
                    <w:t>本项目严格按照</w:t>
                  </w:r>
                  <w:r>
                    <w:rPr>
                      <w:rFonts w:hint="eastAsia"/>
                    </w:rPr>
                    <w:t>《重污染天气重点行业绩效分级及减排措施》及其补充说明的相关要求进行建设，并按照河南省重污染天气通用行业的要求，实施差异化减排措施。</w:t>
                  </w:r>
                </w:p>
              </w:tc>
              <w:tc>
                <w:tcPr>
                  <w:tcW w:w="760" w:type="dxa"/>
                  <w:tcBorders>
                    <w:top w:val="single" w:color="auto" w:sz="4" w:space="0"/>
                    <w:left w:val="nil"/>
                    <w:bottom w:val="single" w:color="auto" w:sz="4" w:space="0"/>
                    <w:right w:val="nil"/>
                  </w:tcBorders>
                  <w:vAlign w:val="center"/>
                </w:tcPr>
                <w:p>
                  <w:pPr>
                    <w:adjustRightInd w:val="0"/>
                    <w:snapToGrid w:val="0"/>
                    <w:spacing w:line="480" w:lineRule="exact"/>
                    <w:jc w:val="center"/>
                    <w:textAlignment w:val="baseline"/>
                    <w:outlineLvl w:val="0"/>
                  </w:pPr>
                  <w:r>
                    <w:t>符合</w:t>
                  </w:r>
                </w:p>
              </w:tc>
            </w:tr>
          </w:tbl>
          <w:p>
            <w:pPr>
              <w:pStyle w:val="29"/>
              <w:spacing w:before="0" w:beforeAutospacing="0" w:after="0" w:afterAutospacing="0" w:line="480" w:lineRule="exact"/>
              <w:ind w:firstLine="480" w:firstLineChars="200"/>
              <w:outlineLvl w:val="0"/>
              <w:rPr>
                <w:rFonts w:ascii="黑体" w:hAnsi="黑体" w:eastAsia="黑体"/>
                <w:snapToGrid w:val="0"/>
                <w:sz w:val="30"/>
                <w:szCs w:val="30"/>
              </w:rPr>
            </w:pPr>
            <w:r>
              <w:t>由上表可知，本项目符合《攻坚方案》相关要求</w:t>
            </w:r>
            <w:r>
              <w:rPr>
                <w:rFonts w:hint="eastAsia"/>
              </w:rPr>
              <w:t>。</w:t>
            </w:r>
          </w:p>
          <w:p>
            <w:pPr>
              <w:pStyle w:val="29"/>
              <w:adjustRightInd w:val="0"/>
              <w:snapToGrid w:val="0"/>
              <w:spacing w:before="0" w:beforeAutospacing="0" w:after="0" w:afterAutospacing="0" w:line="480" w:lineRule="exact"/>
              <w:ind w:firstLine="480" w:firstLineChars="200"/>
              <w:outlineLvl w:val="0"/>
              <w:rPr>
                <w:rFonts w:ascii="Times New Roman" w:hAnsi="Times New Roman"/>
                <w:color w:val="000000"/>
              </w:rPr>
            </w:pPr>
            <w:r>
              <w:rPr>
                <w:rFonts w:hint="eastAsia" w:ascii="Times New Roman" w:hAnsi="Times New Roman"/>
                <w:color w:val="000000"/>
              </w:rPr>
              <w:t>（3）</w:t>
            </w:r>
            <w:r>
              <w:rPr>
                <w:rFonts w:ascii="Times New Roman" w:hAnsi="Times New Roman"/>
                <w:color w:val="000000"/>
              </w:rPr>
              <w:t>与</w:t>
            </w:r>
            <w:r>
              <w:rPr>
                <w:rFonts w:hint="eastAsia" w:ascii="Times New Roman" w:hAnsi="Times New Roman"/>
                <w:color w:val="000000"/>
              </w:rPr>
              <w:t>《河南省重污染天气重点行业应急减排措施制定技术指南（2021年修订）》相符性分析</w:t>
            </w:r>
          </w:p>
          <w:p>
            <w:pPr>
              <w:pStyle w:val="29"/>
              <w:spacing w:before="0" w:beforeAutospacing="0" w:after="0" w:afterAutospacing="0" w:line="480" w:lineRule="exact"/>
              <w:ind w:firstLine="480" w:firstLineChars="200"/>
              <w:outlineLvl w:val="0"/>
              <w:rPr>
                <w:rFonts w:ascii="Times New Roman" w:hAnsi="Times New Roman"/>
              </w:rPr>
            </w:pPr>
            <w:r>
              <w:rPr>
                <w:rFonts w:ascii="Times New Roman" w:hAnsi="Times New Roman"/>
              </w:rPr>
              <w:t>根据《河南省重污染天气重点行业应急减排措施制定技术指南（2021年修订</w:t>
            </w:r>
            <w:r>
              <w:rPr>
                <w:rFonts w:hint="eastAsia" w:ascii="Times New Roman" w:hAnsi="Times New Roman"/>
              </w:rPr>
              <w:t>）</w:t>
            </w:r>
            <w:r>
              <w:rPr>
                <w:rFonts w:ascii="Times New Roman" w:hAnsi="Times New Roman"/>
              </w:rPr>
              <w:t>》中</w:t>
            </w:r>
            <w:r>
              <w:rPr>
                <w:rFonts w:hint="eastAsia" w:ascii="Times New Roman" w:hAnsi="Times New Roman"/>
              </w:rPr>
              <w:t>通用行业</w:t>
            </w:r>
            <w:r>
              <w:rPr>
                <w:rFonts w:ascii="Times New Roman" w:hAnsi="Times New Roman"/>
              </w:rPr>
              <w:t>的要求，结合本项目的情况，该方案中涉及到本项目的内容与本项目实际情况的对比情况有：</w:t>
            </w:r>
          </w:p>
          <w:p>
            <w:pPr>
              <w:spacing w:line="480" w:lineRule="exact"/>
              <w:ind w:firstLine="480" w:firstLineChars="200"/>
              <w:rPr>
                <w:rFonts w:eastAsia="黑体"/>
                <w:color w:val="000000"/>
                <w:sz w:val="24"/>
                <w:lang w:val="pt-BR"/>
              </w:rPr>
            </w:pPr>
            <w:r>
              <w:rPr>
                <w:rFonts w:eastAsia="黑体"/>
                <w:color w:val="000000"/>
                <w:sz w:val="24"/>
                <w:lang w:val="pt-BR"/>
              </w:rPr>
              <w:t>表</w:t>
            </w:r>
            <w:r>
              <w:rPr>
                <w:rFonts w:hint="eastAsia" w:eastAsia="黑体"/>
                <w:color w:val="000000"/>
                <w:sz w:val="24"/>
                <w:lang w:val="pt-BR"/>
              </w:rPr>
              <w:t>5本项目与《重污染天气重点行业应急减排措施指南》</w:t>
            </w:r>
            <w:r>
              <w:rPr>
                <w:rFonts w:eastAsia="黑体"/>
                <w:color w:val="000000"/>
                <w:sz w:val="24"/>
                <w:lang w:val="pt-BR"/>
              </w:rPr>
              <w:t>对比分析</w:t>
            </w:r>
          </w:p>
          <w:tbl>
            <w:tblPr>
              <w:tblStyle w:val="31"/>
              <w:tblpPr w:leftFromText="180" w:rightFromText="180" w:vertAnchor="text" w:tblpXSpec="center" w:tblpY="1"/>
              <w:tblOverlap w:val="never"/>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3710"/>
              <w:gridCol w:w="2468"/>
              <w:gridCol w:w="73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451" w:type="pct"/>
                  <w:vAlign w:val="center"/>
                </w:tcPr>
                <w:p>
                  <w:pPr>
                    <w:jc w:val="center"/>
                    <w:rPr>
                      <w:b/>
                      <w:color w:val="000000"/>
                      <w:szCs w:val="21"/>
                    </w:rPr>
                  </w:pPr>
                  <w:r>
                    <w:rPr>
                      <w:b/>
                      <w:color w:val="000000"/>
                      <w:szCs w:val="21"/>
                    </w:rPr>
                    <w:t>项差异化指标</w:t>
                  </w:r>
                </w:p>
              </w:tc>
              <w:tc>
                <w:tcPr>
                  <w:tcW w:w="2440" w:type="pct"/>
                  <w:vAlign w:val="center"/>
                </w:tcPr>
                <w:p>
                  <w:pPr>
                    <w:jc w:val="center"/>
                    <w:rPr>
                      <w:b/>
                      <w:color w:val="000000"/>
                      <w:szCs w:val="21"/>
                    </w:rPr>
                  </w:pPr>
                  <w:r>
                    <w:rPr>
                      <w:rFonts w:hint="eastAsia"/>
                      <w:b/>
                      <w:color w:val="000000"/>
                      <w:szCs w:val="21"/>
                    </w:rPr>
                    <w:t>涉</w:t>
                  </w:r>
                  <w:r>
                    <w:rPr>
                      <w:b/>
                      <w:color w:val="000000"/>
                      <w:szCs w:val="21"/>
                    </w:rPr>
                    <w:t>PM企业基本要求</w:t>
                  </w:r>
                </w:p>
              </w:tc>
              <w:tc>
                <w:tcPr>
                  <w:tcW w:w="1623" w:type="pct"/>
                  <w:vAlign w:val="center"/>
                </w:tcPr>
                <w:p>
                  <w:pPr>
                    <w:jc w:val="center"/>
                    <w:rPr>
                      <w:b/>
                      <w:color w:val="000000"/>
                      <w:szCs w:val="21"/>
                    </w:rPr>
                  </w:pPr>
                  <w:r>
                    <w:rPr>
                      <w:b/>
                      <w:color w:val="000000"/>
                      <w:szCs w:val="21"/>
                    </w:rPr>
                    <w:t>本项目拟建设情况</w:t>
                  </w:r>
                </w:p>
              </w:tc>
              <w:tc>
                <w:tcPr>
                  <w:tcW w:w="486" w:type="pct"/>
                  <w:vAlign w:val="center"/>
                </w:tcPr>
                <w:p>
                  <w:pPr>
                    <w:jc w:val="center"/>
                    <w:rPr>
                      <w:b/>
                      <w:color w:val="000000"/>
                      <w:szCs w:val="21"/>
                    </w:rPr>
                  </w:pPr>
                  <w:r>
                    <w:rPr>
                      <w:b/>
                      <w:color w:val="000000"/>
                      <w:szCs w:val="21"/>
                    </w:rPr>
                    <w:t>对比结果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Align w:val="center"/>
                </w:tcPr>
                <w:p>
                  <w:pPr>
                    <w:pStyle w:val="214"/>
                    <w:ind w:firstLine="0" w:firstLineChars="0"/>
                    <w:jc w:val="center"/>
                    <w:rPr>
                      <w:rFonts w:ascii="仿宋" w:hAnsi="仿宋" w:eastAsia="仿宋" w:cs="Times New Roman"/>
                      <w:szCs w:val="21"/>
                    </w:rPr>
                  </w:pPr>
                  <w:r>
                    <w:rPr>
                      <w:rFonts w:ascii="Times New Roman" w:hAnsi="Times New Roman" w:cs="Times New Roman"/>
                      <w:color w:val="auto"/>
                      <w:sz w:val="21"/>
                      <w:szCs w:val="24"/>
                    </w:rPr>
                    <w:t>物料装卸</w:t>
                  </w:r>
                </w:p>
              </w:tc>
              <w:tc>
                <w:tcPr>
                  <w:tcW w:w="2440" w:type="pct"/>
                  <w:vAlign w:val="center"/>
                </w:tcPr>
                <w:p>
                  <w:pPr>
                    <w:adjustRightInd w:val="0"/>
                    <w:snapToGrid w:val="0"/>
                    <w:textAlignment w:val="baseline"/>
                    <w:outlineLvl w:val="0"/>
                  </w:pPr>
                  <w:r>
                    <w:t>车辆运输的物料应采取封闭措施。粉状、粒状、块状散装物料在封闭料场内装卸，装卸过程中产尘点应设置集气除尘装置，料堆应采取有效抑尘措施。</w:t>
                  </w:r>
                </w:p>
                <w:p>
                  <w:pPr>
                    <w:adjustRightInd w:val="0"/>
                    <w:snapToGrid w:val="0"/>
                    <w:textAlignment w:val="baseline"/>
                    <w:outlineLvl w:val="0"/>
                    <w:rPr>
                      <w:rFonts w:ascii="仿宋" w:hAnsi="仿宋" w:eastAsia="仿宋"/>
                      <w:szCs w:val="21"/>
                    </w:rPr>
                  </w:pPr>
                  <w:r>
                    <w:t>不易产尘的袋装物料宜在料棚中装卸，如需露天装卸应采取防止破袋及粉尘外逸措施。</w:t>
                  </w:r>
                </w:p>
              </w:tc>
              <w:tc>
                <w:tcPr>
                  <w:tcW w:w="1623" w:type="pct"/>
                  <w:vAlign w:val="center"/>
                </w:tcPr>
                <w:p>
                  <w:pPr>
                    <w:rPr>
                      <w:color w:val="000000"/>
                      <w:szCs w:val="21"/>
                    </w:rPr>
                  </w:pPr>
                  <w:r>
                    <w:rPr>
                      <w:color w:val="000000"/>
                      <w:szCs w:val="21"/>
                    </w:rPr>
                    <w:t>本项目建成后物料均在封闭原料库内装卸</w:t>
                  </w:r>
                  <w:r>
                    <w:rPr>
                      <w:rFonts w:hint="eastAsia"/>
                      <w:color w:val="000000"/>
                      <w:szCs w:val="21"/>
                    </w:rPr>
                    <w:t>。</w:t>
                  </w:r>
                </w:p>
              </w:tc>
              <w:tc>
                <w:tcPr>
                  <w:tcW w:w="486" w:type="pct"/>
                  <w:vAlign w:val="center"/>
                </w:tcPr>
                <w:p>
                  <w:pPr>
                    <w:jc w:val="center"/>
                    <w:rPr>
                      <w:color w:val="000000"/>
                      <w:szCs w:val="21"/>
                    </w:rPr>
                  </w:pPr>
                  <w:r>
                    <w:rPr>
                      <w:color w:val="00000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451" w:type="pct"/>
                  <w:vAlign w:val="center"/>
                </w:tcPr>
                <w:p>
                  <w:pPr>
                    <w:pStyle w:val="214"/>
                    <w:ind w:firstLine="0" w:firstLineChars="0"/>
                    <w:jc w:val="center"/>
                    <w:rPr>
                      <w:rFonts w:ascii="仿宋" w:hAnsi="仿宋" w:eastAsia="仿宋" w:cs="Times New Roman"/>
                      <w:szCs w:val="21"/>
                    </w:rPr>
                  </w:pPr>
                  <w:r>
                    <w:rPr>
                      <w:rFonts w:ascii="Times New Roman" w:hAnsi="Times New Roman" w:cs="Times New Roman"/>
                      <w:color w:val="auto"/>
                      <w:sz w:val="21"/>
                      <w:szCs w:val="24"/>
                    </w:rPr>
                    <w:t>物料储存</w:t>
                  </w:r>
                </w:p>
              </w:tc>
              <w:tc>
                <w:tcPr>
                  <w:tcW w:w="2440" w:type="pct"/>
                  <w:vAlign w:val="center"/>
                </w:tcPr>
                <w:p>
                  <w:pPr>
                    <w:adjustRightInd w:val="0"/>
                    <w:snapToGrid w:val="0"/>
                    <w:textAlignment w:val="baseline"/>
                    <w:outlineLvl w:val="0"/>
                  </w:pPr>
                  <w:r>
                    <w:t>一般物料。粉状物料应储存于密闭/封闭料仓中；粒状、块状物料应储存于封闭料场中，并采取喷淋、清扫或其他有效抑尘措施；袋装物料应储存于封闭/半封闭料场中。封闭料场顶棚和四周围墙完整，料场内路面全部硬化，料场货物进出大门为硬质材料门或自动感应门，在确保安全的情况下，所有门窗保持常闭状态。不产尘物料（如钢材、管件）及产品如露天储存应在规定的存储区域码放整齐。</w:t>
                  </w:r>
                </w:p>
                <w:p>
                  <w:pPr>
                    <w:adjustRightInd w:val="0"/>
                    <w:snapToGrid w:val="0"/>
                    <w:textAlignment w:val="baseline"/>
                    <w:outlineLvl w:val="0"/>
                    <w:rPr>
                      <w:rFonts w:ascii="仿宋" w:hAnsi="仿宋" w:eastAsia="仿宋"/>
                      <w:szCs w:val="21"/>
                    </w:rPr>
                  </w:pPr>
                  <w:r>
                    <w:t>危险废物。应有符合规范要求的危险废物储存间，危险废物储存间门口应张贴标准规范的危险废物标识和危废信息板，建立台账并挂于危废间内，危险废物的记录和货单保存3年以上。危废间内禁止存放除危险废物和应急工具外的其他物品。</w:t>
                  </w:r>
                </w:p>
              </w:tc>
              <w:tc>
                <w:tcPr>
                  <w:tcW w:w="1623" w:type="pct"/>
                  <w:vAlign w:val="center"/>
                </w:tcPr>
                <w:p>
                  <w:r>
                    <w:rPr>
                      <w:color w:val="000000"/>
                      <w:szCs w:val="21"/>
                    </w:rPr>
                    <w:t>本项目建成后粉状物料</w:t>
                  </w:r>
                  <w:r>
                    <w:rPr>
                      <w:rFonts w:hint="eastAsia"/>
                      <w:color w:val="000000"/>
                      <w:szCs w:val="21"/>
                    </w:rPr>
                    <w:t>、</w:t>
                  </w:r>
                  <w:r>
                    <w:rPr>
                      <w:color w:val="000000"/>
                      <w:szCs w:val="21"/>
                    </w:rPr>
                    <w:t>块状物料均在密闭仓库内存放</w:t>
                  </w:r>
                  <w:r>
                    <w:rPr>
                      <w:rFonts w:hint="eastAsia"/>
                      <w:color w:val="000000"/>
                      <w:szCs w:val="21"/>
                    </w:rPr>
                    <w:t>。</w:t>
                  </w:r>
                  <w:r>
                    <w:t>封闭料场顶棚和四周围墙完整</w:t>
                  </w:r>
                  <w:r>
                    <w:rPr>
                      <w:rFonts w:hint="eastAsia"/>
                    </w:rPr>
                    <w:t>，</w:t>
                  </w:r>
                  <w:r>
                    <w:t>在确保安全的情况下，所有门窗保持常闭状态。</w:t>
                  </w:r>
                </w:p>
                <w:p>
                  <w:pPr>
                    <w:rPr>
                      <w:color w:val="000000"/>
                      <w:szCs w:val="21"/>
                    </w:rPr>
                  </w:pPr>
                  <w:r>
                    <w:rPr>
                      <w:rFonts w:hint="eastAsia"/>
                    </w:rPr>
                    <w:t>本项目建成后不产生危险废物。</w:t>
                  </w:r>
                </w:p>
              </w:tc>
              <w:tc>
                <w:tcPr>
                  <w:tcW w:w="486" w:type="pct"/>
                  <w:vAlign w:val="center"/>
                </w:tcPr>
                <w:p>
                  <w:pPr>
                    <w:jc w:val="center"/>
                    <w:rPr>
                      <w:color w:val="000000"/>
                      <w:szCs w:val="21"/>
                    </w:rPr>
                  </w:pPr>
                  <w:r>
                    <w:rPr>
                      <w:color w:val="00000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451" w:type="pct"/>
                  <w:vAlign w:val="center"/>
                </w:tcPr>
                <w:p>
                  <w:pPr>
                    <w:pStyle w:val="214"/>
                    <w:ind w:firstLine="0" w:firstLineChars="0"/>
                    <w:jc w:val="center"/>
                    <w:rPr>
                      <w:rFonts w:ascii="Times New Roman" w:hAnsi="Times New Roman" w:cs="Times New Roman"/>
                      <w:szCs w:val="24"/>
                    </w:rPr>
                  </w:pPr>
                  <w:r>
                    <w:rPr>
                      <w:rFonts w:ascii="Times New Roman" w:hAnsi="Times New Roman" w:cs="Times New Roman"/>
                      <w:color w:val="auto"/>
                      <w:sz w:val="21"/>
                      <w:szCs w:val="24"/>
                    </w:rPr>
                    <w:t>物料转移和输送</w:t>
                  </w:r>
                </w:p>
              </w:tc>
              <w:tc>
                <w:tcPr>
                  <w:tcW w:w="2440" w:type="pct"/>
                  <w:vAlign w:val="center"/>
                </w:tcPr>
                <w:p>
                  <w:pPr>
                    <w:adjustRightInd w:val="0"/>
                    <w:snapToGrid w:val="0"/>
                    <w:textAlignment w:val="baseline"/>
                    <w:outlineLvl w:val="0"/>
                  </w:pPr>
                  <w:r>
                    <w:t>粉状、粒状等易产尘物料厂内转移、输送过程应采用气力输送、密闭输送，块状和粘湿粉状物料采用封闭输送；无法封闭的产尘点（物料转载、下料口等）应采取集气除尘措施，或有效抑尘措施。</w:t>
                  </w:r>
                </w:p>
              </w:tc>
              <w:tc>
                <w:tcPr>
                  <w:tcW w:w="1623" w:type="pct"/>
                  <w:vAlign w:val="center"/>
                </w:tcPr>
                <w:p>
                  <w:pPr>
                    <w:rPr>
                      <w:szCs w:val="21"/>
                    </w:rPr>
                  </w:pPr>
                  <w:r>
                    <w:rPr>
                      <w:color w:val="000000"/>
                      <w:szCs w:val="21"/>
                    </w:rPr>
                    <w:t>本项目建成后</w:t>
                  </w:r>
                  <w:r>
                    <w:rPr>
                      <w:rFonts w:hint="eastAsia"/>
                      <w:color w:val="000000"/>
                      <w:szCs w:val="21"/>
                    </w:rPr>
                    <w:t>袋装粉状物料均通过下料搅拌成浆料后通过管道进行输送，下料过程中废气采取负压集气的方式进行收集处置。</w:t>
                  </w:r>
                </w:p>
              </w:tc>
              <w:tc>
                <w:tcPr>
                  <w:tcW w:w="486" w:type="pct"/>
                  <w:vAlign w:val="center"/>
                </w:tcPr>
                <w:p>
                  <w:pPr>
                    <w:jc w:val="center"/>
                    <w:rPr>
                      <w:color w:val="000000"/>
                      <w:szCs w:val="21"/>
                    </w:rPr>
                  </w:pPr>
                  <w:r>
                    <w:rPr>
                      <w:color w:val="00000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451" w:type="pct"/>
                  <w:vAlign w:val="center"/>
                </w:tcPr>
                <w:p>
                  <w:pPr>
                    <w:pStyle w:val="214"/>
                    <w:ind w:firstLine="0" w:firstLineChars="0"/>
                    <w:jc w:val="center"/>
                    <w:rPr>
                      <w:rFonts w:ascii="Times New Roman" w:hAnsi="Times New Roman" w:cs="Times New Roman"/>
                      <w:color w:val="auto"/>
                      <w:sz w:val="21"/>
                      <w:szCs w:val="24"/>
                    </w:rPr>
                  </w:pPr>
                  <w:r>
                    <w:rPr>
                      <w:rFonts w:ascii="Times New Roman" w:hAnsi="Times New Roman" w:cs="Times New Roman"/>
                      <w:color w:val="auto"/>
                      <w:sz w:val="21"/>
                      <w:szCs w:val="24"/>
                    </w:rPr>
                    <w:t>成品包装</w:t>
                  </w:r>
                </w:p>
              </w:tc>
              <w:tc>
                <w:tcPr>
                  <w:tcW w:w="2440" w:type="pct"/>
                  <w:vAlign w:val="center"/>
                </w:tcPr>
                <w:p>
                  <w:pPr>
                    <w:adjustRightInd w:val="0"/>
                    <w:snapToGrid w:val="0"/>
                    <w:textAlignment w:val="baseline"/>
                    <w:outlineLvl w:val="0"/>
                  </w:pPr>
                  <w:r>
                    <w:t>卸料口应完全封闭，如不能封闭应采取局部集气除尘措施。卸料口地面应及时清扫，地面无明显积尘。</w:t>
                  </w:r>
                </w:p>
              </w:tc>
              <w:tc>
                <w:tcPr>
                  <w:tcW w:w="1623" w:type="pct"/>
                  <w:vAlign w:val="center"/>
                </w:tcPr>
                <w:p>
                  <w:pPr>
                    <w:rPr>
                      <w:color w:val="000000"/>
                      <w:szCs w:val="21"/>
                    </w:rPr>
                  </w:pPr>
                  <w:r>
                    <w:rPr>
                      <w:color w:val="000000"/>
                      <w:szCs w:val="21"/>
                    </w:rPr>
                    <w:t>本项目建成后成品</w:t>
                  </w:r>
                  <w:r>
                    <w:rPr>
                      <w:rFonts w:hint="eastAsia"/>
                      <w:color w:val="000000"/>
                      <w:szCs w:val="21"/>
                    </w:rPr>
                    <w:t>为</w:t>
                  </w:r>
                  <w:r>
                    <w:rPr>
                      <w:color w:val="000000"/>
                      <w:szCs w:val="21"/>
                    </w:rPr>
                    <w:t>涂布白卡纸</w:t>
                  </w:r>
                  <w:r>
                    <w:rPr>
                      <w:rFonts w:hint="eastAsia"/>
                      <w:color w:val="000000"/>
                      <w:szCs w:val="21"/>
                    </w:rPr>
                    <w:t>，成品</w:t>
                  </w:r>
                  <w:r>
                    <w:rPr>
                      <w:color w:val="000000"/>
                      <w:szCs w:val="21"/>
                    </w:rPr>
                    <w:t>包装工段无粉尘产生</w:t>
                  </w:r>
                  <w:r>
                    <w:rPr>
                      <w:rFonts w:hint="eastAsia"/>
                      <w:color w:val="000000"/>
                      <w:szCs w:val="21"/>
                    </w:rPr>
                    <w:t>。</w:t>
                  </w:r>
                </w:p>
              </w:tc>
              <w:tc>
                <w:tcPr>
                  <w:tcW w:w="486" w:type="pct"/>
                  <w:vAlign w:val="center"/>
                </w:tcPr>
                <w:p>
                  <w:pPr>
                    <w:jc w:val="center"/>
                    <w:rPr>
                      <w:color w:val="000000"/>
                      <w:szCs w:val="21"/>
                    </w:rPr>
                  </w:pPr>
                  <w:r>
                    <w:rPr>
                      <w:color w:val="00000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451" w:type="pct"/>
                  <w:vAlign w:val="center"/>
                </w:tcPr>
                <w:p>
                  <w:pPr>
                    <w:pStyle w:val="214"/>
                    <w:ind w:firstLine="0" w:firstLineChars="0"/>
                    <w:jc w:val="center"/>
                    <w:rPr>
                      <w:rFonts w:ascii="Times New Roman" w:hAnsi="Times New Roman" w:cs="Times New Roman"/>
                      <w:color w:val="auto"/>
                      <w:sz w:val="21"/>
                      <w:szCs w:val="24"/>
                    </w:rPr>
                  </w:pPr>
                  <w:r>
                    <w:rPr>
                      <w:rFonts w:ascii="Times New Roman" w:hAnsi="Times New Roman" w:cs="Times New Roman"/>
                      <w:color w:val="auto"/>
                      <w:sz w:val="21"/>
                      <w:szCs w:val="24"/>
                    </w:rPr>
                    <w:t>工艺过程</w:t>
                  </w:r>
                </w:p>
              </w:tc>
              <w:tc>
                <w:tcPr>
                  <w:tcW w:w="2440" w:type="pct"/>
                  <w:vAlign w:val="center"/>
                </w:tcPr>
                <w:p>
                  <w:pPr>
                    <w:adjustRightInd w:val="0"/>
                    <w:snapToGrid w:val="0"/>
                    <w:textAlignment w:val="baseline"/>
                    <w:outlineLvl w:val="0"/>
                  </w:pPr>
                  <w:r>
                    <w:t>各种物料破碎、筛分、配料、混料等过程应在封闭厂房内进行，并采取局部收尘/抑尘措施。破碎筛分设备在进、出料口和配料混料过程等产尘点应设置集气除尘设施。</w:t>
                  </w:r>
                </w:p>
                <w:p>
                  <w:pPr>
                    <w:adjustRightInd w:val="0"/>
                    <w:snapToGrid w:val="0"/>
                    <w:textAlignment w:val="baseline"/>
                    <w:outlineLvl w:val="0"/>
                  </w:pPr>
                  <w:r>
                    <w:t>各生产工序的车间地面干净，无积料、积灰现象。</w:t>
                  </w:r>
                </w:p>
                <w:p>
                  <w:pPr>
                    <w:adjustRightInd w:val="0"/>
                    <w:snapToGrid w:val="0"/>
                    <w:textAlignment w:val="baseline"/>
                    <w:outlineLvl w:val="0"/>
                  </w:pPr>
                  <w:r>
                    <w:t>生产车间不得有可见烟粉尘外逸。</w:t>
                  </w:r>
                </w:p>
              </w:tc>
              <w:tc>
                <w:tcPr>
                  <w:tcW w:w="1623" w:type="pct"/>
                  <w:vAlign w:val="center"/>
                </w:tcPr>
                <w:p>
                  <w:pPr>
                    <w:rPr>
                      <w:color w:val="000000"/>
                      <w:szCs w:val="21"/>
                    </w:rPr>
                  </w:pPr>
                  <w:r>
                    <w:rPr>
                      <w:rFonts w:hint="eastAsia"/>
                      <w:color w:val="000000"/>
                      <w:szCs w:val="21"/>
                    </w:rPr>
                    <w:t>本项目主要涉尘工段为粉状袋装物料下料过程产生的粉尘，项目建成后此工段设有集气罩，采用负压方式进行投料，并配备有袋式除尘器；车间地面干净、无积灰、无可见烟粉尘外逸。</w:t>
                  </w:r>
                </w:p>
              </w:tc>
              <w:tc>
                <w:tcPr>
                  <w:tcW w:w="486" w:type="pct"/>
                  <w:vAlign w:val="center"/>
                </w:tcPr>
                <w:p>
                  <w:pPr>
                    <w:jc w:val="center"/>
                    <w:rPr>
                      <w:color w:val="000000"/>
                      <w:szCs w:val="21"/>
                    </w:rPr>
                  </w:pPr>
                  <w:r>
                    <w:rPr>
                      <w:color w:val="00000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451" w:type="pct"/>
                  <w:vAlign w:val="center"/>
                </w:tcPr>
                <w:p>
                  <w:pPr>
                    <w:pStyle w:val="214"/>
                    <w:ind w:firstLine="0" w:firstLineChars="0"/>
                    <w:jc w:val="center"/>
                    <w:rPr>
                      <w:rFonts w:ascii="Times New Roman" w:hAnsi="Times New Roman" w:cs="Times New Roman"/>
                      <w:color w:val="auto"/>
                      <w:sz w:val="21"/>
                      <w:szCs w:val="24"/>
                    </w:rPr>
                  </w:pPr>
                  <w:r>
                    <w:rPr>
                      <w:rFonts w:hint="eastAsia" w:ascii="Times New Roman" w:hAnsi="Times New Roman" w:cs="Times New Roman"/>
                      <w:color w:val="auto"/>
                      <w:sz w:val="21"/>
                      <w:szCs w:val="24"/>
                    </w:rPr>
                    <w:t>运输方式及运输监管</w:t>
                  </w:r>
                </w:p>
              </w:tc>
              <w:tc>
                <w:tcPr>
                  <w:tcW w:w="2440" w:type="pct"/>
                  <w:vAlign w:val="center"/>
                </w:tcPr>
                <w:p>
                  <w:pPr>
                    <w:adjustRightInd w:val="0"/>
                    <w:snapToGrid w:val="0"/>
                    <w:textAlignment w:val="baseline"/>
                    <w:outlineLvl w:val="0"/>
                  </w:pPr>
                  <w:r>
                    <w:rPr>
                      <w:rFonts w:hint="eastAsia"/>
                    </w:rPr>
                    <w:t>（1）运输方式</w:t>
                  </w:r>
                </w:p>
                <w:p>
                  <w:pPr>
                    <w:adjustRightInd w:val="0"/>
                    <w:snapToGrid w:val="0"/>
                    <w:textAlignment w:val="baseline"/>
                    <w:outlineLvl w:val="0"/>
                  </w:pPr>
                  <w:r>
                    <w:rPr>
                      <w:rFonts w:hint="eastAsia"/>
                    </w:rPr>
                    <w:t>①公路运输。物料公路运输使用达到国五及以上排放标准重型载货车辆（重型燃气车辆达到国六排放标准）或新能源车辆比例（A级100%，B级不低于80%），其他车辆达到国四排放标准（重型燃气车辆达到国五及以上排放标准）；</w:t>
                  </w:r>
                </w:p>
                <w:p>
                  <w:pPr>
                    <w:adjustRightInd w:val="0"/>
                    <w:snapToGrid w:val="0"/>
                    <w:textAlignment w:val="baseline"/>
                    <w:outlineLvl w:val="0"/>
                  </w:pPr>
                  <w:r>
                    <w:rPr>
                      <w:rFonts w:hint="eastAsia"/>
                    </w:rPr>
                    <w:t>②厂内运输车辆。达到国五及以上排放标准（重型燃气车辆达到国六排放标准）或使用新能源车辆的比例（A级100%，B级不低于80%），其他车辆达到国四排放标准（重型燃气车辆达到国五及以上排放标准）；</w:t>
                  </w:r>
                </w:p>
                <w:p>
                  <w:pPr>
                    <w:adjustRightInd w:val="0"/>
                    <w:snapToGrid w:val="0"/>
                    <w:textAlignment w:val="baseline"/>
                    <w:outlineLvl w:val="0"/>
                  </w:pPr>
                  <w:r>
                    <w:rPr>
                      <w:rFonts w:hint="eastAsia"/>
                    </w:rPr>
                    <w:t>③危险品及危废运输。国五及以上或新能源车辆（A级/B级100%）；</w:t>
                  </w:r>
                </w:p>
                <w:p>
                  <w:pPr>
                    <w:adjustRightInd w:val="0"/>
                    <w:snapToGrid w:val="0"/>
                    <w:textAlignment w:val="baseline"/>
                    <w:outlineLvl w:val="0"/>
                  </w:pPr>
                  <w:r>
                    <w:rPr>
                      <w:rFonts w:hint="eastAsia"/>
                    </w:rPr>
                    <w:t>④厂内非道路移动机械。国三及以上排放标准或使用新能源机械（A级/B级100%）。</w:t>
                  </w:r>
                </w:p>
                <w:p>
                  <w:pPr>
                    <w:adjustRightInd w:val="0"/>
                    <w:snapToGrid w:val="0"/>
                    <w:textAlignment w:val="baseline"/>
                    <w:outlineLvl w:val="0"/>
                  </w:pPr>
                  <w:r>
                    <w:rPr>
                      <w:rFonts w:hint="eastAsia"/>
                    </w:rPr>
                    <w:t>（2）运输监管</w:t>
                  </w:r>
                </w:p>
                <w:p>
                  <w:pPr>
                    <w:adjustRightInd w:val="0"/>
                    <w:snapToGrid w:val="0"/>
                    <w:textAlignment w:val="baseline"/>
                    <w:outlineLvl w:val="0"/>
                  </w:pPr>
                  <w:r>
                    <w:rPr>
                      <w:rFonts w:hint="eastAsia"/>
                    </w:rPr>
                    <w:t>厂区货运车辆进出大门口：日均进出货物150吨（或载货车辆日进出10辆次）及以上（货物包括原料、辅料、燃料、产品和其他与生产相关物料）的企业，或纳入我省重点行业年产值1000万及以上的企业，拟申报A、B级企业时，应参照《重污染天气重点行业移动源应急管理技术指南》建立门禁视频监控系统和电子台账；其他企业建立电子台账。安装高清视频监控系统并能保留数据6个月以上。</w:t>
                  </w:r>
                </w:p>
              </w:tc>
              <w:tc>
                <w:tcPr>
                  <w:tcW w:w="1623" w:type="pct"/>
                  <w:vAlign w:val="center"/>
                </w:tcPr>
                <w:p>
                  <w:pPr>
                    <w:rPr>
                      <w:color w:val="000000"/>
                      <w:szCs w:val="21"/>
                    </w:rPr>
                  </w:pPr>
                  <w:r>
                    <w:rPr>
                      <w:rFonts w:hint="eastAsia"/>
                      <w:color w:val="000000"/>
                      <w:szCs w:val="21"/>
                    </w:rPr>
                    <w:t>（1）运输方式：</w:t>
                  </w:r>
                </w:p>
                <w:p>
                  <w:pPr>
                    <w:rPr>
                      <w:color w:val="000000"/>
                      <w:szCs w:val="21"/>
                    </w:rPr>
                  </w:pPr>
                  <w:r>
                    <w:rPr>
                      <w:rFonts w:hint="eastAsia"/>
                      <w:color w:val="000000"/>
                      <w:szCs w:val="21"/>
                    </w:rPr>
                    <w:t>①公路运输：建设单位将强制要求供货单位及产品运输企业使用国五排放的重型载货车辆拉运本项目原料及产品；</w:t>
                  </w:r>
                </w:p>
                <w:p>
                  <w:pPr>
                    <w:rPr>
                      <w:color w:val="000000"/>
                      <w:szCs w:val="21"/>
                    </w:rPr>
                  </w:pPr>
                  <w:r>
                    <w:rPr>
                      <w:rFonts w:hint="eastAsia"/>
                      <w:color w:val="000000"/>
                      <w:szCs w:val="21"/>
                    </w:rPr>
                    <w:t>②厂内运输车辆：本项目无厂内运输车辆；</w:t>
                  </w:r>
                </w:p>
                <w:p>
                  <w:pPr>
                    <w:rPr>
                      <w:color w:val="000000"/>
                      <w:szCs w:val="21"/>
                    </w:rPr>
                  </w:pPr>
                  <w:r>
                    <w:rPr>
                      <w:rFonts w:hint="eastAsia"/>
                      <w:color w:val="000000"/>
                      <w:szCs w:val="21"/>
                    </w:rPr>
                    <w:t>③危险品及危废运输：本项目不涉及危险品及；</w:t>
                  </w:r>
                </w:p>
                <w:p>
                  <w:pPr>
                    <w:rPr>
                      <w:color w:val="000000"/>
                      <w:szCs w:val="21"/>
                    </w:rPr>
                  </w:pPr>
                  <w:r>
                    <w:rPr>
                      <w:rFonts w:hint="eastAsia"/>
                      <w:color w:val="000000"/>
                      <w:szCs w:val="21"/>
                    </w:rPr>
                    <w:t>④厂内非道路移动机械：本项目建成后，厂内进行物料转移的柴油非道路移动机械均为国三排放标准；</w:t>
                  </w:r>
                </w:p>
                <w:p>
                  <w:pPr>
                    <w:rPr>
                      <w:color w:val="000000"/>
                      <w:szCs w:val="21"/>
                    </w:rPr>
                  </w:pPr>
                  <w:r>
                    <w:rPr>
                      <w:rFonts w:hint="eastAsia"/>
                      <w:color w:val="000000"/>
                      <w:szCs w:val="21"/>
                    </w:rPr>
                    <w:t>（2）运输监管：</w:t>
                  </w:r>
                </w:p>
                <w:p>
                  <w:pPr>
                    <w:rPr>
                      <w:color w:val="000000"/>
                      <w:szCs w:val="21"/>
                    </w:rPr>
                  </w:pPr>
                  <w:r>
                    <w:rPr>
                      <w:rFonts w:hint="eastAsia"/>
                      <w:color w:val="000000"/>
                      <w:szCs w:val="21"/>
                    </w:rPr>
                    <w:t>企业已按照《重污染天气重点行业移动源应急管理技术指南》建立门禁视频监控系统和电子台账，安装高清视频监控系统并能保留数据6个月以上；</w:t>
                  </w:r>
                </w:p>
              </w:tc>
              <w:tc>
                <w:tcPr>
                  <w:tcW w:w="486" w:type="pct"/>
                  <w:vAlign w:val="center"/>
                </w:tcPr>
                <w:p>
                  <w:pPr>
                    <w:jc w:val="center"/>
                    <w:rPr>
                      <w:color w:val="000000"/>
                      <w:szCs w:val="21"/>
                    </w:rPr>
                  </w:pPr>
                  <w:r>
                    <w:rPr>
                      <w:color w:val="00000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451" w:type="pct"/>
                  <w:vAlign w:val="center"/>
                </w:tcPr>
                <w:p>
                  <w:pPr>
                    <w:pStyle w:val="214"/>
                    <w:ind w:firstLine="0" w:firstLineChars="0"/>
                    <w:jc w:val="center"/>
                    <w:rPr>
                      <w:rFonts w:ascii="Times New Roman" w:hAnsi="Times New Roman" w:cs="Times New Roman"/>
                      <w:szCs w:val="24"/>
                    </w:rPr>
                  </w:pPr>
                  <w:r>
                    <w:rPr>
                      <w:rFonts w:hint="eastAsia" w:ascii="Times New Roman" w:hAnsi="Times New Roman" w:cs="Times New Roman"/>
                      <w:color w:val="auto"/>
                      <w:sz w:val="21"/>
                      <w:szCs w:val="24"/>
                    </w:rPr>
                    <w:t>其他控制要求</w:t>
                  </w:r>
                </w:p>
              </w:tc>
              <w:tc>
                <w:tcPr>
                  <w:tcW w:w="2440" w:type="pct"/>
                  <w:vAlign w:val="center"/>
                </w:tcPr>
                <w:p>
                  <w:pPr>
                    <w:adjustRightInd w:val="0"/>
                    <w:snapToGrid w:val="0"/>
                    <w:textAlignment w:val="baseline"/>
                    <w:outlineLvl w:val="0"/>
                  </w:pPr>
                  <w:r>
                    <w:rPr>
                      <w:rFonts w:hint="eastAsia"/>
                    </w:rPr>
                    <w:t>（1）生产工艺和装备</w:t>
                  </w:r>
                </w:p>
                <w:p>
                  <w:pPr>
                    <w:adjustRightInd w:val="0"/>
                    <w:snapToGrid w:val="0"/>
                    <w:textAlignment w:val="baseline"/>
                    <w:outlineLvl w:val="0"/>
                  </w:pPr>
                  <w:r>
                    <w:rPr>
                      <w:rFonts w:hint="eastAsia"/>
                    </w:rPr>
                    <w:t>不属于《产业结构调整指导目录（2019年版）》淘汰类，不属于省级和市级政府部门明确列入已经限期淘汰类项目。</w:t>
                  </w:r>
                </w:p>
                <w:p>
                  <w:pPr>
                    <w:adjustRightInd w:val="0"/>
                    <w:snapToGrid w:val="0"/>
                    <w:textAlignment w:val="baseline"/>
                    <w:outlineLvl w:val="0"/>
                  </w:pPr>
                  <w:r>
                    <w:rPr>
                      <w:rFonts w:hint="eastAsia"/>
                    </w:rPr>
                    <w:t>（2）污染治理副产物</w:t>
                  </w:r>
                </w:p>
                <w:p>
                  <w:pPr>
                    <w:adjustRightInd w:val="0"/>
                    <w:snapToGrid w:val="0"/>
                    <w:textAlignment w:val="baseline"/>
                    <w:outlineLvl w:val="0"/>
                  </w:pPr>
                  <w:r>
                    <w:rPr>
                      <w:rFonts w:hint="eastAsia"/>
                    </w:rPr>
                    <w:t>除尘器应设置密闭灰仓并及时卸灰，除尘灰应通过气力输送、罐车、袋子等封闭方式卸灰，不得直接卸落到地面。除尘灰如果转运应采用气力输送、封闭传送带方式，如果直接外运应采用罐车或袋装后运输，并在装车过程中采取抑尘措施，除尘灰在厂区内应密闭/封闭储存；脱硫石膏和脱硫废渣等固体废物在转运过程中应采取抑尘措施并应封闭储存。</w:t>
                  </w:r>
                </w:p>
                <w:p>
                  <w:pPr>
                    <w:adjustRightInd w:val="0"/>
                    <w:snapToGrid w:val="0"/>
                    <w:textAlignment w:val="baseline"/>
                    <w:outlineLvl w:val="0"/>
                  </w:pPr>
                  <w:r>
                    <w:rPr>
                      <w:rFonts w:hint="eastAsia"/>
                    </w:rPr>
                    <w:t>（3）用电量/视频监管</w:t>
                  </w:r>
                </w:p>
                <w:p>
                  <w:pPr>
                    <w:adjustRightInd w:val="0"/>
                    <w:snapToGrid w:val="0"/>
                    <w:textAlignment w:val="baseline"/>
                    <w:outlineLvl w:val="0"/>
                  </w:pPr>
                  <w:r>
                    <w:rPr>
                      <w:rFonts w:hint="eastAsia"/>
                    </w:rPr>
                    <w:t>按照《河南省涉气排污单位污染治理设施用电监管技术指南（试行）》要求安装用电监管设备（有自动在线监控系统的企业除外），用电监管数据直接上传至省、市生态环境部门的污染治理设施用电监管平台服务器；未安装自动在线监控和用电量监管拟申报A、B级企业，应在主要生产设备（投料口、卸料口等位置）安装视频监控设施，相关数据保存三个月以上。</w:t>
                  </w:r>
                </w:p>
                <w:p>
                  <w:pPr>
                    <w:adjustRightInd w:val="0"/>
                    <w:snapToGrid w:val="0"/>
                    <w:textAlignment w:val="baseline"/>
                    <w:outlineLvl w:val="0"/>
                  </w:pPr>
                  <w:r>
                    <w:rPr>
                      <w:rFonts w:hint="eastAsia"/>
                    </w:rPr>
                    <w:t>（4）厂容厂貌</w:t>
                  </w:r>
                </w:p>
                <w:p>
                  <w:pPr>
                    <w:adjustRightInd w:val="0"/>
                    <w:snapToGrid w:val="0"/>
                    <w:textAlignment w:val="baseline"/>
                    <w:outlineLvl w:val="0"/>
                  </w:pPr>
                  <w:r>
                    <w:rPr>
                      <w:rFonts w:hint="eastAsia"/>
                    </w:rPr>
                    <w:t>厂区内道路、原辅材料和燃料堆场等路面应硬化。厂区内道路采取定期清扫、洒水等措施，保持清洁，路面无明显可见积尘。其他未利用地优先绿化，或进行硬化，无成片裸露土地。</w:t>
                  </w:r>
                </w:p>
              </w:tc>
              <w:tc>
                <w:tcPr>
                  <w:tcW w:w="1623" w:type="pct"/>
                  <w:vAlign w:val="center"/>
                </w:tcPr>
                <w:p>
                  <w:pPr>
                    <w:rPr>
                      <w:color w:val="000000"/>
                      <w:szCs w:val="21"/>
                    </w:rPr>
                  </w:pPr>
                  <w:r>
                    <w:rPr>
                      <w:rFonts w:hint="eastAsia"/>
                      <w:color w:val="000000"/>
                      <w:szCs w:val="21"/>
                    </w:rPr>
                    <w:t>（1）经查阅《产业结构调整指导目录（2019年本）》，本项目不属于淘汰类项目。</w:t>
                  </w:r>
                </w:p>
                <w:p>
                  <w:r>
                    <w:rPr>
                      <w:rFonts w:hint="eastAsia"/>
                      <w:color w:val="000000"/>
                      <w:szCs w:val="21"/>
                    </w:rPr>
                    <w:t>（2）本项目建成后</w:t>
                  </w:r>
                  <w:r>
                    <w:rPr>
                      <w:rFonts w:hint="eastAsia"/>
                    </w:rPr>
                    <w:t>除尘器设置密闭灰仓并及时卸灰，除尘灰通过袋子等封闭方式卸灰。</w:t>
                  </w:r>
                </w:p>
                <w:p>
                  <w:r>
                    <w:rPr>
                      <w:rFonts w:hint="eastAsia"/>
                    </w:rPr>
                    <w:t>（3）本项目按要求安装用电监管设备，并与平台联网；按要求在生产车间安装视频监控系统。</w:t>
                  </w:r>
                </w:p>
                <w:p>
                  <w:pPr>
                    <w:rPr>
                      <w:color w:val="000000"/>
                      <w:szCs w:val="21"/>
                    </w:rPr>
                  </w:pPr>
                  <w:r>
                    <w:rPr>
                      <w:rFonts w:hint="eastAsia"/>
                    </w:rPr>
                    <w:t>（4）企业已按照要求对厂区内道路、原辅材料堆场等路面进行硬化，并定期清扫、洒水，防止积尘。未利用土地已进行硬化或绿化，无成片裸露土地。</w:t>
                  </w:r>
                </w:p>
              </w:tc>
              <w:tc>
                <w:tcPr>
                  <w:tcW w:w="486" w:type="pct"/>
                  <w:vAlign w:val="center"/>
                </w:tcPr>
                <w:p>
                  <w:pPr>
                    <w:jc w:val="center"/>
                    <w:rPr>
                      <w:color w:val="000000"/>
                      <w:szCs w:val="21"/>
                    </w:rPr>
                  </w:pPr>
                  <w:r>
                    <w:rPr>
                      <w:color w:val="000000"/>
                      <w:szCs w:val="21"/>
                    </w:rPr>
                    <w:t>符合</w:t>
                  </w:r>
                </w:p>
              </w:tc>
            </w:tr>
          </w:tbl>
          <w:p>
            <w:pPr>
              <w:spacing w:line="460" w:lineRule="exact"/>
              <w:ind w:firstLine="480" w:firstLineChars="200"/>
              <w:rPr>
                <w:color w:val="000000"/>
                <w:sz w:val="24"/>
              </w:rPr>
            </w:pPr>
            <w:r>
              <w:rPr>
                <w:rFonts w:hint="eastAsia"/>
                <w:color w:val="000000"/>
                <w:sz w:val="24"/>
              </w:rPr>
              <w:t>评价要求：本项目严格按照上述要求进行建设，满足通用行业要求，并积极接收生态环境管理部门的监督检查。</w:t>
            </w:r>
          </w:p>
        </w:tc>
      </w:tr>
    </w:tbl>
    <w:p>
      <w:pPr>
        <w:pStyle w:val="29"/>
        <w:jc w:val="center"/>
        <w:outlineLvl w:val="0"/>
        <w:rPr>
          <w:rFonts w:ascii="黑体" w:hAnsi="黑体" w:eastAsia="黑体"/>
          <w:snapToGrid w:val="0"/>
          <w:color w:val="000000"/>
          <w:sz w:val="30"/>
          <w:szCs w:val="30"/>
        </w:rPr>
      </w:pPr>
      <w:r>
        <w:rPr>
          <w:rFonts w:ascii="黑体" w:hAnsi="黑体" w:eastAsia="黑体"/>
          <w:snapToGrid w:val="0"/>
          <w:color w:val="000000"/>
          <w:sz w:val="30"/>
          <w:szCs w:val="30"/>
        </w:rPr>
        <w:br w:type="page"/>
      </w:r>
      <w:r>
        <w:rPr>
          <w:rFonts w:hint="eastAsia" w:ascii="黑体" w:hAnsi="黑体" w:eastAsia="黑体"/>
          <w:snapToGrid w:val="0"/>
          <w:color w:val="000000"/>
          <w:sz w:val="30"/>
          <w:szCs w:val="30"/>
        </w:rPr>
        <w:t>二、建设项目工程分析</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823" w:type="dxa"/>
            <w:vAlign w:val="center"/>
          </w:tcPr>
          <w:p>
            <w:pPr>
              <w:pStyle w:val="29"/>
              <w:adjustRightInd w:val="0"/>
              <w:snapToGrid w:val="0"/>
              <w:spacing w:before="0" w:beforeAutospacing="0" w:after="0" w:afterAutospacing="0"/>
              <w:jc w:val="center"/>
              <w:rPr>
                <w:rFonts w:cs="宋体"/>
                <w:color w:val="000000"/>
                <w:sz w:val="21"/>
                <w:szCs w:val="21"/>
              </w:rPr>
            </w:pPr>
            <w:r>
              <w:rPr>
                <w:rFonts w:hint="eastAsia" w:cs="宋体"/>
                <w:color w:val="000000"/>
                <w:sz w:val="21"/>
                <w:szCs w:val="21"/>
              </w:rPr>
              <w:t>建设内容</w:t>
            </w:r>
          </w:p>
        </w:tc>
        <w:tc>
          <w:tcPr>
            <w:tcW w:w="8161" w:type="dxa"/>
          </w:tcPr>
          <w:p>
            <w:pPr>
              <w:spacing w:line="460" w:lineRule="exact"/>
              <w:ind w:firstLine="482" w:firstLineChars="200"/>
              <w:jc w:val="left"/>
              <w:rPr>
                <w:b/>
                <w:color w:val="000000"/>
                <w:sz w:val="24"/>
              </w:rPr>
            </w:pPr>
            <w:r>
              <w:rPr>
                <w:rFonts w:hint="eastAsia"/>
                <w:b/>
                <w:color w:val="000000"/>
                <w:sz w:val="24"/>
              </w:rPr>
              <w:t>1</w:t>
            </w:r>
            <w:r>
              <w:rPr>
                <w:b/>
                <w:color w:val="000000"/>
                <w:sz w:val="24"/>
              </w:rPr>
              <w:t>、项目概况</w:t>
            </w:r>
          </w:p>
          <w:p>
            <w:pPr>
              <w:spacing w:line="460" w:lineRule="exact"/>
              <w:ind w:firstLine="480" w:firstLineChars="200"/>
              <w:jc w:val="left"/>
              <w:rPr>
                <w:color w:val="000000"/>
                <w:sz w:val="24"/>
              </w:rPr>
            </w:pPr>
            <w:r>
              <w:rPr>
                <w:color w:val="000000"/>
                <w:sz w:val="24"/>
              </w:rPr>
              <w:t>本项目选址位于</w:t>
            </w:r>
            <w:r>
              <w:rPr>
                <w:rFonts w:hint="eastAsia" w:ascii="宋体" w:hAnsi="宋体" w:cs="宋体"/>
                <w:color w:val="000000"/>
                <w:sz w:val="24"/>
              </w:rPr>
              <w:t>新乡市新乡县新乡经济开发区黄河大道中段河南兴泰纸业有限公司现有厂区内</w:t>
            </w:r>
            <w:r>
              <w:rPr>
                <w:color w:val="000000"/>
                <w:sz w:val="24"/>
              </w:rPr>
              <w:t>，项目的基本情况见</w:t>
            </w:r>
            <w:r>
              <w:rPr>
                <w:rFonts w:hint="eastAsia"/>
                <w:color w:val="000000"/>
                <w:sz w:val="24"/>
              </w:rPr>
              <w:t>下表</w:t>
            </w:r>
            <w:r>
              <w:rPr>
                <w:color w:val="000000"/>
                <w:sz w:val="24"/>
              </w:rPr>
              <w:t>。</w:t>
            </w:r>
          </w:p>
          <w:p>
            <w:pPr>
              <w:spacing w:line="460" w:lineRule="exact"/>
              <w:ind w:firstLine="480" w:firstLineChars="200"/>
              <w:rPr>
                <w:rFonts w:eastAsia="黑体"/>
                <w:color w:val="000000"/>
                <w:sz w:val="24"/>
                <w:lang w:val="pt-BR"/>
              </w:rPr>
            </w:pPr>
            <w:r>
              <w:rPr>
                <w:rFonts w:eastAsia="黑体"/>
                <w:color w:val="000000"/>
                <w:sz w:val="24"/>
                <w:lang w:val="pt-BR"/>
              </w:rPr>
              <w:t>表</w:t>
            </w:r>
            <w:r>
              <w:rPr>
                <w:rFonts w:eastAsia="黑体"/>
                <w:color w:val="000000"/>
                <w:sz w:val="24"/>
              </w:rPr>
              <w:t>6</w:t>
            </w:r>
            <w:r>
              <w:rPr>
                <w:rFonts w:eastAsia="黑体"/>
                <w:color w:val="000000"/>
                <w:sz w:val="24"/>
                <w:lang w:val="pt-BR"/>
              </w:rPr>
              <w:t xml:space="preserve">                  </w:t>
            </w:r>
            <w:r>
              <w:rPr>
                <w:rFonts w:hint="eastAsia" w:eastAsia="黑体"/>
                <w:color w:val="000000"/>
                <w:sz w:val="24"/>
                <w:lang w:val="pt-BR"/>
              </w:rPr>
              <w:t xml:space="preserve"> </w:t>
            </w:r>
            <w:r>
              <w:rPr>
                <w:rFonts w:eastAsia="黑体"/>
                <w:color w:val="000000"/>
                <w:sz w:val="24"/>
                <w:lang w:val="pt-BR"/>
              </w:rPr>
              <w:t>项目概况一览表</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773"/>
              <w:gridCol w:w="54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tcBorders>
                    <w:top w:val="single" w:color="auto" w:sz="8" w:space="0"/>
                  </w:tcBorders>
                  <w:vAlign w:val="center"/>
                </w:tcPr>
                <w:p>
                  <w:pPr>
                    <w:jc w:val="center"/>
                    <w:rPr>
                      <w:b/>
                      <w:color w:val="000000"/>
                      <w:szCs w:val="21"/>
                      <w:lang w:val="pt-BR"/>
                    </w:rPr>
                  </w:pPr>
                  <w:r>
                    <w:rPr>
                      <w:b/>
                      <w:color w:val="000000"/>
                      <w:szCs w:val="21"/>
                      <w:lang w:val="pt-BR"/>
                    </w:rPr>
                    <w:t>序号</w:t>
                  </w:r>
                </w:p>
              </w:tc>
              <w:tc>
                <w:tcPr>
                  <w:tcW w:w="1773" w:type="dxa"/>
                  <w:tcBorders>
                    <w:top w:val="single" w:color="auto" w:sz="8" w:space="0"/>
                  </w:tcBorders>
                  <w:vAlign w:val="center"/>
                </w:tcPr>
                <w:p>
                  <w:pPr>
                    <w:jc w:val="center"/>
                    <w:rPr>
                      <w:b/>
                      <w:color w:val="000000"/>
                      <w:szCs w:val="21"/>
                      <w:lang w:val="pt-BR"/>
                    </w:rPr>
                  </w:pPr>
                  <w:r>
                    <w:rPr>
                      <w:b/>
                      <w:color w:val="000000"/>
                      <w:szCs w:val="21"/>
                      <w:lang w:val="pt-BR"/>
                    </w:rPr>
                    <w:t>项目</w:t>
                  </w:r>
                </w:p>
              </w:tc>
              <w:tc>
                <w:tcPr>
                  <w:tcW w:w="5404" w:type="dxa"/>
                  <w:tcBorders>
                    <w:top w:val="single" w:color="auto" w:sz="8" w:space="0"/>
                  </w:tcBorders>
                  <w:vAlign w:val="center"/>
                </w:tcPr>
                <w:p>
                  <w:pPr>
                    <w:jc w:val="center"/>
                    <w:rPr>
                      <w:b/>
                      <w:color w:val="000000"/>
                      <w:szCs w:val="21"/>
                      <w:lang w:val="pt-BR"/>
                    </w:rPr>
                  </w:pPr>
                  <w:r>
                    <w:rPr>
                      <w:b/>
                      <w:color w:val="000000"/>
                      <w:szCs w:val="21"/>
                      <w:lang w:val="pt-BR"/>
                    </w:rPr>
                    <w:t>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vAlign w:val="center"/>
                </w:tcPr>
                <w:p>
                  <w:pPr>
                    <w:jc w:val="center"/>
                    <w:rPr>
                      <w:color w:val="000000"/>
                      <w:szCs w:val="21"/>
                    </w:rPr>
                  </w:pPr>
                  <w:r>
                    <w:rPr>
                      <w:color w:val="000000"/>
                      <w:szCs w:val="21"/>
                    </w:rPr>
                    <w:t>1</w:t>
                  </w:r>
                </w:p>
              </w:tc>
              <w:tc>
                <w:tcPr>
                  <w:tcW w:w="1773" w:type="dxa"/>
                  <w:vAlign w:val="center"/>
                </w:tcPr>
                <w:p>
                  <w:pPr>
                    <w:jc w:val="center"/>
                    <w:rPr>
                      <w:color w:val="000000"/>
                      <w:szCs w:val="21"/>
                    </w:rPr>
                  </w:pPr>
                  <w:r>
                    <w:rPr>
                      <w:color w:val="000000"/>
                      <w:szCs w:val="21"/>
                    </w:rPr>
                    <w:t>项目名称</w:t>
                  </w:r>
                </w:p>
              </w:tc>
              <w:tc>
                <w:tcPr>
                  <w:tcW w:w="5404" w:type="dxa"/>
                  <w:vAlign w:val="center"/>
                </w:tcPr>
                <w:p>
                  <w:pPr>
                    <w:jc w:val="center"/>
                    <w:rPr>
                      <w:color w:val="000000"/>
                      <w:szCs w:val="21"/>
                    </w:rPr>
                  </w:pPr>
                  <w:r>
                    <w:rPr>
                      <w:rFonts w:hint="eastAsia"/>
                      <w:color w:val="000000"/>
                      <w:szCs w:val="21"/>
                    </w:rPr>
                    <w:t>河南</w:t>
                  </w:r>
                  <w:r>
                    <w:rPr>
                      <w:color w:val="000000"/>
                      <w:szCs w:val="21"/>
                    </w:rPr>
                    <w:t>兴泰纸业有限公司年加工</w:t>
                  </w:r>
                  <w:r>
                    <w:rPr>
                      <w:rFonts w:hint="eastAsia"/>
                      <w:color w:val="000000"/>
                      <w:szCs w:val="21"/>
                    </w:rPr>
                    <w:t>5.6万吨涂布白卡纸</w:t>
                  </w:r>
                  <w:r>
                    <w:rPr>
                      <w:color w:val="000000"/>
                      <w:szCs w:val="21"/>
                    </w:rPr>
                    <w:t>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vAlign w:val="center"/>
                </w:tcPr>
                <w:p>
                  <w:pPr>
                    <w:jc w:val="center"/>
                    <w:rPr>
                      <w:color w:val="000000"/>
                      <w:szCs w:val="21"/>
                    </w:rPr>
                  </w:pPr>
                  <w:r>
                    <w:rPr>
                      <w:color w:val="000000"/>
                      <w:szCs w:val="21"/>
                    </w:rPr>
                    <w:t>2</w:t>
                  </w:r>
                </w:p>
              </w:tc>
              <w:tc>
                <w:tcPr>
                  <w:tcW w:w="1773" w:type="dxa"/>
                  <w:vAlign w:val="center"/>
                </w:tcPr>
                <w:p>
                  <w:pPr>
                    <w:jc w:val="center"/>
                    <w:rPr>
                      <w:color w:val="000000"/>
                      <w:szCs w:val="21"/>
                    </w:rPr>
                  </w:pPr>
                  <w:r>
                    <w:rPr>
                      <w:color w:val="000000"/>
                      <w:szCs w:val="21"/>
                    </w:rPr>
                    <w:t>建设单位</w:t>
                  </w:r>
                </w:p>
              </w:tc>
              <w:tc>
                <w:tcPr>
                  <w:tcW w:w="5404" w:type="dxa"/>
                  <w:vAlign w:val="center"/>
                </w:tcPr>
                <w:p>
                  <w:pPr>
                    <w:jc w:val="center"/>
                    <w:rPr>
                      <w:color w:val="000000"/>
                      <w:szCs w:val="21"/>
                    </w:rPr>
                  </w:pPr>
                  <w:r>
                    <w:rPr>
                      <w:color w:val="000000"/>
                      <w:szCs w:val="21"/>
                    </w:rPr>
                    <w:t>河南兴泰纸业有限公司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vAlign w:val="center"/>
                </w:tcPr>
                <w:p>
                  <w:pPr>
                    <w:jc w:val="center"/>
                    <w:rPr>
                      <w:color w:val="000000"/>
                      <w:szCs w:val="21"/>
                    </w:rPr>
                  </w:pPr>
                  <w:r>
                    <w:rPr>
                      <w:color w:val="000000"/>
                      <w:szCs w:val="21"/>
                    </w:rPr>
                    <w:t>3</w:t>
                  </w:r>
                </w:p>
              </w:tc>
              <w:tc>
                <w:tcPr>
                  <w:tcW w:w="1773" w:type="dxa"/>
                  <w:vAlign w:val="center"/>
                </w:tcPr>
                <w:p>
                  <w:pPr>
                    <w:jc w:val="center"/>
                    <w:rPr>
                      <w:color w:val="000000"/>
                      <w:szCs w:val="21"/>
                    </w:rPr>
                  </w:pPr>
                  <w:r>
                    <w:rPr>
                      <w:color w:val="000000"/>
                      <w:szCs w:val="21"/>
                    </w:rPr>
                    <w:t>产品方案</w:t>
                  </w:r>
                </w:p>
              </w:tc>
              <w:tc>
                <w:tcPr>
                  <w:tcW w:w="5404" w:type="dxa"/>
                  <w:vAlign w:val="center"/>
                </w:tcPr>
                <w:p>
                  <w:pPr>
                    <w:jc w:val="center"/>
                    <w:rPr>
                      <w:color w:val="000000"/>
                      <w:szCs w:val="21"/>
                    </w:rPr>
                  </w:pPr>
                  <w:r>
                    <w:rPr>
                      <w:rFonts w:hint="eastAsia"/>
                      <w:color w:val="000000"/>
                      <w:szCs w:val="21"/>
                    </w:rPr>
                    <w:t>涂布白卡纸5.6万吨/年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vAlign w:val="center"/>
                </w:tcPr>
                <w:p>
                  <w:pPr>
                    <w:jc w:val="center"/>
                    <w:rPr>
                      <w:color w:val="000000"/>
                      <w:szCs w:val="21"/>
                    </w:rPr>
                  </w:pPr>
                  <w:r>
                    <w:rPr>
                      <w:color w:val="000000"/>
                      <w:szCs w:val="21"/>
                    </w:rPr>
                    <w:t>4</w:t>
                  </w:r>
                </w:p>
              </w:tc>
              <w:tc>
                <w:tcPr>
                  <w:tcW w:w="1773" w:type="dxa"/>
                  <w:vAlign w:val="center"/>
                </w:tcPr>
                <w:p>
                  <w:pPr>
                    <w:jc w:val="center"/>
                    <w:rPr>
                      <w:color w:val="000000"/>
                      <w:szCs w:val="21"/>
                    </w:rPr>
                  </w:pPr>
                  <w:r>
                    <w:rPr>
                      <w:color w:val="000000"/>
                      <w:szCs w:val="21"/>
                    </w:rPr>
                    <w:t>项目地址</w:t>
                  </w:r>
                </w:p>
              </w:tc>
              <w:tc>
                <w:tcPr>
                  <w:tcW w:w="5404" w:type="dxa"/>
                  <w:vAlign w:val="center"/>
                </w:tcPr>
                <w:p>
                  <w:pPr>
                    <w:jc w:val="center"/>
                    <w:rPr>
                      <w:color w:val="000000"/>
                      <w:szCs w:val="21"/>
                    </w:rPr>
                  </w:pPr>
                  <w:r>
                    <w:rPr>
                      <w:color w:val="000000"/>
                      <w:szCs w:val="21"/>
                    </w:rPr>
                    <w:t>新乡市新乡县</w:t>
                  </w:r>
                  <w:r>
                    <w:rPr>
                      <w:rFonts w:hint="eastAsia"/>
                      <w:color w:val="000000"/>
                      <w:szCs w:val="21"/>
                    </w:rPr>
                    <w:t>新乡</w:t>
                  </w:r>
                  <w:r>
                    <w:rPr>
                      <w:color w:val="000000"/>
                      <w:szCs w:val="21"/>
                    </w:rPr>
                    <w:t>经济开发区黄河大道中段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vAlign w:val="center"/>
                </w:tcPr>
                <w:p>
                  <w:pPr>
                    <w:jc w:val="center"/>
                    <w:rPr>
                      <w:color w:val="000000"/>
                      <w:szCs w:val="21"/>
                    </w:rPr>
                  </w:pPr>
                  <w:r>
                    <w:rPr>
                      <w:color w:val="000000"/>
                      <w:szCs w:val="21"/>
                    </w:rPr>
                    <w:t>5</w:t>
                  </w:r>
                </w:p>
              </w:tc>
              <w:tc>
                <w:tcPr>
                  <w:tcW w:w="1773" w:type="dxa"/>
                  <w:vAlign w:val="center"/>
                </w:tcPr>
                <w:p>
                  <w:pPr>
                    <w:jc w:val="center"/>
                    <w:rPr>
                      <w:color w:val="000000"/>
                      <w:szCs w:val="21"/>
                    </w:rPr>
                  </w:pPr>
                  <w:r>
                    <w:rPr>
                      <w:color w:val="000000"/>
                      <w:szCs w:val="21"/>
                    </w:rPr>
                    <w:t>占地面积</w:t>
                  </w:r>
                </w:p>
              </w:tc>
              <w:tc>
                <w:tcPr>
                  <w:tcW w:w="5404" w:type="dxa"/>
                  <w:vAlign w:val="center"/>
                </w:tcPr>
                <w:p>
                  <w:pPr>
                    <w:jc w:val="center"/>
                    <w:rPr>
                      <w:color w:val="000000"/>
                      <w:szCs w:val="21"/>
                    </w:rPr>
                  </w:pPr>
                  <w:r>
                    <w:rPr>
                      <w:rFonts w:hint="eastAsia"/>
                      <w:color w:val="000000"/>
                      <w:szCs w:val="21"/>
                    </w:rPr>
                    <w:t>不新增用地，涉及建筑面积1200m</w:t>
                  </w:r>
                  <w:r>
                    <w:rPr>
                      <w:rFonts w:hint="eastAsia"/>
                      <w:color w:val="000000"/>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vAlign w:val="center"/>
                </w:tcPr>
                <w:p>
                  <w:pPr>
                    <w:jc w:val="center"/>
                    <w:rPr>
                      <w:color w:val="000000"/>
                      <w:szCs w:val="21"/>
                    </w:rPr>
                  </w:pPr>
                  <w:r>
                    <w:rPr>
                      <w:color w:val="000000"/>
                      <w:szCs w:val="21"/>
                    </w:rPr>
                    <w:t>6</w:t>
                  </w:r>
                </w:p>
              </w:tc>
              <w:tc>
                <w:tcPr>
                  <w:tcW w:w="1773" w:type="dxa"/>
                  <w:vAlign w:val="center"/>
                </w:tcPr>
                <w:p>
                  <w:pPr>
                    <w:jc w:val="center"/>
                    <w:rPr>
                      <w:color w:val="000000"/>
                      <w:szCs w:val="21"/>
                    </w:rPr>
                  </w:pPr>
                  <w:r>
                    <w:rPr>
                      <w:color w:val="000000"/>
                      <w:szCs w:val="21"/>
                    </w:rPr>
                    <w:t>总投资（万元）</w:t>
                  </w:r>
                </w:p>
              </w:tc>
              <w:tc>
                <w:tcPr>
                  <w:tcW w:w="5404" w:type="dxa"/>
                  <w:vAlign w:val="center"/>
                </w:tcPr>
                <w:p>
                  <w:pPr>
                    <w:jc w:val="center"/>
                    <w:rPr>
                      <w:color w:val="000000"/>
                      <w:szCs w:val="21"/>
                    </w:rPr>
                  </w:pPr>
                  <w:r>
                    <w:rPr>
                      <w:rFonts w:hint="eastAsia"/>
                      <w:color w:val="000000"/>
                      <w:szCs w:val="21"/>
                    </w:rPr>
                    <w:t>1820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vAlign w:val="center"/>
                </w:tcPr>
                <w:p>
                  <w:pPr>
                    <w:jc w:val="center"/>
                    <w:rPr>
                      <w:color w:val="000000"/>
                      <w:szCs w:val="21"/>
                    </w:rPr>
                  </w:pPr>
                  <w:r>
                    <w:rPr>
                      <w:rFonts w:hint="eastAsia"/>
                      <w:color w:val="000000"/>
                      <w:szCs w:val="21"/>
                    </w:rPr>
                    <w:t>7</w:t>
                  </w:r>
                </w:p>
              </w:tc>
              <w:tc>
                <w:tcPr>
                  <w:tcW w:w="1773" w:type="dxa"/>
                  <w:vAlign w:val="center"/>
                </w:tcPr>
                <w:p>
                  <w:pPr>
                    <w:jc w:val="center"/>
                    <w:rPr>
                      <w:color w:val="000000"/>
                      <w:szCs w:val="21"/>
                    </w:rPr>
                  </w:pPr>
                  <w:r>
                    <w:rPr>
                      <w:color w:val="000000"/>
                      <w:szCs w:val="21"/>
                    </w:rPr>
                    <w:t>主要工艺</w:t>
                  </w:r>
                </w:p>
              </w:tc>
              <w:tc>
                <w:tcPr>
                  <w:tcW w:w="5404" w:type="dxa"/>
                  <w:vAlign w:val="center"/>
                </w:tcPr>
                <w:p>
                  <w:pPr>
                    <w:jc w:val="center"/>
                    <w:rPr>
                      <w:color w:val="000000"/>
                      <w:szCs w:val="21"/>
                    </w:rPr>
                  </w:pPr>
                  <w:r>
                    <w:rPr>
                      <w:rFonts w:hint="eastAsia"/>
                      <w:color w:val="000000"/>
                      <w:szCs w:val="21"/>
                    </w:rPr>
                    <w:t>原纸-涂布-压光-卷取-成品入库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tcBorders>
                    <w:bottom w:val="single" w:color="auto" w:sz="8" w:space="0"/>
                  </w:tcBorders>
                  <w:vAlign w:val="center"/>
                </w:tcPr>
                <w:p>
                  <w:pPr>
                    <w:jc w:val="center"/>
                    <w:rPr>
                      <w:color w:val="000000"/>
                      <w:szCs w:val="21"/>
                    </w:rPr>
                  </w:pPr>
                  <w:r>
                    <w:rPr>
                      <w:rFonts w:hint="eastAsia"/>
                      <w:color w:val="000000"/>
                      <w:szCs w:val="21"/>
                    </w:rPr>
                    <w:t>8</w:t>
                  </w:r>
                </w:p>
              </w:tc>
              <w:tc>
                <w:tcPr>
                  <w:tcW w:w="1773" w:type="dxa"/>
                  <w:tcBorders>
                    <w:bottom w:val="single" w:color="auto" w:sz="8" w:space="0"/>
                  </w:tcBorders>
                  <w:vAlign w:val="center"/>
                </w:tcPr>
                <w:p>
                  <w:pPr>
                    <w:jc w:val="center"/>
                    <w:rPr>
                      <w:color w:val="000000"/>
                      <w:szCs w:val="21"/>
                    </w:rPr>
                  </w:pPr>
                  <w:r>
                    <w:rPr>
                      <w:color w:val="000000"/>
                      <w:szCs w:val="21"/>
                    </w:rPr>
                    <w:t>定员与工作制度</w:t>
                  </w:r>
                </w:p>
              </w:tc>
              <w:tc>
                <w:tcPr>
                  <w:tcW w:w="5404" w:type="dxa"/>
                  <w:tcBorders>
                    <w:bottom w:val="single" w:color="auto" w:sz="8" w:space="0"/>
                  </w:tcBorders>
                  <w:vAlign w:val="center"/>
                </w:tcPr>
                <w:p>
                  <w:pPr>
                    <w:jc w:val="center"/>
                    <w:rPr>
                      <w:color w:val="000000"/>
                      <w:szCs w:val="21"/>
                    </w:rPr>
                  </w:pPr>
                  <w:r>
                    <w:rPr>
                      <w:rFonts w:hint="eastAsia"/>
                      <w:color w:val="000000"/>
                      <w:szCs w:val="21"/>
                    </w:rPr>
                    <w:t>从现有员工调剂20人，三班制（每班8小时），</w:t>
                  </w:r>
                  <w:r>
                    <w:rPr>
                      <w:color w:val="000000"/>
                      <w:kern w:val="36"/>
                      <w:szCs w:val="21"/>
                    </w:rPr>
                    <w:t>年工作</w:t>
                  </w:r>
                  <w:r>
                    <w:rPr>
                      <w:rFonts w:hint="eastAsia"/>
                      <w:color w:val="000000"/>
                      <w:kern w:val="36"/>
                      <w:szCs w:val="21"/>
                    </w:rPr>
                    <w:t>340</w:t>
                  </w:r>
                  <w:r>
                    <w:rPr>
                      <w:color w:val="000000"/>
                      <w:kern w:val="36"/>
                      <w:szCs w:val="21"/>
                    </w:rPr>
                    <w:t>天</w:t>
                  </w:r>
                </w:p>
              </w:tc>
            </w:tr>
          </w:tbl>
          <w:p>
            <w:pPr>
              <w:spacing w:line="480" w:lineRule="exact"/>
              <w:ind w:firstLine="470" w:firstLineChars="196"/>
              <w:rPr>
                <w:b/>
                <w:color w:val="000000"/>
                <w:sz w:val="24"/>
                <w:szCs w:val="20"/>
              </w:rPr>
            </w:pPr>
            <w:r>
              <w:rPr>
                <w:rFonts w:hint="eastAsia"/>
                <w:color w:val="000000"/>
                <w:sz w:val="24"/>
              </w:rPr>
              <w:t>经现场勘查，本项目依托现有厂房进行建设，厂房现状为临时仓库，设备未安装，不涉及未批先建。</w:t>
            </w:r>
          </w:p>
          <w:p>
            <w:pPr>
              <w:spacing w:line="480" w:lineRule="exact"/>
              <w:ind w:firstLine="472" w:firstLineChars="196"/>
              <w:rPr>
                <w:b/>
                <w:color w:val="000000"/>
                <w:sz w:val="24"/>
              </w:rPr>
            </w:pPr>
            <w:r>
              <w:rPr>
                <w:rFonts w:hint="eastAsia"/>
                <w:b/>
                <w:color w:val="000000"/>
                <w:sz w:val="24"/>
              </w:rPr>
              <w:t>2</w:t>
            </w:r>
            <w:r>
              <w:rPr>
                <w:b/>
                <w:color w:val="000000"/>
                <w:sz w:val="24"/>
              </w:rPr>
              <w:t>、项目组成情况</w:t>
            </w:r>
          </w:p>
          <w:p>
            <w:pPr>
              <w:adjustRightInd w:val="0"/>
              <w:snapToGrid w:val="0"/>
              <w:spacing w:line="480" w:lineRule="exact"/>
              <w:ind w:firstLine="480" w:firstLineChars="200"/>
              <w:rPr>
                <w:color w:val="000000"/>
                <w:sz w:val="24"/>
              </w:rPr>
            </w:pPr>
            <w:r>
              <w:rPr>
                <w:color w:val="000000"/>
                <w:sz w:val="24"/>
              </w:rPr>
              <w:t>该项目主要组成及建设情况见下表。</w:t>
            </w:r>
          </w:p>
          <w:p>
            <w:pPr>
              <w:spacing w:line="460" w:lineRule="exact"/>
              <w:ind w:firstLine="480" w:firstLineChars="200"/>
              <w:rPr>
                <w:rFonts w:eastAsia="黑体"/>
                <w:bCs/>
                <w:color w:val="000000"/>
                <w:sz w:val="24"/>
              </w:rPr>
            </w:pPr>
            <w:r>
              <w:rPr>
                <w:rFonts w:eastAsia="黑体"/>
                <w:bCs/>
                <w:color w:val="000000"/>
                <w:sz w:val="24"/>
              </w:rPr>
              <w:t>表7                    项目组成一览表</w:t>
            </w:r>
          </w:p>
          <w:tbl>
            <w:tblPr>
              <w:tblStyle w:val="31"/>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5"/>
              <w:gridCol w:w="709"/>
              <w:gridCol w:w="1559"/>
              <w:gridCol w:w="851"/>
              <w:gridCol w:w="2126"/>
              <w:gridCol w:w="1134"/>
              <w:gridCol w:w="11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5" w:type="dxa"/>
                  <w:tcBorders>
                    <w:top w:val="single" w:color="auto" w:sz="8" w:space="0"/>
                    <w:left w:val="nil"/>
                    <w:bottom w:val="single" w:color="auto" w:sz="4" w:space="0"/>
                    <w:right w:val="single" w:color="auto" w:sz="4" w:space="0"/>
                  </w:tcBorders>
                  <w:vAlign w:val="center"/>
                </w:tcPr>
                <w:p>
                  <w:pPr>
                    <w:jc w:val="center"/>
                    <w:rPr>
                      <w:b/>
                      <w:color w:val="000000"/>
                      <w:szCs w:val="21"/>
                      <w:lang w:val="pt-BR"/>
                    </w:rPr>
                  </w:pPr>
                  <w:r>
                    <w:rPr>
                      <w:rFonts w:hint="eastAsia"/>
                      <w:b/>
                      <w:color w:val="000000"/>
                      <w:szCs w:val="21"/>
                      <w:lang w:val="pt-BR"/>
                    </w:rPr>
                    <w:t>序号</w:t>
                  </w:r>
                </w:p>
              </w:tc>
              <w:tc>
                <w:tcPr>
                  <w:tcW w:w="709" w:type="dxa"/>
                  <w:tcBorders>
                    <w:top w:val="single" w:color="auto" w:sz="8" w:space="0"/>
                    <w:left w:val="single" w:color="auto" w:sz="4" w:space="0"/>
                    <w:bottom w:val="single" w:color="auto" w:sz="4" w:space="0"/>
                    <w:right w:val="single" w:color="auto" w:sz="4" w:space="0"/>
                  </w:tcBorders>
                  <w:vAlign w:val="center"/>
                </w:tcPr>
                <w:p>
                  <w:pPr>
                    <w:jc w:val="center"/>
                    <w:rPr>
                      <w:b/>
                      <w:color w:val="000000"/>
                      <w:szCs w:val="21"/>
                      <w:lang w:val="pt-BR"/>
                    </w:rPr>
                  </w:pPr>
                  <w:r>
                    <w:rPr>
                      <w:rFonts w:hint="eastAsia"/>
                      <w:b/>
                      <w:color w:val="000000"/>
                      <w:szCs w:val="21"/>
                      <w:lang w:val="pt-BR"/>
                    </w:rPr>
                    <w:t>项目</w:t>
                  </w:r>
                </w:p>
              </w:tc>
              <w:tc>
                <w:tcPr>
                  <w:tcW w:w="1559" w:type="dxa"/>
                  <w:tcBorders>
                    <w:top w:val="single" w:color="auto" w:sz="8" w:space="0"/>
                    <w:left w:val="single" w:color="auto" w:sz="4" w:space="0"/>
                    <w:bottom w:val="single" w:color="auto" w:sz="4" w:space="0"/>
                    <w:right w:val="single" w:color="auto" w:sz="4" w:space="0"/>
                  </w:tcBorders>
                  <w:vAlign w:val="center"/>
                </w:tcPr>
                <w:p>
                  <w:pPr>
                    <w:jc w:val="center"/>
                    <w:rPr>
                      <w:b/>
                      <w:color w:val="000000"/>
                      <w:szCs w:val="21"/>
                      <w:lang w:val="pt-BR"/>
                    </w:rPr>
                  </w:pPr>
                  <w:r>
                    <w:rPr>
                      <w:rFonts w:hint="eastAsia"/>
                      <w:b/>
                      <w:color w:val="000000"/>
                      <w:szCs w:val="21"/>
                      <w:lang w:val="pt-BR"/>
                    </w:rPr>
                    <w:t>内容</w:t>
                  </w:r>
                </w:p>
              </w:tc>
              <w:tc>
                <w:tcPr>
                  <w:tcW w:w="4111" w:type="dxa"/>
                  <w:gridSpan w:val="3"/>
                  <w:tcBorders>
                    <w:top w:val="single" w:color="auto" w:sz="8" w:space="0"/>
                    <w:left w:val="single" w:color="auto" w:sz="4" w:space="0"/>
                    <w:bottom w:val="single" w:color="auto" w:sz="4" w:space="0"/>
                    <w:right w:val="single" w:color="auto" w:sz="4" w:space="0"/>
                  </w:tcBorders>
                  <w:vAlign w:val="center"/>
                </w:tcPr>
                <w:p>
                  <w:pPr>
                    <w:ind w:firstLine="482"/>
                    <w:jc w:val="center"/>
                    <w:rPr>
                      <w:b/>
                      <w:color w:val="000000"/>
                      <w:szCs w:val="21"/>
                      <w:lang w:val="pt-BR"/>
                    </w:rPr>
                  </w:pPr>
                  <w:r>
                    <w:rPr>
                      <w:rFonts w:hint="eastAsia"/>
                      <w:b/>
                      <w:color w:val="000000"/>
                      <w:szCs w:val="21"/>
                      <w:lang w:val="pt-BR"/>
                    </w:rPr>
                    <w:t>数量、规模或要求</w:t>
                  </w:r>
                </w:p>
              </w:tc>
              <w:tc>
                <w:tcPr>
                  <w:tcW w:w="1151" w:type="dxa"/>
                  <w:tcBorders>
                    <w:top w:val="single" w:color="auto" w:sz="8" w:space="0"/>
                    <w:left w:val="single" w:color="auto" w:sz="4" w:space="0"/>
                    <w:bottom w:val="single" w:color="auto" w:sz="4" w:space="0"/>
                    <w:right w:val="nil"/>
                  </w:tcBorders>
                  <w:vAlign w:val="center"/>
                </w:tcPr>
                <w:p>
                  <w:pPr>
                    <w:jc w:val="center"/>
                    <w:rPr>
                      <w:b/>
                      <w:color w:val="000000"/>
                      <w:szCs w:val="21"/>
                      <w:lang w:val="pt-BR"/>
                    </w:rPr>
                  </w:pPr>
                  <w:r>
                    <w:rPr>
                      <w:rFonts w:hint="eastAsia"/>
                      <w:b/>
                      <w:color w:val="000000"/>
                      <w:szCs w:val="21"/>
                      <w:lang w:val="pt-BR"/>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5" w:type="dxa"/>
                  <w:vMerge w:val="restart"/>
                  <w:tcBorders>
                    <w:top w:val="single" w:color="auto" w:sz="4" w:space="0"/>
                    <w:left w:val="nil"/>
                    <w:right w:val="single" w:color="auto" w:sz="4" w:space="0"/>
                  </w:tcBorders>
                  <w:vAlign w:val="center"/>
                </w:tcPr>
                <w:p>
                  <w:pPr>
                    <w:jc w:val="center"/>
                    <w:rPr>
                      <w:color w:val="000000"/>
                      <w:szCs w:val="21"/>
                      <w:lang w:val="pt-BR"/>
                    </w:rPr>
                  </w:pPr>
                  <w:r>
                    <w:rPr>
                      <w:color w:val="000000"/>
                      <w:szCs w:val="21"/>
                      <w:lang w:val="pt-BR"/>
                    </w:rPr>
                    <w:t>1</w:t>
                  </w:r>
                </w:p>
              </w:tc>
              <w:tc>
                <w:tcPr>
                  <w:tcW w:w="709" w:type="dxa"/>
                  <w:vMerge w:val="restart"/>
                  <w:tcBorders>
                    <w:top w:val="single" w:color="auto" w:sz="4" w:space="0"/>
                    <w:left w:val="single" w:color="auto" w:sz="4" w:space="0"/>
                    <w:right w:val="single" w:color="auto" w:sz="4" w:space="0"/>
                  </w:tcBorders>
                  <w:vAlign w:val="center"/>
                </w:tcPr>
                <w:p>
                  <w:pPr>
                    <w:jc w:val="center"/>
                    <w:rPr>
                      <w:color w:val="000000"/>
                      <w:szCs w:val="21"/>
                      <w:lang w:val="pt-BR"/>
                    </w:rPr>
                  </w:pPr>
                  <w:r>
                    <w:rPr>
                      <w:rFonts w:hint="eastAsia"/>
                      <w:color w:val="000000"/>
                      <w:szCs w:val="21"/>
                      <w:lang w:val="pt-BR"/>
                    </w:rPr>
                    <w:t>主体工程</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rFonts w:hint="eastAsia"/>
                      <w:color w:val="000000"/>
                      <w:szCs w:val="21"/>
                      <w:lang w:val="pt-BR"/>
                    </w:rPr>
                    <w:t>涂布白卡纸生产车间</w:t>
                  </w:r>
                </w:p>
              </w:tc>
              <w:tc>
                <w:tcPr>
                  <w:tcW w:w="4111" w:type="dxa"/>
                  <w:gridSpan w:val="3"/>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rFonts w:hint="eastAsia"/>
                      <w:szCs w:val="21"/>
                    </w:rPr>
                    <w:t>1</w:t>
                  </w:r>
                  <w:r>
                    <w:rPr>
                      <w:rFonts w:hint="eastAsia"/>
                      <w:szCs w:val="21"/>
                      <w:lang w:val="pt-BR"/>
                    </w:rPr>
                    <w:t>座，建筑面积为1200</w:t>
                  </w:r>
                  <w:r>
                    <w:rPr>
                      <w:szCs w:val="21"/>
                      <w:lang w:val="pt-BR"/>
                    </w:rPr>
                    <w:t>m</w:t>
                  </w:r>
                  <w:r>
                    <w:rPr>
                      <w:szCs w:val="21"/>
                      <w:vertAlign w:val="superscript"/>
                      <w:lang w:val="pt-BR"/>
                    </w:rPr>
                    <w:t>2</w:t>
                  </w:r>
                </w:p>
              </w:tc>
              <w:tc>
                <w:tcPr>
                  <w:tcW w:w="1151" w:type="dxa"/>
                  <w:tcBorders>
                    <w:top w:val="single" w:color="auto" w:sz="4" w:space="0"/>
                    <w:left w:val="single" w:color="auto" w:sz="4" w:space="0"/>
                    <w:bottom w:val="single" w:color="auto" w:sz="4" w:space="0"/>
                    <w:right w:val="nil"/>
                  </w:tcBorders>
                  <w:vAlign w:val="center"/>
                </w:tcPr>
                <w:p>
                  <w:pPr>
                    <w:jc w:val="center"/>
                  </w:pPr>
                  <w:r>
                    <w:rPr>
                      <w:rFonts w:hint="eastAsia"/>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5" w:type="dxa"/>
                  <w:vMerge w:val="continue"/>
                  <w:tcBorders>
                    <w:left w:val="nil"/>
                    <w:right w:val="single" w:color="auto" w:sz="4" w:space="0"/>
                  </w:tcBorders>
                  <w:vAlign w:val="center"/>
                </w:tcPr>
                <w:p>
                  <w:pPr>
                    <w:jc w:val="center"/>
                    <w:rPr>
                      <w:color w:val="000000"/>
                      <w:szCs w:val="21"/>
                      <w:lang w:val="pt-BR"/>
                    </w:rPr>
                  </w:pPr>
                </w:p>
              </w:tc>
              <w:tc>
                <w:tcPr>
                  <w:tcW w:w="709" w:type="dxa"/>
                  <w:vMerge w:val="continue"/>
                  <w:tcBorders>
                    <w:left w:val="single" w:color="auto" w:sz="4" w:space="0"/>
                    <w:right w:val="single" w:color="auto" w:sz="4" w:space="0"/>
                  </w:tcBorders>
                  <w:vAlign w:val="center"/>
                </w:tcPr>
                <w:p>
                  <w:pPr>
                    <w:jc w:val="center"/>
                    <w:rPr>
                      <w:color w:val="000000"/>
                      <w:szCs w:val="21"/>
                      <w:lang w:val="pt-BR"/>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rFonts w:hint="eastAsia"/>
                      <w:color w:val="000000"/>
                      <w:szCs w:val="21"/>
                      <w:lang w:val="pt-BR"/>
                    </w:rPr>
                    <w:t>浆钙生产车间</w:t>
                  </w:r>
                </w:p>
              </w:tc>
              <w:tc>
                <w:tcPr>
                  <w:tcW w:w="4111" w:type="dxa"/>
                  <w:gridSpan w:val="3"/>
                  <w:tcBorders>
                    <w:top w:val="single" w:color="auto" w:sz="4" w:space="0"/>
                    <w:left w:val="single" w:color="auto" w:sz="4" w:space="0"/>
                    <w:bottom w:val="single" w:color="auto" w:sz="4" w:space="0"/>
                    <w:right w:val="single" w:color="auto" w:sz="4" w:space="0"/>
                  </w:tcBorders>
                  <w:vAlign w:val="center"/>
                </w:tcPr>
                <w:p>
                  <w:pPr>
                    <w:jc w:val="center"/>
                    <w:rPr>
                      <w:szCs w:val="21"/>
                    </w:rPr>
                  </w:pPr>
                  <w:r>
                    <w:rPr>
                      <w:color w:val="000000"/>
                    </w:rPr>
                    <w:t>1座，</w:t>
                  </w:r>
                  <w:r>
                    <w:rPr>
                      <w:rFonts w:hint="eastAsia"/>
                    </w:rPr>
                    <w:t>建筑面积为400</w:t>
                  </w:r>
                  <w:r>
                    <w:rPr>
                      <w:szCs w:val="21"/>
                      <w:lang w:val="pt-BR"/>
                    </w:rPr>
                    <w:t>m</w:t>
                  </w:r>
                  <w:r>
                    <w:rPr>
                      <w:szCs w:val="21"/>
                      <w:vertAlign w:val="superscript"/>
                      <w:lang w:val="pt-BR"/>
                    </w:rPr>
                    <w:t>2</w:t>
                  </w:r>
                </w:p>
              </w:tc>
              <w:tc>
                <w:tcPr>
                  <w:tcW w:w="1151" w:type="dxa"/>
                  <w:tcBorders>
                    <w:top w:val="single" w:color="auto" w:sz="4" w:space="0"/>
                    <w:left w:val="single" w:color="auto" w:sz="4" w:space="0"/>
                    <w:bottom w:val="single" w:color="auto" w:sz="4" w:space="0"/>
                    <w:right w:val="nil"/>
                  </w:tcBorders>
                  <w:vAlign w:val="center"/>
                </w:tcPr>
                <w:p>
                  <w:pPr>
                    <w:jc w:val="center"/>
                  </w:pPr>
                  <w:r>
                    <w:rPr>
                      <w:rFonts w:hint="eastAsia"/>
                    </w:rPr>
                    <w:t>依托现有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415" w:type="dxa"/>
                  <w:vMerge w:val="restart"/>
                  <w:tcBorders>
                    <w:left w:val="nil"/>
                    <w:right w:val="single" w:color="auto" w:sz="4" w:space="0"/>
                  </w:tcBorders>
                  <w:vAlign w:val="center"/>
                </w:tcPr>
                <w:p>
                  <w:pPr>
                    <w:jc w:val="center"/>
                    <w:rPr>
                      <w:color w:val="000000"/>
                      <w:szCs w:val="21"/>
                      <w:lang w:val="pt-BR"/>
                    </w:rPr>
                  </w:pPr>
                  <w:r>
                    <w:rPr>
                      <w:rFonts w:hint="eastAsia"/>
                      <w:color w:val="000000"/>
                      <w:szCs w:val="21"/>
                      <w:lang w:val="pt-BR"/>
                    </w:rPr>
                    <w:t>2</w:t>
                  </w:r>
                </w:p>
              </w:tc>
              <w:tc>
                <w:tcPr>
                  <w:tcW w:w="709" w:type="dxa"/>
                  <w:vMerge w:val="restart"/>
                  <w:tcBorders>
                    <w:left w:val="single" w:color="auto" w:sz="4" w:space="0"/>
                    <w:right w:val="single" w:color="auto" w:sz="4" w:space="0"/>
                  </w:tcBorders>
                  <w:vAlign w:val="center"/>
                </w:tcPr>
                <w:p>
                  <w:pPr>
                    <w:jc w:val="center"/>
                    <w:rPr>
                      <w:color w:val="000000"/>
                      <w:szCs w:val="21"/>
                      <w:lang w:val="pt-BR"/>
                    </w:rPr>
                  </w:pPr>
                  <w:r>
                    <w:rPr>
                      <w:rFonts w:hint="eastAsia"/>
                      <w:color w:val="000000"/>
                      <w:szCs w:val="21"/>
                      <w:lang w:val="pt-BR"/>
                    </w:rPr>
                    <w:t>环保工程</w:t>
                  </w:r>
                </w:p>
              </w:tc>
              <w:tc>
                <w:tcPr>
                  <w:tcW w:w="1559" w:type="dxa"/>
                  <w:vMerge w:val="restart"/>
                  <w:tcBorders>
                    <w:left w:val="single" w:color="auto" w:sz="4" w:space="0"/>
                    <w:right w:val="single" w:color="auto" w:sz="4" w:space="0"/>
                  </w:tcBorders>
                  <w:vAlign w:val="center"/>
                </w:tcPr>
                <w:p>
                  <w:pPr>
                    <w:jc w:val="center"/>
                    <w:rPr>
                      <w:color w:val="000000"/>
                      <w:szCs w:val="21"/>
                      <w:lang w:val="pt-BR"/>
                    </w:rPr>
                  </w:pPr>
                  <w:r>
                    <w:rPr>
                      <w:rFonts w:hint="eastAsia"/>
                      <w:color w:val="000000"/>
                      <w:szCs w:val="21"/>
                      <w:lang w:val="pt-BR"/>
                    </w:rPr>
                    <w:t>废气</w:t>
                  </w:r>
                </w:p>
              </w:tc>
              <w:tc>
                <w:tcPr>
                  <w:tcW w:w="851" w:type="dxa"/>
                  <w:vMerge w:val="restart"/>
                  <w:tcBorders>
                    <w:top w:val="single" w:color="auto" w:sz="4" w:space="0"/>
                    <w:left w:val="single" w:color="auto" w:sz="4" w:space="0"/>
                    <w:right w:val="single" w:color="auto" w:sz="4" w:space="0"/>
                  </w:tcBorders>
                  <w:vAlign w:val="center"/>
                </w:tcPr>
                <w:p>
                  <w:pPr>
                    <w:jc w:val="center"/>
                    <w:rPr>
                      <w:color w:val="000000"/>
                      <w:szCs w:val="21"/>
                    </w:rPr>
                  </w:pPr>
                  <w:r>
                    <w:rPr>
                      <w:rFonts w:hint="eastAsia"/>
                      <w:color w:val="000000"/>
                      <w:szCs w:val="21"/>
                    </w:rPr>
                    <w:t>涂布白卡纸生产线</w:t>
                  </w:r>
                </w:p>
              </w:tc>
              <w:tc>
                <w:tcPr>
                  <w:tcW w:w="2126" w:type="dxa"/>
                  <w:tcBorders>
                    <w:top w:val="single" w:color="auto" w:sz="4" w:space="0"/>
                    <w:left w:val="single" w:color="auto" w:sz="4" w:space="0"/>
                    <w:right w:val="single" w:color="auto" w:sz="8" w:space="0"/>
                  </w:tcBorders>
                  <w:vAlign w:val="center"/>
                </w:tcPr>
                <w:p>
                  <w:pPr>
                    <w:jc w:val="center"/>
                    <w:rPr>
                      <w:color w:val="000000"/>
                      <w:szCs w:val="21"/>
                    </w:rPr>
                  </w:pPr>
                  <w:r>
                    <w:rPr>
                      <w:rFonts w:hint="eastAsia"/>
                      <w:color w:val="000000"/>
                      <w:szCs w:val="21"/>
                    </w:rPr>
                    <w:t>投料：密闭投料间整体负压</w:t>
                  </w:r>
                </w:p>
              </w:tc>
              <w:tc>
                <w:tcPr>
                  <w:tcW w:w="1134" w:type="dxa"/>
                  <w:vMerge w:val="restart"/>
                  <w:tcBorders>
                    <w:top w:val="single" w:color="auto" w:sz="4" w:space="0"/>
                    <w:left w:val="single" w:color="auto" w:sz="8" w:space="0"/>
                    <w:right w:val="single" w:color="auto" w:sz="4" w:space="0"/>
                  </w:tcBorders>
                  <w:vAlign w:val="center"/>
                </w:tcPr>
                <w:p>
                  <w:pPr>
                    <w:jc w:val="center"/>
                    <w:rPr>
                      <w:color w:val="000000"/>
                      <w:szCs w:val="21"/>
                    </w:rPr>
                  </w:pPr>
                  <w:r>
                    <w:rPr>
                      <w:rFonts w:hint="eastAsia"/>
                      <w:color w:val="000000"/>
                      <w:szCs w:val="21"/>
                    </w:rPr>
                    <w:t>袋式除尘器+</w:t>
                  </w:r>
                  <w:r>
                    <w:rPr>
                      <w:color w:val="000000"/>
                      <w:szCs w:val="21"/>
                    </w:rPr>
                    <w:t>15m</w:t>
                  </w:r>
                  <w:r>
                    <w:rPr>
                      <w:rFonts w:hint="eastAsia"/>
                      <w:color w:val="000000"/>
                      <w:szCs w:val="21"/>
                    </w:rPr>
                    <w:t>高排气筒</w:t>
                  </w:r>
                </w:p>
              </w:tc>
              <w:tc>
                <w:tcPr>
                  <w:tcW w:w="1151" w:type="dxa"/>
                  <w:vMerge w:val="restart"/>
                  <w:tcBorders>
                    <w:top w:val="single" w:color="auto" w:sz="4" w:space="0"/>
                    <w:left w:val="single" w:color="auto" w:sz="4" w:space="0"/>
                    <w:right w:val="nil"/>
                  </w:tcBorders>
                  <w:vAlign w:val="center"/>
                </w:tcPr>
                <w:p>
                  <w:pPr>
                    <w:jc w:val="center"/>
                    <w:rPr>
                      <w:color w:val="000000"/>
                      <w:szCs w:val="21"/>
                    </w:rPr>
                  </w:pPr>
                  <w:r>
                    <w:rPr>
                      <w:rFonts w:hint="eastAsia"/>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415" w:type="dxa"/>
                  <w:vMerge w:val="continue"/>
                  <w:tcBorders>
                    <w:left w:val="nil"/>
                    <w:right w:val="single" w:color="auto" w:sz="4" w:space="0"/>
                  </w:tcBorders>
                  <w:vAlign w:val="center"/>
                </w:tcPr>
                <w:p>
                  <w:pPr>
                    <w:jc w:val="center"/>
                    <w:rPr>
                      <w:color w:val="000000"/>
                      <w:szCs w:val="21"/>
                      <w:lang w:val="pt-BR"/>
                    </w:rPr>
                  </w:pPr>
                </w:p>
              </w:tc>
              <w:tc>
                <w:tcPr>
                  <w:tcW w:w="709" w:type="dxa"/>
                  <w:vMerge w:val="continue"/>
                  <w:tcBorders>
                    <w:left w:val="single" w:color="auto" w:sz="4" w:space="0"/>
                    <w:right w:val="single" w:color="auto" w:sz="4" w:space="0"/>
                  </w:tcBorders>
                  <w:vAlign w:val="center"/>
                </w:tcPr>
                <w:p>
                  <w:pPr>
                    <w:jc w:val="center"/>
                    <w:rPr>
                      <w:color w:val="000000"/>
                      <w:szCs w:val="21"/>
                      <w:lang w:val="pt-BR"/>
                    </w:rPr>
                  </w:pPr>
                </w:p>
              </w:tc>
              <w:tc>
                <w:tcPr>
                  <w:tcW w:w="1559" w:type="dxa"/>
                  <w:vMerge w:val="continue"/>
                  <w:tcBorders>
                    <w:left w:val="single" w:color="auto" w:sz="4" w:space="0"/>
                    <w:right w:val="single" w:color="auto" w:sz="4" w:space="0"/>
                  </w:tcBorders>
                  <w:vAlign w:val="center"/>
                </w:tcPr>
                <w:p>
                  <w:pPr>
                    <w:jc w:val="center"/>
                    <w:rPr>
                      <w:color w:val="000000"/>
                      <w:szCs w:val="21"/>
                      <w:lang w:val="pt-BR"/>
                    </w:rPr>
                  </w:pPr>
                </w:p>
              </w:tc>
              <w:tc>
                <w:tcPr>
                  <w:tcW w:w="851" w:type="dxa"/>
                  <w:vMerge w:val="continue"/>
                  <w:tcBorders>
                    <w:left w:val="single" w:color="auto" w:sz="4" w:space="0"/>
                    <w:right w:val="single" w:color="auto" w:sz="4" w:space="0"/>
                  </w:tcBorders>
                  <w:vAlign w:val="center"/>
                </w:tcPr>
                <w:p>
                  <w:pPr>
                    <w:jc w:val="center"/>
                    <w:rPr>
                      <w:color w:val="000000"/>
                      <w:szCs w:val="21"/>
                    </w:rPr>
                  </w:pPr>
                </w:p>
              </w:tc>
              <w:tc>
                <w:tcPr>
                  <w:tcW w:w="2126" w:type="dxa"/>
                  <w:tcBorders>
                    <w:top w:val="single" w:color="auto" w:sz="4" w:space="0"/>
                    <w:left w:val="single" w:color="auto" w:sz="4" w:space="0"/>
                    <w:right w:val="single" w:color="auto" w:sz="8" w:space="0"/>
                  </w:tcBorders>
                  <w:vAlign w:val="center"/>
                </w:tcPr>
                <w:p>
                  <w:pPr>
                    <w:jc w:val="center"/>
                    <w:rPr>
                      <w:color w:val="000000"/>
                      <w:szCs w:val="21"/>
                    </w:rPr>
                  </w:pPr>
                  <w:r>
                    <w:rPr>
                      <w:rFonts w:hint="eastAsia"/>
                      <w:color w:val="000000"/>
                      <w:szCs w:val="21"/>
                    </w:rPr>
                    <w:t>分散搅拌：密闭负压管道收集</w:t>
                  </w:r>
                </w:p>
              </w:tc>
              <w:tc>
                <w:tcPr>
                  <w:tcW w:w="1134" w:type="dxa"/>
                  <w:vMerge w:val="continue"/>
                  <w:tcBorders>
                    <w:left w:val="single" w:color="auto" w:sz="8" w:space="0"/>
                    <w:right w:val="single" w:color="auto" w:sz="4" w:space="0"/>
                  </w:tcBorders>
                  <w:vAlign w:val="center"/>
                </w:tcPr>
                <w:p>
                  <w:pPr>
                    <w:jc w:val="center"/>
                    <w:rPr>
                      <w:color w:val="000000"/>
                      <w:szCs w:val="21"/>
                    </w:rPr>
                  </w:pPr>
                </w:p>
              </w:tc>
              <w:tc>
                <w:tcPr>
                  <w:tcW w:w="1151" w:type="dxa"/>
                  <w:vMerge w:val="continue"/>
                  <w:tcBorders>
                    <w:left w:val="single" w:color="auto" w:sz="4" w:space="0"/>
                    <w:right w:val="nil"/>
                  </w:tcBorders>
                  <w:vAlign w:val="center"/>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415" w:type="dxa"/>
                  <w:vMerge w:val="continue"/>
                  <w:tcBorders>
                    <w:left w:val="nil"/>
                    <w:right w:val="single" w:color="auto" w:sz="4" w:space="0"/>
                  </w:tcBorders>
                  <w:vAlign w:val="center"/>
                </w:tcPr>
                <w:p>
                  <w:pPr>
                    <w:jc w:val="center"/>
                    <w:rPr>
                      <w:color w:val="000000"/>
                      <w:szCs w:val="21"/>
                      <w:lang w:val="pt-BR"/>
                    </w:rPr>
                  </w:pPr>
                </w:p>
              </w:tc>
              <w:tc>
                <w:tcPr>
                  <w:tcW w:w="709" w:type="dxa"/>
                  <w:vMerge w:val="continue"/>
                  <w:tcBorders>
                    <w:left w:val="single" w:color="auto" w:sz="4" w:space="0"/>
                    <w:right w:val="single" w:color="auto" w:sz="4" w:space="0"/>
                  </w:tcBorders>
                  <w:vAlign w:val="center"/>
                </w:tcPr>
                <w:p>
                  <w:pPr>
                    <w:jc w:val="center"/>
                    <w:rPr>
                      <w:color w:val="000000"/>
                      <w:szCs w:val="21"/>
                      <w:lang w:val="pt-BR"/>
                    </w:rPr>
                  </w:pPr>
                </w:p>
              </w:tc>
              <w:tc>
                <w:tcPr>
                  <w:tcW w:w="1559" w:type="dxa"/>
                  <w:vMerge w:val="continue"/>
                  <w:tcBorders>
                    <w:left w:val="single" w:color="auto" w:sz="4" w:space="0"/>
                    <w:right w:val="single" w:color="auto" w:sz="4" w:space="0"/>
                  </w:tcBorders>
                  <w:vAlign w:val="center"/>
                </w:tcPr>
                <w:p>
                  <w:pPr>
                    <w:jc w:val="center"/>
                    <w:rPr>
                      <w:color w:val="000000"/>
                      <w:szCs w:val="21"/>
                      <w:lang w:val="pt-BR"/>
                    </w:rPr>
                  </w:pPr>
                </w:p>
              </w:tc>
              <w:tc>
                <w:tcPr>
                  <w:tcW w:w="851" w:type="dxa"/>
                  <w:vMerge w:val="continue"/>
                  <w:tcBorders>
                    <w:left w:val="single" w:color="auto" w:sz="4" w:space="0"/>
                    <w:right w:val="single" w:color="auto" w:sz="4" w:space="0"/>
                  </w:tcBorders>
                  <w:vAlign w:val="center"/>
                </w:tcPr>
                <w:p>
                  <w:pPr>
                    <w:jc w:val="center"/>
                    <w:rPr>
                      <w:color w:val="000000"/>
                      <w:szCs w:val="21"/>
                    </w:rPr>
                  </w:pPr>
                </w:p>
              </w:tc>
              <w:tc>
                <w:tcPr>
                  <w:tcW w:w="2126" w:type="dxa"/>
                  <w:tcBorders>
                    <w:top w:val="single" w:color="auto" w:sz="4" w:space="0"/>
                    <w:left w:val="single" w:color="auto" w:sz="4" w:space="0"/>
                    <w:right w:val="single" w:color="auto" w:sz="8" w:space="0"/>
                  </w:tcBorders>
                  <w:vAlign w:val="center"/>
                </w:tcPr>
                <w:p>
                  <w:pPr>
                    <w:jc w:val="center"/>
                    <w:rPr>
                      <w:color w:val="000000"/>
                      <w:szCs w:val="21"/>
                    </w:rPr>
                  </w:pPr>
                  <w:r>
                    <w:rPr>
                      <w:rFonts w:hint="eastAsia"/>
                      <w:color w:val="000000"/>
                      <w:szCs w:val="21"/>
                    </w:rPr>
                    <w:t>面涂配料：密闭负压管道收集</w:t>
                  </w:r>
                </w:p>
              </w:tc>
              <w:tc>
                <w:tcPr>
                  <w:tcW w:w="1134" w:type="dxa"/>
                  <w:vMerge w:val="continue"/>
                  <w:tcBorders>
                    <w:left w:val="single" w:color="auto" w:sz="8" w:space="0"/>
                    <w:right w:val="single" w:color="auto" w:sz="4" w:space="0"/>
                  </w:tcBorders>
                  <w:vAlign w:val="center"/>
                </w:tcPr>
                <w:p>
                  <w:pPr>
                    <w:jc w:val="center"/>
                    <w:rPr>
                      <w:color w:val="000000"/>
                      <w:szCs w:val="21"/>
                    </w:rPr>
                  </w:pPr>
                </w:p>
              </w:tc>
              <w:tc>
                <w:tcPr>
                  <w:tcW w:w="1151" w:type="dxa"/>
                  <w:vMerge w:val="continue"/>
                  <w:tcBorders>
                    <w:left w:val="single" w:color="auto" w:sz="4" w:space="0"/>
                    <w:right w:val="nil"/>
                  </w:tcBorders>
                  <w:vAlign w:val="center"/>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15" w:type="dxa"/>
                  <w:vMerge w:val="continue"/>
                  <w:tcBorders>
                    <w:left w:val="nil"/>
                    <w:right w:val="single" w:color="auto" w:sz="4" w:space="0"/>
                  </w:tcBorders>
                  <w:vAlign w:val="center"/>
                </w:tcPr>
                <w:p>
                  <w:pPr>
                    <w:jc w:val="center"/>
                    <w:rPr>
                      <w:color w:val="000000"/>
                      <w:szCs w:val="21"/>
                      <w:lang w:val="pt-BR"/>
                    </w:rPr>
                  </w:pPr>
                </w:p>
              </w:tc>
              <w:tc>
                <w:tcPr>
                  <w:tcW w:w="709" w:type="dxa"/>
                  <w:vMerge w:val="continue"/>
                  <w:tcBorders>
                    <w:left w:val="single" w:color="auto" w:sz="4" w:space="0"/>
                    <w:right w:val="single" w:color="auto" w:sz="4" w:space="0"/>
                  </w:tcBorders>
                  <w:vAlign w:val="center"/>
                </w:tcPr>
                <w:p>
                  <w:pPr>
                    <w:jc w:val="center"/>
                    <w:rPr>
                      <w:color w:val="000000"/>
                      <w:szCs w:val="21"/>
                      <w:lang w:val="pt-BR"/>
                    </w:rPr>
                  </w:pPr>
                </w:p>
              </w:tc>
              <w:tc>
                <w:tcPr>
                  <w:tcW w:w="1559" w:type="dxa"/>
                  <w:vMerge w:val="continue"/>
                  <w:tcBorders>
                    <w:left w:val="single" w:color="auto" w:sz="4" w:space="0"/>
                    <w:right w:val="single" w:color="auto" w:sz="4" w:space="0"/>
                  </w:tcBorders>
                  <w:vAlign w:val="center"/>
                </w:tcPr>
                <w:p>
                  <w:pPr>
                    <w:jc w:val="center"/>
                    <w:rPr>
                      <w:color w:val="000000"/>
                      <w:szCs w:val="21"/>
                      <w:lang w:val="pt-BR"/>
                    </w:rPr>
                  </w:pPr>
                </w:p>
              </w:tc>
              <w:tc>
                <w:tcPr>
                  <w:tcW w:w="851" w:type="dxa"/>
                  <w:vMerge w:val="restart"/>
                  <w:tcBorders>
                    <w:top w:val="single" w:color="auto" w:sz="4" w:space="0"/>
                    <w:left w:val="single" w:color="auto" w:sz="4" w:space="0"/>
                    <w:right w:val="single" w:color="auto" w:sz="4" w:space="0"/>
                  </w:tcBorders>
                  <w:vAlign w:val="center"/>
                </w:tcPr>
                <w:p>
                  <w:pPr>
                    <w:jc w:val="center"/>
                    <w:rPr>
                      <w:color w:val="000000"/>
                      <w:szCs w:val="21"/>
                    </w:rPr>
                  </w:pPr>
                  <w:r>
                    <w:rPr>
                      <w:rFonts w:hint="eastAsia"/>
                      <w:color w:val="000000"/>
                      <w:szCs w:val="21"/>
                    </w:rPr>
                    <w:t>浆钙生产线</w:t>
                  </w:r>
                </w:p>
              </w:tc>
              <w:tc>
                <w:tcPr>
                  <w:tcW w:w="2126" w:type="dxa"/>
                  <w:tcBorders>
                    <w:top w:val="single" w:color="auto" w:sz="4" w:space="0"/>
                    <w:left w:val="single" w:color="auto" w:sz="4" w:space="0"/>
                    <w:right w:val="single" w:color="auto" w:sz="4" w:space="0"/>
                  </w:tcBorders>
                  <w:vAlign w:val="center"/>
                </w:tcPr>
                <w:p>
                  <w:pPr>
                    <w:jc w:val="center"/>
                    <w:rPr>
                      <w:color w:val="000000"/>
                      <w:szCs w:val="21"/>
                    </w:rPr>
                  </w:pPr>
                  <w:r>
                    <w:rPr>
                      <w:rFonts w:hint="eastAsia"/>
                      <w:color w:val="000000"/>
                      <w:szCs w:val="21"/>
                    </w:rPr>
                    <w:t>钙粉投料：密闭投料间整体负压</w:t>
                  </w:r>
                </w:p>
              </w:tc>
              <w:tc>
                <w:tcPr>
                  <w:tcW w:w="1134" w:type="dxa"/>
                  <w:vMerge w:val="restart"/>
                  <w:tcBorders>
                    <w:top w:val="single" w:color="auto" w:sz="4" w:space="0"/>
                    <w:left w:val="single" w:color="auto" w:sz="4" w:space="0"/>
                    <w:right w:val="single" w:color="auto" w:sz="4" w:space="0"/>
                  </w:tcBorders>
                  <w:vAlign w:val="center"/>
                </w:tcPr>
                <w:p>
                  <w:pPr>
                    <w:jc w:val="center"/>
                    <w:rPr>
                      <w:color w:val="000000"/>
                      <w:szCs w:val="21"/>
                    </w:rPr>
                  </w:pPr>
                  <w:r>
                    <w:rPr>
                      <w:rFonts w:hint="eastAsia"/>
                      <w:color w:val="000000"/>
                      <w:szCs w:val="21"/>
                    </w:rPr>
                    <w:t>袋式除尘器+15m高排气筒</w:t>
                  </w:r>
                </w:p>
              </w:tc>
              <w:tc>
                <w:tcPr>
                  <w:tcW w:w="1151" w:type="dxa"/>
                  <w:vMerge w:val="restart"/>
                  <w:tcBorders>
                    <w:top w:val="single" w:color="auto" w:sz="4" w:space="0"/>
                    <w:left w:val="single" w:color="auto" w:sz="4" w:space="0"/>
                    <w:right w:val="nil"/>
                  </w:tcBorders>
                  <w:vAlign w:val="center"/>
                </w:tcPr>
                <w:p>
                  <w:pPr>
                    <w:jc w:val="center"/>
                  </w:pPr>
                  <w:r>
                    <w:rPr>
                      <w:rFonts w:hint="eastAsia"/>
                    </w:rPr>
                    <w:t>依托现有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15" w:type="dxa"/>
                  <w:vMerge w:val="continue"/>
                  <w:tcBorders>
                    <w:left w:val="nil"/>
                    <w:right w:val="single" w:color="auto" w:sz="4" w:space="0"/>
                  </w:tcBorders>
                  <w:vAlign w:val="center"/>
                </w:tcPr>
                <w:p>
                  <w:pPr>
                    <w:jc w:val="center"/>
                    <w:rPr>
                      <w:color w:val="000000"/>
                      <w:szCs w:val="21"/>
                      <w:lang w:val="pt-BR"/>
                    </w:rPr>
                  </w:pPr>
                </w:p>
              </w:tc>
              <w:tc>
                <w:tcPr>
                  <w:tcW w:w="709" w:type="dxa"/>
                  <w:vMerge w:val="continue"/>
                  <w:tcBorders>
                    <w:left w:val="single" w:color="auto" w:sz="4" w:space="0"/>
                    <w:right w:val="single" w:color="auto" w:sz="4" w:space="0"/>
                  </w:tcBorders>
                  <w:vAlign w:val="center"/>
                </w:tcPr>
                <w:p>
                  <w:pPr>
                    <w:jc w:val="center"/>
                    <w:rPr>
                      <w:color w:val="000000"/>
                      <w:szCs w:val="21"/>
                      <w:lang w:val="pt-BR"/>
                    </w:rPr>
                  </w:pPr>
                </w:p>
              </w:tc>
              <w:tc>
                <w:tcPr>
                  <w:tcW w:w="1559" w:type="dxa"/>
                  <w:vMerge w:val="continue"/>
                  <w:tcBorders>
                    <w:left w:val="single" w:color="auto" w:sz="4" w:space="0"/>
                    <w:right w:val="single" w:color="auto" w:sz="4" w:space="0"/>
                  </w:tcBorders>
                  <w:vAlign w:val="center"/>
                </w:tcPr>
                <w:p>
                  <w:pPr>
                    <w:jc w:val="center"/>
                    <w:rPr>
                      <w:color w:val="000000"/>
                      <w:szCs w:val="21"/>
                      <w:lang w:val="pt-BR"/>
                    </w:rPr>
                  </w:pPr>
                </w:p>
              </w:tc>
              <w:tc>
                <w:tcPr>
                  <w:tcW w:w="851" w:type="dxa"/>
                  <w:vMerge w:val="continue"/>
                  <w:tcBorders>
                    <w:left w:val="single" w:color="auto" w:sz="4" w:space="0"/>
                    <w:right w:val="single" w:color="auto" w:sz="4" w:space="0"/>
                  </w:tcBorders>
                  <w:vAlign w:val="center"/>
                </w:tcPr>
                <w:p>
                  <w:pPr>
                    <w:jc w:val="center"/>
                    <w:rPr>
                      <w:color w:val="000000"/>
                      <w:szCs w:val="21"/>
                    </w:rPr>
                  </w:pPr>
                </w:p>
              </w:tc>
              <w:tc>
                <w:tcPr>
                  <w:tcW w:w="2126" w:type="dxa"/>
                  <w:tcBorders>
                    <w:top w:val="single" w:color="auto" w:sz="4" w:space="0"/>
                    <w:left w:val="single" w:color="auto" w:sz="4" w:space="0"/>
                    <w:right w:val="single" w:color="auto" w:sz="4" w:space="0"/>
                  </w:tcBorders>
                  <w:vAlign w:val="center"/>
                </w:tcPr>
                <w:p>
                  <w:pPr>
                    <w:jc w:val="center"/>
                    <w:rPr>
                      <w:color w:val="000000"/>
                      <w:szCs w:val="21"/>
                    </w:rPr>
                  </w:pPr>
                  <w:r>
                    <w:rPr>
                      <w:rFonts w:hint="eastAsia"/>
                      <w:color w:val="000000"/>
                      <w:szCs w:val="21"/>
                    </w:rPr>
                    <w:t>研磨：密闭负压管道收集</w:t>
                  </w:r>
                </w:p>
              </w:tc>
              <w:tc>
                <w:tcPr>
                  <w:tcW w:w="1134" w:type="dxa"/>
                  <w:vMerge w:val="continue"/>
                  <w:tcBorders>
                    <w:left w:val="single" w:color="auto" w:sz="4" w:space="0"/>
                    <w:right w:val="single" w:color="auto" w:sz="4" w:space="0"/>
                  </w:tcBorders>
                  <w:vAlign w:val="center"/>
                </w:tcPr>
                <w:p>
                  <w:pPr>
                    <w:jc w:val="center"/>
                    <w:rPr>
                      <w:color w:val="000000"/>
                      <w:szCs w:val="21"/>
                    </w:rPr>
                  </w:pPr>
                </w:p>
              </w:tc>
              <w:tc>
                <w:tcPr>
                  <w:tcW w:w="1151" w:type="dxa"/>
                  <w:vMerge w:val="continue"/>
                  <w:tcBorders>
                    <w:left w:val="single" w:color="auto" w:sz="4" w:space="0"/>
                    <w:right w:val="nil"/>
                  </w:tcBorders>
                  <w:vAlign w:val="center"/>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5" w:type="dxa"/>
                  <w:vMerge w:val="continue"/>
                  <w:tcBorders>
                    <w:left w:val="nil"/>
                    <w:right w:val="single" w:color="auto" w:sz="4" w:space="0"/>
                  </w:tcBorders>
                  <w:vAlign w:val="center"/>
                </w:tcPr>
                <w:p>
                  <w:pPr>
                    <w:widowControl/>
                    <w:ind w:firstLine="480"/>
                    <w:jc w:val="center"/>
                    <w:rPr>
                      <w:color w:val="000000"/>
                      <w:szCs w:val="21"/>
                      <w:lang w:val="pt-BR"/>
                    </w:rPr>
                  </w:pPr>
                </w:p>
              </w:tc>
              <w:tc>
                <w:tcPr>
                  <w:tcW w:w="709" w:type="dxa"/>
                  <w:vMerge w:val="continue"/>
                  <w:tcBorders>
                    <w:left w:val="single" w:color="auto" w:sz="4" w:space="0"/>
                    <w:right w:val="single" w:color="auto" w:sz="4" w:space="0"/>
                  </w:tcBorders>
                  <w:vAlign w:val="center"/>
                </w:tcPr>
                <w:p>
                  <w:pPr>
                    <w:widowControl/>
                    <w:ind w:firstLine="480"/>
                    <w:jc w:val="center"/>
                    <w:rPr>
                      <w:color w:val="000000"/>
                      <w:szCs w:val="21"/>
                      <w:lang w:val="pt-BR"/>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rFonts w:hint="eastAsia"/>
                      <w:color w:val="000000"/>
                      <w:szCs w:val="21"/>
                      <w:lang w:val="pt-BR"/>
                    </w:rPr>
                    <w:t>噪声</w:t>
                  </w:r>
                </w:p>
              </w:tc>
              <w:tc>
                <w:tcPr>
                  <w:tcW w:w="4111" w:type="dxa"/>
                  <w:gridSpan w:val="3"/>
                  <w:tcBorders>
                    <w:top w:val="single" w:color="auto" w:sz="4" w:space="0"/>
                    <w:left w:val="single" w:color="auto" w:sz="4" w:space="0"/>
                    <w:bottom w:val="single" w:color="auto" w:sz="4" w:space="0"/>
                    <w:right w:val="single" w:color="auto" w:sz="4" w:space="0"/>
                  </w:tcBorders>
                  <w:vAlign w:val="center"/>
                </w:tcPr>
                <w:p>
                  <w:pPr>
                    <w:ind w:firstLine="480"/>
                    <w:jc w:val="center"/>
                    <w:rPr>
                      <w:color w:val="000000"/>
                      <w:szCs w:val="21"/>
                    </w:rPr>
                  </w:pPr>
                  <w:r>
                    <w:rPr>
                      <w:rFonts w:hint="eastAsia"/>
                      <w:color w:val="000000"/>
                      <w:szCs w:val="21"/>
                    </w:rPr>
                    <w:t>基础减振、厂房隔声</w:t>
                  </w:r>
                </w:p>
              </w:tc>
              <w:tc>
                <w:tcPr>
                  <w:tcW w:w="1151" w:type="dxa"/>
                  <w:tcBorders>
                    <w:top w:val="single" w:color="auto" w:sz="4" w:space="0"/>
                    <w:left w:val="single" w:color="auto" w:sz="4" w:space="0"/>
                    <w:bottom w:val="single" w:color="auto" w:sz="4" w:space="0"/>
                    <w:right w:val="nil"/>
                  </w:tcBorders>
                  <w:vAlign w:val="center"/>
                </w:tcPr>
                <w:p>
                  <w:pPr>
                    <w:jc w:val="center"/>
                    <w:rPr>
                      <w:color w:val="000000"/>
                      <w:szCs w:val="21"/>
                    </w:rPr>
                  </w:pPr>
                  <w:r>
                    <w:t>依托现有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5" w:type="dxa"/>
                  <w:vMerge w:val="continue"/>
                  <w:tcBorders>
                    <w:left w:val="nil"/>
                    <w:right w:val="single" w:color="auto" w:sz="4" w:space="0"/>
                  </w:tcBorders>
                  <w:vAlign w:val="center"/>
                </w:tcPr>
                <w:p>
                  <w:pPr>
                    <w:widowControl/>
                    <w:ind w:firstLine="480"/>
                    <w:jc w:val="center"/>
                    <w:rPr>
                      <w:color w:val="000000"/>
                      <w:szCs w:val="21"/>
                      <w:lang w:val="pt-BR"/>
                    </w:rPr>
                  </w:pPr>
                </w:p>
              </w:tc>
              <w:tc>
                <w:tcPr>
                  <w:tcW w:w="709" w:type="dxa"/>
                  <w:vMerge w:val="continue"/>
                  <w:tcBorders>
                    <w:left w:val="single" w:color="auto" w:sz="4" w:space="0"/>
                    <w:right w:val="single" w:color="auto" w:sz="4" w:space="0"/>
                  </w:tcBorders>
                  <w:vAlign w:val="center"/>
                </w:tcPr>
                <w:p>
                  <w:pPr>
                    <w:widowControl/>
                    <w:ind w:firstLine="480"/>
                    <w:jc w:val="center"/>
                    <w:rPr>
                      <w:color w:val="000000"/>
                      <w:szCs w:val="21"/>
                      <w:lang w:val="pt-BR"/>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lang w:val="pt-BR"/>
                    </w:rPr>
                  </w:pPr>
                  <w:r>
                    <w:rPr>
                      <w:rFonts w:hint="eastAsia"/>
                      <w:color w:val="000000"/>
                      <w:szCs w:val="21"/>
                      <w:lang w:val="pt-BR"/>
                    </w:rPr>
                    <w:t>固废</w:t>
                  </w:r>
                </w:p>
              </w:tc>
              <w:tc>
                <w:tcPr>
                  <w:tcW w:w="4111" w:type="dxa"/>
                  <w:gridSpan w:val="3"/>
                  <w:tcBorders>
                    <w:top w:val="single" w:color="auto" w:sz="4" w:space="0"/>
                    <w:left w:val="single" w:color="auto" w:sz="4" w:space="0"/>
                    <w:bottom w:val="single" w:color="auto" w:sz="4" w:space="0"/>
                    <w:right w:val="single" w:color="auto" w:sz="4" w:space="0"/>
                  </w:tcBorders>
                  <w:vAlign w:val="center"/>
                </w:tcPr>
                <w:p>
                  <w:pPr>
                    <w:ind w:firstLine="480"/>
                    <w:jc w:val="center"/>
                    <w:rPr>
                      <w:color w:val="000000"/>
                      <w:szCs w:val="21"/>
                      <w:highlight w:val="yellow"/>
                      <w:lang w:val="pt-BR"/>
                    </w:rPr>
                  </w:pPr>
                  <w:r>
                    <w:rPr>
                      <w:rFonts w:hint="eastAsia"/>
                      <w:color w:val="000000"/>
                      <w:szCs w:val="21"/>
                    </w:rPr>
                    <w:t>一般固废暂存间</w:t>
                  </w:r>
                  <w:r>
                    <w:rPr>
                      <w:szCs w:val="21"/>
                    </w:rPr>
                    <w:t>1</w:t>
                  </w:r>
                  <w:r>
                    <w:rPr>
                      <w:rFonts w:hint="eastAsia"/>
                      <w:szCs w:val="21"/>
                    </w:rPr>
                    <w:t>座</w:t>
                  </w:r>
                  <w:r>
                    <w:rPr>
                      <w:rFonts w:hint="eastAsia"/>
                      <w:color w:val="000000"/>
                      <w:szCs w:val="21"/>
                    </w:rPr>
                    <w:t>（20</w:t>
                  </w:r>
                  <w:r>
                    <w:rPr>
                      <w:color w:val="000000"/>
                      <w:szCs w:val="21"/>
                    </w:rPr>
                    <w:t>m</w:t>
                  </w:r>
                  <w:r>
                    <w:rPr>
                      <w:color w:val="000000"/>
                      <w:szCs w:val="21"/>
                      <w:vertAlign w:val="superscript"/>
                    </w:rPr>
                    <w:t>2</w:t>
                  </w:r>
                  <w:r>
                    <w:rPr>
                      <w:rFonts w:hint="eastAsia"/>
                      <w:color w:val="000000"/>
                      <w:szCs w:val="21"/>
                    </w:rPr>
                    <w:t>）</w:t>
                  </w:r>
                </w:p>
              </w:tc>
              <w:tc>
                <w:tcPr>
                  <w:tcW w:w="1151" w:type="dxa"/>
                  <w:tcBorders>
                    <w:top w:val="single" w:color="auto" w:sz="4" w:space="0"/>
                    <w:left w:val="single" w:color="auto" w:sz="4" w:space="0"/>
                    <w:bottom w:val="single" w:color="auto" w:sz="4" w:space="0"/>
                    <w:right w:val="nil"/>
                  </w:tcBorders>
                  <w:vAlign w:val="center"/>
                </w:tcPr>
                <w:p>
                  <w:pPr>
                    <w:jc w:val="center"/>
                    <w:rPr>
                      <w:color w:val="000000"/>
                      <w:szCs w:val="21"/>
                    </w:rPr>
                  </w:pPr>
                  <w:r>
                    <w:rPr>
                      <w:rFonts w:hint="eastAsia"/>
                    </w:rPr>
                    <w:t>依托现有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5" w:type="dxa"/>
                  <w:vMerge w:val="restart"/>
                  <w:tcBorders>
                    <w:left w:val="nil"/>
                    <w:right w:val="single" w:color="auto" w:sz="4" w:space="0"/>
                  </w:tcBorders>
                  <w:vAlign w:val="center"/>
                </w:tcPr>
                <w:p>
                  <w:pPr>
                    <w:widowControl/>
                    <w:jc w:val="center"/>
                    <w:rPr>
                      <w:color w:val="000000"/>
                      <w:szCs w:val="21"/>
                      <w:lang w:val="pt-BR"/>
                    </w:rPr>
                  </w:pPr>
                  <w:r>
                    <w:rPr>
                      <w:rFonts w:hint="eastAsia"/>
                      <w:color w:val="000000"/>
                      <w:szCs w:val="21"/>
                      <w:lang w:val="pt-BR"/>
                    </w:rPr>
                    <w:t>3</w:t>
                  </w:r>
                </w:p>
              </w:tc>
              <w:tc>
                <w:tcPr>
                  <w:tcW w:w="709" w:type="dxa"/>
                  <w:vMerge w:val="restart"/>
                  <w:tcBorders>
                    <w:left w:val="single" w:color="auto" w:sz="4" w:space="0"/>
                    <w:right w:val="single" w:color="auto" w:sz="4" w:space="0"/>
                  </w:tcBorders>
                  <w:vAlign w:val="center"/>
                </w:tcPr>
                <w:p>
                  <w:pPr>
                    <w:widowControl/>
                    <w:jc w:val="center"/>
                    <w:rPr>
                      <w:color w:val="000000"/>
                      <w:szCs w:val="21"/>
                      <w:lang w:val="pt-BR"/>
                    </w:rPr>
                  </w:pPr>
                  <w:r>
                    <w:rPr>
                      <w:color w:val="000000"/>
                      <w:szCs w:val="21"/>
                      <w:lang w:val="pt-BR"/>
                    </w:rPr>
                    <w:t>公用工程</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rFonts w:hint="eastAsia"/>
                      <w:color w:val="000000"/>
                      <w:szCs w:val="21"/>
                      <w:lang w:val="pt-BR"/>
                    </w:rPr>
                    <w:t>供水</w:t>
                  </w:r>
                </w:p>
              </w:tc>
              <w:tc>
                <w:tcPr>
                  <w:tcW w:w="4111" w:type="dxa"/>
                  <w:gridSpan w:val="3"/>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厂区供水由地下水与地表水相结合，其中地表水是通过引人民胜利渠的黄河水沉淀后使用，取水许可证编号为</w:t>
                  </w:r>
                  <w:r>
                    <w:rPr>
                      <w:snapToGrid w:val="0"/>
                      <w:szCs w:val="21"/>
                    </w:rPr>
                    <w:t>取水（豫0705）字[2020]第412号</w:t>
                  </w:r>
                </w:p>
              </w:tc>
              <w:tc>
                <w:tcPr>
                  <w:tcW w:w="1151" w:type="dxa"/>
                  <w:tcBorders>
                    <w:top w:val="single" w:color="auto" w:sz="4" w:space="0"/>
                    <w:left w:val="single" w:color="auto" w:sz="4" w:space="0"/>
                    <w:bottom w:val="single" w:color="auto" w:sz="4" w:space="0"/>
                    <w:right w:val="nil"/>
                  </w:tcBorders>
                  <w:vAlign w:val="center"/>
                </w:tcPr>
                <w:p>
                  <w:pPr>
                    <w:jc w:val="center"/>
                  </w:pPr>
                  <w:r>
                    <w:rPr>
                      <w:rFonts w:hint="eastAsi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5" w:type="dxa"/>
                  <w:vMerge w:val="continue"/>
                  <w:tcBorders>
                    <w:left w:val="nil"/>
                    <w:right w:val="single" w:color="auto" w:sz="4" w:space="0"/>
                  </w:tcBorders>
                  <w:vAlign w:val="center"/>
                </w:tcPr>
                <w:p>
                  <w:pPr>
                    <w:widowControl/>
                    <w:jc w:val="center"/>
                    <w:rPr>
                      <w:color w:val="000000"/>
                      <w:szCs w:val="21"/>
                      <w:lang w:val="pt-BR"/>
                    </w:rPr>
                  </w:pPr>
                </w:p>
              </w:tc>
              <w:tc>
                <w:tcPr>
                  <w:tcW w:w="709" w:type="dxa"/>
                  <w:vMerge w:val="continue"/>
                  <w:tcBorders>
                    <w:left w:val="single" w:color="auto" w:sz="4" w:space="0"/>
                    <w:right w:val="single" w:color="auto" w:sz="4" w:space="0"/>
                  </w:tcBorders>
                  <w:vAlign w:val="center"/>
                </w:tcPr>
                <w:p>
                  <w:pPr>
                    <w:widowControl/>
                    <w:jc w:val="center"/>
                    <w:rPr>
                      <w:color w:val="000000"/>
                      <w:szCs w:val="21"/>
                      <w:lang w:val="pt-BR"/>
                    </w:rPr>
                  </w:pPr>
                </w:p>
              </w:tc>
              <w:tc>
                <w:tcPr>
                  <w:tcW w:w="1559" w:type="dxa"/>
                  <w:tcBorders>
                    <w:top w:val="single" w:color="auto" w:sz="4" w:space="0"/>
                    <w:left w:val="single" w:color="auto" w:sz="4" w:space="0"/>
                    <w:right w:val="single" w:color="auto" w:sz="4" w:space="0"/>
                  </w:tcBorders>
                  <w:vAlign w:val="center"/>
                </w:tcPr>
                <w:p>
                  <w:pPr>
                    <w:jc w:val="center"/>
                    <w:rPr>
                      <w:color w:val="000000"/>
                      <w:szCs w:val="21"/>
                      <w:lang w:val="pt-BR"/>
                    </w:rPr>
                  </w:pPr>
                  <w:r>
                    <w:rPr>
                      <w:rFonts w:hint="eastAsia"/>
                      <w:color w:val="000000"/>
                      <w:szCs w:val="21"/>
                      <w:lang w:val="pt-BR"/>
                    </w:rPr>
                    <w:t>供电</w:t>
                  </w:r>
                </w:p>
              </w:tc>
              <w:tc>
                <w:tcPr>
                  <w:tcW w:w="4111" w:type="dxa"/>
                  <w:gridSpan w:val="3"/>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翟坡镇统一供电</w:t>
                  </w:r>
                </w:p>
              </w:tc>
              <w:tc>
                <w:tcPr>
                  <w:tcW w:w="1151" w:type="dxa"/>
                  <w:tcBorders>
                    <w:top w:val="single" w:color="auto" w:sz="4" w:space="0"/>
                    <w:left w:val="single" w:color="auto" w:sz="4" w:space="0"/>
                    <w:right w:val="nil"/>
                  </w:tcBorders>
                  <w:vAlign w:val="center"/>
                </w:tcPr>
                <w:p>
                  <w:pPr>
                    <w:jc w:val="center"/>
                  </w:pPr>
                  <w:r>
                    <w:rPr>
                      <w:rFonts w:hint="eastAsia"/>
                    </w:rPr>
                    <w:t>/</w:t>
                  </w:r>
                </w:p>
              </w:tc>
            </w:tr>
          </w:tbl>
          <w:p>
            <w:pPr>
              <w:tabs>
                <w:tab w:val="right" w:pos="9734"/>
              </w:tabs>
              <w:spacing w:line="460" w:lineRule="exact"/>
              <w:ind w:firstLine="482" w:firstLineChars="200"/>
              <w:rPr>
                <w:b/>
                <w:color w:val="000000"/>
                <w:sz w:val="24"/>
              </w:rPr>
            </w:pPr>
            <w:r>
              <w:rPr>
                <w:rFonts w:hint="eastAsia"/>
                <w:b/>
                <w:color w:val="000000"/>
                <w:sz w:val="24"/>
              </w:rPr>
              <w:t>3、产品方案</w:t>
            </w:r>
          </w:p>
          <w:p>
            <w:pPr>
              <w:spacing w:line="460" w:lineRule="exact"/>
              <w:ind w:firstLine="480" w:firstLineChars="200"/>
              <w:rPr>
                <w:color w:val="000000"/>
                <w:sz w:val="24"/>
              </w:rPr>
            </w:pPr>
            <w:r>
              <w:rPr>
                <w:rFonts w:hint="eastAsia"/>
                <w:color w:val="000000"/>
                <w:sz w:val="24"/>
              </w:rPr>
              <w:t>本项目产品为涂布白卡纸，项目产品方案及产量详见下表。</w:t>
            </w:r>
          </w:p>
          <w:p>
            <w:pPr>
              <w:spacing w:line="460" w:lineRule="exact"/>
              <w:ind w:firstLine="480" w:firstLineChars="200"/>
              <w:rPr>
                <w:rFonts w:eastAsia="黑体"/>
                <w:color w:val="000000"/>
                <w:sz w:val="24"/>
              </w:rPr>
            </w:pPr>
            <w:r>
              <w:rPr>
                <w:rFonts w:eastAsia="黑体"/>
                <w:color w:val="000000"/>
                <w:sz w:val="24"/>
              </w:rPr>
              <w:t xml:space="preserve">表8              </w:t>
            </w:r>
            <w:r>
              <w:rPr>
                <w:rFonts w:hint="eastAsia" w:eastAsia="黑体"/>
                <w:color w:val="000000"/>
                <w:sz w:val="24"/>
              </w:rPr>
              <w:t>全厂</w:t>
            </w:r>
            <w:r>
              <w:rPr>
                <w:rFonts w:eastAsia="黑体"/>
                <w:color w:val="000000"/>
                <w:sz w:val="24"/>
              </w:rPr>
              <w:t>产品方案及产量一览表</w:t>
            </w:r>
          </w:p>
          <w:tbl>
            <w:tblPr>
              <w:tblStyle w:val="31"/>
              <w:tblpPr w:leftFromText="180" w:rightFromText="180" w:vertAnchor="text" w:tblpXSpec="center" w:tblpY="1"/>
              <w:tblOverlap w:val="never"/>
              <w:tblW w:w="5000" w:type="pct"/>
              <w:tblInd w:w="0" w:type="dxa"/>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379"/>
              <w:gridCol w:w="3408"/>
            </w:tblGrid>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8" w:type="pct"/>
                  <w:vAlign w:val="center"/>
                </w:tcPr>
                <w:p>
                  <w:pPr>
                    <w:jc w:val="center"/>
                    <w:rPr>
                      <w:rFonts w:cs="宋体"/>
                      <w:b/>
                      <w:color w:val="000000"/>
                      <w:szCs w:val="20"/>
                    </w:rPr>
                  </w:pPr>
                  <w:r>
                    <w:rPr>
                      <w:rFonts w:hint="eastAsia" w:cs="宋体"/>
                      <w:b/>
                      <w:color w:val="000000"/>
                      <w:szCs w:val="20"/>
                    </w:rPr>
                    <w:t>序号</w:t>
                  </w:r>
                </w:p>
              </w:tc>
              <w:tc>
                <w:tcPr>
                  <w:tcW w:w="2126" w:type="pct"/>
                  <w:vAlign w:val="center"/>
                </w:tcPr>
                <w:p>
                  <w:pPr>
                    <w:jc w:val="center"/>
                    <w:rPr>
                      <w:rFonts w:cs="宋体"/>
                      <w:b/>
                      <w:color w:val="000000"/>
                      <w:szCs w:val="20"/>
                    </w:rPr>
                  </w:pPr>
                  <w:r>
                    <w:rPr>
                      <w:rFonts w:hint="eastAsia" w:cs="宋体"/>
                      <w:b/>
                      <w:color w:val="000000"/>
                      <w:szCs w:val="20"/>
                    </w:rPr>
                    <w:t>产品</w:t>
                  </w:r>
                </w:p>
              </w:tc>
              <w:tc>
                <w:tcPr>
                  <w:tcW w:w="2145" w:type="pct"/>
                  <w:vAlign w:val="center"/>
                </w:tcPr>
                <w:p>
                  <w:pPr>
                    <w:jc w:val="center"/>
                    <w:rPr>
                      <w:rFonts w:cs="宋体"/>
                      <w:b/>
                      <w:color w:val="000000"/>
                      <w:szCs w:val="20"/>
                    </w:rPr>
                  </w:pPr>
                  <w:r>
                    <w:rPr>
                      <w:rFonts w:hint="eastAsia" w:cs="宋体"/>
                      <w:b/>
                      <w:color w:val="000000"/>
                      <w:szCs w:val="20"/>
                    </w:rPr>
                    <w:t>产能</w:t>
                  </w:r>
                </w:p>
              </w:tc>
            </w:tr>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8" w:type="pct"/>
                  <w:vAlign w:val="center"/>
                </w:tcPr>
                <w:p>
                  <w:pPr>
                    <w:contextualSpacing/>
                    <w:jc w:val="center"/>
                    <w:textAlignment w:val="baseline"/>
                    <w:rPr>
                      <w:color w:val="000000"/>
                      <w:kern w:val="0"/>
                      <w:szCs w:val="21"/>
                    </w:rPr>
                  </w:pPr>
                  <w:r>
                    <w:rPr>
                      <w:rFonts w:hint="eastAsia"/>
                      <w:color w:val="000000"/>
                      <w:kern w:val="0"/>
                      <w:szCs w:val="21"/>
                    </w:rPr>
                    <w:t>1</w:t>
                  </w:r>
                </w:p>
              </w:tc>
              <w:tc>
                <w:tcPr>
                  <w:tcW w:w="2126" w:type="pct"/>
                  <w:vAlign w:val="center"/>
                </w:tcPr>
                <w:p>
                  <w:pPr>
                    <w:contextualSpacing/>
                    <w:jc w:val="center"/>
                    <w:textAlignment w:val="baseline"/>
                    <w:rPr>
                      <w:color w:val="000000"/>
                      <w:kern w:val="0"/>
                      <w:szCs w:val="21"/>
                    </w:rPr>
                  </w:pPr>
                  <w:r>
                    <w:rPr>
                      <w:rFonts w:hint="eastAsia"/>
                      <w:color w:val="000000"/>
                      <w:kern w:val="0"/>
                      <w:szCs w:val="21"/>
                    </w:rPr>
                    <w:t>涂布白卡纸</w:t>
                  </w:r>
                </w:p>
              </w:tc>
              <w:tc>
                <w:tcPr>
                  <w:tcW w:w="2145" w:type="pct"/>
                  <w:vAlign w:val="center"/>
                </w:tcPr>
                <w:p>
                  <w:pPr>
                    <w:contextualSpacing/>
                    <w:jc w:val="center"/>
                    <w:textAlignment w:val="baseline"/>
                    <w:rPr>
                      <w:color w:val="000000"/>
                      <w:kern w:val="0"/>
                      <w:szCs w:val="21"/>
                    </w:rPr>
                  </w:pPr>
                  <w:r>
                    <w:rPr>
                      <w:rFonts w:hint="eastAsia"/>
                      <w:color w:val="000000"/>
                      <w:kern w:val="0"/>
                      <w:szCs w:val="21"/>
                    </w:rPr>
                    <w:t>5.6万吨/年</w:t>
                  </w:r>
                </w:p>
              </w:tc>
            </w:tr>
          </w:tbl>
          <w:p>
            <w:pPr>
              <w:spacing w:line="460" w:lineRule="exact"/>
              <w:ind w:firstLine="482" w:firstLineChars="200"/>
              <w:rPr>
                <w:b/>
                <w:color w:val="000000"/>
                <w:sz w:val="24"/>
              </w:rPr>
            </w:pPr>
            <w:r>
              <w:rPr>
                <w:rFonts w:hint="eastAsia"/>
                <w:b/>
                <w:color w:val="000000"/>
                <w:sz w:val="24"/>
              </w:rPr>
              <w:t>4</w:t>
            </w:r>
            <w:r>
              <w:rPr>
                <w:b/>
                <w:color w:val="000000"/>
                <w:sz w:val="24"/>
              </w:rPr>
              <w:t>、主要生产设备</w:t>
            </w:r>
          </w:p>
          <w:p>
            <w:pPr>
              <w:spacing w:line="460" w:lineRule="exact"/>
              <w:ind w:firstLine="480" w:firstLineChars="200"/>
              <w:rPr>
                <w:color w:val="000000"/>
                <w:sz w:val="24"/>
              </w:rPr>
            </w:pPr>
            <w:r>
              <w:rPr>
                <w:color w:val="000000"/>
                <w:sz w:val="24"/>
              </w:rPr>
              <w:t>本项目建成后</w:t>
            </w:r>
            <w:r>
              <w:rPr>
                <w:rFonts w:hint="eastAsia"/>
                <w:color w:val="000000"/>
                <w:sz w:val="24"/>
              </w:rPr>
              <w:t>涂布白卡纸生产线</w:t>
            </w:r>
            <w:r>
              <w:rPr>
                <w:color w:val="000000"/>
                <w:sz w:val="24"/>
              </w:rPr>
              <w:t>主要设备见下表。</w:t>
            </w:r>
          </w:p>
          <w:p>
            <w:pPr>
              <w:spacing w:line="460" w:lineRule="exact"/>
              <w:ind w:firstLine="480" w:firstLineChars="200"/>
              <w:jc w:val="left"/>
              <w:rPr>
                <w:rFonts w:eastAsia="黑体"/>
                <w:color w:val="000000"/>
                <w:sz w:val="24"/>
              </w:rPr>
            </w:pPr>
            <w:r>
              <w:rPr>
                <w:rFonts w:eastAsia="黑体"/>
                <w:color w:val="000000"/>
                <w:sz w:val="24"/>
                <w:lang w:val="pt-BR"/>
              </w:rPr>
              <w:t>表</w:t>
            </w:r>
            <w:r>
              <w:rPr>
                <w:rFonts w:hint="eastAsia" w:eastAsia="黑体"/>
                <w:color w:val="000000"/>
                <w:sz w:val="24"/>
              </w:rPr>
              <w:t>9</w:t>
            </w:r>
            <w:r>
              <w:rPr>
                <w:rFonts w:eastAsia="黑体"/>
                <w:color w:val="000000"/>
                <w:sz w:val="24"/>
                <w:lang w:val="pt-BR"/>
              </w:rPr>
              <w:t xml:space="preserve">                 </w:t>
            </w:r>
            <w:r>
              <w:rPr>
                <w:rFonts w:hint="eastAsia" w:eastAsia="黑体"/>
                <w:color w:val="000000"/>
                <w:sz w:val="24"/>
                <w:lang w:val="pt-BR"/>
              </w:rPr>
              <w:t xml:space="preserve">  </w:t>
            </w:r>
            <w:r>
              <w:rPr>
                <w:rFonts w:eastAsia="黑体"/>
                <w:color w:val="000000"/>
                <w:sz w:val="24"/>
                <w:lang w:val="pt-BR"/>
              </w:rPr>
              <w:t>主要生产设备一览表</w:t>
            </w:r>
          </w:p>
          <w:tbl>
            <w:tblPr>
              <w:tblStyle w:val="3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425"/>
              <w:gridCol w:w="81"/>
              <w:gridCol w:w="1625"/>
              <w:gridCol w:w="76"/>
              <w:gridCol w:w="1218"/>
              <w:gridCol w:w="305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8" w:type="dxa"/>
                  <w:vAlign w:val="center"/>
                </w:tcPr>
                <w:p>
                  <w:pPr>
                    <w:jc w:val="center"/>
                    <w:rPr>
                      <w:b/>
                      <w:color w:val="000000"/>
                      <w:szCs w:val="21"/>
                    </w:rPr>
                  </w:pPr>
                  <w:r>
                    <w:rPr>
                      <w:rFonts w:hint="eastAsia"/>
                      <w:b/>
                      <w:color w:val="000000"/>
                      <w:szCs w:val="21"/>
                    </w:rPr>
                    <w:t>序号</w:t>
                  </w:r>
                </w:p>
              </w:tc>
              <w:tc>
                <w:tcPr>
                  <w:tcW w:w="1425" w:type="dxa"/>
                  <w:vAlign w:val="center"/>
                </w:tcPr>
                <w:p>
                  <w:pPr>
                    <w:jc w:val="center"/>
                    <w:rPr>
                      <w:b/>
                      <w:color w:val="000000"/>
                      <w:szCs w:val="21"/>
                    </w:rPr>
                  </w:pPr>
                  <w:r>
                    <w:rPr>
                      <w:b/>
                      <w:color w:val="000000"/>
                      <w:szCs w:val="21"/>
                    </w:rPr>
                    <w:t>设备名称</w:t>
                  </w:r>
                </w:p>
              </w:tc>
              <w:tc>
                <w:tcPr>
                  <w:tcW w:w="1706" w:type="dxa"/>
                  <w:gridSpan w:val="2"/>
                  <w:noWrap/>
                  <w:vAlign w:val="center"/>
                </w:tcPr>
                <w:p>
                  <w:pPr>
                    <w:jc w:val="center"/>
                    <w:rPr>
                      <w:b/>
                      <w:color w:val="000000"/>
                      <w:szCs w:val="21"/>
                    </w:rPr>
                  </w:pPr>
                  <w:r>
                    <w:rPr>
                      <w:b/>
                      <w:color w:val="000000"/>
                      <w:szCs w:val="21"/>
                    </w:rPr>
                    <w:t>型号/规格</w:t>
                  </w:r>
                </w:p>
              </w:tc>
              <w:tc>
                <w:tcPr>
                  <w:tcW w:w="1294" w:type="dxa"/>
                  <w:gridSpan w:val="2"/>
                  <w:noWrap/>
                  <w:vAlign w:val="center"/>
                </w:tcPr>
                <w:p>
                  <w:pPr>
                    <w:jc w:val="center"/>
                    <w:rPr>
                      <w:b/>
                      <w:color w:val="000000"/>
                      <w:szCs w:val="21"/>
                    </w:rPr>
                  </w:pPr>
                  <w:r>
                    <w:rPr>
                      <w:b/>
                      <w:color w:val="000000"/>
                      <w:szCs w:val="21"/>
                    </w:rPr>
                    <w:t>数量</w:t>
                  </w:r>
                </w:p>
                <w:p>
                  <w:pPr>
                    <w:jc w:val="center"/>
                    <w:rPr>
                      <w:b/>
                      <w:color w:val="000000"/>
                      <w:szCs w:val="21"/>
                    </w:rPr>
                  </w:pPr>
                  <w:r>
                    <w:rPr>
                      <w:b/>
                      <w:color w:val="000000"/>
                      <w:szCs w:val="21"/>
                    </w:rPr>
                    <w:t>（台</w:t>
                  </w:r>
                  <w:r>
                    <w:rPr>
                      <w:rFonts w:hint="eastAsia"/>
                      <w:b/>
                      <w:color w:val="000000"/>
                      <w:szCs w:val="21"/>
                    </w:rPr>
                    <w:t>/套</w:t>
                  </w:r>
                  <w:r>
                    <w:rPr>
                      <w:b/>
                      <w:color w:val="000000"/>
                      <w:szCs w:val="21"/>
                    </w:rPr>
                    <w:t>）</w:t>
                  </w:r>
                </w:p>
              </w:tc>
              <w:tc>
                <w:tcPr>
                  <w:tcW w:w="3052" w:type="dxa"/>
                  <w:vAlign w:val="center"/>
                </w:tcPr>
                <w:p>
                  <w:pPr>
                    <w:jc w:val="center"/>
                    <w:rPr>
                      <w:b/>
                      <w:color w:val="000000"/>
                      <w:szCs w:val="21"/>
                    </w:rPr>
                  </w:pPr>
                  <w:r>
                    <w:rPr>
                      <w:b/>
                      <w:color w:val="000000"/>
                      <w:szCs w:val="21"/>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5" w:type="dxa"/>
                  <w:gridSpan w:val="7"/>
                  <w:vAlign w:val="center"/>
                </w:tcPr>
                <w:p>
                  <w:pPr>
                    <w:jc w:val="center"/>
                    <w:rPr>
                      <w:rFonts w:hAnsi="宋体"/>
                      <w:color w:val="000000"/>
                      <w:szCs w:val="21"/>
                    </w:rPr>
                  </w:pPr>
                  <w:r>
                    <w:rPr>
                      <w:rFonts w:hAnsi="宋体"/>
                      <w:color w:val="000000"/>
                      <w:szCs w:val="21"/>
                    </w:rPr>
                    <w:t>浆钙生产线</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Align w:val="center"/>
                </w:tcPr>
                <w:p>
                  <w:pPr>
                    <w:jc w:val="center"/>
                    <w:rPr>
                      <w:color w:val="000000"/>
                      <w:szCs w:val="21"/>
                    </w:rPr>
                  </w:pPr>
                  <w:r>
                    <w:rPr>
                      <w:rFonts w:hint="eastAsia"/>
                      <w:color w:val="000000"/>
                      <w:szCs w:val="21"/>
                    </w:rPr>
                    <w:t>1</w:t>
                  </w:r>
                </w:p>
              </w:tc>
              <w:tc>
                <w:tcPr>
                  <w:tcW w:w="1506" w:type="dxa"/>
                  <w:gridSpan w:val="2"/>
                  <w:vAlign w:val="center"/>
                </w:tcPr>
                <w:p>
                  <w:pPr>
                    <w:pStyle w:val="140"/>
                    <w:rPr>
                      <w:kern w:val="2"/>
                    </w:rPr>
                  </w:pPr>
                  <w:r>
                    <w:rPr>
                      <w:kern w:val="2"/>
                    </w:rPr>
                    <w:t>研磨机</w:t>
                  </w:r>
                </w:p>
              </w:tc>
              <w:tc>
                <w:tcPr>
                  <w:tcW w:w="1701" w:type="dxa"/>
                  <w:gridSpan w:val="2"/>
                  <w:noWrap/>
                  <w:vAlign w:val="center"/>
                </w:tcPr>
                <w:p>
                  <w:pPr>
                    <w:pStyle w:val="140"/>
                    <w:rPr>
                      <w:kern w:val="2"/>
                    </w:rPr>
                  </w:pPr>
                  <w:r>
                    <w:rPr>
                      <w:kern w:val="2"/>
                    </w:rPr>
                    <w:t>5000L</w:t>
                  </w:r>
                </w:p>
              </w:tc>
              <w:tc>
                <w:tcPr>
                  <w:tcW w:w="1218" w:type="dxa"/>
                  <w:noWrap/>
                  <w:vAlign w:val="center"/>
                </w:tcPr>
                <w:p>
                  <w:pPr>
                    <w:pStyle w:val="140"/>
                    <w:rPr>
                      <w:color w:val="000000"/>
                      <w:kern w:val="2"/>
                    </w:rPr>
                  </w:pPr>
                  <w:r>
                    <w:rPr>
                      <w:color w:val="000000"/>
                      <w:kern w:val="2"/>
                    </w:rPr>
                    <w:t>2</w:t>
                  </w:r>
                </w:p>
              </w:tc>
              <w:tc>
                <w:tcPr>
                  <w:tcW w:w="3052" w:type="dxa"/>
                  <w:vAlign w:val="center"/>
                </w:tcPr>
                <w:p>
                  <w:pPr>
                    <w:jc w:val="center"/>
                    <w:rPr>
                      <w:rFonts w:hAnsi="宋体"/>
                      <w:color w:val="000000"/>
                      <w:szCs w:val="21"/>
                    </w:rPr>
                  </w:pPr>
                  <w:r>
                    <w:rPr>
                      <w:rFonts w:hAnsi="宋体"/>
                      <w:color w:val="000000"/>
                      <w:szCs w:val="21"/>
                    </w:rPr>
                    <w:t>研磨钙粉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Align w:val="center"/>
                </w:tcPr>
                <w:p>
                  <w:pPr>
                    <w:jc w:val="center"/>
                    <w:rPr>
                      <w:color w:val="000000"/>
                      <w:szCs w:val="21"/>
                    </w:rPr>
                  </w:pPr>
                  <w:r>
                    <w:rPr>
                      <w:rFonts w:hint="eastAsia"/>
                      <w:color w:val="000000"/>
                      <w:szCs w:val="21"/>
                    </w:rPr>
                    <w:t>2</w:t>
                  </w:r>
                </w:p>
              </w:tc>
              <w:tc>
                <w:tcPr>
                  <w:tcW w:w="1506" w:type="dxa"/>
                  <w:gridSpan w:val="2"/>
                  <w:vAlign w:val="center"/>
                </w:tcPr>
                <w:p>
                  <w:pPr>
                    <w:pStyle w:val="140"/>
                    <w:rPr>
                      <w:kern w:val="2"/>
                    </w:rPr>
                  </w:pPr>
                  <w:r>
                    <w:rPr>
                      <w:kern w:val="2"/>
                    </w:rPr>
                    <w:t>输送泵</w:t>
                  </w:r>
                </w:p>
              </w:tc>
              <w:tc>
                <w:tcPr>
                  <w:tcW w:w="1701" w:type="dxa"/>
                  <w:gridSpan w:val="2"/>
                  <w:noWrap/>
                  <w:vAlign w:val="center"/>
                </w:tcPr>
                <w:p>
                  <w:pPr>
                    <w:pStyle w:val="140"/>
                    <w:rPr>
                      <w:kern w:val="2"/>
                    </w:rPr>
                  </w:pPr>
                  <w:r>
                    <w:rPr>
                      <w:kern w:val="2"/>
                    </w:rPr>
                    <w:t>/</w:t>
                  </w:r>
                </w:p>
              </w:tc>
              <w:tc>
                <w:tcPr>
                  <w:tcW w:w="1218" w:type="dxa"/>
                  <w:noWrap/>
                  <w:vAlign w:val="center"/>
                </w:tcPr>
                <w:p>
                  <w:pPr>
                    <w:pStyle w:val="140"/>
                    <w:rPr>
                      <w:color w:val="000000"/>
                      <w:kern w:val="2"/>
                    </w:rPr>
                  </w:pPr>
                  <w:r>
                    <w:rPr>
                      <w:color w:val="000000"/>
                      <w:kern w:val="2"/>
                    </w:rPr>
                    <w:t>6</w:t>
                  </w:r>
                </w:p>
              </w:tc>
              <w:tc>
                <w:tcPr>
                  <w:tcW w:w="3052" w:type="dxa"/>
                  <w:vAlign w:val="center"/>
                </w:tcPr>
                <w:p>
                  <w:pPr>
                    <w:jc w:val="center"/>
                    <w:rPr>
                      <w:rFonts w:hAnsi="宋体"/>
                      <w:color w:val="000000"/>
                      <w:szCs w:val="21"/>
                    </w:rPr>
                  </w:pPr>
                  <w:r>
                    <w:rPr>
                      <w:rFonts w:hAnsi="宋体"/>
                      <w:color w:val="000000"/>
                      <w:szCs w:val="21"/>
                    </w:rPr>
                    <w:t>物料转移输送</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Align w:val="center"/>
                </w:tcPr>
                <w:p>
                  <w:pPr>
                    <w:jc w:val="center"/>
                    <w:rPr>
                      <w:color w:val="000000"/>
                      <w:szCs w:val="21"/>
                    </w:rPr>
                  </w:pPr>
                  <w:r>
                    <w:rPr>
                      <w:rFonts w:hint="eastAsia"/>
                      <w:color w:val="000000"/>
                      <w:szCs w:val="21"/>
                    </w:rPr>
                    <w:t>3</w:t>
                  </w:r>
                </w:p>
              </w:tc>
              <w:tc>
                <w:tcPr>
                  <w:tcW w:w="1506" w:type="dxa"/>
                  <w:gridSpan w:val="2"/>
                  <w:vAlign w:val="center"/>
                </w:tcPr>
                <w:p>
                  <w:pPr>
                    <w:pStyle w:val="140"/>
                    <w:rPr>
                      <w:kern w:val="2"/>
                    </w:rPr>
                  </w:pPr>
                  <w:r>
                    <w:rPr>
                      <w:kern w:val="2"/>
                    </w:rPr>
                    <w:t>振动筛</w:t>
                  </w:r>
                </w:p>
              </w:tc>
              <w:tc>
                <w:tcPr>
                  <w:tcW w:w="1701" w:type="dxa"/>
                  <w:gridSpan w:val="2"/>
                  <w:noWrap/>
                  <w:vAlign w:val="center"/>
                </w:tcPr>
                <w:p>
                  <w:pPr>
                    <w:pStyle w:val="140"/>
                    <w:rPr>
                      <w:kern w:val="2"/>
                    </w:rPr>
                  </w:pPr>
                  <w:r>
                    <w:rPr>
                      <w:kern w:val="2"/>
                    </w:rPr>
                    <w:t>1.2m</w:t>
                  </w:r>
                </w:p>
              </w:tc>
              <w:tc>
                <w:tcPr>
                  <w:tcW w:w="1218" w:type="dxa"/>
                  <w:noWrap/>
                  <w:vAlign w:val="center"/>
                </w:tcPr>
                <w:p>
                  <w:pPr>
                    <w:pStyle w:val="140"/>
                    <w:rPr>
                      <w:color w:val="000000"/>
                      <w:kern w:val="2"/>
                    </w:rPr>
                  </w:pPr>
                  <w:r>
                    <w:rPr>
                      <w:color w:val="000000"/>
                      <w:kern w:val="2"/>
                    </w:rPr>
                    <w:t>2</w:t>
                  </w:r>
                </w:p>
              </w:tc>
              <w:tc>
                <w:tcPr>
                  <w:tcW w:w="3052" w:type="dxa"/>
                  <w:vAlign w:val="center"/>
                </w:tcPr>
                <w:p>
                  <w:pPr>
                    <w:jc w:val="center"/>
                    <w:rPr>
                      <w:rFonts w:hAnsi="宋体"/>
                      <w:color w:val="000000"/>
                      <w:szCs w:val="21"/>
                    </w:rPr>
                  </w:pPr>
                  <w:r>
                    <w:rPr>
                      <w:rFonts w:hAnsi="宋体"/>
                      <w:color w:val="000000"/>
                      <w:szCs w:val="21"/>
                    </w:rPr>
                    <w:t>筛分细料</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Align w:val="center"/>
                </w:tcPr>
                <w:p>
                  <w:pPr>
                    <w:jc w:val="center"/>
                    <w:rPr>
                      <w:color w:val="000000"/>
                      <w:szCs w:val="21"/>
                    </w:rPr>
                  </w:pPr>
                  <w:r>
                    <w:rPr>
                      <w:rFonts w:hint="eastAsia"/>
                      <w:color w:val="000000"/>
                      <w:szCs w:val="21"/>
                    </w:rPr>
                    <w:t>4</w:t>
                  </w:r>
                </w:p>
              </w:tc>
              <w:tc>
                <w:tcPr>
                  <w:tcW w:w="1506" w:type="dxa"/>
                  <w:gridSpan w:val="2"/>
                  <w:vAlign w:val="center"/>
                </w:tcPr>
                <w:p>
                  <w:pPr>
                    <w:pStyle w:val="140"/>
                    <w:rPr>
                      <w:kern w:val="2"/>
                    </w:rPr>
                  </w:pPr>
                  <w:r>
                    <w:rPr>
                      <w:kern w:val="2"/>
                    </w:rPr>
                    <w:t>储存罐</w:t>
                  </w:r>
                </w:p>
              </w:tc>
              <w:tc>
                <w:tcPr>
                  <w:tcW w:w="1701" w:type="dxa"/>
                  <w:gridSpan w:val="2"/>
                  <w:noWrap/>
                  <w:vAlign w:val="center"/>
                </w:tcPr>
                <w:p>
                  <w:pPr>
                    <w:pStyle w:val="140"/>
                    <w:rPr>
                      <w:kern w:val="2"/>
                    </w:rPr>
                  </w:pPr>
                  <w:r>
                    <w:rPr>
                      <w:kern w:val="2"/>
                    </w:rPr>
                    <w:t>200m</w:t>
                  </w:r>
                  <w:r>
                    <w:rPr>
                      <w:kern w:val="2"/>
                      <w:vertAlign w:val="superscript"/>
                    </w:rPr>
                    <w:t>3</w:t>
                  </w:r>
                </w:p>
              </w:tc>
              <w:tc>
                <w:tcPr>
                  <w:tcW w:w="1218" w:type="dxa"/>
                  <w:noWrap/>
                  <w:vAlign w:val="center"/>
                </w:tcPr>
                <w:p>
                  <w:pPr>
                    <w:pStyle w:val="140"/>
                    <w:rPr>
                      <w:color w:val="000000"/>
                      <w:kern w:val="2"/>
                    </w:rPr>
                  </w:pPr>
                  <w:r>
                    <w:rPr>
                      <w:color w:val="000000"/>
                      <w:kern w:val="2"/>
                    </w:rPr>
                    <w:t>4</w:t>
                  </w:r>
                </w:p>
              </w:tc>
              <w:tc>
                <w:tcPr>
                  <w:tcW w:w="3052" w:type="dxa"/>
                  <w:vAlign w:val="center"/>
                </w:tcPr>
                <w:p>
                  <w:pPr>
                    <w:jc w:val="center"/>
                    <w:rPr>
                      <w:rFonts w:hAnsi="宋体"/>
                      <w:color w:val="000000"/>
                      <w:szCs w:val="21"/>
                    </w:rPr>
                  </w:pPr>
                  <w:r>
                    <w:rPr>
                      <w:rFonts w:hAnsi="宋体"/>
                      <w:color w:val="000000"/>
                      <w:szCs w:val="21"/>
                    </w:rPr>
                    <w:t>储存浆钙</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Align w:val="center"/>
                </w:tcPr>
                <w:p>
                  <w:pPr>
                    <w:jc w:val="center"/>
                    <w:rPr>
                      <w:color w:val="000000"/>
                      <w:szCs w:val="21"/>
                    </w:rPr>
                  </w:pPr>
                  <w:r>
                    <w:rPr>
                      <w:rFonts w:hint="eastAsia"/>
                      <w:color w:val="000000"/>
                      <w:szCs w:val="21"/>
                    </w:rPr>
                    <w:t>5</w:t>
                  </w:r>
                </w:p>
              </w:tc>
              <w:tc>
                <w:tcPr>
                  <w:tcW w:w="1506" w:type="dxa"/>
                  <w:gridSpan w:val="2"/>
                  <w:vAlign w:val="center"/>
                </w:tcPr>
                <w:p>
                  <w:pPr>
                    <w:pStyle w:val="140"/>
                    <w:rPr>
                      <w:kern w:val="2"/>
                    </w:rPr>
                  </w:pPr>
                  <w:r>
                    <w:rPr>
                      <w:kern w:val="2"/>
                    </w:rPr>
                    <w:t>PLC控制系统</w:t>
                  </w:r>
                </w:p>
              </w:tc>
              <w:tc>
                <w:tcPr>
                  <w:tcW w:w="1701" w:type="dxa"/>
                  <w:gridSpan w:val="2"/>
                  <w:noWrap/>
                  <w:vAlign w:val="center"/>
                </w:tcPr>
                <w:p>
                  <w:pPr>
                    <w:pStyle w:val="140"/>
                    <w:rPr>
                      <w:kern w:val="2"/>
                    </w:rPr>
                  </w:pPr>
                  <w:r>
                    <w:rPr>
                      <w:kern w:val="2"/>
                    </w:rPr>
                    <w:t>/</w:t>
                  </w:r>
                </w:p>
              </w:tc>
              <w:tc>
                <w:tcPr>
                  <w:tcW w:w="1218" w:type="dxa"/>
                  <w:noWrap/>
                  <w:vAlign w:val="center"/>
                </w:tcPr>
                <w:p>
                  <w:pPr>
                    <w:pStyle w:val="140"/>
                    <w:rPr>
                      <w:color w:val="000000"/>
                      <w:kern w:val="2"/>
                    </w:rPr>
                  </w:pPr>
                  <w:r>
                    <w:rPr>
                      <w:color w:val="000000"/>
                      <w:kern w:val="2"/>
                    </w:rPr>
                    <w:t>1</w:t>
                  </w:r>
                </w:p>
              </w:tc>
              <w:tc>
                <w:tcPr>
                  <w:tcW w:w="3052" w:type="dxa"/>
                  <w:vAlign w:val="center"/>
                </w:tcPr>
                <w:p>
                  <w:pPr>
                    <w:jc w:val="center"/>
                    <w:rPr>
                      <w:rFonts w:hAnsi="宋体"/>
                      <w:color w:val="000000"/>
                      <w:szCs w:val="21"/>
                    </w:rPr>
                  </w:pPr>
                  <w:r>
                    <w:rPr>
                      <w:rFonts w:hAnsi="宋体"/>
                      <w:color w:val="000000"/>
                      <w:szCs w:val="21"/>
                    </w:rPr>
                    <w:t>生产过程综合自动化</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Align w:val="center"/>
                </w:tcPr>
                <w:p>
                  <w:pPr>
                    <w:jc w:val="center"/>
                    <w:rPr>
                      <w:color w:val="000000"/>
                      <w:szCs w:val="21"/>
                    </w:rPr>
                  </w:pPr>
                  <w:r>
                    <w:rPr>
                      <w:rFonts w:hint="eastAsia"/>
                      <w:color w:val="000000"/>
                      <w:szCs w:val="21"/>
                    </w:rPr>
                    <w:t>6</w:t>
                  </w:r>
                </w:p>
              </w:tc>
              <w:tc>
                <w:tcPr>
                  <w:tcW w:w="1506" w:type="dxa"/>
                  <w:gridSpan w:val="2"/>
                  <w:vAlign w:val="center"/>
                </w:tcPr>
                <w:p>
                  <w:pPr>
                    <w:pStyle w:val="140"/>
                    <w:rPr>
                      <w:kern w:val="2"/>
                    </w:rPr>
                  </w:pPr>
                  <w:r>
                    <w:rPr>
                      <w:kern w:val="2"/>
                    </w:rPr>
                    <w:t>钙粉筒仓</w:t>
                  </w:r>
                </w:p>
              </w:tc>
              <w:tc>
                <w:tcPr>
                  <w:tcW w:w="1701" w:type="dxa"/>
                  <w:gridSpan w:val="2"/>
                  <w:noWrap/>
                  <w:vAlign w:val="center"/>
                </w:tcPr>
                <w:p>
                  <w:pPr>
                    <w:pStyle w:val="140"/>
                    <w:rPr>
                      <w:kern w:val="2"/>
                    </w:rPr>
                  </w:pPr>
                  <w:r>
                    <w:rPr>
                      <w:kern w:val="2"/>
                    </w:rPr>
                    <w:t>100t</w:t>
                  </w:r>
                </w:p>
              </w:tc>
              <w:tc>
                <w:tcPr>
                  <w:tcW w:w="1218" w:type="dxa"/>
                  <w:noWrap/>
                  <w:vAlign w:val="center"/>
                </w:tcPr>
                <w:p>
                  <w:pPr>
                    <w:pStyle w:val="140"/>
                    <w:rPr>
                      <w:color w:val="000000"/>
                      <w:kern w:val="2"/>
                    </w:rPr>
                  </w:pPr>
                  <w:r>
                    <w:rPr>
                      <w:color w:val="000000"/>
                      <w:kern w:val="2"/>
                    </w:rPr>
                    <w:t>1</w:t>
                  </w:r>
                </w:p>
              </w:tc>
              <w:tc>
                <w:tcPr>
                  <w:tcW w:w="3052" w:type="dxa"/>
                  <w:vAlign w:val="center"/>
                </w:tcPr>
                <w:p>
                  <w:pPr>
                    <w:jc w:val="center"/>
                    <w:rPr>
                      <w:rFonts w:hAnsi="宋体"/>
                      <w:color w:val="000000"/>
                      <w:szCs w:val="21"/>
                    </w:rPr>
                  </w:pPr>
                  <w:r>
                    <w:rPr>
                      <w:rFonts w:hAnsi="宋体"/>
                      <w:color w:val="000000"/>
                      <w:szCs w:val="21"/>
                    </w:rPr>
                    <w:t>存储钙粉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5" w:type="dxa"/>
                  <w:gridSpan w:val="7"/>
                  <w:vAlign w:val="center"/>
                </w:tcPr>
                <w:p>
                  <w:pPr>
                    <w:jc w:val="center"/>
                    <w:rPr>
                      <w:rFonts w:hAnsi="宋体"/>
                      <w:color w:val="000000"/>
                      <w:szCs w:val="21"/>
                    </w:rPr>
                  </w:pPr>
                  <w:r>
                    <w:rPr>
                      <w:rFonts w:hAnsi="宋体"/>
                      <w:color w:val="000000"/>
                      <w:szCs w:val="21"/>
                    </w:rPr>
                    <w:t>涂布白卡纸生产线</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Align w:val="center"/>
                </w:tcPr>
                <w:p>
                  <w:pPr>
                    <w:jc w:val="center"/>
                    <w:rPr>
                      <w:color w:val="000000"/>
                      <w:szCs w:val="21"/>
                    </w:rPr>
                  </w:pPr>
                  <w:r>
                    <w:rPr>
                      <w:rFonts w:hint="eastAsia"/>
                      <w:color w:val="000000"/>
                      <w:szCs w:val="21"/>
                    </w:rPr>
                    <w:t>7</w:t>
                  </w:r>
                </w:p>
              </w:tc>
              <w:tc>
                <w:tcPr>
                  <w:tcW w:w="1506" w:type="dxa"/>
                  <w:gridSpan w:val="2"/>
                  <w:vAlign w:val="center"/>
                </w:tcPr>
                <w:p>
                  <w:pPr>
                    <w:jc w:val="center"/>
                    <w:rPr>
                      <w:color w:val="000000"/>
                      <w:szCs w:val="21"/>
                    </w:rPr>
                  </w:pPr>
                  <w:r>
                    <w:rPr>
                      <w:color w:val="000000"/>
                      <w:szCs w:val="21"/>
                    </w:rPr>
                    <w:t>涂布机</w:t>
                  </w:r>
                </w:p>
              </w:tc>
              <w:tc>
                <w:tcPr>
                  <w:tcW w:w="1701" w:type="dxa"/>
                  <w:gridSpan w:val="2"/>
                  <w:noWrap/>
                  <w:vAlign w:val="center"/>
                </w:tcPr>
                <w:p>
                  <w:pPr>
                    <w:jc w:val="center"/>
                    <w:rPr>
                      <w:color w:val="000000"/>
                      <w:szCs w:val="21"/>
                    </w:rPr>
                  </w:pPr>
                  <w:r>
                    <w:rPr>
                      <w:rFonts w:hint="eastAsia"/>
                      <w:color w:val="000000"/>
                      <w:szCs w:val="21"/>
                    </w:rPr>
                    <w:t>4300mm/360min</w:t>
                  </w:r>
                </w:p>
              </w:tc>
              <w:tc>
                <w:tcPr>
                  <w:tcW w:w="1218" w:type="dxa"/>
                  <w:noWrap/>
                  <w:vAlign w:val="center"/>
                </w:tcPr>
                <w:p>
                  <w:pPr>
                    <w:jc w:val="center"/>
                    <w:rPr>
                      <w:color w:val="000000"/>
                      <w:szCs w:val="21"/>
                    </w:rPr>
                  </w:pPr>
                  <w:r>
                    <w:rPr>
                      <w:rFonts w:hint="eastAsia"/>
                      <w:color w:val="000000"/>
                      <w:szCs w:val="21"/>
                    </w:rPr>
                    <w:t>1</w:t>
                  </w:r>
                </w:p>
              </w:tc>
              <w:tc>
                <w:tcPr>
                  <w:tcW w:w="3052" w:type="dxa"/>
                  <w:vAlign w:val="center"/>
                </w:tcPr>
                <w:p>
                  <w:pPr>
                    <w:jc w:val="center"/>
                    <w:rPr>
                      <w:color w:val="000000"/>
                      <w:szCs w:val="21"/>
                    </w:rPr>
                  </w:pPr>
                  <w:r>
                    <w:rPr>
                      <w:rFonts w:hAnsi="宋体"/>
                      <w:color w:val="000000"/>
                      <w:szCs w:val="21"/>
                    </w:rPr>
                    <w:t>涂布压光卷取一体机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Align w:val="center"/>
                </w:tcPr>
                <w:p>
                  <w:pPr>
                    <w:jc w:val="center"/>
                    <w:rPr>
                      <w:color w:val="000000"/>
                      <w:szCs w:val="21"/>
                    </w:rPr>
                  </w:pPr>
                  <w:r>
                    <w:rPr>
                      <w:rFonts w:hint="eastAsia"/>
                      <w:color w:val="000000"/>
                      <w:szCs w:val="21"/>
                    </w:rPr>
                    <w:t>8</w:t>
                  </w:r>
                </w:p>
              </w:tc>
              <w:tc>
                <w:tcPr>
                  <w:tcW w:w="1506" w:type="dxa"/>
                  <w:gridSpan w:val="2"/>
                  <w:vAlign w:val="center"/>
                </w:tcPr>
                <w:p>
                  <w:pPr>
                    <w:jc w:val="center"/>
                    <w:rPr>
                      <w:szCs w:val="21"/>
                    </w:rPr>
                  </w:pPr>
                  <w:r>
                    <w:rPr>
                      <w:rFonts w:hint="eastAsia"/>
                      <w:szCs w:val="21"/>
                    </w:rPr>
                    <w:t>羟甲基纤维素钠溶液储存罐</w:t>
                  </w:r>
                </w:p>
              </w:tc>
              <w:tc>
                <w:tcPr>
                  <w:tcW w:w="1701" w:type="dxa"/>
                  <w:gridSpan w:val="2"/>
                  <w:noWrap/>
                  <w:vAlign w:val="center"/>
                </w:tcPr>
                <w:p>
                  <w:pPr>
                    <w:jc w:val="center"/>
                    <w:rPr>
                      <w:rFonts w:hAnsi="宋体"/>
                      <w:color w:val="000000"/>
                      <w:szCs w:val="21"/>
                    </w:rPr>
                  </w:pPr>
                  <w:r>
                    <w:rPr>
                      <w:rFonts w:hint="eastAsia"/>
                      <w:szCs w:val="21"/>
                    </w:rPr>
                    <w:t>9m</w:t>
                  </w:r>
                  <w:r>
                    <w:rPr>
                      <w:rFonts w:hint="eastAsia"/>
                      <w:szCs w:val="21"/>
                      <w:vertAlign w:val="superscript"/>
                    </w:rPr>
                    <w:t>3</w:t>
                  </w:r>
                </w:p>
              </w:tc>
              <w:tc>
                <w:tcPr>
                  <w:tcW w:w="1218" w:type="dxa"/>
                  <w:noWrap/>
                  <w:vAlign w:val="center"/>
                </w:tcPr>
                <w:p>
                  <w:pPr>
                    <w:jc w:val="center"/>
                  </w:pPr>
                  <w:r>
                    <w:rPr>
                      <w:rFonts w:hint="eastAsia"/>
                    </w:rPr>
                    <w:t>2</w:t>
                  </w:r>
                </w:p>
              </w:tc>
              <w:tc>
                <w:tcPr>
                  <w:tcW w:w="3052" w:type="dxa"/>
                  <w:vAlign w:val="center"/>
                </w:tcPr>
                <w:p>
                  <w:pPr>
                    <w:jc w:val="center"/>
                  </w:pPr>
                  <w:r>
                    <w:rPr>
                      <w:rFonts w:hAnsi="宋体"/>
                      <w:color w:val="000000"/>
                      <w:szCs w:val="21"/>
                    </w:rPr>
                    <w:t>用于</w:t>
                  </w:r>
                  <w:r>
                    <w:rPr>
                      <w:rFonts w:hint="eastAsia"/>
                      <w:szCs w:val="21"/>
                    </w:rPr>
                    <w:t>羟甲基纤维素钠溶液的</w:t>
                  </w:r>
                  <w:r>
                    <w:rPr>
                      <w:rFonts w:hAnsi="宋体"/>
                      <w:color w:val="000000"/>
                      <w:szCs w:val="21"/>
                    </w:rPr>
                    <w:t>储存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Align w:val="center"/>
                </w:tcPr>
                <w:p>
                  <w:pPr>
                    <w:jc w:val="center"/>
                    <w:rPr>
                      <w:color w:val="000000"/>
                      <w:szCs w:val="21"/>
                    </w:rPr>
                  </w:pPr>
                  <w:r>
                    <w:rPr>
                      <w:rFonts w:hint="eastAsia"/>
                      <w:color w:val="000000"/>
                      <w:szCs w:val="21"/>
                    </w:rPr>
                    <w:t>9</w:t>
                  </w:r>
                </w:p>
              </w:tc>
              <w:tc>
                <w:tcPr>
                  <w:tcW w:w="1506" w:type="dxa"/>
                  <w:gridSpan w:val="2"/>
                  <w:vAlign w:val="center"/>
                </w:tcPr>
                <w:p>
                  <w:pPr>
                    <w:jc w:val="center"/>
                    <w:rPr>
                      <w:szCs w:val="21"/>
                    </w:rPr>
                  </w:pPr>
                  <w:r>
                    <w:rPr>
                      <w:rFonts w:hint="eastAsia"/>
                      <w:szCs w:val="21"/>
                    </w:rPr>
                    <w:t>浆钙储存罐</w:t>
                  </w:r>
                </w:p>
              </w:tc>
              <w:tc>
                <w:tcPr>
                  <w:tcW w:w="1701" w:type="dxa"/>
                  <w:gridSpan w:val="2"/>
                  <w:noWrap/>
                  <w:vAlign w:val="center"/>
                </w:tcPr>
                <w:p>
                  <w:pPr>
                    <w:jc w:val="center"/>
                    <w:rPr>
                      <w:rFonts w:hAnsi="宋体"/>
                      <w:color w:val="000000"/>
                      <w:szCs w:val="21"/>
                    </w:rPr>
                  </w:pPr>
                  <w:r>
                    <w:rPr>
                      <w:rFonts w:hint="eastAsia"/>
                      <w:szCs w:val="21"/>
                    </w:rPr>
                    <w:t>30m</w:t>
                  </w:r>
                  <w:r>
                    <w:rPr>
                      <w:rFonts w:hint="eastAsia"/>
                      <w:szCs w:val="21"/>
                      <w:vertAlign w:val="superscript"/>
                    </w:rPr>
                    <w:t>3</w:t>
                  </w:r>
                </w:p>
              </w:tc>
              <w:tc>
                <w:tcPr>
                  <w:tcW w:w="1218" w:type="dxa"/>
                  <w:noWrap/>
                  <w:vAlign w:val="center"/>
                </w:tcPr>
                <w:p>
                  <w:pPr>
                    <w:jc w:val="center"/>
                  </w:pPr>
                  <w:r>
                    <w:rPr>
                      <w:rFonts w:hint="eastAsia"/>
                    </w:rPr>
                    <w:t>2</w:t>
                  </w:r>
                </w:p>
              </w:tc>
              <w:tc>
                <w:tcPr>
                  <w:tcW w:w="3052" w:type="dxa"/>
                  <w:vAlign w:val="center"/>
                </w:tcPr>
                <w:p>
                  <w:pPr>
                    <w:jc w:val="center"/>
                  </w:pPr>
                  <w:r>
                    <w:rPr>
                      <w:rFonts w:hAnsi="宋体"/>
                      <w:color w:val="000000"/>
                      <w:szCs w:val="21"/>
                    </w:rPr>
                    <w:t>用于浆钙</w:t>
                  </w:r>
                  <w:r>
                    <w:rPr>
                      <w:rFonts w:hint="eastAsia"/>
                      <w:szCs w:val="21"/>
                    </w:rPr>
                    <w:t>的</w:t>
                  </w:r>
                  <w:r>
                    <w:rPr>
                      <w:rFonts w:hAnsi="宋体"/>
                      <w:color w:val="000000"/>
                      <w:szCs w:val="21"/>
                    </w:rPr>
                    <w:t>储存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Align w:val="center"/>
                </w:tcPr>
                <w:p>
                  <w:pPr>
                    <w:jc w:val="center"/>
                    <w:rPr>
                      <w:color w:val="000000"/>
                      <w:szCs w:val="21"/>
                    </w:rPr>
                  </w:pPr>
                  <w:r>
                    <w:rPr>
                      <w:rFonts w:hint="eastAsia"/>
                      <w:color w:val="000000"/>
                      <w:szCs w:val="21"/>
                    </w:rPr>
                    <w:t>10</w:t>
                  </w:r>
                </w:p>
              </w:tc>
              <w:tc>
                <w:tcPr>
                  <w:tcW w:w="1506" w:type="dxa"/>
                  <w:gridSpan w:val="2"/>
                  <w:vAlign w:val="center"/>
                </w:tcPr>
                <w:p>
                  <w:pPr>
                    <w:jc w:val="center"/>
                    <w:rPr>
                      <w:szCs w:val="21"/>
                    </w:rPr>
                  </w:pPr>
                  <w:r>
                    <w:rPr>
                      <w:rFonts w:hint="eastAsia"/>
                      <w:szCs w:val="21"/>
                    </w:rPr>
                    <w:t>底涂配料罐</w:t>
                  </w:r>
                </w:p>
              </w:tc>
              <w:tc>
                <w:tcPr>
                  <w:tcW w:w="1701" w:type="dxa"/>
                  <w:gridSpan w:val="2"/>
                  <w:noWrap/>
                  <w:vAlign w:val="center"/>
                </w:tcPr>
                <w:p>
                  <w:pPr>
                    <w:jc w:val="center"/>
                    <w:rPr>
                      <w:rFonts w:hAnsi="宋体"/>
                      <w:color w:val="000000"/>
                      <w:szCs w:val="21"/>
                    </w:rPr>
                  </w:pPr>
                  <w:r>
                    <w:rPr>
                      <w:rFonts w:hint="eastAsia"/>
                      <w:szCs w:val="21"/>
                    </w:rPr>
                    <w:t>4m</w:t>
                  </w:r>
                  <w:r>
                    <w:rPr>
                      <w:rFonts w:hint="eastAsia"/>
                      <w:szCs w:val="21"/>
                      <w:vertAlign w:val="superscript"/>
                    </w:rPr>
                    <w:t>3</w:t>
                  </w:r>
                </w:p>
              </w:tc>
              <w:tc>
                <w:tcPr>
                  <w:tcW w:w="1218" w:type="dxa"/>
                  <w:noWrap/>
                  <w:vAlign w:val="center"/>
                </w:tcPr>
                <w:p>
                  <w:pPr>
                    <w:jc w:val="center"/>
                  </w:pPr>
                  <w:r>
                    <w:rPr>
                      <w:rFonts w:hint="eastAsia"/>
                    </w:rPr>
                    <w:t>1</w:t>
                  </w:r>
                </w:p>
              </w:tc>
              <w:tc>
                <w:tcPr>
                  <w:tcW w:w="3052" w:type="dxa"/>
                  <w:vAlign w:val="center"/>
                </w:tcPr>
                <w:p>
                  <w:pPr>
                    <w:jc w:val="center"/>
                    <w:rPr>
                      <w:rFonts w:hAnsi="宋体"/>
                      <w:color w:val="000000"/>
                      <w:szCs w:val="21"/>
                    </w:rPr>
                  </w:pPr>
                  <w:r>
                    <w:rPr>
                      <w:rFonts w:hint="eastAsia" w:hAnsi="宋体"/>
                      <w:color w:val="000000"/>
                      <w:szCs w:val="21"/>
                    </w:rPr>
                    <w:t>涂布纸底涂工序</w:t>
                  </w:r>
                  <w:r>
                    <w:rPr>
                      <w:rFonts w:hAnsi="宋体"/>
                      <w:color w:val="000000"/>
                      <w:szCs w:val="21"/>
                    </w:rPr>
                    <w:t>配料</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Align w:val="center"/>
                </w:tcPr>
                <w:p>
                  <w:pPr>
                    <w:jc w:val="center"/>
                    <w:rPr>
                      <w:color w:val="000000"/>
                      <w:szCs w:val="21"/>
                    </w:rPr>
                  </w:pPr>
                  <w:r>
                    <w:rPr>
                      <w:rFonts w:hint="eastAsia"/>
                      <w:color w:val="000000"/>
                      <w:szCs w:val="21"/>
                    </w:rPr>
                    <w:t>11</w:t>
                  </w:r>
                </w:p>
              </w:tc>
              <w:tc>
                <w:tcPr>
                  <w:tcW w:w="1506" w:type="dxa"/>
                  <w:gridSpan w:val="2"/>
                  <w:vAlign w:val="center"/>
                </w:tcPr>
                <w:p>
                  <w:pPr>
                    <w:jc w:val="center"/>
                    <w:rPr>
                      <w:szCs w:val="21"/>
                    </w:rPr>
                  </w:pPr>
                  <w:r>
                    <w:rPr>
                      <w:rFonts w:hint="eastAsia"/>
                      <w:szCs w:val="21"/>
                    </w:rPr>
                    <w:t>面涂配料罐</w:t>
                  </w:r>
                </w:p>
              </w:tc>
              <w:tc>
                <w:tcPr>
                  <w:tcW w:w="1701" w:type="dxa"/>
                  <w:gridSpan w:val="2"/>
                  <w:noWrap/>
                  <w:vAlign w:val="center"/>
                </w:tcPr>
                <w:p>
                  <w:pPr>
                    <w:jc w:val="center"/>
                    <w:rPr>
                      <w:szCs w:val="21"/>
                    </w:rPr>
                  </w:pPr>
                  <w:r>
                    <w:rPr>
                      <w:rFonts w:hint="eastAsia"/>
                      <w:szCs w:val="21"/>
                    </w:rPr>
                    <w:t>4m</w:t>
                  </w:r>
                  <w:r>
                    <w:rPr>
                      <w:rFonts w:hint="eastAsia"/>
                      <w:szCs w:val="21"/>
                      <w:vertAlign w:val="superscript"/>
                    </w:rPr>
                    <w:t>3</w:t>
                  </w:r>
                </w:p>
              </w:tc>
              <w:tc>
                <w:tcPr>
                  <w:tcW w:w="1218" w:type="dxa"/>
                  <w:noWrap/>
                  <w:vAlign w:val="center"/>
                </w:tcPr>
                <w:p>
                  <w:pPr>
                    <w:jc w:val="center"/>
                  </w:pPr>
                  <w:r>
                    <w:rPr>
                      <w:rFonts w:hint="eastAsia"/>
                    </w:rPr>
                    <w:t>1</w:t>
                  </w:r>
                </w:p>
              </w:tc>
              <w:tc>
                <w:tcPr>
                  <w:tcW w:w="3052" w:type="dxa"/>
                  <w:vAlign w:val="center"/>
                </w:tcPr>
                <w:p>
                  <w:pPr>
                    <w:jc w:val="center"/>
                    <w:rPr>
                      <w:rFonts w:hAnsi="宋体"/>
                      <w:color w:val="000000"/>
                      <w:szCs w:val="21"/>
                    </w:rPr>
                  </w:pPr>
                  <w:r>
                    <w:rPr>
                      <w:rFonts w:hint="eastAsia" w:hAnsi="宋体"/>
                      <w:color w:val="000000"/>
                      <w:szCs w:val="21"/>
                    </w:rPr>
                    <w:t>涂布纸面涂工序配料</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Align w:val="center"/>
                </w:tcPr>
                <w:p>
                  <w:pPr>
                    <w:jc w:val="center"/>
                    <w:rPr>
                      <w:color w:val="000000"/>
                      <w:szCs w:val="21"/>
                    </w:rPr>
                  </w:pPr>
                  <w:r>
                    <w:rPr>
                      <w:rFonts w:hint="eastAsia"/>
                      <w:color w:val="000000"/>
                      <w:szCs w:val="21"/>
                    </w:rPr>
                    <w:t>12</w:t>
                  </w:r>
                </w:p>
              </w:tc>
              <w:tc>
                <w:tcPr>
                  <w:tcW w:w="1506" w:type="dxa"/>
                  <w:gridSpan w:val="2"/>
                  <w:vAlign w:val="center"/>
                </w:tcPr>
                <w:p>
                  <w:pPr>
                    <w:jc w:val="center"/>
                    <w:rPr>
                      <w:szCs w:val="21"/>
                    </w:rPr>
                  </w:pPr>
                  <w:r>
                    <w:rPr>
                      <w:rFonts w:hint="eastAsia"/>
                      <w:szCs w:val="21"/>
                    </w:rPr>
                    <w:t>分散罐</w:t>
                  </w:r>
                </w:p>
              </w:tc>
              <w:tc>
                <w:tcPr>
                  <w:tcW w:w="1701" w:type="dxa"/>
                  <w:gridSpan w:val="2"/>
                  <w:noWrap/>
                  <w:vAlign w:val="center"/>
                </w:tcPr>
                <w:p>
                  <w:pPr>
                    <w:jc w:val="center"/>
                    <w:rPr>
                      <w:rFonts w:hAnsi="宋体"/>
                      <w:color w:val="000000"/>
                      <w:szCs w:val="21"/>
                    </w:rPr>
                  </w:pPr>
                  <w:r>
                    <w:rPr>
                      <w:rFonts w:hint="eastAsia"/>
                      <w:szCs w:val="21"/>
                    </w:rPr>
                    <w:t>4m</w:t>
                  </w:r>
                  <w:r>
                    <w:rPr>
                      <w:rFonts w:hint="eastAsia"/>
                      <w:szCs w:val="21"/>
                      <w:vertAlign w:val="superscript"/>
                    </w:rPr>
                    <w:t>3</w:t>
                  </w:r>
                </w:p>
              </w:tc>
              <w:tc>
                <w:tcPr>
                  <w:tcW w:w="1218" w:type="dxa"/>
                  <w:noWrap/>
                  <w:vAlign w:val="center"/>
                </w:tcPr>
                <w:p>
                  <w:pPr>
                    <w:jc w:val="center"/>
                  </w:pPr>
                  <w:r>
                    <w:rPr>
                      <w:rFonts w:hint="eastAsia"/>
                    </w:rPr>
                    <w:t>1</w:t>
                  </w:r>
                </w:p>
              </w:tc>
              <w:tc>
                <w:tcPr>
                  <w:tcW w:w="3052" w:type="dxa"/>
                  <w:vAlign w:val="center"/>
                </w:tcPr>
                <w:p>
                  <w:pPr>
                    <w:jc w:val="center"/>
                    <w:rPr>
                      <w:rFonts w:hAnsi="宋体"/>
                      <w:color w:val="000000"/>
                      <w:szCs w:val="21"/>
                    </w:rPr>
                  </w:pPr>
                  <w:r>
                    <w:rPr>
                      <w:rFonts w:hAnsi="宋体"/>
                      <w:color w:val="000000"/>
                      <w:szCs w:val="21"/>
                    </w:rPr>
                    <w:t>瓷土加水</w:t>
                  </w:r>
                  <w:r>
                    <w:rPr>
                      <w:rFonts w:hint="eastAsia" w:hAnsi="宋体"/>
                      <w:color w:val="000000"/>
                      <w:szCs w:val="21"/>
                    </w:rPr>
                    <w:t>搅拌</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Align w:val="center"/>
                </w:tcPr>
                <w:p>
                  <w:pPr>
                    <w:jc w:val="center"/>
                    <w:rPr>
                      <w:color w:val="000000"/>
                      <w:szCs w:val="21"/>
                    </w:rPr>
                  </w:pPr>
                  <w:r>
                    <w:rPr>
                      <w:rFonts w:hint="eastAsia"/>
                      <w:color w:val="000000"/>
                      <w:szCs w:val="21"/>
                    </w:rPr>
                    <w:t>13</w:t>
                  </w:r>
                </w:p>
              </w:tc>
              <w:tc>
                <w:tcPr>
                  <w:tcW w:w="1506" w:type="dxa"/>
                  <w:gridSpan w:val="2"/>
                  <w:vAlign w:val="center"/>
                </w:tcPr>
                <w:p>
                  <w:pPr>
                    <w:jc w:val="center"/>
                    <w:rPr>
                      <w:szCs w:val="21"/>
                    </w:rPr>
                  </w:pPr>
                  <w:r>
                    <w:rPr>
                      <w:rFonts w:hint="eastAsia"/>
                      <w:szCs w:val="21"/>
                    </w:rPr>
                    <w:t>分散罐</w:t>
                  </w:r>
                </w:p>
              </w:tc>
              <w:tc>
                <w:tcPr>
                  <w:tcW w:w="1701" w:type="dxa"/>
                  <w:gridSpan w:val="2"/>
                  <w:noWrap/>
                  <w:vAlign w:val="center"/>
                </w:tcPr>
                <w:p>
                  <w:pPr>
                    <w:jc w:val="center"/>
                    <w:rPr>
                      <w:szCs w:val="21"/>
                    </w:rPr>
                  </w:pPr>
                  <w:r>
                    <w:rPr>
                      <w:rFonts w:hint="eastAsia"/>
                      <w:szCs w:val="21"/>
                    </w:rPr>
                    <w:t>4m</w:t>
                  </w:r>
                  <w:r>
                    <w:rPr>
                      <w:rFonts w:hint="eastAsia"/>
                      <w:szCs w:val="21"/>
                      <w:vertAlign w:val="superscript"/>
                    </w:rPr>
                    <w:t>3</w:t>
                  </w:r>
                </w:p>
              </w:tc>
              <w:tc>
                <w:tcPr>
                  <w:tcW w:w="1218" w:type="dxa"/>
                  <w:noWrap/>
                  <w:vAlign w:val="center"/>
                </w:tcPr>
                <w:p>
                  <w:pPr>
                    <w:jc w:val="center"/>
                  </w:pPr>
                  <w:r>
                    <w:rPr>
                      <w:rFonts w:hint="eastAsia"/>
                    </w:rPr>
                    <w:t>1</w:t>
                  </w:r>
                </w:p>
              </w:tc>
              <w:tc>
                <w:tcPr>
                  <w:tcW w:w="3052" w:type="dxa"/>
                  <w:vAlign w:val="center"/>
                </w:tcPr>
                <w:p>
                  <w:pPr>
                    <w:jc w:val="center"/>
                    <w:rPr>
                      <w:rFonts w:hAnsi="宋体"/>
                      <w:color w:val="000000"/>
                      <w:szCs w:val="21"/>
                    </w:rPr>
                  </w:pPr>
                  <w:r>
                    <w:rPr>
                      <w:rFonts w:hint="eastAsia" w:hAnsi="宋体"/>
                      <w:color w:val="000000"/>
                      <w:szCs w:val="21"/>
                    </w:rPr>
                    <w:t>羟甲基纤维素钠加水搅拌溶解</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Align w:val="center"/>
                </w:tcPr>
                <w:p>
                  <w:pPr>
                    <w:jc w:val="center"/>
                    <w:rPr>
                      <w:color w:val="000000"/>
                      <w:szCs w:val="21"/>
                    </w:rPr>
                  </w:pPr>
                  <w:r>
                    <w:rPr>
                      <w:rFonts w:hint="eastAsia"/>
                      <w:color w:val="000000"/>
                      <w:szCs w:val="21"/>
                    </w:rPr>
                    <w:t>14</w:t>
                  </w:r>
                </w:p>
              </w:tc>
              <w:tc>
                <w:tcPr>
                  <w:tcW w:w="1506" w:type="dxa"/>
                  <w:gridSpan w:val="2"/>
                  <w:vAlign w:val="center"/>
                </w:tcPr>
                <w:p>
                  <w:pPr>
                    <w:jc w:val="center"/>
                    <w:rPr>
                      <w:color w:val="000000"/>
                      <w:szCs w:val="21"/>
                    </w:rPr>
                  </w:pPr>
                  <w:r>
                    <w:rPr>
                      <w:color w:val="000000"/>
                      <w:szCs w:val="21"/>
                    </w:rPr>
                    <w:t>螺旋上料机</w:t>
                  </w:r>
                </w:p>
              </w:tc>
              <w:tc>
                <w:tcPr>
                  <w:tcW w:w="1701" w:type="dxa"/>
                  <w:gridSpan w:val="2"/>
                  <w:noWrap/>
                  <w:vAlign w:val="center"/>
                </w:tcPr>
                <w:p>
                  <w:pPr>
                    <w:jc w:val="center"/>
                    <w:rPr>
                      <w:color w:val="000000"/>
                      <w:szCs w:val="21"/>
                    </w:rPr>
                  </w:pPr>
                  <w:r>
                    <w:rPr>
                      <w:rFonts w:hint="eastAsia"/>
                      <w:color w:val="000000"/>
                      <w:szCs w:val="21"/>
                    </w:rPr>
                    <w:t>/</w:t>
                  </w:r>
                </w:p>
              </w:tc>
              <w:tc>
                <w:tcPr>
                  <w:tcW w:w="1218" w:type="dxa"/>
                  <w:noWrap/>
                  <w:vAlign w:val="center"/>
                </w:tcPr>
                <w:p>
                  <w:pPr>
                    <w:jc w:val="center"/>
                    <w:rPr>
                      <w:color w:val="000000"/>
                      <w:szCs w:val="21"/>
                    </w:rPr>
                  </w:pPr>
                  <w:r>
                    <w:rPr>
                      <w:rFonts w:hint="eastAsia"/>
                      <w:color w:val="000000"/>
                      <w:szCs w:val="21"/>
                    </w:rPr>
                    <w:t>2</w:t>
                  </w:r>
                </w:p>
              </w:tc>
              <w:tc>
                <w:tcPr>
                  <w:tcW w:w="3052" w:type="dxa"/>
                  <w:vAlign w:val="center"/>
                </w:tcPr>
                <w:p>
                  <w:pPr>
                    <w:jc w:val="center"/>
                    <w:rPr>
                      <w:color w:val="000000"/>
                      <w:szCs w:val="21"/>
                    </w:rPr>
                  </w:pPr>
                  <w:r>
                    <w:rPr>
                      <w:rFonts w:hint="eastAsia"/>
                      <w:color w:val="000000"/>
                      <w:szCs w:val="21"/>
                    </w:rPr>
                    <w:t>上料</w:t>
                  </w:r>
                </w:p>
              </w:tc>
            </w:tr>
          </w:tbl>
          <w:p>
            <w:pPr>
              <w:spacing w:line="460" w:lineRule="exact"/>
              <w:ind w:firstLine="482" w:firstLineChars="200"/>
              <w:rPr>
                <w:b/>
                <w:color w:val="000000"/>
                <w:sz w:val="24"/>
              </w:rPr>
            </w:pPr>
            <w:r>
              <w:rPr>
                <w:rFonts w:hint="eastAsia"/>
                <w:b/>
                <w:color w:val="000000"/>
                <w:sz w:val="24"/>
              </w:rPr>
              <w:t>5</w:t>
            </w:r>
            <w:r>
              <w:rPr>
                <w:b/>
                <w:color w:val="000000"/>
                <w:sz w:val="24"/>
              </w:rPr>
              <w:t>、原辅材料及资源能源消耗量</w:t>
            </w:r>
          </w:p>
          <w:p>
            <w:pPr>
              <w:spacing w:line="460" w:lineRule="exact"/>
              <w:ind w:firstLine="480" w:firstLineChars="200"/>
              <w:jc w:val="left"/>
              <w:rPr>
                <w:color w:val="000000"/>
                <w:sz w:val="24"/>
              </w:rPr>
            </w:pPr>
            <w:r>
              <w:rPr>
                <w:color w:val="000000"/>
                <w:sz w:val="24"/>
              </w:rPr>
              <w:t>本项目建成后原辅材料消耗量见下表。</w:t>
            </w:r>
          </w:p>
          <w:p>
            <w:pPr>
              <w:spacing w:line="460" w:lineRule="exact"/>
              <w:ind w:firstLine="480" w:firstLineChars="200"/>
              <w:rPr>
                <w:rFonts w:eastAsia="黑体"/>
                <w:color w:val="000000"/>
                <w:sz w:val="24"/>
                <w:lang w:val="pt-BR"/>
              </w:rPr>
            </w:pPr>
            <w:r>
              <w:rPr>
                <w:rFonts w:eastAsia="黑体"/>
                <w:color w:val="000000"/>
                <w:sz w:val="24"/>
                <w:lang w:val="pt-BR"/>
              </w:rPr>
              <w:t>表</w:t>
            </w:r>
            <w:r>
              <w:rPr>
                <w:rFonts w:hint="eastAsia" w:eastAsia="黑体"/>
                <w:color w:val="000000"/>
                <w:sz w:val="24"/>
              </w:rPr>
              <w:t>10</w:t>
            </w:r>
            <w:r>
              <w:rPr>
                <w:rFonts w:eastAsia="黑体"/>
                <w:color w:val="000000"/>
                <w:sz w:val="24"/>
                <w:lang w:val="pt-BR"/>
              </w:rPr>
              <w:t xml:space="preserve">         本项目建成后原辅材料及资源能源消耗量</w:t>
            </w:r>
          </w:p>
          <w:tbl>
            <w:tblPr>
              <w:tblStyle w:val="3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841"/>
              <w:gridCol w:w="1700"/>
              <w:gridCol w:w="1986"/>
              <w:gridCol w:w="1700"/>
              <w:gridCol w:w="171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blHeader/>
                <w:jc w:val="center"/>
              </w:trPr>
              <w:tc>
                <w:tcPr>
                  <w:tcW w:w="529" w:type="pct"/>
                  <w:vAlign w:val="center"/>
                </w:tcPr>
                <w:p>
                  <w:pPr>
                    <w:jc w:val="center"/>
                    <w:rPr>
                      <w:rFonts w:cs="宋体"/>
                      <w:b/>
                      <w:color w:val="000000"/>
                      <w:szCs w:val="20"/>
                      <w:lang w:val="pt-BR"/>
                    </w:rPr>
                  </w:pPr>
                  <w:r>
                    <w:rPr>
                      <w:rFonts w:hint="eastAsia" w:cs="宋体"/>
                      <w:b/>
                      <w:color w:val="000000"/>
                      <w:szCs w:val="20"/>
                    </w:rPr>
                    <w:t>分类</w:t>
                  </w:r>
                </w:p>
              </w:tc>
              <w:tc>
                <w:tcPr>
                  <w:tcW w:w="1070" w:type="pct"/>
                  <w:vAlign w:val="center"/>
                </w:tcPr>
                <w:p>
                  <w:pPr>
                    <w:jc w:val="center"/>
                    <w:rPr>
                      <w:rFonts w:cs="宋体"/>
                      <w:b/>
                      <w:color w:val="000000"/>
                      <w:szCs w:val="20"/>
                      <w:lang w:val="pt-BR"/>
                    </w:rPr>
                  </w:pPr>
                  <w:r>
                    <w:rPr>
                      <w:rFonts w:hint="eastAsia" w:cs="宋体"/>
                      <w:b/>
                      <w:color w:val="000000"/>
                      <w:szCs w:val="20"/>
                    </w:rPr>
                    <w:t>原料名称</w:t>
                  </w:r>
                </w:p>
              </w:tc>
              <w:tc>
                <w:tcPr>
                  <w:tcW w:w="1250" w:type="pct"/>
                  <w:vAlign w:val="center"/>
                </w:tcPr>
                <w:p>
                  <w:pPr>
                    <w:jc w:val="center"/>
                    <w:rPr>
                      <w:rFonts w:cs="宋体"/>
                      <w:b/>
                      <w:color w:val="000000"/>
                      <w:szCs w:val="20"/>
                      <w:lang w:val="pt-BR"/>
                    </w:rPr>
                  </w:pPr>
                  <w:r>
                    <w:rPr>
                      <w:rFonts w:hint="eastAsia" w:cs="宋体"/>
                      <w:b/>
                      <w:color w:val="000000"/>
                      <w:szCs w:val="20"/>
                    </w:rPr>
                    <w:t>规格</w:t>
                  </w:r>
                </w:p>
              </w:tc>
              <w:tc>
                <w:tcPr>
                  <w:tcW w:w="1070" w:type="pct"/>
                  <w:vAlign w:val="center"/>
                </w:tcPr>
                <w:p>
                  <w:pPr>
                    <w:jc w:val="center"/>
                    <w:rPr>
                      <w:rFonts w:cs="宋体"/>
                      <w:b/>
                      <w:color w:val="000000"/>
                      <w:szCs w:val="20"/>
                      <w:lang w:val="pt-BR"/>
                    </w:rPr>
                  </w:pPr>
                  <w:r>
                    <w:rPr>
                      <w:rFonts w:hint="eastAsia" w:cs="宋体"/>
                      <w:b/>
                      <w:color w:val="000000"/>
                      <w:szCs w:val="20"/>
                    </w:rPr>
                    <w:t>用量（t/a）</w:t>
                  </w:r>
                </w:p>
              </w:tc>
              <w:tc>
                <w:tcPr>
                  <w:tcW w:w="1081" w:type="pct"/>
                  <w:vAlign w:val="center"/>
                </w:tcPr>
                <w:p>
                  <w:pPr>
                    <w:jc w:val="center"/>
                    <w:rPr>
                      <w:rFonts w:cs="宋体"/>
                      <w:b/>
                      <w:color w:val="000000"/>
                      <w:szCs w:val="20"/>
                      <w:lang w:val="pt-BR"/>
                    </w:rPr>
                  </w:pPr>
                  <w:r>
                    <w:rPr>
                      <w:rFonts w:hint="eastAsia" w:cs="宋体"/>
                      <w:b/>
                      <w:color w:val="000000"/>
                      <w:szCs w:val="20"/>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29" w:type="pct"/>
                  <w:vMerge w:val="restart"/>
                  <w:vAlign w:val="center"/>
                </w:tcPr>
                <w:p>
                  <w:pPr>
                    <w:jc w:val="center"/>
                    <w:rPr>
                      <w:color w:val="000000"/>
                      <w:lang w:val="pt-BR"/>
                    </w:rPr>
                  </w:pPr>
                  <w:r>
                    <w:rPr>
                      <w:rFonts w:hint="eastAsia"/>
                      <w:color w:val="000000"/>
                      <w:lang w:val="pt-BR"/>
                    </w:rPr>
                    <w:t>原辅料</w:t>
                  </w:r>
                </w:p>
              </w:tc>
              <w:tc>
                <w:tcPr>
                  <w:tcW w:w="1070" w:type="pct"/>
                  <w:vAlign w:val="center"/>
                </w:tcPr>
                <w:p>
                  <w:pPr>
                    <w:tabs>
                      <w:tab w:val="left" w:pos="484"/>
                    </w:tabs>
                    <w:jc w:val="center"/>
                    <w:rPr>
                      <w:szCs w:val="21"/>
                    </w:rPr>
                  </w:pPr>
                  <w:r>
                    <w:rPr>
                      <w:rFonts w:hint="eastAsia"/>
                      <w:szCs w:val="21"/>
                    </w:rPr>
                    <w:t>原纸</w:t>
                  </w:r>
                </w:p>
              </w:tc>
              <w:tc>
                <w:tcPr>
                  <w:tcW w:w="1250" w:type="pct"/>
                  <w:vAlign w:val="center"/>
                </w:tcPr>
                <w:p>
                  <w:pPr>
                    <w:widowControl/>
                    <w:jc w:val="center"/>
                  </w:pPr>
                  <w:r>
                    <w:t>卷状</w:t>
                  </w:r>
                </w:p>
              </w:tc>
              <w:tc>
                <w:tcPr>
                  <w:tcW w:w="1070" w:type="pct"/>
                  <w:vAlign w:val="center"/>
                </w:tcPr>
                <w:p>
                  <w:pPr>
                    <w:jc w:val="center"/>
                    <w:rPr>
                      <w:szCs w:val="21"/>
                    </w:rPr>
                  </w:pPr>
                  <w:r>
                    <w:rPr>
                      <w:rFonts w:hint="eastAsia"/>
                      <w:szCs w:val="21"/>
                    </w:rPr>
                    <w:t>46000</w:t>
                  </w:r>
                </w:p>
              </w:tc>
              <w:tc>
                <w:tcPr>
                  <w:tcW w:w="1081" w:type="pct"/>
                  <w:vAlign w:val="center"/>
                </w:tcPr>
                <w:p>
                  <w:pPr>
                    <w:jc w:val="center"/>
                    <w:rPr>
                      <w:szCs w:val="21"/>
                    </w:rPr>
                  </w:pPr>
                  <w:r>
                    <w:rPr>
                      <w:rFonts w:hint="eastAsia"/>
                      <w:szCs w:val="21"/>
                    </w:rPr>
                    <w:t>自产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29" w:type="pct"/>
                  <w:vMerge w:val="continue"/>
                  <w:vAlign w:val="center"/>
                </w:tcPr>
                <w:p>
                  <w:pPr>
                    <w:jc w:val="center"/>
                    <w:rPr>
                      <w:color w:val="000000"/>
                      <w:lang w:val="pt-BR"/>
                    </w:rPr>
                  </w:pPr>
                </w:p>
              </w:tc>
              <w:tc>
                <w:tcPr>
                  <w:tcW w:w="1070" w:type="pct"/>
                  <w:vAlign w:val="center"/>
                </w:tcPr>
                <w:p>
                  <w:pPr>
                    <w:jc w:val="center"/>
                    <w:rPr>
                      <w:szCs w:val="21"/>
                    </w:rPr>
                  </w:pPr>
                  <w:r>
                    <w:rPr>
                      <w:rFonts w:hint="eastAsia"/>
                      <w:szCs w:val="21"/>
                    </w:rPr>
                    <w:t>瓷土</w:t>
                  </w:r>
                </w:p>
              </w:tc>
              <w:tc>
                <w:tcPr>
                  <w:tcW w:w="1250" w:type="pct"/>
                  <w:vAlign w:val="center"/>
                </w:tcPr>
                <w:p>
                  <w:pPr>
                    <w:widowControl/>
                    <w:jc w:val="center"/>
                  </w:pPr>
                  <w:r>
                    <w:t>袋装</w:t>
                  </w:r>
                  <w:r>
                    <w:rPr>
                      <w:rFonts w:hint="eastAsia"/>
                    </w:rPr>
                    <w:t>，</w:t>
                  </w:r>
                  <w:r>
                    <w:t>粉状</w:t>
                  </w:r>
                </w:p>
              </w:tc>
              <w:tc>
                <w:tcPr>
                  <w:tcW w:w="1070" w:type="pct"/>
                  <w:vAlign w:val="center"/>
                </w:tcPr>
                <w:p>
                  <w:pPr>
                    <w:jc w:val="center"/>
                    <w:rPr>
                      <w:szCs w:val="21"/>
                    </w:rPr>
                  </w:pPr>
                  <w:r>
                    <w:rPr>
                      <w:rFonts w:hint="eastAsia"/>
                      <w:szCs w:val="21"/>
                    </w:rPr>
                    <w:t>600</w:t>
                  </w:r>
                </w:p>
              </w:tc>
              <w:tc>
                <w:tcPr>
                  <w:tcW w:w="1081" w:type="pct"/>
                  <w:vAlign w:val="center"/>
                </w:tcPr>
                <w:p>
                  <w:pPr>
                    <w:jc w:val="center"/>
                    <w:rPr>
                      <w:szCs w:val="21"/>
                    </w:rPr>
                  </w:pPr>
                  <w:r>
                    <w:rPr>
                      <w:szCs w:val="21"/>
                    </w:rPr>
                    <w:t>外购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29" w:type="pct"/>
                  <w:vMerge w:val="continue"/>
                  <w:vAlign w:val="center"/>
                </w:tcPr>
                <w:p>
                  <w:pPr>
                    <w:jc w:val="center"/>
                    <w:rPr>
                      <w:color w:val="000000"/>
                      <w:lang w:val="pt-BR"/>
                    </w:rPr>
                  </w:pPr>
                </w:p>
              </w:tc>
              <w:tc>
                <w:tcPr>
                  <w:tcW w:w="1070" w:type="pct"/>
                  <w:vAlign w:val="center"/>
                </w:tcPr>
                <w:p>
                  <w:pPr>
                    <w:jc w:val="center"/>
                    <w:rPr>
                      <w:szCs w:val="21"/>
                    </w:rPr>
                  </w:pPr>
                  <w:r>
                    <w:rPr>
                      <w:rFonts w:hint="eastAsia"/>
                      <w:szCs w:val="21"/>
                    </w:rPr>
                    <w:t>羟甲基纤维素钠</w:t>
                  </w:r>
                </w:p>
              </w:tc>
              <w:tc>
                <w:tcPr>
                  <w:tcW w:w="1250" w:type="pct"/>
                  <w:vAlign w:val="center"/>
                </w:tcPr>
                <w:p>
                  <w:pPr>
                    <w:widowControl/>
                    <w:jc w:val="center"/>
                  </w:pPr>
                  <w:r>
                    <w:rPr>
                      <w:rFonts w:hint="eastAsia"/>
                    </w:rPr>
                    <w:t>袋</w:t>
                  </w:r>
                  <w:r>
                    <w:t>装</w:t>
                  </w:r>
                  <w:r>
                    <w:rPr>
                      <w:rFonts w:hint="eastAsia"/>
                    </w:rPr>
                    <w:t>，</w:t>
                  </w:r>
                  <w:r>
                    <w:t>块体</w:t>
                  </w:r>
                </w:p>
              </w:tc>
              <w:tc>
                <w:tcPr>
                  <w:tcW w:w="1070" w:type="pct"/>
                  <w:vAlign w:val="center"/>
                </w:tcPr>
                <w:p>
                  <w:pPr>
                    <w:jc w:val="center"/>
                    <w:rPr>
                      <w:szCs w:val="21"/>
                    </w:rPr>
                  </w:pPr>
                  <w:r>
                    <w:rPr>
                      <w:rFonts w:hint="eastAsia"/>
                      <w:szCs w:val="21"/>
                    </w:rPr>
                    <w:t>1000</w:t>
                  </w:r>
                </w:p>
              </w:tc>
              <w:tc>
                <w:tcPr>
                  <w:tcW w:w="1081" w:type="pct"/>
                  <w:vAlign w:val="center"/>
                </w:tcPr>
                <w:p>
                  <w:pPr>
                    <w:jc w:val="center"/>
                    <w:rPr>
                      <w:szCs w:val="21"/>
                    </w:rPr>
                  </w:pPr>
                  <w:r>
                    <w:rPr>
                      <w:szCs w:val="21"/>
                    </w:rPr>
                    <w:t>外购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29" w:type="pct"/>
                  <w:vMerge w:val="continue"/>
                  <w:vAlign w:val="center"/>
                </w:tcPr>
                <w:p>
                  <w:pPr>
                    <w:jc w:val="center"/>
                    <w:rPr>
                      <w:color w:val="000000"/>
                      <w:lang w:val="pt-BR"/>
                    </w:rPr>
                  </w:pPr>
                </w:p>
              </w:tc>
              <w:tc>
                <w:tcPr>
                  <w:tcW w:w="1070" w:type="pct"/>
                  <w:vAlign w:val="center"/>
                </w:tcPr>
                <w:p>
                  <w:pPr>
                    <w:jc w:val="center"/>
                    <w:rPr>
                      <w:szCs w:val="21"/>
                    </w:rPr>
                  </w:pPr>
                  <w:r>
                    <w:rPr>
                      <w:rFonts w:hint="eastAsia"/>
                      <w:szCs w:val="21"/>
                    </w:rPr>
                    <w:t>玉米淀粉</w:t>
                  </w:r>
                </w:p>
              </w:tc>
              <w:tc>
                <w:tcPr>
                  <w:tcW w:w="1250" w:type="pct"/>
                  <w:vAlign w:val="center"/>
                </w:tcPr>
                <w:p>
                  <w:pPr>
                    <w:widowControl/>
                    <w:jc w:val="center"/>
                    <w:rPr>
                      <w:kern w:val="0"/>
                      <w:szCs w:val="21"/>
                    </w:rPr>
                  </w:pPr>
                  <w:r>
                    <w:rPr>
                      <w:rFonts w:hint="eastAsia"/>
                    </w:rPr>
                    <w:t>袋装，粉</w:t>
                  </w:r>
                  <w:r>
                    <w:t>状</w:t>
                  </w:r>
                </w:p>
              </w:tc>
              <w:tc>
                <w:tcPr>
                  <w:tcW w:w="1070" w:type="pct"/>
                  <w:vAlign w:val="center"/>
                </w:tcPr>
                <w:p>
                  <w:pPr>
                    <w:jc w:val="center"/>
                    <w:rPr>
                      <w:szCs w:val="21"/>
                    </w:rPr>
                  </w:pPr>
                  <w:r>
                    <w:rPr>
                      <w:rFonts w:hint="eastAsia"/>
                      <w:szCs w:val="21"/>
                    </w:rPr>
                    <w:t>2400</w:t>
                  </w:r>
                </w:p>
              </w:tc>
              <w:tc>
                <w:tcPr>
                  <w:tcW w:w="1081" w:type="pct"/>
                  <w:vAlign w:val="center"/>
                </w:tcPr>
                <w:p>
                  <w:pPr>
                    <w:jc w:val="center"/>
                    <w:rPr>
                      <w:szCs w:val="21"/>
                    </w:rPr>
                  </w:pPr>
                  <w:r>
                    <w:rPr>
                      <w:szCs w:val="21"/>
                    </w:rPr>
                    <w:t>外购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29" w:type="pct"/>
                  <w:vMerge w:val="continue"/>
                  <w:vAlign w:val="center"/>
                </w:tcPr>
                <w:p>
                  <w:pPr>
                    <w:jc w:val="center"/>
                    <w:rPr>
                      <w:color w:val="000000"/>
                      <w:lang w:val="pt-BR"/>
                    </w:rPr>
                  </w:pPr>
                </w:p>
              </w:tc>
              <w:tc>
                <w:tcPr>
                  <w:tcW w:w="1070" w:type="pct"/>
                  <w:vAlign w:val="center"/>
                </w:tcPr>
                <w:p>
                  <w:pPr>
                    <w:jc w:val="center"/>
                    <w:rPr>
                      <w:szCs w:val="21"/>
                    </w:rPr>
                  </w:pPr>
                  <w:r>
                    <w:rPr>
                      <w:rFonts w:hint="eastAsia"/>
                      <w:szCs w:val="21"/>
                    </w:rPr>
                    <w:t>钙粉</w:t>
                  </w:r>
                </w:p>
              </w:tc>
              <w:tc>
                <w:tcPr>
                  <w:tcW w:w="1250" w:type="pct"/>
                  <w:vAlign w:val="center"/>
                </w:tcPr>
                <w:p>
                  <w:pPr>
                    <w:widowControl/>
                    <w:jc w:val="center"/>
                  </w:pPr>
                  <w:r>
                    <w:t>袋装</w:t>
                  </w:r>
                  <w:r>
                    <w:rPr>
                      <w:rFonts w:hint="eastAsia"/>
                    </w:rPr>
                    <w:t>，</w:t>
                  </w:r>
                  <w:r>
                    <w:t>粉状</w:t>
                  </w:r>
                </w:p>
              </w:tc>
              <w:tc>
                <w:tcPr>
                  <w:tcW w:w="1070" w:type="pct"/>
                  <w:vAlign w:val="center"/>
                </w:tcPr>
                <w:p>
                  <w:pPr>
                    <w:jc w:val="center"/>
                    <w:rPr>
                      <w:szCs w:val="21"/>
                    </w:rPr>
                  </w:pPr>
                  <w:r>
                    <w:rPr>
                      <w:rFonts w:hint="eastAsia"/>
                      <w:szCs w:val="21"/>
                    </w:rPr>
                    <w:t>4000</w:t>
                  </w:r>
                </w:p>
              </w:tc>
              <w:tc>
                <w:tcPr>
                  <w:tcW w:w="1081" w:type="pct"/>
                  <w:vAlign w:val="center"/>
                </w:tcPr>
                <w:p>
                  <w:pPr>
                    <w:jc w:val="center"/>
                    <w:rPr>
                      <w:szCs w:val="21"/>
                    </w:rPr>
                  </w:pPr>
                  <w:r>
                    <w:rPr>
                      <w:szCs w:val="21"/>
                    </w:rPr>
                    <w:t>外购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29" w:type="pct"/>
                  <w:vMerge w:val="continue"/>
                  <w:vAlign w:val="center"/>
                </w:tcPr>
                <w:p>
                  <w:pPr>
                    <w:jc w:val="center"/>
                    <w:rPr>
                      <w:color w:val="000000"/>
                      <w:lang w:val="pt-BR"/>
                    </w:rPr>
                  </w:pPr>
                </w:p>
              </w:tc>
              <w:tc>
                <w:tcPr>
                  <w:tcW w:w="1070" w:type="pct"/>
                  <w:vAlign w:val="center"/>
                </w:tcPr>
                <w:p>
                  <w:pPr>
                    <w:jc w:val="center"/>
                    <w:rPr>
                      <w:szCs w:val="21"/>
                    </w:rPr>
                  </w:pPr>
                  <w:r>
                    <w:rPr>
                      <w:rFonts w:hint="eastAsia"/>
                      <w:szCs w:val="21"/>
                    </w:rPr>
                    <w:t>分散剂</w:t>
                  </w:r>
                </w:p>
              </w:tc>
              <w:tc>
                <w:tcPr>
                  <w:tcW w:w="1250" w:type="pct"/>
                  <w:vAlign w:val="center"/>
                </w:tcPr>
                <w:p>
                  <w:pPr>
                    <w:widowControl/>
                    <w:jc w:val="center"/>
                  </w:pPr>
                  <w:r>
                    <w:t>袋装</w:t>
                  </w:r>
                  <w:r>
                    <w:rPr>
                      <w:rFonts w:hint="eastAsia"/>
                    </w:rPr>
                    <w:t>，</w:t>
                  </w:r>
                  <w:r>
                    <w:t>颗粒状</w:t>
                  </w:r>
                </w:p>
              </w:tc>
              <w:tc>
                <w:tcPr>
                  <w:tcW w:w="1070" w:type="pct"/>
                  <w:vAlign w:val="center"/>
                </w:tcPr>
                <w:p>
                  <w:pPr>
                    <w:jc w:val="center"/>
                    <w:rPr>
                      <w:szCs w:val="21"/>
                    </w:rPr>
                  </w:pPr>
                  <w:r>
                    <w:rPr>
                      <w:rFonts w:hint="eastAsia"/>
                      <w:szCs w:val="21"/>
                    </w:rPr>
                    <w:t>200</w:t>
                  </w:r>
                </w:p>
              </w:tc>
              <w:tc>
                <w:tcPr>
                  <w:tcW w:w="1081" w:type="pct"/>
                  <w:vAlign w:val="center"/>
                </w:tcPr>
                <w:p>
                  <w:pPr>
                    <w:jc w:val="center"/>
                    <w:rPr>
                      <w:szCs w:val="21"/>
                    </w:rPr>
                  </w:pPr>
                  <w:r>
                    <w:rPr>
                      <w:szCs w:val="21"/>
                    </w:rPr>
                    <w:t>外购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29" w:type="pct"/>
                  <w:vMerge w:val="continue"/>
                  <w:vAlign w:val="center"/>
                </w:tcPr>
                <w:p>
                  <w:pPr>
                    <w:jc w:val="center"/>
                    <w:rPr>
                      <w:color w:val="000000"/>
                      <w:lang w:val="pt-BR"/>
                    </w:rPr>
                  </w:pPr>
                </w:p>
              </w:tc>
              <w:tc>
                <w:tcPr>
                  <w:tcW w:w="1070" w:type="pct"/>
                  <w:vAlign w:val="center"/>
                </w:tcPr>
                <w:p>
                  <w:pPr>
                    <w:jc w:val="center"/>
                    <w:rPr>
                      <w:szCs w:val="21"/>
                    </w:rPr>
                  </w:pPr>
                  <w:r>
                    <w:rPr>
                      <w:rFonts w:hint="eastAsia"/>
                      <w:szCs w:val="21"/>
                    </w:rPr>
                    <w:t>回用白水</w:t>
                  </w:r>
                </w:p>
              </w:tc>
              <w:tc>
                <w:tcPr>
                  <w:tcW w:w="1250" w:type="pct"/>
                  <w:vAlign w:val="center"/>
                </w:tcPr>
                <w:p>
                  <w:pPr>
                    <w:widowControl/>
                    <w:jc w:val="center"/>
                  </w:pPr>
                  <w:r>
                    <w:rPr>
                      <w:rFonts w:hint="eastAsia"/>
                    </w:rPr>
                    <w:t>/</w:t>
                  </w:r>
                </w:p>
              </w:tc>
              <w:tc>
                <w:tcPr>
                  <w:tcW w:w="1070" w:type="pct"/>
                  <w:vAlign w:val="center"/>
                </w:tcPr>
                <w:p>
                  <w:pPr>
                    <w:jc w:val="center"/>
                    <w:rPr>
                      <w:szCs w:val="21"/>
                    </w:rPr>
                  </w:pPr>
                  <w:r>
                    <w:rPr>
                      <w:rFonts w:hint="eastAsia"/>
                      <w:szCs w:val="21"/>
                    </w:rPr>
                    <w:t>1800</w:t>
                  </w:r>
                </w:p>
              </w:tc>
              <w:tc>
                <w:tcPr>
                  <w:tcW w:w="1081" w:type="pct"/>
                  <w:vAlign w:val="center"/>
                </w:tcPr>
                <w:p>
                  <w:pPr>
                    <w:jc w:val="center"/>
                    <w:rPr>
                      <w:szCs w:val="21"/>
                    </w:rPr>
                  </w:pPr>
                  <w:r>
                    <w:rPr>
                      <w:szCs w:val="21"/>
                    </w:rPr>
                    <w:t>自产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29" w:type="pct"/>
                  <w:vMerge w:val="restart"/>
                  <w:vAlign w:val="center"/>
                </w:tcPr>
                <w:p>
                  <w:pPr>
                    <w:jc w:val="center"/>
                    <w:rPr>
                      <w:color w:val="000000"/>
                      <w:lang w:val="pt-BR"/>
                    </w:rPr>
                  </w:pPr>
                  <w:r>
                    <w:rPr>
                      <w:rFonts w:hint="eastAsia"/>
                      <w:color w:val="000000"/>
                      <w:lang w:val="pt-BR"/>
                    </w:rPr>
                    <w:t>能源</w:t>
                  </w:r>
                </w:p>
              </w:tc>
              <w:tc>
                <w:tcPr>
                  <w:tcW w:w="1070" w:type="pct"/>
                  <w:vAlign w:val="center"/>
                </w:tcPr>
                <w:p>
                  <w:pPr>
                    <w:jc w:val="center"/>
                    <w:rPr>
                      <w:szCs w:val="21"/>
                    </w:rPr>
                  </w:pPr>
                  <w:r>
                    <w:rPr>
                      <w:rFonts w:hint="eastAsia"/>
                      <w:szCs w:val="21"/>
                    </w:rPr>
                    <w:t>水</w:t>
                  </w:r>
                </w:p>
              </w:tc>
              <w:tc>
                <w:tcPr>
                  <w:tcW w:w="2320" w:type="pct"/>
                  <w:gridSpan w:val="2"/>
                  <w:vAlign w:val="center"/>
                </w:tcPr>
                <w:p>
                  <w:pPr>
                    <w:jc w:val="center"/>
                    <w:rPr>
                      <w:szCs w:val="21"/>
                    </w:rPr>
                  </w:pPr>
                  <w:r>
                    <w:rPr>
                      <w:rFonts w:hint="eastAsia"/>
                      <w:szCs w:val="21"/>
                    </w:rPr>
                    <w:t>400</w:t>
                  </w:r>
                  <w:r>
                    <w:rPr>
                      <w:szCs w:val="21"/>
                    </w:rPr>
                    <w:t>t/a</w:t>
                  </w:r>
                </w:p>
              </w:tc>
              <w:tc>
                <w:tcPr>
                  <w:tcW w:w="1081" w:type="pct"/>
                  <w:vAlign w:val="center"/>
                </w:tcPr>
                <w:p>
                  <w:pPr>
                    <w:jc w:val="center"/>
                    <w:rPr>
                      <w:szCs w:val="21"/>
                    </w:rPr>
                  </w:pPr>
                  <w:r>
                    <w:rPr>
                      <w:szCs w:val="21"/>
                    </w:rPr>
                    <w:t>自备水井</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29" w:type="pct"/>
                  <w:vMerge w:val="continue"/>
                  <w:vAlign w:val="center"/>
                </w:tcPr>
                <w:p>
                  <w:pPr>
                    <w:jc w:val="center"/>
                    <w:rPr>
                      <w:color w:val="000000"/>
                      <w:lang w:val="pt-BR"/>
                    </w:rPr>
                  </w:pPr>
                </w:p>
              </w:tc>
              <w:tc>
                <w:tcPr>
                  <w:tcW w:w="1070" w:type="pct"/>
                  <w:vAlign w:val="center"/>
                </w:tcPr>
                <w:p>
                  <w:pPr>
                    <w:jc w:val="center"/>
                    <w:rPr>
                      <w:szCs w:val="21"/>
                    </w:rPr>
                  </w:pPr>
                  <w:r>
                    <w:rPr>
                      <w:rFonts w:hint="eastAsia"/>
                      <w:szCs w:val="21"/>
                    </w:rPr>
                    <w:t>电</w:t>
                  </w:r>
                </w:p>
              </w:tc>
              <w:tc>
                <w:tcPr>
                  <w:tcW w:w="2320" w:type="pct"/>
                  <w:gridSpan w:val="2"/>
                  <w:vAlign w:val="center"/>
                </w:tcPr>
                <w:p>
                  <w:pPr>
                    <w:jc w:val="center"/>
                    <w:rPr>
                      <w:szCs w:val="21"/>
                    </w:rPr>
                  </w:pPr>
                  <w:r>
                    <w:rPr>
                      <w:rFonts w:hint="eastAsia"/>
                      <w:szCs w:val="21"/>
                    </w:rPr>
                    <w:t>161</w:t>
                  </w:r>
                  <w:r>
                    <w:rPr>
                      <w:szCs w:val="21"/>
                    </w:rPr>
                    <w:t>万kW</w:t>
                  </w:r>
                  <w:r>
                    <w:rPr>
                      <w:rFonts w:hint="eastAsia"/>
                      <w:szCs w:val="21"/>
                    </w:rPr>
                    <w:t>·h</w:t>
                  </w:r>
                </w:p>
              </w:tc>
              <w:tc>
                <w:tcPr>
                  <w:tcW w:w="1081" w:type="pct"/>
                  <w:vAlign w:val="center"/>
                </w:tcPr>
                <w:p>
                  <w:pPr>
                    <w:jc w:val="center"/>
                    <w:rPr>
                      <w:szCs w:val="21"/>
                    </w:rPr>
                  </w:pPr>
                  <w:r>
                    <w:rPr>
                      <w:szCs w:val="21"/>
                    </w:rPr>
                    <w:t>翟坡镇统一供电</w:t>
                  </w:r>
                </w:p>
              </w:tc>
            </w:tr>
          </w:tbl>
          <w:p>
            <w:pPr>
              <w:spacing w:line="460" w:lineRule="exact"/>
              <w:ind w:firstLine="480" w:firstLineChars="200"/>
              <w:jc w:val="left"/>
              <w:rPr>
                <w:rFonts w:eastAsia="黑体"/>
                <w:color w:val="000000"/>
                <w:sz w:val="24"/>
                <w:lang w:val="pt-BR"/>
              </w:rPr>
            </w:pPr>
            <w:r>
              <w:rPr>
                <w:color w:val="000000"/>
                <w:sz w:val="24"/>
              </w:rPr>
              <w:t>本项目原辅材料</w:t>
            </w:r>
            <w:r>
              <w:rPr>
                <w:rFonts w:hint="eastAsia"/>
                <w:color w:val="000000"/>
                <w:sz w:val="24"/>
              </w:rPr>
              <w:t>理化性质见下表</w:t>
            </w:r>
            <w:r>
              <w:rPr>
                <w:color w:val="000000"/>
                <w:sz w:val="24"/>
              </w:rPr>
              <w:t>。</w:t>
            </w:r>
          </w:p>
          <w:p>
            <w:pPr>
              <w:spacing w:line="460" w:lineRule="exact"/>
              <w:ind w:firstLine="480" w:firstLineChars="200"/>
              <w:rPr>
                <w:rFonts w:eastAsia="黑体"/>
                <w:color w:val="000000"/>
                <w:sz w:val="24"/>
                <w:lang w:val="pt-BR"/>
              </w:rPr>
            </w:pPr>
            <w:r>
              <w:rPr>
                <w:rFonts w:eastAsia="黑体"/>
                <w:color w:val="000000"/>
                <w:sz w:val="24"/>
                <w:lang w:val="pt-BR"/>
              </w:rPr>
              <w:t>表</w:t>
            </w:r>
            <w:r>
              <w:rPr>
                <w:rFonts w:hint="eastAsia" w:eastAsia="黑体"/>
                <w:color w:val="000000"/>
                <w:sz w:val="24"/>
              </w:rPr>
              <w:t>11</w:t>
            </w:r>
            <w:r>
              <w:rPr>
                <w:rFonts w:eastAsia="黑体"/>
                <w:color w:val="000000"/>
                <w:sz w:val="24"/>
                <w:lang w:val="pt-BR"/>
              </w:rPr>
              <w:t xml:space="preserve">         </w:t>
            </w:r>
            <w:r>
              <w:rPr>
                <w:rFonts w:hint="eastAsia" w:eastAsia="黑体"/>
                <w:color w:val="000000"/>
                <w:sz w:val="24"/>
              </w:rPr>
              <w:t xml:space="preserve">         </w:t>
            </w:r>
            <w:r>
              <w:rPr>
                <w:rFonts w:eastAsia="黑体"/>
                <w:color w:val="000000"/>
                <w:sz w:val="24"/>
                <w:lang w:val="pt-BR"/>
              </w:rPr>
              <w:t>原辅材料</w:t>
            </w:r>
            <w:r>
              <w:rPr>
                <w:rFonts w:hint="eastAsia" w:eastAsia="黑体"/>
                <w:color w:val="000000"/>
                <w:sz w:val="24"/>
                <w:lang w:val="pt-BR"/>
              </w:rPr>
              <w:t>理化性质</w:t>
            </w:r>
          </w:p>
          <w:tbl>
            <w:tblPr>
              <w:tblStyle w:val="31"/>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709"/>
              <w:gridCol w:w="1700"/>
              <w:gridCol w:w="553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blHeader/>
              </w:trPr>
              <w:tc>
                <w:tcPr>
                  <w:tcW w:w="446" w:type="pct"/>
                  <w:vAlign w:val="center"/>
                </w:tcPr>
                <w:p>
                  <w:pPr>
                    <w:jc w:val="center"/>
                    <w:rPr>
                      <w:rFonts w:cs="宋体"/>
                      <w:b/>
                      <w:color w:val="000000"/>
                      <w:szCs w:val="20"/>
                      <w:lang w:val="pt-BR"/>
                    </w:rPr>
                  </w:pPr>
                  <w:r>
                    <w:rPr>
                      <w:rFonts w:hint="eastAsia" w:cs="宋体"/>
                      <w:b/>
                      <w:color w:val="000000"/>
                      <w:szCs w:val="20"/>
                    </w:rPr>
                    <w:t>序号</w:t>
                  </w:r>
                </w:p>
              </w:tc>
              <w:tc>
                <w:tcPr>
                  <w:tcW w:w="1070" w:type="pct"/>
                  <w:vAlign w:val="center"/>
                </w:tcPr>
                <w:p>
                  <w:pPr>
                    <w:jc w:val="center"/>
                    <w:rPr>
                      <w:rFonts w:cs="宋体"/>
                      <w:b/>
                      <w:color w:val="000000"/>
                      <w:szCs w:val="20"/>
                      <w:lang w:val="pt-BR"/>
                    </w:rPr>
                  </w:pPr>
                  <w:r>
                    <w:rPr>
                      <w:rFonts w:hint="eastAsia" w:cs="宋体"/>
                      <w:b/>
                      <w:color w:val="000000"/>
                      <w:szCs w:val="20"/>
                    </w:rPr>
                    <w:t>原料名称</w:t>
                  </w:r>
                </w:p>
              </w:tc>
              <w:tc>
                <w:tcPr>
                  <w:tcW w:w="3483" w:type="pct"/>
                  <w:vAlign w:val="center"/>
                </w:tcPr>
                <w:p>
                  <w:pPr>
                    <w:jc w:val="center"/>
                    <w:rPr>
                      <w:rFonts w:cs="宋体"/>
                      <w:b/>
                      <w:color w:val="000000"/>
                      <w:szCs w:val="20"/>
                      <w:lang w:val="pt-BR"/>
                    </w:rPr>
                  </w:pPr>
                  <w:r>
                    <w:rPr>
                      <w:rFonts w:hint="eastAsia" w:cs="宋体"/>
                      <w:b/>
                      <w:color w:val="000000"/>
                      <w:szCs w:val="20"/>
                    </w:rPr>
                    <w:t>理化性质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446" w:type="pct"/>
                  <w:vAlign w:val="center"/>
                </w:tcPr>
                <w:p>
                  <w:pPr>
                    <w:jc w:val="center"/>
                    <w:rPr>
                      <w:color w:val="000000"/>
                      <w:lang w:val="pt-BR"/>
                    </w:rPr>
                  </w:pPr>
                  <w:r>
                    <w:rPr>
                      <w:rFonts w:hint="eastAsia"/>
                      <w:color w:val="000000"/>
                      <w:lang w:val="pt-BR"/>
                    </w:rPr>
                    <w:t>1</w:t>
                  </w:r>
                </w:p>
              </w:tc>
              <w:tc>
                <w:tcPr>
                  <w:tcW w:w="1070" w:type="pct"/>
                  <w:vAlign w:val="center"/>
                </w:tcPr>
                <w:p>
                  <w:pPr>
                    <w:jc w:val="center"/>
                    <w:rPr>
                      <w:color w:val="000000"/>
                      <w:lang w:val="pt-BR"/>
                    </w:rPr>
                  </w:pPr>
                  <w:r>
                    <w:rPr>
                      <w:rFonts w:hint="eastAsia"/>
                      <w:color w:val="000000"/>
                      <w:lang w:val="pt-BR"/>
                    </w:rPr>
                    <w:t>瓷土</w:t>
                  </w:r>
                </w:p>
              </w:tc>
              <w:tc>
                <w:tcPr>
                  <w:tcW w:w="3483" w:type="pct"/>
                  <w:vAlign w:val="center"/>
                </w:tcPr>
                <w:p>
                  <w:pPr>
                    <w:contextualSpacing/>
                    <w:textAlignment w:val="baseline"/>
                    <w:rPr>
                      <w:color w:val="000000"/>
                      <w:kern w:val="0"/>
                      <w:szCs w:val="21"/>
                    </w:rPr>
                  </w:pPr>
                  <w:r>
                    <w:rPr>
                      <w:szCs w:val="21"/>
                    </w:rPr>
                    <w:t>指一种干燥的天然硅酸铝，瓷土主要作为低成本的增量剂或混合物，呈白色或灰白色，有丝绢般光泽的软质矿物。瓷土的成分为：SiO</w:t>
                  </w:r>
                  <w:r>
                    <w:rPr>
                      <w:szCs w:val="21"/>
                      <w:vertAlign w:val="subscript"/>
                    </w:rPr>
                    <w:t>2</w:t>
                  </w:r>
                  <w:r>
                    <w:rPr>
                      <w:szCs w:val="21"/>
                    </w:rPr>
                    <w:t>46.51%，Al</w:t>
                  </w:r>
                  <w:r>
                    <w:rPr>
                      <w:szCs w:val="21"/>
                      <w:vertAlign w:val="subscript"/>
                    </w:rPr>
                    <w:t>2</w:t>
                  </w:r>
                  <w:r>
                    <w:rPr>
                      <w:szCs w:val="21"/>
                    </w:rPr>
                    <w:t>O</w:t>
                  </w:r>
                  <w:r>
                    <w:rPr>
                      <w:szCs w:val="21"/>
                      <w:vertAlign w:val="subscript"/>
                    </w:rPr>
                    <w:t>3</w:t>
                  </w:r>
                  <w:r>
                    <w:rPr>
                      <w:szCs w:val="21"/>
                    </w:rPr>
                    <w:t>39.54%，H</w:t>
                  </w:r>
                  <w:r>
                    <w:rPr>
                      <w:szCs w:val="21"/>
                      <w:vertAlign w:val="subscript"/>
                    </w:rPr>
                    <w:t>2</w:t>
                  </w:r>
                  <w:r>
                    <w:rPr>
                      <w:szCs w:val="21"/>
                    </w:rPr>
                    <w:t>O13.95%，熔点为1780℃。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446" w:type="pct"/>
                  <w:vAlign w:val="center"/>
                </w:tcPr>
                <w:p>
                  <w:pPr>
                    <w:jc w:val="center"/>
                    <w:rPr>
                      <w:color w:val="000000"/>
                      <w:lang w:val="pt-BR"/>
                    </w:rPr>
                  </w:pPr>
                  <w:r>
                    <w:rPr>
                      <w:rFonts w:hint="eastAsia"/>
                      <w:color w:val="000000"/>
                      <w:lang w:val="pt-BR"/>
                    </w:rPr>
                    <w:t>2</w:t>
                  </w:r>
                </w:p>
              </w:tc>
              <w:tc>
                <w:tcPr>
                  <w:tcW w:w="1070" w:type="pct"/>
                  <w:vAlign w:val="center"/>
                </w:tcPr>
                <w:p>
                  <w:pPr>
                    <w:jc w:val="center"/>
                    <w:rPr>
                      <w:color w:val="000000"/>
                      <w:lang w:val="pt-BR"/>
                    </w:rPr>
                  </w:pPr>
                  <w:r>
                    <w:rPr>
                      <w:rFonts w:hint="eastAsia"/>
                      <w:color w:val="000000"/>
                      <w:lang w:val="pt-BR"/>
                    </w:rPr>
                    <w:t>浆钙</w:t>
                  </w:r>
                </w:p>
              </w:tc>
              <w:tc>
                <w:tcPr>
                  <w:tcW w:w="3483" w:type="pct"/>
                  <w:vAlign w:val="center"/>
                </w:tcPr>
                <w:p>
                  <w:pPr>
                    <w:contextualSpacing/>
                    <w:textAlignment w:val="baseline"/>
                    <w:rPr>
                      <w:color w:val="000000"/>
                      <w:kern w:val="0"/>
                      <w:szCs w:val="21"/>
                      <w:lang w:val="pt-BR"/>
                    </w:rPr>
                  </w:pPr>
                  <w:r>
                    <w:rPr>
                      <w:rFonts w:hint="eastAsia"/>
                      <w:szCs w:val="21"/>
                    </w:rPr>
                    <w:t>自产液体浆钙，浓度为70%。主要成分为碳酸钙，碳酸钙呈中性，基本上不溶于水，溶于盐酸。它是地球上常见物质之一，存在于霰石、方解石、白垩、石灰岩、大理石、石灰华等岩石内，亦为动物骨骼或外壳的主要成分。碳酸钙也是重要的建筑材料，工业上用途甚广。</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446" w:type="pct"/>
                  <w:vAlign w:val="center"/>
                </w:tcPr>
                <w:p>
                  <w:pPr>
                    <w:jc w:val="center"/>
                    <w:rPr>
                      <w:color w:val="000000"/>
                      <w:lang w:val="pt-BR"/>
                    </w:rPr>
                  </w:pPr>
                  <w:r>
                    <w:rPr>
                      <w:rFonts w:hint="eastAsia"/>
                      <w:color w:val="000000"/>
                      <w:lang w:val="pt-BR"/>
                    </w:rPr>
                    <w:t>3</w:t>
                  </w:r>
                </w:p>
              </w:tc>
              <w:tc>
                <w:tcPr>
                  <w:tcW w:w="1070" w:type="pct"/>
                  <w:vAlign w:val="center"/>
                </w:tcPr>
                <w:p>
                  <w:pPr>
                    <w:jc w:val="center"/>
                    <w:rPr>
                      <w:color w:val="000000"/>
                      <w:lang w:val="pt-BR"/>
                    </w:rPr>
                  </w:pPr>
                  <w:r>
                    <w:rPr>
                      <w:rFonts w:hint="eastAsia"/>
                      <w:color w:val="000000"/>
                      <w:lang w:val="pt-BR"/>
                    </w:rPr>
                    <w:t>羟甲基纤维素钠</w:t>
                  </w:r>
                </w:p>
              </w:tc>
              <w:tc>
                <w:tcPr>
                  <w:tcW w:w="3483" w:type="pct"/>
                  <w:vAlign w:val="center"/>
                </w:tcPr>
                <w:p>
                  <w:pPr>
                    <w:contextualSpacing/>
                    <w:textAlignment w:val="baseline"/>
                    <w:rPr>
                      <w:color w:val="000000"/>
                      <w:kern w:val="0"/>
                      <w:szCs w:val="21"/>
                      <w:lang w:val="pt-BR"/>
                    </w:rPr>
                  </w:pPr>
                  <w:r>
                    <w:rPr>
                      <w:rFonts w:hint="eastAsia"/>
                      <w:szCs w:val="21"/>
                    </w:rPr>
                    <w:t>属阴离子型纤维素醚类，外观为白色或微黄色絮状纤维粉末或白色粉末，无臭无味，无毒；易溶于冷水或热水，形成具有一定粘度的透明溶液。溶液为中性或微碱性，不溶于乙醇、乙醚、异丙醇、丙酮等有机溶剂，可溶于含水60%的乙醇或丙酮溶液。有吸湿性，对光热稳定，粘度随温度升高而降低，溶液在PH值2~10稳定，PH低于2时有固体析出，PH值高于10粘度降低。变色温度227℃，炭化温度252℃，2%水溶液表面张力71mN/m。</w:t>
                  </w:r>
                </w:p>
              </w:tc>
            </w:tr>
          </w:tbl>
          <w:p>
            <w:pPr>
              <w:spacing w:line="480" w:lineRule="exact"/>
              <w:ind w:firstLine="482" w:firstLineChars="200"/>
              <w:rPr>
                <w:rFonts w:ascii="宋体" w:hAnsi="宋体"/>
                <w:b/>
                <w:bCs/>
                <w:color w:val="000000"/>
                <w:sz w:val="24"/>
                <w:lang w:val="pt-BR"/>
              </w:rPr>
            </w:pPr>
            <w:r>
              <w:rPr>
                <w:rFonts w:hint="eastAsia" w:eastAsia="黑体"/>
                <w:b/>
                <w:bCs/>
                <w:color w:val="000000"/>
                <w:sz w:val="24"/>
              </w:rPr>
              <w:t>6</w:t>
            </w:r>
            <w:r>
              <w:rPr>
                <w:rFonts w:eastAsia="黑体"/>
                <w:b/>
                <w:bCs/>
                <w:color w:val="000000"/>
                <w:sz w:val="24"/>
              </w:rPr>
              <w:t>、</w:t>
            </w:r>
            <w:r>
              <w:rPr>
                <w:rFonts w:hint="eastAsia" w:ascii="宋体" w:hAnsi="宋体"/>
                <w:b/>
                <w:bCs/>
                <w:color w:val="000000"/>
                <w:sz w:val="24"/>
              </w:rPr>
              <w:t>厂区平面布置简述</w:t>
            </w:r>
          </w:p>
          <w:p>
            <w:pPr>
              <w:spacing w:line="480" w:lineRule="exact"/>
              <w:ind w:firstLine="480" w:firstLineChars="200"/>
              <w:rPr>
                <w:color w:val="000000"/>
                <w:sz w:val="24"/>
              </w:rPr>
            </w:pPr>
            <w:r>
              <w:rPr>
                <w:color w:val="000000"/>
                <w:sz w:val="24"/>
              </w:rPr>
              <w:t>本项目选址位于</w:t>
            </w:r>
            <w:r>
              <w:rPr>
                <w:rFonts w:hint="eastAsia" w:ascii="宋体" w:hAnsi="宋体" w:cs="宋体"/>
                <w:color w:val="000000"/>
                <w:sz w:val="24"/>
              </w:rPr>
              <w:t>新乡市新乡县新乡经济开发区黄河大道中段</w:t>
            </w:r>
            <w:r>
              <w:rPr>
                <w:color w:val="000000"/>
                <w:sz w:val="24"/>
              </w:rPr>
              <w:t>。根据企业提供的本项目厂区总平面图</w:t>
            </w:r>
            <w:r>
              <w:rPr>
                <w:rFonts w:hint="eastAsia"/>
                <w:color w:val="000000"/>
                <w:sz w:val="24"/>
              </w:rPr>
              <w:t>（详见附图3），</w:t>
            </w:r>
            <w:r>
              <w:rPr>
                <w:color w:val="000000"/>
                <w:sz w:val="24"/>
              </w:rPr>
              <w:t>厂区的平面布置较为合理</w:t>
            </w:r>
            <w:r>
              <w:rPr>
                <w:rFonts w:hint="eastAsia"/>
                <w:color w:val="000000"/>
                <w:sz w:val="24"/>
              </w:rPr>
              <w:t>，</w:t>
            </w:r>
            <w:r>
              <w:rPr>
                <w:color w:val="000000"/>
                <w:sz w:val="24"/>
              </w:rPr>
              <w:t>主要体现在以下几个方面</w:t>
            </w:r>
            <w:r>
              <w:rPr>
                <w:rFonts w:hint="eastAsia"/>
                <w:color w:val="000000"/>
                <w:sz w:val="24"/>
              </w:rPr>
              <w:t>：</w:t>
            </w:r>
          </w:p>
          <w:p>
            <w:pPr>
              <w:spacing w:line="480" w:lineRule="exact"/>
              <w:ind w:firstLine="480" w:firstLineChars="200"/>
              <w:rPr>
                <w:color w:val="000000"/>
                <w:sz w:val="24"/>
              </w:rPr>
            </w:pPr>
            <w:r>
              <w:rPr>
                <w:rFonts w:hint="eastAsia"/>
                <w:color w:val="000000"/>
                <w:sz w:val="24"/>
              </w:rPr>
              <w:t xml:space="preserve">（1）项目设计原料仓库与生产车间紧邻，避免厂区内物料的露天转移。 </w:t>
            </w:r>
          </w:p>
          <w:p>
            <w:pPr>
              <w:spacing w:line="480" w:lineRule="exact"/>
              <w:ind w:firstLine="480" w:firstLineChars="200"/>
              <w:rPr>
                <w:color w:val="000000"/>
                <w:sz w:val="24"/>
              </w:rPr>
            </w:pPr>
            <w:r>
              <w:rPr>
                <w:color w:val="000000"/>
                <w:sz w:val="24"/>
              </w:rPr>
              <w:t>（</w:t>
            </w:r>
            <w:r>
              <w:rPr>
                <w:rFonts w:hint="eastAsia"/>
                <w:color w:val="000000"/>
                <w:sz w:val="24"/>
              </w:rPr>
              <w:t>2</w:t>
            </w:r>
            <w:r>
              <w:rPr>
                <w:color w:val="000000"/>
                <w:sz w:val="24"/>
              </w:rPr>
              <w:t>）项目根据工艺流程和设备运转的要求，按照工艺运转顺序和安全生产的需要布置生产装置，工艺流程顺畅，厂区布局紧凑</w:t>
            </w:r>
            <w:r>
              <w:rPr>
                <w:rFonts w:hint="eastAsia"/>
                <w:color w:val="000000"/>
                <w:sz w:val="24"/>
              </w:rPr>
              <w:t>。</w:t>
            </w:r>
          </w:p>
          <w:p>
            <w:pPr>
              <w:pStyle w:val="95"/>
              <w:spacing w:line="480" w:lineRule="exact"/>
              <w:rPr>
                <w:rFonts w:cs="宋体"/>
                <w:color w:val="000000"/>
              </w:rPr>
            </w:pPr>
            <w:r>
              <w:rPr>
                <w:rFonts w:cs="宋体"/>
                <w:color w:val="000000"/>
              </w:rPr>
              <w:t>综上所述，评价认为厂区总平面布置基本合理。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8" w:hRule="atLeast"/>
          <w:jc w:val="center"/>
        </w:trPr>
        <w:tc>
          <w:tcPr>
            <w:tcW w:w="823" w:type="dxa"/>
            <w:vAlign w:val="center"/>
          </w:tcPr>
          <w:p>
            <w:pPr>
              <w:pStyle w:val="29"/>
              <w:adjustRightInd w:val="0"/>
              <w:snapToGrid w:val="0"/>
              <w:spacing w:before="0" w:beforeAutospacing="0" w:after="0" w:afterAutospacing="0"/>
              <w:jc w:val="center"/>
              <w:rPr>
                <w:rFonts w:cs="宋体"/>
                <w:color w:val="000000"/>
                <w:sz w:val="21"/>
                <w:szCs w:val="21"/>
              </w:rPr>
            </w:pPr>
            <w:r>
              <w:rPr>
                <w:rFonts w:hint="eastAsia" w:cs="宋体"/>
                <w:color w:val="000000"/>
                <w:sz w:val="21"/>
                <w:szCs w:val="21"/>
              </w:rPr>
              <w:t>工艺流程和产排污环节</w:t>
            </w:r>
          </w:p>
        </w:tc>
        <w:tc>
          <w:tcPr>
            <w:tcW w:w="8161" w:type="dxa"/>
          </w:tcPr>
          <w:p>
            <w:pPr>
              <w:numPr>
                <w:ilvl w:val="0"/>
                <w:numId w:val="2"/>
              </w:numPr>
              <w:spacing w:line="460" w:lineRule="exact"/>
              <w:rPr>
                <w:rFonts w:eastAsia="黑体"/>
                <w:color w:val="000000"/>
                <w:sz w:val="24"/>
                <w:szCs w:val="20"/>
              </w:rPr>
            </w:pPr>
            <w:r>
              <w:rPr>
                <w:rFonts w:eastAsia="黑体"/>
                <w:color w:val="000000"/>
                <w:sz w:val="24"/>
                <w:szCs w:val="20"/>
              </w:rPr>
              <w:t>工艺流程简述（图示）：</w:t>
            </w:r>
          </w:p>
          <w:p>
            <w:pPr>
              <w:jc w:val="center"/>
              <w:rPr>
                <w:rFonts w:eastAsia="黑体"/>
                <w:color w:val="000000"/>
                <w:sz w:val="24"/>
                <w:szCs w:val="20"/>
              </w:rPr>
            </w:pPr>
            <w:r>
              <w:object>
                <v:shape id="_x0000_i1025" o:spt="75" type="#_x0000_t75" style="height:352.8pt;width:331.2pt;" o:ole="t" filled="f" o:preferrelative="t" stroked="f" coordsize="21600,21600">
                  <v:path/>
                  <v:fill on="f" focussize="0,0"/>
                  <v:stroke on="f" joinstyle="miter"/>
                  <v:imagedata r:id="rId15" o:title=""/>
                  <o:lock v:ext="edit" aspectratio="t"/>
                  <w10:wrap type="none"/>
                  <w10:anchorlock/>
                </v:shape>
                <o:OLEObject Type="Embed" ProgID="Visio.Drawing.15" ShapeID="_x0000_i1025" DrawAspect="Content" ObjectID="_1468075725" r:id="rId14">
                  <o:LockedField>false</o:LockedField>
                </o:OLEObject>
              </w:object>
            </w:r>
          </w:p>
          <w:p>
            <w:pPr>
              <w:autoSpaceDE w:val="0"/>
              <w:autoSpaceDN w:val="0"/>
              <w:adjustRightInd w:val="0"/>
              <w:snapToGrid w:val="0"/>
              <w:spacing w:line="460" w:lineRule="exact"/>
              <w:jc w:val="center"/>
              <w:rPr>
                <w:b/>
                <w:color w:val="000000"/>
                <w:sz w:val="24"/>
                <w:szCs w:val="20"/>
              </w:rPr>
            </w:pPr>
            <w:r>
              <w:rPr>
                <w:b/>
                <w:color w:val="000000"/>
                <w:sz w:val="24"/>
                <w:szCs w:val="20"/>
              </w:rPr>
              <w:t>图</w:t>
            </w:r>
            <w:r>
              <w:rPr>
                <w:rFonts w:hint="eastAsia"/>
                <w:b/>
                <w:color w:val="000000"/>
                <w:sz w:val="24"/>
                <w:szCs w:val="20"/>
              </w:rPr>
              <w:t>4</w:t>
            </w:r>
            <w:r>
              <w:rPr>
                <w:b/>
                <w:color w:val="000000"/>
                <w:sz w:val="24"/>
                <w:szCs w:val="20"/>
              </w:rPr>
              <w:t xml:space="preserve">    </w:t>
            </w:r>
            <w:r>
              <w:rPr>
                <w:rFonts w:hint="eastAsia"/>
                <w:b/>
                <w:color w:val="000000"/>
                <w:sz w:val="24"/>
                <w:szCs w:val="20"/>
              </w:rPr>
              <w:t>涂布</w:t>
            </w:r>
            <w:r>
              <w:rPr>
                <w:b/>
                <w:color w:val="000000"/>
                <w:sz w:val="24"/>
                <w:szCs w:val="20"/>
              </w:rPr>
              <w:t>白卡纸生产工艺及产污环节流程图</w:t>
            </w:r>
          </w:p>
          <w:p>
            <w:pPr>
              <w:spacing w:line="460" w:lineRule="exact"/>
              <w:ind w:firstLine="480" w:firstLineChars="200"/>
              <w:rPr>
                <w:color w:val="000000"/>
                <w:sz w:val="24"/>
              </w:rPr>
            </w:pPr>
            <w:r>
              <w:rPr>
                <w:rFonts w:hint="eastAsia"/>
                <w:color w:val="000000"/>
                <w:sz w:val="24"/>
              </w:rPr>
              <w:t>本项目浆钙制备</w:t>
            </w:r>
            <w:r>
              <w:rPr>
                <w:color w:val="000000"/>
                <w:sz w:val="24"/>
              </w:rPr>
              <w:t>依托在建项目中浆钙制备设施</w:t>
            </w:r>
            <w:r>
              <w:rPr>
                <w:rFonts w:hint="eastAsia"/>
                <w:color w:val="000000"/>
                <w:sz w:val="24"/>
              </w:rPr>
              <w:t>，</w:t>
            </w:r>
            <w:r>
              <w:rPr>
                <w:color w:val="000000"/>
                <w:sz w:val="24"/>
              </w:rPr>
              <w:t>通过增加运行时间加大浆钙制备量用于本项目生产</w:t>
            </w:r>
            <w:r>
              <w:rPr>
                <w:rFonts w:hint="eastAsia"/>
                <w:color w:val="000000"/>
                <w:sz w:val="24"/>
              </w:rPr>
              <w:t>，</w:t>
            </w:r>
            <w:r>
              <w:rPr>
                <w:color w:val="000000"/>
                <w:sz w:val="24"/>
              </w:rPr>
              <w:t>具体生产工艺如下：</w:t>
            </w:r>
          </w:p>
          <w:p>
            <w:pPr>
              <w:spacing w:line="480" w:lineRule="exact"/>
              <w:ind w:firstLine="480" w:firstLineChars="200"/>
              <w:rPr>
                <w:sz w:val="24"/>
                <w:szCs w:val="32"/>
              </w:rPr>
            </w:pPr>
            <w:r>
              <w:rPr>
                <w:rFonts w:hint="eastAsia"/>
                <w:sz w:val="24"/>
                <w:szCs w:val="32"/>
              </w:rPr>
              <w:t>（1）投料</w:t>
            </w:r>
            <w:r>
              <w:rPr>
                <w:sz w:val="24"/>
                <w:szCs w:val="32"/>
              </w:rPr>
              <w:t>：外购钙粉（300~400目）</w:t>
            </w:r>
            <w:r>
              <w:rPr>
                <w:rFonts w:hint="eastAsia"/>
                <w:sz w:val="24"/>
                <w:szCs w:val="32"/>
              </w:rPr>
              <w:t>包装规格为吨包，吨包经行车运至密闭投料间内放置在吨包自动上料机上，然后经密闭螺旋输送机输送至研磨机。</w:t>
            </w:r>
            <w:r>
              <w:rPr>
                <w:sz w:val="24"/>
                <w:szCs w:val="32"/>
              </w:rPr>
              <w:t>投料过程产生投料粉尘G</w:t>
            </w:r>
            <w:r>
              <w:rPr>
                <w:rFonts w:hint="eastAsia"/>
                <w:sz w:val="24"/>
                <w:szCs w:val="32"/>
              </w:rPr>
              <w:t>3</w:t>
            </w:r>
            <w:r>
              <w:rPr>
                <w:sz w:val="24"/>
                <w:szCs w:val="32"/>
              </w:rPr>
              <w:t>-</w:t>
            </w:r>
            <w:r>
              <w:rPr>
                <w:rFonts w:hint="eastAsia"/>
                <w:sz w:val="24"/>
                <w:szCs w:val="32"/>
              </w:rPr>
              <w:t>1</w:t>
            </w:r>
            <w:r>
              <w:rPr>
                <w:sz w:val="24"/>
                <w:szCs w:val="32"/>
              </w:rPr>
              <w:t>。</w:t>
            </w:r>
          </w:p>
          <w:p>
            <w:pPr>
              <w:spacing w:line="480" w:lineRule="exact"/>
              <w:ind w:firstLine="480" w:firstLineChars="200"/>
              <w:rPr>
                <w:sz w:val="24"/>
                <w:szCs w:val="32"/>
              </w:rPr>
            </w:pPr>
            <w:r>
              <w:rPr>
                <w:rFonts w:hint="eastAsia"/>
                <w:sz w:val="24"/>
                <w:szCs w:val="32"/>
              </w:rPr>
              <w:t>（2）研磨：钙粉经密闭螺旋输送机</w:t>
            </w:r>
            <w:r>
              <w:rPr>
                <w:sz w:val="24"/>
                <w:szCs w:val="32"/>
              </w:rPr>
              <w:t>依次输送至1#、2#研磨机进行两级研磨，研磨机内设研磨介质（陶瓷珠），利用研磨介质与原料之间的相互碰撞、摩擦、剪切研磨。由于研磨过程中会产生静电，使物料颗粒吸附团聚，影响产品质量，因此在研磨过程中需加入分散剂，分散剂能够吸附在物料颗粒表面，产生静电斥力和空间位阻作用，有效阻止物料颗粒团聚。</w:t>
            </w:r>
          </w:p>
          <w:p>
            <w:pPr>
              <w:spacing w:line="480" w:lineRule="exact"/>
              <w:ind w:firstLine="480" w:firstLineChars="200"/>
              <w:rPr>
                <w:sz w:val="24"/>
                <w:szCs w:val="32"/>
              </w:rPr>
            </w:pPr>
            <w:r>
              <w:rPr>
                <w:sz w:val="24"/>
                <w:szCs w:val="32"/>
              </w:rPr>
              <w:t>研磨过程在全封闭研磨机内进行，</w:t>
            </w:r>
            <w:r>
              <w:rPr>
                <w:rFonts w:hint="eastAsia"/>
                <w:sz w:val="24"/>
                <w:szCs w:val="32"/>
              </w:rPr>
              <w:t>钙粉经密闭螺旋机输送至1</w:t>
            </w:r>
            <w:r>
              <w:rPr>
                <w:sz w:val="24"/>
                <w:szCs w:val="32"/>
              </w:rPr>
              <w:t>#研磨机</w:t>
            </w:r>
            <w:r>
              <w:rPr>
                <w:rFonts w:hint="eastAsia"/>
                <w:sz w:val="24"/>
                <w:szCs w:val="32"/>
              </w:rPr>
              <w:t>内下落过程中会有粉尘产生，研磨机为密闭式研磨机，粉尘经研磨机呼吸口排放；而物料进入2#研磨机时为液体料，不会有粉尘产生。1#研磨机会</w:t>
            </w:r>
            <w:r>
              <w:rPr>
                <w:sz w:val="24"/>
                <w:szCs w:val="32"/>
              </w:rPr>
              <w:t>产生</w:t>
            </w:r>
            <w:r>
              <w:rPr>
                <w:rFonts w:hint="eastAsia"/>
                <w:sz w:val="24"/>
                <w:szCs w:val="32"/>
              </w:rPr>
              <w:t>研磨</w:t>
            </w:r>
            <w:r>
              <w:rPr>
                <w:sz w:val="24"/>
                <w:szCs w:val="32"/>
              </w:rPr>
              <w:t>粉尘G</w:t>
            </w:r>
            <w:r>
              <w:rPr>
                <w:rFonts w:hint="eastAsia"/>
                <w:sz w:val="24"/>
                <w:szCs w:val="32"/>
              </w:rPr>
              <w:t>3</w:t>
            </w:r>
            <w:r>
              <w:rPr>
                <w:sz w:val="24"/>
                <w:szCs w:val="32"/>
              </w:rPr>
              <w:t>-</w:t>
            </w:r>
            <w:r>
              <w:rPr>
                <w:rFonts w:hint="eastAsia"/>
                <w:sz w:val="24"/>
                <w:szCs w:val="32"/>
              </w:rPr>
              <w:t>2</w:t>
            </w:r>
            <w:r>
              <w:rPr>
                <w:sz w:val="24"/>
                <w:szCs w:val="32"/>
              </w:rPr>
              <w:t>。研磨用水全部带入产品，不产生废水。</w:t>
            </w:r>
          </w:p>
          <w:p>
            <w:pPr>
              <w:spacing w:line="480" w:lineRule="exact"/>
              <w:ind w:firstLine="480" w:firstLineChars="200"/>
              <w:rPr>
                <w:sz w:val="24"/>
                <w:szCs w:val="32"/>
              </w:rPr>
            </w:pPr>
            <w:r>
              <w:rPr>
                <w:rFonts w:hint="eastAsia"/>
                <w:sz w:val="24"/>
                <w:szCs w:val="32"/>
              </w:rPr>
              <w:t>（3）</w:t>
            </w:r>
            <w:r>
              <w:rPr>
                <w:sz w:val="24"/>
                <w:szCs w:val="32"/>
              </w:rPr>
              <w:t>筛选：通过研磨的产品泵入振动筛，筛下物为成品浆钙由输送泵送入浆钙储存罐；筛上物送回1#研磨机继续研磨。</w:t>
            </w:r>
            <w:r>
              <w:rPr>
                <w:rFonts w:hint="eastAsia"/>
                <w:sz w:val="24"/>
                <w:szCs w:val="32"/>
              </w:rPr>
              <w:t>本项目筛分工段的物料均为液料，不产生污染物。</w:t>
            </w:r>
          </w:p>
          <w:p>
            <w:pPr>
              <w:spacing w:line="480" w:lineRule="exact"/>
              <w:ind w:firstLine="480" w:firstLineChars="200"/>
              <w:rPr>
                <w:sz w:val="24"/>
                <w:szCs w:val="32"/>
              </w:rPr>
            </w:pPr>
            <w:r>
              <w:rPr>
                <w:rFonts w:hint="eastAsia"/>
                <w:sz w:val="24"/>
                <w:szCs w:val="32"/>
              </w:rPr>
              <w:t>（4）投料、配料：瓷土、羟甲基纤维素钠、玉米淀粉等块状及粉状物料，均为袋式包装，进厂后于密闭厂房内暂存，需要时投入螺旋式上料机的料斗内，该料斗为三面密闭，仅留有一面的投料空间，投料后立即关闭盖子，形成全密闭状态。本项目设置3台上料机，每种粉料对应1台专用上料机，投料工序会产生少量粉尘。</w:t>
            </w:r>
          </w:p>
          <w:p>
            <w:pPr>
              <w:spacing w:line="480" w:lineRule="exact"/>
              <w:ind w:firstLine="480" w:firstLineChars="200"/>
              <w:rPr>
                <w:sz w:val="24"/>
                <w:szCs w:val="32"/>
              </w:rPr>
            </w:pPr>
            <w:r>
              <w:rPr>
                <w:rFonts w:hint="eastAsia"/>
                <w:sz w:val="24"/>
                <w:szCs w:val="32"/>
              </w:rPr>
              <w:t>瓷土与羟甲基纤维素钠配料前均需先进入分散罐内，加少量水混合均匀，然后经管道与浆钙按比例输送入底涂配料罐内，混合均匀，形成底涂涂布液备用；浆钙、玉米淀粉按比例输送入面涂配料罐内，混合均匀，形成面涂涂布液备用。输送方式均为管道密闭输送，浆钙、玉米淀粉按比例输送入涂布配料罐，配料罐完全密闭，玉米淀粉经螺旋上料机输送至</w:t>
            </w:r>
            <w:r>
              <w:rPr>
                <w:rFonts w:hint="eastAsia"/>
                <w:sz w:val="24"/>
              </w:rPr>
              <w:t>面涂配料罐内下落过程会产生少量粉尘</w:t>
            </w:r>
            <w:r>
              <w:rPr>
                <w:rFonts w:hint="eastAsia"/>
                <w:sz w:val="24"/>
                <w:szCs w:val="32"/>
              </w:rPr>
              <w:t>。</w:t>
            </w:r>
          </w:p>
          <w:p>
            <w:pPr>
              <w:spacing w:line="480" w:lineRule="exact"/>
              <w:ind w:firstLine="480" w:firstLineChars="200"/>
              <w:rPr>
                <w:sz w:val="24"/>
              </w:rPr>
            </w:pPr>
            <w:r>
              <w:rPr>
                <w:rFonts w:hint="eastAsia"/>
                <w:sz w:val="24"/>
                <w:szCs w:val="32"/>
              </w:rPr>
              <w:t>（5）涂布烘干：将原纸经导辊平铺进入涂布机中，先进行底涂，将配好的底涂涂布液均匀的涂在原纸上，经涂布机自带的烘道</w:t>
            </w:r>
            <w:r>
              <w:rPr>
                <w:rFonts w:hint="eastAsia"/>
                <w:sz w:val="24"/>
              </w:rPr>
              <w:t>对涂布纸进行烘干（蒸汽加热，烘道温度40~50</w:t>
            </w:r>
            <w:r>
              <w:rPr>
                <w:sz w:val="24"/>
              </w:rPr>
              <w:t>℃</w:t>
            </w:r>
            <w:r>
              <w:rPr>
                <w:rFonts w:hint="eastAsia"/>
                <w:sz w:val="24"/>
              </w:rPr>
              <w:t>左右），烘干时间约10s。底涂烘道所需热源，为牛底白卡纸车间烘干部烘缸的高、中温段尾气（间接加热余气）二次利用，经热泵将蒸汽加热升温，通过热交换送至底涂涂布风道，加热方式为间接加热。</w:t>
            </w:r>
          </w:p>
          <w:p>
            <w:pPr>
              <w:spacing w:line="480" w:lineRule="exact"/>
              <w:ind w:firstLine="480" w:firstLineChars="200"/>
              <w:rPr>
                <w:sz w:val="24"/>
              </w:rPr>
            </w:pPr>
            <w:r>
              <w:rPr>
                <w:rFonts w:hint="eastAsia"/>
                <w:sz w:val="24"/>
              </w:rPr>
              <w:t>底涂后需进行面涂，涂布纸随传送带进入面涂段，将配好的面涂涂布液均匀的再次涂布，</w:t>
            </w:r>
            <w:r>
              <w:rPr>
                <w:rFonts w:hint="eastAsia"/>
                <w:sz w:val="24"/>
                <w:szCs w:val="32"/>
              </w:rPr>
              <w:t>经涂布机自带的烘道</w:t>
            </w:r>
            <w:r>
              <w:rPr>
                <w:rFonts w:hint="eastAsia"/>
                <w:sz w:val="24"/>
              </w:rPr>
              <w:t>对涂布纸进行烘干（红外线干燥，烘道温度50~60</w:t>
            </w:r>
            <w:r>
              <w:rPr>
                <w:sz w:val="24"/>
              </w:rPr>
              <w:t>℃</w:t>
            </w:r>
            <w:r>
              <w:rPr>
                <w:rFonts w:hint="eastAsia"/>
                <w:sz w:val="24"/>
              </w:rPr>
              <w:t>左右），烘干时间约10s。烘干工序产生的气体为蒸发的水分。底涂、面涂工序会产生噪声。</w:t>
            </w:r>
          </w:p>
          <w:p>
            <w:pPr>
              <w:spacing w:line="480" w:lineRule="exact"/>
              <w:ind w:firstLine="480" w:firstLineChars="200"/>
              <w:rPr>
                <w:sz w:val="24"/>
              </w:rPr>
            </w:pPr>
            <w:r>
              <w:rPr>
                <w:rFonts w:hint="eastAsia"/>
                <w:sz w:val="24"/>
              </w:rPr>
              <w:t>（6）压光：涂布后的涂布纸进入涂布机内的压光段，利用滚轴将涂布纸表面突起的颗粒压平，以达到要求的光滑度。</w:t>
            </w:r>
          </w:p>
          <w:p>
            <w:pPr>
              <w:spacing w:line="480" w:lineRule="exact"/>
              <w:ind w:firstLine="480" w:firstLineChars="200"/>
              <w:rPr>
                <w:sz w:val="24"/>
              </w:rPr>
            </w:pPr>
            <w:r>
              <w:rPr>
                <w:rFonts w:hint="eastAsia"/>
                <w:sz w:val="24"/>
              </w:rPr>
              <w:t>（7）卷取：压平后的涂布纸经涂布机尾端的卷轴卷取，得到正品涂布白卡纸卷。</w:t>
            </w:r>
          </w:p>
          <w:p>
            <w:pPr>
              <w:spacing w:line="480" w:lineRule="exact"/>
              <w:ind w:firstLine="480" w:firstLineChars="200"/>
              <w:rPr>
                <w:sz w:val="24"/>
              </w:rPr>
            </w:pPr>
            <w:r>
              <w:rPr>
                <w:rFonts w:hint="eastAsia"/>
                <w:sz w:val="24"/>
              </w:rPr>
              <w:t>（8）包装入库：卷取好的涂布白卡纸经检验合格后，包装、入库待售。</w:t>
            </w:r>
          </w:p>
          <w:p>
            <w:pPr>
              <w:spacing w:line="460" w:lineRule="exact"/>
              <w:rPr>
                <w:rFonts w:eastAsia="黑体"/>
                <w:color w:val="000000"/>
                <w:sz w:val="24"/>
                <w:szCs w:val="20"/>
              </w:rPr>
            </w:pPr>
            <w:r>
              <w:rPr>
                <w:rFonts w:eastAsia="黑体"/>
                <w:color w:val="000000"/>
                <w:sz w:val="24"/>
                <w:szCs w:val="20"/>
              </w:rPr>
              <w:t>二</w:t>
            </w:r>
            <w:r>
              <w:rPr>
                <w:rFonts w:hint="eastAsia" w:eastAsia="黑体"/>
                <w:color w:val="000000"/>
                <w:sz w:val="24"/>
                <w:szCs w:val="20"/>
              </w:rPr>
              <w:t>、</w:t>
            </w:r>
            <w:r>
              <w:rPr>
                <w:rFonts w:eastAsia="黑体"/>
                <w:color w:val="000000"/>
                <w:sz w:val="24"/>
                <w:szCs w:val="20"/>
              </w:rPr>
              <w:t>主要</w:t>
            </w:r>
            <w:r>
              <w:rPr>
                <w:rFonts w:hint="eastAsia" w:eastAsia="黑体"/>
                <w:color w:val="000000"/>
                <w:sz w:val="24"/>
                <w:szCs w:val="20"/>
              </w:rPr>
              <w:t>产排污</w:t>
            </w:r>
            <w:r>
              <w:rPr>
                <w:rFonts w:eastAsia="黑体"/>
                <w:color w:val="000000"/>
                <w:sz w:val="24"/>
                <w:szCs w:val="20"/>
              </w:rPr>
              <w:t>环节</w:t>
            </w:r>
          </w:p>
          <w:p>
            <w:pPr>
              <w:adjustRightInd w:val="0"/>
              <w:spacing w:line="400" w:lineRule="exact"/>
              <w:ind w:firstLine="480" w:firstLineChars="200"/>
              <w:textAlignment w:val="baseline"/>
              <w:rPr>
                <w:color w:val="000000"/>
                <w:sz w:val="24"/>
              </w:rPr>
            </w:pPr>
            <w:r>
              <w:rPr>
                <w:color w:val="000000"/>
                <w:sz w:val="24"/>
              </w:rPr>
              <w:t>本项目利用现有厂房进行生产</w:t>
            </w:r>
            <w:r>
              <w:rPr>
                <w:rFonts w:hint="eastAsia"/>
                <w:color w:val="000000"/>
                <w:sz w:val="24"/>
              </w:rPr>
              <w:t>，</w:t>
            </w:r>
            <w:r>
              <w:rPr>
                <w:color w:val="000000"/>
                <w:sz w:val="24"/>
              </w:rPr>
              <w:t>无施工期影响</w:t>
            </w:r>
            <w:r>
              <w:rPr>
                <w:rFonts w:hint="eastAsia"/>
                <w:color w:val="000000"/>
                <w:sz w:val="24"/>
              </w:rPr>
              <w:t>。</w:t>
            </w:r>
            <w:r>
              <w:rPr>
                <w:color w:val="000000"/>
                <w:sz w:val="24"/>
              </w:rPr>
              <w:t>营运期主要污染物、产污环节及防治措施详见</w:t>
            </w:r>
            <w:r>
              <w:rPr>
                <w:rFonts w:hint="eastAsia"/>
                <w:color w:val="000000"/>
                <w:sz w:val="24"/>
              </w:rPr>
              <w:t>下表</w:t>
            </w:r>
            <w:r>
              <w:rPr>
                <w:color w:val="000000"/>
                <w:sz w:val="24"/>
              </w:rPr>
              <w:t>。</w:t>
            </w:r>
          </w:p>
          <w:p>
            <w:pPr>
              <w:adjustRightInd w:val="0"/>
              <w:spacing w:line="400" w:lineRule="exact"/>
              <w:ind w:firstLine="480" w:firstLineChars="200"/>
              <w:textAlignment w:val="baseline"/>
              <w:rPr>
                <w:color w:val="000000"/>
                <w:sz w:val="24"/>
              </w:rPr>
            </w:pPr>
            <w:r>
              <w:rPr>
                <w:rFonts w:eastAsia="黑体"/>
                <w:bCs/>
                <w:color w:val="000000"/>
                <w:sz w:val="24"/>
              </w:rPr>
              <w:t>表</w:t>
            </w:r>
            <w:r>
              <w:rPr>
                <w:rFonts w:hint="eastAsia" w:eastAsia="黑体"/>
                <w:bCs/>
                <w:color w:val="000000"/>
                <w:sz w:val="24"/>
              </w:rPr>
              <w:t>12</w:t>
            </w:r>
            <w:r>
              <w:rPr>
                <w:rFonts w:eastAsia="黑体"/>
                <w:bCs/>
                <w:color w:val="000000"/>
                <w:sz w:val="24"/>
              </w:rPr>
              <w:t xml:space="preserve">             项目营运期产污环节一览表</w:t>
            </w:r>
          </w:p>
          <w:tbl>
            <w:tblPr>
              <w:tblStyle w:val="3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699"/>
              <w:gridCol w:w="1559"/>
              <w:gridCol w:w="2126"/>
              <w:gridCol w:w="1418"/>
              <w:gridCol w:w="214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99" w:type="dxa"/>
                  <w:vAlign w:val="center"/>
                </w:tcPr>
                <w:p>
                  <w:pPr>
                    <w:jc w:val="center"/>
                    <w:rPr>
                      <w:b/>
                      <w:color w:val="000000"/>
                      <w:szCs w:val="21"/>
                    </w:rPr>
                  </w:pPr>
                  <w:r>
                    <w:rPr>
                      <w:b/>
                      <w:color w:val="000000"/>
                      <w:szCs w:val="21"/>
                    </w:rPr>
                    <w:t>污染因素</w:t>
                  </w:r>
                </w:p>
              </w:tc>
              <w:tc>
                <w:tcPr>
                  <w:tcW w:w="1559" w:type="dxa"/>
                  <w:vAlign w:val="center"/>
                </w:tcPr>
                <w:p>
                  <w:pPr>
                    <w:jc w:val="center"/>
                    <w:rPr>
                      <w:b/>
                      <w:color w:val="000000"/>
                      <w:szCs w:val="21"/>
                    </w:rPr>
                  </w:pPr>
                  <w:r>
                    <w:rPr>
                      <w:b/>
                      <w:color w:val="000000"/>
                      <w:szCs w:val="21"/>
                    </w:rPr>
                    <w:t>产污环节</w:t>
                  </w:r>
                </w:p>
              </w:tc>
              <w:tc>
                <w:tcPr>
                  <w:tcW w:w="2126" w:type="dxa"/>
                  <w:vAlign w:val="center"/>
                </w:tcPr>
                <w:p>
                  <w:pPr>
                    <w:jc w:val="center"/>
                    <w:rPr>
                      <w:b/>
                      <w:color w:val="000000"/>
                      <w:szCs w:val="21"/>
                    </w:rPr>
                  </w:pPr>
                  <w:r>
                    <w:rPr>
                      <w:b/>
                      <w:color w:val="000000"/>
                      <w:szCs w:val="21"/>
                    </w:rPr>
                    <w:t>污染物</w:t>
                  </w:r>
                </w:p>
              </w:tc>
              <w:tc>
                <w:tcPr>
                  <w:tcW w:w="3561" w:type="dxa"/>
                  <w:gridSpan w:val="2"/>
                  <w:vAlign w:val="center"/>
                </w:tcPr>
                <w:p>
                  <w:pPr>
                    <w:jc w:val="center"/>
                    <w:rPr>
                      <w:b/>
                      <w:color w:val="000000"/>
                      <w:szCs w:val="21"/>
                    </w:rPr>
                  </w:pPr>
                  <w:r>
                    <w:rPr>
                      <w:b/>
                      <w:color w:val="000000"/>
                      <w:szCs w:val="21"/>
                    </w:rPr>
                    <w:t>防治措施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99" w:type="dxa"/>
                  <w:vAlign w:val="center"/>
                </w:tcPr>
                <w:p>
                  <w:pPr>
                    <w:jc w:val="center"/>
                    <w:rPr>
                      <w:color w:val="000000"/>
                      <w:szCs w:val="21"/>
                    </w:rPr>
                  </w:pPr>
                  <w:r>
                    <w:rPr>
                      <w:color w:val="000000"/>
                      <w:szCs w:val="21"/>
                    </w:rPr>
                    <w:t>废水</w:t>
                  </w:r>
                </w:p>
              </w:tc>
              <w:tc>
                <w:tcPr>
                  <w:tcW w:w="1559" w:type="dxa"/>
                  <w:vAlign w:val="center"/>
                </w:tcPr>
                <w:p>
                  <w:pPr>
                    <w:pStyle w:val="140"/>
                    <w:rPr>
                      <w:color w:val="000000"/>
                    </w:rPr>
                  </w:pPr>
                  <w:r>
                    <w:rPr>
                      <w:rFonts w:hint="eastAsia"/>
                      <w:color w:val="000000"/>
                    </w:rPr>
                    <w:t>配料罐、分散罐清洗</w:t>
                  </w:r>
                </w:p>
              </w:tc>
              <w:tc>
                <w:tcPr>
                  <w:tcW w:w="2126" w:type="dxa"/>
                  <w:vAlign w:val="center"/>
                </w:tcPr>
                <w:p>
                  <w:pPr>
                    <w:pStyle w:val="140"/>
                    <w:rPr>
                      <w:color w:val="000000"/>
                    </w:rPr>
                  </w:pPr>
                  <w:r>
                    <w:rPr>
                      <w:rFonts w:hint="eastAsia"/>
                      <w:color w:val="000000"/>
                    </w:rPr>
                    <w:t>COD、SS</w:t>
                  </w:r>
                </w:p>
              </w:tc>
              <w:tc>
                <w:tcPr>
                  <w:tcW w:w="3561" w:type="dxa"/>
                  <w:gridSpan w:val="2"/>
                  <w:vAlign w:val="center"/>
                </w:tcPr>
                <w:p>
                  <w:pPr>
                    <w:pStyle w:val="140"/>
                    <w:rPr>
                      <w:color w:val="000000"/>
                    </w:rPr>
                  </w:pPr>
                  <w:r>
                    <w:rPr>
                      <w:rFonts w:hint="eastAsia"/>
                      <w:color w:val="000000"/>
                    </w:rPr>
                    <w:t>回用于瓷土配料，不外排</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99" w:type="dxa"/>
                  <w:vMerge w:val="restart"/>
                  <w:vAlign w:val="center"/>
                </w:tcPr>
                <w:p>
                  <w:pPr>
                    <w:jc w:val="center"/>
                    <w:rPr>
                      <w:color w:val="000000"/>
                      <w:szCs w:val="21"/>
                    </w:rPr>
                  </w:pPr>
                  <w:r>
                    <w:rPr>
                      <w:color w:val="000000"/>
                      <w:szCs w:val="21"/>
                    </w:rPr>
                    <w:t>废</w:t>
                  </w:r>
                  <w:r>
                    <w:rPr>
                      <w:rFonts w:hint="eastAsia"/>
                      <w:color w:val="000000"/>
                      <w:szCs w:val="21"/>
                    </w:rPr>
                    <w:t>气</w:t>
                  </w:r>
                </w:p>
              </w:tc>
              <w:tc>
                <w:tcPr>
                  <w:tcW w:w="1559" w:type="dxa"/>
                  <w:vAlign w:val="center"/>
                </w:tcPr>
                <w:p>
                  <w:pPr>
                    <w:pStyle w:val="140"/>
                    <w:rPr>
                      <w:color w:val="000000"/>
                    </w:rPr>
                  </w:pPr>
                  <w:r>
                    <w:rPr>
                      <w:rFonts w:hint="eastAsia"/>
                      <w:color w:val="000000"/>
                    </w:rPr>
                    <w:t>浆钙制备</w:t>
                  </w:r>
                </w:p>
                <w:p>
                  <w:pPr>
                    <w:pStyle w:val="140"/>
                    <w:rPr>
                      <w:color w:val="000000"/>
                    </w:rPr>
                  </w:pPr>
                  <w:r>
                    <w:rPr>
                      <w:rFonts w:hint="eastAsia"/>
                      <w:color w:val="000000"/>
                    </w:rPr>
                    <w:t>钙粉投料</w:t>
                  </w:r>
                </w:p>
              </w:tc>
              <w:tc>
                <w:tcPr>
                  <w:tcW w:w="2126" w:type="dxa"/>
                  <w:vAlign w:val="center"/>
                </w:tcPr>
                <w:p>
                  <w:pPr>
                    <w:pStyle w:val="140"/>
                    <w:rPr>
                      <w:color w:val="000000"/>
                    </w:rPr>
                  </w:pPr>
                  <w:r>
                    <w:rPr>
                      <w:rFonts w:hint="eastAsia"/>
                      <w:color w:val="000000"/>
                    </w:rPr>
                    <w:t>颗粒物</w:t>
                  </w:r>
                </w:p>
              </w:tc>
              <w:tc>
                <w:tcPr>
                  <w:tcW w:w="1418" w:type="dxa"/>
                  <w:vAlign w:val="center"/>
                </w:tcPr>
                <w:p>
                  <w:pPr>
                    <w:pStyle w:val="140"/>
                    <w:rPr>
                      <w:color w:val="000000"/>
                    </w:rPr>
                  </w:pPr>
                  <w:r>
                    <w:rPr>
                      <w:rFonts w:hint="eastAsia"/>
                      <w:color w:val="000000"/>
                    </w:rPr>
                    <w:t>密闭投料间整体负压</w:t>
                  </w:r>
                </w:p>
              </w:tc>
              <w:tc>
                <w:tcPr>
                  <w:tcW w:w="2143" w:type="dxa"/>
                  <w:vMerge w:val="restart"/>
                  <w:vAlign w:val="center"/>
                </w:tcPr>
                <w:p>
                  <w:pPr>
                    <w:pStyle w:val="140"/>
                    <w:rPr>
                      <w:color w:val="000000"/>
                    </w:rPr>
                  </w:pPr>
                  <w:r>
                    <w:rPr>
                      <w:rFonts w:hint="eastAsia"/>
                      <w:color w:val="000000"/>
                    </w:rPr>
                    <w:t>袋式除尘器+15m高排气筒</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99" w:type="dxa"/>
                  <w:vMerge w:val="continue"/>
                  <w:vAlign w:val="center"/>
                </w:tcPr>
                <w:p>
                  <w:pPr>
                    <w:jc w:val="center"/>
                    <w:rPr>
                      <w:color w:val="000000"/>
                      <w:szCs w:val="21"/>
                    </w:rPr>
                  </w:pPr>
                </w:p>
              </w:tc>
              <w:tc>
                <w:tcPr>
                  <w:tcW w:w="1559" w:type="dxa"/>
                  <w:vAlign w:val="center"/>
                </w:tcPr>
                <w:p>
                  <w:pPr>
                    <w:pStyle w:val="140"/>
                    <w:rPr>
                      <w:color w:val="000000"/>
                    </w:rPr>
                  </w:pPr>
                  <w:r>
                    <w:rPr>
                      <w:rFonts w:hint="eastAsia"/>
                      <w:color w:val="000000"/>
                    </w:rPr>
                    <w:t>浆钙制备</w:t>
                  </w:r>
                </w:p>
                <w:p>
                  <w:pPr>
                    <w:pStyle w:val="140"/>
                    <w:rPr>
                      <w:color w:val="000000"/>
                    </w:rPr>
                  </w:pPr>
                  <w:r>
                    <w:rPr>
                      <w:rFonts w:hint="eastAsia"/>
                      <w:color w:val="000000"/>
                    </w:rPr>
                    <w:t>钙粉研磨</w:t>
                  </w:r>
                </w:p>
              </w:tc>
              <w:tc>
                <w:tcPr>
                  <w:tcW w:w="2126" w:type="dxa"/>
                  <w:vAlign w:val="center"/>
                </w:tcPr>
                <w:p>
                  <w:pPr>
                    <w:pStyle w:val="140"/>
                    <w:rPr>
                      <w:color w:val="000000"/>
                    </w:rPr>
                  </w:pPr>
                  <w:r>
                    <w:rPr>
                      <w:rFonts w:hint="eastAsia"/>
                      <w:color w:val="000000"/>
                    </w:rPr>
                    <w:t>颗粒物</w:t>
                  </w:r>
                </w:p>
              </w:tc>
              <w:tc>
                <w:tcPr>
                  <w:tcW w:w="1418" w:type="dxa"/>
                  <w:vAlign w:val="center"/>
                </w:tcPr>
                <w:p>
                  <w:pPr>
                    <w:pStyle w:val="140"/>
                    <w:rPr>
                      <w:color w:val="000000"/>
                    </w:rPr>
                  </w:pPr>
                  <w:r>
                    <w:rPr>
                      <w:rFonts w:hint="eastAsia"/>
                      <w:color w:val="000000"/>
                    </w:rPr>
                    <w:t>密闭负压管道收集</w:t>
                  </w:r>
                </w:p>
              </w:tc>
              <w:tc>
                <w:tcPr>
                  <w:tcW w:w="2143" w:type="dxa"/>
                  <w:vMerge w:val="continue"/>
                  <w:vAlign w:val="center"/>
                </w:tcPr>
                <w:p>
                  <w:pPr>
                    <w:pStyle w:val="140"/>
                    <w:rPr>
                      <w:color w:val="00000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99" w:type="dxa"/>
                  <w:vMerge w:val="continue"/>
                  <w:vAlign w:val="center"/>
                </w:tcPr>
                <w:p>
                  <w:pPr>
                    <w:jc w:val="center"/>
                    <w:rPr>
                      <w:color w:val="000000"/>
                      <w:szCs w:val="21"/>
                    </w:rPr>
                  </w:pPr>
                </w:p>
              </w:tc>
              <w:tc>
                <w:tcPr>
                  <w:tcW w:w="1559" w:type="dxa"/>
                  <w:vAlign w:val="center"/>
                </w:tcPr>
                <w:p>
                  <w:pPr>
                    <w:pStyle w:val="140"/>
                    <w:rPr>
                      <w:color w:val="000000"/>
                    </w:rPr>
                  </w:pPr>
                  <w:r>
                    <w:rPr>
                      <w:rFonts w:hint="eastAsia"/>
                      <w:color w:val="000000"/>
                    </w:rPr>
                    <w:t>涂布白卡纸</w:t>
                  </w:r>
                </w:p>
                <w:p>
                  <w:pPr>
                    <w:pStyle w:val="140"/>
                    <w:rPr>
                      <w:color w:val="000000"/>
                    </w:rPr>
                  </w:pPr>
                  <w:r>
                    <w:rPr>
                      <w:rFonts w:hint="eastAsia"/>
                      <w:color w:val="000000"/>
                    </w:rPr>
                    <w:t>投料</w:t>
                  </w:r>
                  <w:r>
                    <w:rPr>
                      <w:color w:val="000000"/>
                    </w:rPr>
                    <w:t>工序</w:t>
                  </w:r>
                </w:p>
              </w:tc>
              <w:tc>
                <w:tcPr>
                  <w:tcW w:w="2126" w:type="dxa"/>
                  <w:vAlign w:val="center"/>
                </w:tcPr>
                <w:p>
                  <w:pPr>
                    <w:pStyle w:val="140"/>
                    <w:rPr>
                      <w:color w:val="000000"/>
                    </w:rPr>
                  </w:pPr>
                  <w:r>
                    <w:rPr>
                      <w:rFonts w:hint="eastAsia"/>
                      <w:color w:val="000000"/>
                    </w:rPr>
                    <w:t>颗粒物</w:t>
                  </w:r>
                </w:p>
              </w:tc>
              <w:tc>
                <w:tcPr>
                  <w:tcW w:w="1418" w:type="dxa"/>
                  <w:vAlign w:val="center"/>
                </w:tcPr>
                <w:p>
                  <w:pPr>
                    <w:pStyle w:val="140"/>
                    <w:rPr>
                      <w:color w:val="000000"/>
                    </w:rPr>
                  </w:pPr>
                  <w:r>
                    <w:rPr>
                      <w:rFonts w:hint="eastAsia"/>
                      <w:color w:val="000000"/>
                    </w:rPr>
                    <w:t>密闭投料间整体负压</w:t>
                  </w:r>
                </w:p>
              </w:tc>
              <w:tc>
                <w:tcPr>
                  <w:tcW w:w="2143" w:type="dxa"/>
                  <w:vMerge w:val="restart"/>
                  <w:vAlign w:val="center"/>
                </w:tcPr>
                <w:p>
                  <w:pPr>
                    <w:pStyle w:val="140"/>
                    <w:rPr>
                      <w:color w:val="000000"/>
                    </w:rPr>
                  </w:pPr>
                  <w:r>
                    <w:rPr>
                      <w:rFonts w:hint="eastAsia"/>
                      <w:color w:val="000000"/>
                    </w:rPr>
                    <w:t>袋式除尘器+15m高排气筒</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99" w:type="dxa"/>
                  <w:vMerge w:val="continue"/>
                  <w:vAlign w:val="center"/>
                </w:tcPr>
                <w:p>
                  <w:pPr>
                    <w:jc w:val="center"/>
                    <w:rPr>
                      <w:color w:val="000000"/>
                      <w:szCs w:val="21"/>
                    </w:rPr>
                  </w:pPr>
                </w:p>
              </w:tc>
              <w:tc>
                <w:tcPr>
                  <w:tcW w:w="1559" w:type="dxa"/>
                  <w:vAlign w:val="center"/>
                </w:tcPr>
                <w:p>
                  <w:pPr>
                    <w:pStyle w:val="140"/>
                    <w:rPr>
                      <w:color w:val="000000"/>
                    </w:rPr>
                  </w:pPr>
                  <w:r>
                    <w:rPr>
                      <w:rFonts w:hint="eastAsia"/>
                      <w:color w:val="000000"/>
                    </w:rPr>
                    <w:t>涂布白卡纸</w:t>
                  </w:r>
                </w:p>
                <w:p>
                  <w:pPr>
                    <w:pStyle w:val="140"/>
                    <w:rPr>
                      <w:color w:val="000000"/>
                    </w:rPr>
                  </w:pPr>
                  <w:r>
                    <w:rPr>
                      <w:rFonts w:hint="eastAsia"/>
                      <w:color w:val="000000"/>
                    </w:rPr>
                    <w:t>分散搅拌工序</w:t>
                  </w:r>
                </w:p>
              </w:tc>
              <w:tc>
                <w:tcPr>
                  <w:tcW w:w="2126" w:type="dxa"/>
                  <w:vAlign w:val="center"/>
                </w:tcPr>
                <w:p>
                  <w:pPr>
                    <w:pStyle w:val="140"/>
                    <w:rPr>
                      <w:color w:val="000000"/>
                    </w:rPr>
                  </w:pPr>
                  <w:r>
                    <w:rPr>
                      <w:rFonts w:hint="eastAsia"/>
                      <w:color w:val="000000"/>
                    </w:rPr>
                    <w:t>颗粒物</w:t>
                  </w:r>
                </w:p>
              </w:tc>
              <w:tc>
                <w:tcPr>
                  <w:tcW w:w="1418" w:type="dxa"/>
                  <w:vAlign w:val="center"/>
                </w:tcPr>
                <w:p>
                  <w:pPr>
                    <w:pStyle w:val="140"/>
                    <w:rPr>
                      <w:color w:val="000000"/>
                    </w:rPr>
                  </w:pPr>
                  <w:r>
                    <w:rPr>
                      <w:rFonts w:hint="eastAsia"/>
                      <w:color w:val="000000"/>
                    </w:rPr>
                    <w:t>密闭负压管道收集</w:t>
                  </w:r>
                </w:p>
              </w:tc>
              <w:tc>
                <w:tcPr>
                  <w:tcW w:w="2143" w:type="dxa"/>
                  <w:vMerge w:val="continue"/>
                  <w:vAlign w:val="center"/>
                </w:tcPr>
                <w:p>
                  <w:pPr>
                    <w:pStyle w:val="140"/>
                    <w:rPr>
                      <w:color w:val="00000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99" w:type="dxa"/>
                  <w:vMerge w:val="continue"/>
                  <w:vAlign w:val="center"/>
                </w:tcPr>
                <w:p>
                  <w:pPr>
                    <w:jc w:val="center"/>
                    <w:rPr>
                      <w:color w:val="000000"/>
                      <w:szCs w:val="21"/>
                    </w:rPr>
                  </w:pPr>
                </w:p>
              </w:tc>
              <w:tc>
                <w:tcPr>
                  <w:tcW w:w="1559" w:type="dxa"/>
                  <w:vAlign w:val="center"/>
                </w:tcPr>
                <w:p>
                  <w:pPr>
                    <w:pStyle w:val="140"/>
                    <w:rPr>
                      <w:color w:val="000000"/>
                    </w:rPr>
                  </w:pPr>
                  <w:r>
                    <w:rPr>
                      <w:rFonts w:hint="eastAsia"/>
                      <w:color w:val="000000"/>
                    </w:rPr>
                    <w:t>涂布白卡纸</w:t>
                  </w:r>
                </w:p>
                <w:p>
                  <w:pPr>
                    <w:pStyle w:val="140"/>
                    <w:rPr>
                      <w:color w:val="000000"/>
                    </w:rPr>
                  </w:pPr>
                  <w:r>
                    <w:rPr>
                      <w:rFonts w:hint="eastAsia"/>
                      <w:color w:val="000000"/>
                    </w:rPr>
                    <w:t>面涂配料工序</w:t>
                  </w:r>
                </w:p>
              </w:tc>
              <w:tc>
                <w:tcPr>
                  <w:tcW w:w="2126" w:type="dxa"/>
                  <w:vAlign w:val="center"/>
                </w:tcPr>
                <w:p>
                  <w:pPr>
                    <w:pStyle w:val="140"/>
                    <w:rPr>
                      <w:color w:val="000000"/>
                    </w:rPr>
                  </w:pPr>
                  <w:r>
                    <w:rPr>
                      <w:rFonts w:hint="eastAsia"/>
                      <w:color w:val="000000"/>
                    </w:rPr>
                    <w:t>颗粒物</w:t>
                  </w:r>
                </w:p>
              </w:tc>
              <w:tc>
                <w:tcPr>
                  <w:tcW w:w="1418" w:type="dxa"/>
                  <w:vAlign w:val="center"/>
                </w:tcPr>
                <w:p>
                  <w:pPr>
                    <w:pStyle w:val="140"/>
                    <w:rPr>
                      <w:color w:val="000000"/>
                    </w:rPr>
                  </w:pPr>
                  <w:r>
                    <w:rPr>
                      <w:rFonts w:hint="eastAsia"/>
                      <w:color w:val="000000"/>
                    </w:rPr>
                    <w:t>密闭负压管道收集</w:t>
                  </w:r>
                </w:p>
              </w:tc>
              <w:tc>
                <w:tcPr>
                  <w:tcW w:w="2143" w:type="dxa"/>
                  <w:vMerge w:val="continue"/>
                  <w:vAlign w:val="center"/>
                </w:tcPr>
                <w:p>
                  <w:pPr>
                    <w:pStyle w:val="140"/>
                    <w:rPr>
                      <w:color w:val="00000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99" w:type="dxa"/>
                  <w:vAlign w:val="center"/>
                </w:tcPr>
                <w:p>
                  <w:pPr>
                    <w:jc w:val="center"/>
                    <w:rPr>
                      <w:color w:val="000000"/>
                      <w:szCs w:val="21"/>
                    </w:rPr>
                  </w:pPr>
                  <w:r>
                    <w:rPr>
                      <w:color w:val="000000"/>
                      <w:szCs w:val="21"/>
                    </w:rPr>
                    <w:t>噪声</w:t>
                  </w:r>
                </w:p>
              </w:tc>
              <w:tc>
                <w:tcPr>
                  <w:tcW w:w="1559" w:type="dxa"/>
                  <w:vAlign w:val="center"/>
                </w:tcPr>
                <w:p>
                  <w:pPr>
                    <w:pStyle w:val="140"/>
                    <w:rPr>
                      <w:color w:val="000000"/>
                    </w:rPr>
                  </w:pPr>
                  <w:r>
                    <w:rPr>
                      <w:rFonts w:hint="eastAsia"/>
                      <w:color w:val="000000"/>
                    </w:rPr>
                    <w:t>风机、上料机</w:t>
                  </w:r>
                </w:p>
              </w:tc>
              <w:tc>
                <w:tcPr>
                  <w:tcW w:w="2126" w:type="dxa"/>
                  <w:vAlign w:val="center"/>
                </w:tcPr>
                <w:p>
                  <w:pPr>
                    <w:jc w:val="center"/>
                    <w:rPr>
                      <w:color w:val="000000"/>
                      <w:szCs w:val="21"/>
                    </w:rPr>
                  </w:pPr>
                  <w:r>
                    <w:rPr>
                      <w:color w:val="000000"/>
                      <w:szCs w:val="21"/>
                    </w:rPr>
                    <w:t>噪声</w:t>
                  </w:r>
                </w:p>
              </w:tc>
              <w:tc>
                <w:tcPr>
                  <w:tcW w:w="3561" w:type="dxa"/>
                  <w:gridSpan w:val="2"/>
                  <w:vAlign w:val="center"/>
                </w:tcPr>
                <w:p>
                  <w:pPr>
                    <w:pStyle w:val="140"/>
                    <w:rPr>
                      <w:color w:val="000000"/>
                    </w:rPr>
                  </w:pPr>
                  <w:r>
                    <w:rPr>
                      <w:color w:val="000000"/>
                    </w:rPr>
                    <w:t>基础减振、密闭隔声</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99" w:type="dxa"/>
                  <w:vMerge w:val="restart"/>
                  <w:vAlign w:val="center"/>
                </w:tcPr>
                <w:p>
                  <w:pPr>
                    <w:jc w:val="center"/>
                    <w:rPr>
                      <w:color w:val="000000"/>
                      <w:szCs w:val="21"/>
                    </w:rPr>
                  </w:pPr>
                  <w:r>
                    <w:rPr>
                      <w:color w:val="000000"/>
                      <w:szCs w:val="21"/>
                    </w:rPr>
                    <w:t>固废</w:t>
                  </w:r>
                </w:p>
              </w:tc>
              <w:tc>
                <w:tcPr>
                  <w:tcW w:w="1559" w:type="dxa"/>
                  <w:vAlign w:val="center"/>
                </w:tcPr>
                <w:p>
                  <w:pPr>
                    <w:pStyle w:val="140"/>
                    <w:rPr>
                      <w:color w:val="000000"/>
                    </w:rPr>
                  </w:pPr>
                  <w:r>
                    <w:rPr>
                      <w:rFonts w:hint="eastAsia"/>
                      <w:color w:val="000000"/>
                    </w:rPr>
                    <w:t>刮刀清理</w:t>
                  </w:r>
                </w:p>
              </w:tc>
              <w:tc>
                <w:tcPr>
                  <w:tcW w:w="2126" w:type="dxa"/>
                  <w:vAlign w:val="center"/>
                </w:tcPr>
                <w:p>
                  <w:pPr>
                    <w:pStyle w:val="140"/>
                    <w:rPr>
                      <w:color w:val="000000"/>
                    </w:rPr>
                  </w:pPr>
                  <w:r>
                    <w:rPr>
                      <w:rFonts w:hint="eastAsia"/>
                      <w:color w:val="000000"/>
                    </w:rPr>
                    <w:t>废抹布</w:t>
                  </w:r>
                </w:p>
              </w:tc>
              <w:tc>
                <w:tcPr>
                  <w:tcW w:w="3561" w:type="dxa"/>
                  <w:gridSpan w:val="2"/>
                  <w:vAlign w:val="center"/>
                </w:tcPr>
                <w:p>
                  <w:pPr>
                    <w:pStyle w:val="140"/>
                    <w:rPr>
                      <w:color w:val="000000"/>
                    </w:rPr>
                  </w:pPr>
                  <w:r>
                    <w:rPr>
                      <w:color w:val="000000"/>
                    </w:rPr>
                    <w:t>收集后暂存于一般固废间</w:t>
                  </w:r>
                  <w:r>
                    <w:rPr>
                      <w:rFonts w:hint="eastAsia"/>
                      <w:color w:val="000000"/>
                    </w:rPr>
                    <w:t>，</w:t>
                  </w:r>
                  <w:r>
                    <w:rPr>
                      <w:color w:val="000000"/>
                    </w:rPr>
                    <w:t>定期外售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99" w:type="dxa"/>
                  <w:vMerge w:val="continue"/>
                  <w:vAlign w:val="center"/>
                </w:tcPr>
                <w:p>
                  <w:pPr>
                    <w:jc w:val="center"/>
                    <w:rPr>
                      <w:color w:val="000000"/>
                      <w:szCs w:val="21"/>
                    </w:rPr>
                  </w:pPr>
                </w:p>
              </w:tc>
              <w:tc>
                <w:tcPr>
                  <w:tcW w:w="1559" w:type="dxa"/>
                  <w:vAlign w:val="center"/>
                </w:tcPr>
                <w:p>
                  <w:pPr>
                    <w:pStyle w:val="140"/>
                    <w:rPr>
                      <w:color w:val="000000"/>
                    </w:rPr>
                  </w:pPr>
                  <w:r>
                    <w:rPr>
                      <w:rFonts w:hint="eastAsia"/>
                      <w:color w:val="000000"/>
                    </w:rPr>
                    <w:t>包装工序</w:t>
                  </w:r>
                </w:p>
              </w:tc>
              <w:tc>
                <w:tcPr>
                  <w:tcW w:w="2126" w:type="dxa"/>
                  <w:vAlign w:val="center"/>
                </w:tcPr>
                <w:p>
                  <w:pPr>
                    <w:pStyle w:val="140"/>
                    <w:rPr>
                      <w:color w:val="000000"/>
                    </w:rPr>
                  </w:pPr>
                  <w:r>
                    <w:rPr>
                      <w:rFonts w:hint="eastAsia"/>
                      <w:color w:val="000000"/>
                    </w:rPr>
                    <w:t>废包装材料</w:t>
                  </w:r>
                </w:p>
              </w:tc>
              <w:tc>
                <w:tcPr>
                  <w:tcW w:w="3561" w:type="dxa"/>
                  <w:gridSpan w:val="2"/>
                  <w:vAlign w:val="center"/>
                </w:tcPr>
                <w:p>
                  <w:pPr>
                    <w:pStyle w:val="140"/>
                    <w:rPr>
                      <w:color w:val="000000"/>
                    </w:rPr>
                  </w:pPr>
                  <w:r>
                    <w:rPr>
                      <w:color w:val="000000"/>
                    </w:rPr>
                    <w:t>收集后暂存于一般固废间</w:t>
                  </w:r>
                  <w:r>
                    <w:rPr>
                      <w:rFonts w:hint="eastAsia"/>
                      <w:color w:val="000000"/>
                    </w:rPr>
                    <w:t>，</w:t>
                  </w:r>
                  <w:r>
                    <w:rPr>
                      <w:color w:val="000000"/>
                    </w:rPr>
                    <w:t>定期外售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99" w:type="dxa"/>
                  <w:vMerge w:val="continue"/>
                  <w:vAlign w:val="center"/>
                </w:tcPr>
                <w:p>
                  <w:pPr>
                    <w:jc w:val="center"/>
                    <w:rPr>
                      <w:color w:val="000000"/>
                      <w:szCs w:val="21"/>
                    </w:rPr>
                  </w:pPr>
                </w:p>
              </w:tc>
              <w:tc>
                <w:tcPr>
                  <w:tcW w:w="1559" w:type="dxa"/>
                  <w:vAlign w:val="center"/>
                </w:tcPr>
                <w:p>
                  <w:pPr>
                    <w:pStyle w:val="140"/>
                    <w:rPr>
                      <w:color w:val="000000"/>
                    </w:rPr>
                  </w:pPr>
                  <w:r>
                    <w:rPr>
                      <w:rFonts w:hint="eastAsia"/>
                      <w:color w:val="000000"/>
                    </w:rPr>
                    <w:t>废气治理</w:t>
                  </w:r>
                </w:p>
              </w:tc>
              <w:tc>
                <w:tcPr>
                  <w:tcW w:w="2126" w:type="dxa"/>
                  <w:vAlign w:val="center"/>
                </w:tcPr>
                <w:p>
                  <w:pPr>
                    <w:pStyle w:val="140"/>
                    <w:rPr>
                      <w:color w:val="000000"/>
                    </w:rPr>
                  </w:pPr>
                  <w:r>
                    <w:rPr>
                      <w:rFonts w:hint="eastAsia"/>
                      <w:color w:val="000000"/>
                    </w:rPr>
                    <w:t>袋式除尘器收集粉尘</w:t>
                  </w:r>
                </w:p>
              </w:tc>
              <w:tc>
                <w:tcPr>
                  <w:tcW w:w="3561" w:type="dxa"/>
                  <w:gridSpan w:val="2"/>
                  <w:vAlign w:val="center"/>
                </w:tcPr>
                <w:p>
                  <w:pPr>
                    <w:pStyle w:val="140"/>
                    <w:rPr>
                      <w:color w:val="000000"/>
                    </w:rPr>
                  </w:pPr>
                  <w:r>
                    <w:rPr>
                      <w:color w:val="000000"/>
                    </w:rPr>
                    <w:t>收集后暂存于一般固废间</w:t>
                  </w:r>
                  <w:r>
                    <w:rPr>
                      <w:rFonts w:hint="eastAsia"/>
                      <w:color w:val="000000"/>
                    </w:rPr>
                    <w:t>，回用于</w:t>
                  </w:r>
                  <w:r>
                    <w:rPr>
                      <w:color w:val="000000"/>
                    </w:rPr>
                    <w:t>生产</w:t>
                  </w:r>
                </w:p>
              </w:tc>
            </w:tr>
          </w:tbl>
          <w:p>
            <w:pPr>
              <w:adjustRightInd w:val="0"/>
              <w:spacing w:line="400" w:lineRule="exact"/>
              <w:textAlignment w:val="baseline"/>
              <w:rPr>
                <w:rFonts w:ascii="宋体" w:hAnsi="宋体"/>
                <w:bCs/>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8" w:hRule="atLeast"/>
          <w:jc w:val="center"/>
        </w:trPr>
        <w:tc>
          <w:tcPr>
            <w:tcW w:w="823" w:type="dxa"/>
            <w:vAlign w:val="center"/>
          </w:tcPr>
          <w:p>
            <w:pPr>
              <w:pStyle w:val="29"/>
              <w:adjustRightInd w:val="0"/>
              <w:snapToGrid w:val="0"/>
              <w:spacing w:before="0" w:beforeAutospacing="0" w:after="0" w:afterAutospacing="0"/>
              <w:jc w:val="center"/>
              <w:rPr>
                <w:rFonts w:cs="宋体"/>
                <w:color w:val="000000"/>
                <w:sz w:val="21"/>
                <w:szCs w:val="21"/>
              </w:rPr>
            </w:pPr>
            <w:r>
              <w:rPr>
                <w:rFonts w:hint="eastAsia" w:cs="宋体"/>
                <w:bCs/>
                <w:color w:val="000000"/>
                <w:kern w:val="2"/>
                <w:sz w:val="21"/>
                <w:szCs w:val="21"/>
              </w:rPr>
              <w:t>与项目有关的原有环境污染问题</w:t>
            </w:r>
          </w:p>
        </w:tc>
        <w:tc>
          <w:tcPr>
            <w:tcW w:w="8161" w:type="dxa"/>
          </w:tcPr>
          <w:p>
            <w:pPr>
              <w:spacing w:line="480" w:lineRule="exact"/>
              <w:ind w:firstLine="480" w:firstLineChars="200"/>
              <w:rPr>
                <w:sz w:val="24"/>
              </w:rPr>
            </w:pPr>
            <w:r>
              <w:rPr>
                <w:sz w:val="24"/>
              </w:rPr>
              <w:t>河南兴泰纸业有限公司（原新乡豫兴纸业有限公司）是一家制浆造纸联合企业，厂址位于新乡市新乡县新乡经济开发区黄河大道中段，厂区现有项目为：</w:t>
            </w:r>
            <w:r>
              <w:rPr>
                <w:rFonts w:hint="eastAsia"/>
                <w:sz w:val="24"/>
              </w:rPr>
              <w:t>“</w:t>
            </w:r>
            <w:r>
              <w:rPr>
                <w:sz w:val="24"/>
              </w:rPr>
              <w:t>150吨/日碱回收废水综合治理工程及6万吨文化纸项目</w:t>
            </w:r>
            <w:r>
              <w:rPr>
                <w:rFonts w:hint="eastAsia"/>
                <w:sz w:val="24"/>
              </w:rPr>
              <w:t>”</w:t>
            </w:r>
            <w:r>
              <w:rPr>
                <w:sz w:val="24"/>
              </w:rPr>
              <w:t>、</w:t>
            </w:r>
            <w:r>
              <w:rPr>
                <w:rFonts w:hint="eastAsia"/>
                <w:sz w:val="24"/>
              </w:rPr>
              <w:t xml:space="preserve"> “</w:t>
            </w:r>
            <w:r>
              <w:rPr>
                <w:sz w:val="24"/>
              </w:rPr>
              <w:t>年加工6万吨涂布白卡纸项目</w:t>
            </w:r>
            <w:r>
              <w:rPr>
                <w:rFonts w:hint="eastAsia"/>
                <w:sz w:val="24"/>
              </w:rPr>
              <w:t>”</w:t>
            </w:r>
            <w:r>
              <w:rPr>
                <w:sz w:val="24"/>
              </w:rPr>
              <w:t>及</w:t>
            </w:r>
            <w:r>
              <w:rPr>
                <w:rFonts w:hint="eastAsia"/>
                <w:sz w:val="24"/>
              </w:rPr>
              <w:t>“年产4.6万吨白卡纸智能化改建项目”。</w:t>
            </w:r>
          </w:p>
          <w:p>
            <w:pPr>
              <w:spacing w:line="480" w:lineRule="exact"/>
              <w:ind w:firstLine="480" w:firstLineChars="200"/>
              <w:rPr>
                <w:sz w:val="24"/>
              </w:rPr>
            </w:pPr>
            <w:r>
              <w:rPr>
                <w:sz w:val="24"/>
              </w:rPr>
              <w:t>现有项目环评批复及验收情况如下表所示。</w:t>
            </w:r>
          </w:p>
          <w:p>
            <w:pPr>
              <w:adjustRightInd w:val="0"/>
              <w:spacing w:line="400" w:lineRule="exact"/>
              <w:ind w:firstLine="480" w:firstLineChars="200"/>
              <w:textAlignment w:val="baseline"/>
              <w:rPr>
                <w:rFonts w:eastAsia="黑体"/>
                <w:bCs/>
                <w:color w:val="000000"/>
                <w:sz w:val="24"/>
              </w:rPr>
            </w:pPr>
            <w:r>
              <w:rPr>
                <w:rFonts w:eastAsia="黑体"/>
                <w:bCs/>
                <w:color w:val="000000"/>
                <w:sz w:val="24"/>
              </w:rPr>
              <w:t>表</w:t>
            </w:r>
            <w:r>
              <w:rPr>
                <w:rFonts w:hint="eastAsia" w:eastAsia="黑体"/>
                <w:bCs/>
                <w:color w:val="000000"/>
                <w:sz w:val="24"/>
              </w:rPr>
              <w:t>13</w:t>
            </w:r>
            <w:r>
              <w:rPr>
                <w:rFonts w:eastAsia="黑体"/>
                <w:bCs/>
                <w:color w:val="000000"/>
                <w:sz w:val="24"/>
              </w:rPr>
              <w:t xml:space="preserve">            </w:t>
            </w:r>
            <w:r>
              <w:rPr>
                <w:rFonts w:hint="eastAsia" w:eastAsia="黑体"/>
                <w:bCs/>
                <w:color w:val="000000"/>
                <w:sz w:val="24"/>
              </w:rPr>
              <w:t>现有项目审批及验收情况</w:t>
            </w:r>
            <w:r>
              <w:rPr>
                <w:rFonts w:eastAsia="黑体"/>
                <w:bCs/>
                <w:color w:val="000000"/>
                <w:sz w:val="24"/>
              </w:rPr>
              <w:t>一览表</w:t>
            </w:r>
          </w:p>
          <w:tbl>
            <w:tblPr>
              <w:tblStyle w:val="31"/>
              <w:tblpPr w:leftFromText="180" w:rightFromText="180" w:vertAnchor="text" w:tblpXSpec="center" w:tblpY="1"/>
              <w:tblOverlap w:val="never"/>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97"/>
              <w:gridCol w:w="1699"/>
              <w:gridCol w:w="1386"/>
              <w:gridCol w:w="1502"/>
              <w:gridCol w:w="256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2" w:type="pct"/>
                  <w:vAlign w:val="center"/>
                </w:tcPr>
                <w:p>
                  <w:pPr>
                    <w:pStyle w:val="268"/>
                    <w:rPr>
                      <w:rFonts w:cs="Times New Roman"/>
                    </w:rPr>
                  </w:pPr>
                  <w:r>
                    <w:rPr>
                      <w:rFonts w:hint="eastAsia" w:cs="Times New Roman"/>
                    </w:rPr>
                    <w:t>序号</w:t>
                  </w:r>
                </w:p>
              </w:tc>
              <w:tc>
                <w:tcPr>
                  <w:tcW w:w="1069" w:type="pct"/>
                  <w:vAlign w:val="center"/>
                </w:tcPr>
                <w:p>
                  <w:pPr>
                    <w:pStyle w:val="268"/>
                    <w:rPr>
                      <w:rFonts w:cs="Times New Roman"/>
                    </w:rPr>
                  </w:pPr>
                  <w:r>
                    <w:rPr>
                      <w:rFonts w:cs="Times New Roman"/>
                    </w:rPr>
                    <w:t>项目名称</w:t>
                  </w:r>
                </w:p>
              </w:tc>
              <w:tc>
                <w:tcPr>
                  <w:tcW w:w="872" w:type="pct"/>
                  <w:vAlign w:val="center"/>
                </w:tcPr>
                <w:p>
                  <w:pPr>
                    <w:pStyle w:val="268"/>
                    <w:rPr>
                      <w:rFonts w:cs="Times New Roman"/>
                    </w:rPr>
                  </w:pPr>
                  <w:r>
                    <w:rPr>
                      <w:rFonts w:cs="Times New Roman"/>
                    </w:rPr>
                    <w:t>产品方案</w:t>
                  </w:r>
                </w:p>
              </w:tc>
              <w:tc>
                <w:tcPr>
                  <w:tcW w:w="945" w:type="pct"/>
                  <w:vAlign w:val="center"/>
                </w:tcPr>
                <w:p>
                  <w:pPr>
                    <w:pStyle w:val="268"/>
                    <w:rPr>
                      <w:rFonts w:cs="Times New Roman"/>
                    </w:rPr>
                  </w:pPr>
                  <w:r>
                    <w:rPr>
                      <w:rFonts w:cs="Times New Roman"/>
                    </w:rPr>
                    <w:t>批复文号</w:t>
                  </w:r>
                </w:p>
              </w:tc>
              <w:tc>
                <w:tcPr>
                  <w:tcW w:w="1612" w:type="pct"/>
                  <w:vAlign w:val="center"/>
                </w:tcPr>
                <w:p>
                  <w:pPr>
                    <w:pStyle w:val="268"/>
                    <w:rPr>
                      <w:rFonts w:cs="Times New Roman"/>
                    </w:rPr>
                  </w:pPr>
                  <w:r>
                    <w:rPr>
                      <w:rFonts w:cs="Times New Roman"/>
                    </w:rPr>
                    <w:t>验收情况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2" w:type="pct"/>
                  <w:vMerge w:val="restart"/>
                  <w:vAlign w:val="center"/>
                </w:tcPr>
                <w:p>
                  <w:pPr>
                    <w:pStyle w:val="140"/>
                  </w:pPr>
                  <w:r>
                    <w:rPr>
                      <w:rFonts w:hint="eastAsia"/>
                    </w:rPr>
                    <w:t>1</w:t>
                  </w:r>
                </w:p>
              </w:tc>
              <w:tc>
                <w:tcPr>
                  <w:tcW w:w="1069" w:type="pct"/>
                  <w:vAlign w:val="center"/>
                </w:tcPr>
                <w:p>
                  <w:pPr>
                    <w:pStyle w:val="140"/>
                  </w:pPr>
                  <w:r>
                    <w:t>150吨/日碱回收废水综合治理工程及6万吨文化纸项目</w:t>
                  </w:r>
                </w:p>
              </w:tc>
              <w:tc>
                <w:tcPr>
                  <w:tcW w:w="872" w:type="pct"/>
                  <w:vAlign w:val="center"/>
                </w:tcPr>
                <w:p>
                  <w:pPr>
                    <w:pStyle w:val="140"/>
                    <w:jc w:val="both"/>
                    <w:rPr>
                      <w:szCs w:val="20"/>
                    </w:rPr>
                  </w:pPr>
                  <w:r>
                    <w:rPr>
                      <w:rFonts w:hint="eastAsia"/>
                    </w:rPr>
                    <w:t>6</w:t>
                  </w:r>
                  <w:r>
                    <w:t>万吨牛底白卡纸</w:t>
                  </w:r>
                </w:p>
              </w:tc>
              <w:tc>
                <w:tcPr>
                  <w:tcW w:w="945" w:type="pct"/>
                  <w:vAlign w:val="center"/>
                </w:tcPr>
                <w:p>
                  <w:pPr>
                    <w:pStyle w:val="140"/>
                    <w:rPr>
                      <w:szCs w:val="20"/>
                    </w:rPr>
                  </w:pPr>
                  <w:r>
                    <w:t>豫环审[2007]38号</w:t>
                  </w:r>
                </w:p>
              </w:tc>
              <w:tc>
                <w:tcPr>
                  <w:tcW w:w="1612" w:type="pct"/>
                  <w:vMerge w:val="restart"/>
                  <w:vAlign w:val="center"/>
                </w:tcPr>
                <w:p>
                  <w:pPr>
                    <w:pStyle w:val="140"/>
                    <w:jc w:val="both"/>
                  </w:pPr>
                  <w:r>
                    <w:rPr>
                      <w:rFonts w:hint="eastAsia"/>
                    </w:rPr>
                    <w:t>“</w:t>
                  </w:r>
                  <w:r>
                    <w:t>150吨/日碱回收废水综合治理工程及6万吨/年文化纸项目（一期工程）</w:t>
                  </w:r>
                  <w:r>
                    <w:rPr>
                      <w:rFonts w:hint="eastAsia"/>
                    </w:rPr>
                    <w:t>”</w:t>
                  </w:r>
                  <w:r>
                    <w:t>已通过验收，批复文号：豫环审[2015]79号</w:t>
                  </w:r>
                  <w:r>
                    <w:rPr>
                      <w:rFonts w:hint="eastAsia"/>
                    </w:rPr>
                    <w:t>。验收对象：</w:t>
                  </w:r>
                  <w:r>
                    <w:t>1.3万t/a文化纸、5.5万t/a特种纸主体工程</w:t>
                  </w:r>
                  <w:r>
                    <w:rPr>
                      <w:rFonts w:hint="eastAsia"/>
                    </w:rPr>
                    <w:t>；</w:t>
                  </w:r>
                </w:p>
                <w:p>
                  <w:pPr>
                    <w:pStyle w:val="140"/>
                  </w:pPr>
                  <w:r>
                    <w:rPr>
                      <w:rFonts w:hint="eastAsia"/>
                    </w:rPr>
                    <w:t>“</w:t>
                  </w:r>
                  <w:r>
                    <w:t>150吨/日碱回收废水综合治理工程及6万吨/年文化纸项目（二期工程）</w:t>
                  </w:r>
                  <w:r>
                    <w:rPr>
                      <w:rFonts w:hint="eastAsia"/>
                    </w:rPr>
                    <w:t>”</w:t>
                  </w:r>
                  <w:r>
                    <w:t>已建成，企业已</w:t>
                  </w:r>
                  <w:r>
                    <w:rPr>
                      <w:rFonts w:hint="eastAsia"/>
                    </w:rPr>
                    <w:t>于</w:t>
                  </w:r>
                  <w:r>
                    <w:rPr>
                      <w:rFonts w:hAnsi="宋体"/>
                    </w:rPr>
                    <w:t>2019</w:t>
                  </w:r>
                  <w:r>
                    <w:rPr>
                      <w:rFonts w:hint="eastAsia" w:hAnsi="宋体"/>
                    </w:rPr>
                    <w:t>年</w:t>
                  </w:r>
                  <w:r>
                    <w:rPr>
                      <w:rFonts w:hAnsi="宋体"/>
                    </w:rPr>
                    <w:t>1</w:t>
                  </w:r>
                  <w:r>
                    <w:rPr>
                      <w:rFonts w:hint="eastAsia" w:hAnsi="宋体"/>
                    </w:rPr>
                    <w:t>月</w:t>
                  </w:r>
                  <w:r>
                    <w:t>完成自主验收</w:t>
                  </w:r>
                  <w:r>
                    <w:rPr>
                      <w:rFonts w:hint="eastAsia"/>
                    </w:rPr>
                    <w:t>。验收对象：</w:t>
                  </w:r>
                  <w:r>
                    <w:t>6万t/a牛底白卡纸</w:t>
                  </w:r>
                  <w:r>
                    <w:rPr>
                      <w:rFonts w:hint="eastAsia"/>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2" w:type="pct"/>
                  <w:vMerge w:val="continue"/>
                  <w:vAlign w:val="center"/>
                </w:tcPr>
                <w:p>
                  <w:pPr>
                    <w:pStyle w:val="140"/>
                  </w:pPr>
                </w:p>
              </w:tc>
              <w:tc>
                <w:tcPr>
                  <w:tcW w:w="1069" w:type="pct"/>
                  <w:vAlign w:val="center"/>
                </w:tcPr>
                <w:p>
                  <w:pPr>
                    <w:pStyle w:val="140"/>
                    <w:rPr>
                      <w:bCs/>
                    </w:rPr>
                  </w:pPr>
                  <w:r>
                    <w:t>150吨/日碱回收废水综合治理工程及6万吨文化纸项目后评价报告</w:t>
                  </w:r>
                </w:p>
              </w:tc>
              <w:tc>
                <w:tcPr>
                  <w:tcW w:w="872" w:type="pct"/>
                  <w:vAlign w:val="center"/>
                </w:tcPr>
                <w:p>
                  <w:pPr>
                    <w:pStyle w:val="140"/>
                  </w:pPr>
                  <w:r>
                    <w:t>1.3万t/a文化纸、5.5万t/a特种纸、6万t/a牛底白卡纸</w:t>
                  </w:r>
                </w:p>
              </w:tc>
              <w:tc>
                <w:tcPr>
                  <w:tcW w:w="945" w:type="pct"/>
                  <w:vAlign w:val="center"/>
                </w:tcPr>
                <w:p>
                  <w:pPr>
                    <w:pStyle w:val="140"/>
                  </w:pPr>
                  <w:r>
                    <w:t>豫环评备[2014]1号</w:t>
                  </w:r>
                </w:p>
              </w:tc>
              <w:tc>
                <w:tcPr>
                  <w:tcW w:w="1612" w:type="pct"/>
                  <w:vMerge w:val="continue"/>
                  <w:vAlign w:val="center"/>
                </w:tcPr>
                <w:p>
                  <w:pPr>
                    <w:pStyle w:val="140"/>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2" w:type="pct"/>
                  <w:vAlign w:val="center"/>
                </w:tcPr>
                <w:p>
                  <w:pPr>
                    <w:pStyle w:val="140"/>
                  </w:pPr>
                  <w:r>
                    <w:rPr>
                      <w:rFonts w:hint="eastAsia"/>
                    </w:rPr>
                    <w:t>2</w:t>
                  </w:r>
                </w:p>
              </w:tc>
              <w:tc>
                <w:tcPr>
                  <w:tcW w:w="1069" w:type="pct"/>
                  <w:vAlign w:val="center"/>
                </w:tcPr>
                <w:p>
                  <w:pPr>
                    <w:pStyle w:val="140"/>
                    <w:rPr>
                      <w:bCs/>
                    </w:rPr>
                  </w:pPr>
                  <w:r>
                    <w:t>年加工6万吨涂布白卡纸项目</w:t>
                  </w:r>
                </w:p>
              </w:tc>
              <w:tc>
                <w:tcPr>
                  <w:tcW w:w="872" w:type="pct"/>
                  <w:vAlign w:val="center"/>
                </w:tcPr>
                <w:p>
                  <w:pPr>
                    <w:pStyle w:val="140"/>
                  </w:pPr>
                  <w:r>
                    <w:t>6万t/a涂布白卡纸</w:t>
                  </w:r>
                </w:p>
              </w:tc>
              <w:tc>
                <w:tcPr>
                  <w:tcW w:w="945" w:type="pct"/>
                  <w:vAlign w:val="center"/>
                </w:tcPr>
                <w:p>
                  <w:pPr>
                    <w:pStyle w:val="140"/>
                  </w:pPr>
                  <w:r>
                    <w:t>新环表[2019]067号</w:t>
                  </w:r>
                </w:p>
              </w:tc>
              <w:tc>
                <w:tcPr>
                  <w:tcW w:w="1612" w:type="pct"/>
                  <w:vAlign w:val="center"/>
                </w:tcPr>
                <w:p>
                  <w:pPr>
                    <w:pStyle w:val="140"/>
                  </w:pPr>
                  <w:r>
                    <w:t>已</w:t>
                  </w:r>
                  <w:r>
                    <w:rPr>
                      <w:rFonts w:hint="eastAsia"/>
                    </w:rPr>
                    <w:t>于</w:t>
                  </w:r>
                  <w:r>
                    <w:rPr>
                      <w:rFonts w:hAnsi="宋体"/>
                    </w:rPr>
                    <w:t>2019</w:t>
                  </w:r>
                  <w:r>
                    <w:rPr>
                      <w:rFonts w:hint="eastAsia" w:hAnsi="宋体"/>
                    </w:rPr>
                    <w:t>年</w:t>
                  </w:r>
                  <w:r>
                    <w:rPr>
                      <w:rFonts w:hAnsi="宋体"/>
                    </w:rPr>
                    <w:t>12</w:t>
                  </w:r>
                  <w:r>
                    <w:rPr>
                      <w:rFonts w:hint="eastAsia" w:hAnsi="宋体"/>
                    </w:rPr>
                    <w:t>月</w:t>
                  </w:r>
                  <w:r>
                    <w:t>完成自主验收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2" w:type="pct"/>
                  <w:vAlign w:val="center"/>
                </w:tcPr>
                <w:p>
                  <w:pPr>
                    <w:pStyle w:val="140"/>
                  </w:pPr>
                  <w:r>
                    <w:rPr>
                      <w:rFonts w:hint="eastAsia"/>
                    </w:rPr>
                    <w:t>3</w:t>
                  </w:r>
                </w:p>
              </w:tc>
              <w:tc>
                <w:tcPr>
                  <w:tcW w:w="1069" w:type="pct"/>
                  <w:vAlign w:val="center"/>
                </w:tcPr>
                <w:p>
                  <w:pPr>
                    <w:pStyle w:val="140"/>
                  </w:pPr>
                  <w:r>
                    <w:t>年产</w:t>
                  </w:r>
                  <w:r>
                    <w:rPr>
                      <w:rFonts w:hint="eastAsia"/>
                    </w:rPr>
                    <w:t>4.6万吨白卡纸智能化改建项目</w:t>
                  </w:r>
                </w:p>
              </w:tc>
              <w:tc>
                <w:tcPr>
                  <w:tcW w:w="872" w:type="pct"/>
                  <w:vAlign w:val="center"/>
                </w:tcPr>
                <w:p>
                  <w:pPr>
                    <w:pStyle w:val="140"/>
                  </w:pPr>
                  <w:r>
                    <w:rPr>
                      <w:rFonts w:hint="eastAsia"/>
                    </w:rPr>
                    <w:t>4.6万t/a白卡纸</w:t>
                  </w:r>
                </w:p>
              </w:tc>
              <w:tc>
                <w:tcPr>
                  <w:tcW w:w="945" w:type="pct"/>
                  <w:vAlign w:val="center"/>
                </w:tcPr>
                <w:p>
                  <w:pPr>
                    <w:pStyle w:val="140"/>
                    <w:rPr>
                      <w:rFonts w:hint="eastAsia" w:eastAsia="宋体"/>
                      <w:lang w:eastAsia="zh-CN"/>
                    </w:rPr>
                  </w:pPr>
                  <w:r>
                    <w:rPr>
                      <w:rFonts w:hint="eastAsia"/>
                    </w:rPr>
                    <w:t>新环书</w:t>
                  </w:r>
                  <w:r>
                    <w:rPr>
                      <w:rFonts w:hint="eastAsia"/>
                      <w:lang w:eastAsia="zh-CN"/>
                    </w:rPr>
                    <w:t>审</w:t>
                  </w:r>
                </w:p>
                <w:p>
                  <w:pPr>
                    <w:pStyle w:val="140"/>
                  </w:pPr>
                  <w:r>
                    <w:rPr>
                      <w:rFonts w:hint="eastAsia"/>
                    </w:rPr>
                    <w:t>[2</w:t>
                  </w:r>
                  <w:r>
                    <w:t>021]</w:t>
                  </w:r>
                  <w:r>
                    <w:rPr>
                      <w:rFonts w:hint="eastAsia"/>
                      <w:lang w:val="en-US" w:eastAsia="zh-CN"/>
                    </w:rPr>
                    <w:t>32</w:t>
                  </w:r>
                  <w:r>
                    <w:rPr>
                      <w:rFonts w:hint="eastAsia"/>
                    </w:rPr>
                    <w:t>号</w:t>
                  </w:r>
                </w:p>
              </w:tc>
              <w:tc>
                <w:tcPr>
                  <w:tcW w:w="1612" w:type="pct"/>
                  <w:vAlign w:val="center"/>
                </w:tcPr>
                <w:p>
                  <w:pPr>
                    <w:pStyle w:val="140"/>
                  </w:pPr>
                  <w:r>
                    <w:rPr>
                      <w:rFonts w:hint="eastAsia"/>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5"/>
                  <w:vAlign w:val="center"/>
                </w:tcPr>
                <w:p>
                  <w:pPr>
                    <w:pStyle w:val="140"/>
                  </w:pPr>
                  <w:r>
                    <w:t>注：</w:t>
                  </w:r>
                  <w:r>
                    <w:rPr>
                      <w:rFonts w:hint="eastAsia"/>
                    </w:rPr>
                    <w:t>“</w:t>
                  </w:r>
                  <w:r>
                    <w:t>余热余压综合利用项目</w:t>
                  </w:r>
                  <w:r>
                    <w:rPr>
                      <w:rFonts w:hint="eastAsia"/>
                    </w:rPr>
                    <w:t>”</w:t>
                  </w:r>
                  <w:r>
                    <w:t>和</w:t>
                  </w:r>
                  <w:r>
                    <w:rPr>
                      <w:rFonts w:hint="eastAsia"/>
                    </w:rPr>
                    <w:t>“</w:t>
                  </w:r>
                  <w:r>
                    <w:t>锅炉系统改造项目</w:t>
                  </w:r>
                  <w:r>
                    <w:rPr>
                      <w:rFonts w:hint="eastAsia"/>
                    </w:rPr>
                    <w:t>”</w:t>
                  </w:r>
                  <w:r>
                    <w:t>的主体工程热电生产车间现已转让给新乡县恒新热力有限公司（见附件锅炉转让协议），因此不再作为本项目现有工程进行分析。</w:t>
                  </w:r>
                </w:p>
              </w:tc>
            </w:tr>
          </w:tbl>
          <w:p>
            <w:pPr>
              <w:spacing w:line="480" w:lineRule="exact"/>
              <w:ind w:firstLine="480" w:firstLineChars="200"/>
              <w:rPr>
                <w:sz w:val="24"/>
              </w:rPr>
            </w:pPr>
            <w:r>
              <w:rPr>
                <w:sz w:val="24"/>
              </w:rPr>
              <w:t>河南兴泰纸业有限公司于2017年5月27日首次申请了排污许可证，于2020年6月28日进行了延续，于2020年12月1日进行了变更，排污许可证主码：91410721697307482M001P。</w:t>
            </w:r>
          </w:p>
          <w:p>
            <w:pPr>
              <w:numPr>
                <w:ilvl w:val="0"/>
                <w:numId w:val="3"/>
              </w:numPr>
              <w:spacing w:line="480" w:lineRule="exact"/>
              <w:rPr>
                <w:b/>
                <w:sz w:val="24"/>
              </w:rPr>
            </w:pPr>
            <w:r>
              <w:rPr>
                <w:rFonts w:hint="eastAsia"/>
                <w:b/>
                <w:sz w:val="24"/>
              </w:rPr>
              <w:t>现有工程污染情况</w:t>
            </w:r>
          </w:p>
          <w:p>
            <w:pPr>
              <w:spacing w:line="480" w:lineRule="exact"/>
              <w:ind w:firstLine="480" w:firstLineChars="200"/>
              <w:rPr>
                <w:sz w:val="24"/>
              </w:rPr>
            </w:pPr>
            <w:r>
              <w:rPr>
                <w:sz w:val="24"/>
              </w:rPr>
              <w:t>根据2020年的例行监测报告、</w:t>
            </w:r>
            <w:r>
              <w:rPr>
                <w:rFonts w:hint="eastAsia"/>
                <w:sz w:val="24"/>
              </w:rPr>
              <w:t>自行</w:t>
            </w:r>
            <w:r>
              <w:rPr>
                <w:sz w:val="24"/>
              </w:rPr>
              <w:t>监测报告、废水在线监测数据，现有工程的污染物排放情况如下：</w:t>
            </w:r>
          </w:p>
          <w:p>
            <w:pPr>
              <w:spacing w:line="480" w:lineRule="exact"/>
              <w:ind w:firstLine="480" w:firstLineChars="200"/>
              <w:rPr>
                <w:sz w:val="24"/>
              </w:rPr>
            </w:pPr>
            <w:r>
              <w:rPr>
                <w:rFonts w:hint="eastAsia"/>
                <w:sz w:val="24"/>
              </w:rPr>
              <w:t>1、废水</w:t>
            </w:r>
          </w:p>
          <w:p>
            <w:pPr>
              <w:spacing w:line="480" w:lineRule="exact"/>
              <w:ind w:firstLine="480" w:firstLineChars="200"/>
              <w:rPr>
                <w:sz w:val="24"/>
              </w:rPr>
            </w:pPr>
            <w:r>
              <w:rPr>
                <w:rFonts w:hint="eastAsia"/>
                <w:sz w:val="24"/>
              </w:rPr>
              <w:t>河南兴泰纸业有限公司现有项目废水主要为</w:t>
            </w:r>
            <w:r>
              <w:rPr>
                <w:sz w:val="24"/>
              </w:rPr>
              <w:t>文化纸/特种纸制浆产生的洗料水、黑液和漂洗废水，文化纸/特种纸造纸产生的纸机白水</w:t>
            </w:r>
            <w:r>
              <w:rPr>
                <w:rFonts w:hint="eastAsia"/>
                <w:sz w:val="24"/>
              </w:rPr>
              <w:t>，</w:t>
            </w:r>
            <w:r>
              <w:rPr>
                <w:sz w:val="24"/>
              </w:rPr>
              <w:t>牛底白卡涂布纸制浆产生的制浆废水和洗涤浓缩废水，牛底白卡涂布纸造纸产生的纸机白水</w:t>
            </w:r>
            <w:r>
              <w:rPr>
                <w:rFonts w:hint="eastAsia"/>
                <w:sz w:val="24"/>
              </w:rPr>
              <w:t>，</w:t>
            </w:r>
            <w:r>
              <w:rPr>
                <w:sz w:val="24"/>
              </w:rPr>
              <w:t>以及职工生活污水。</w:t>
            </w:r>
          </w:p>
          <w:p>
            <w:pPr>
              <w:spacing w:line="480" w:lineRule="exact"/>
              <w:ind w:firstLine="480" w:firstLineChars="200"/>
              <w:rPr>
                <w:sz w:val="24"/>
              </w:rPr>
            </w:pPr>
            <w:r>
              <w:rPr>
                <w:sz w:val="24"/>
              </w:rPr>
              <w:t>目前纸机白水经过白水处理系统处理后全部回用，制浆产生的黑液进入碱回收系统焚烧处理，均不外排；漂洗废水部分回用，剩余部分同其他废水混合进入厂区综合污水处理站进行处理，处理达标后部分回用于生产，剩余部分经市政管网排入贾屯污水处理厂。</w:t>
            </w:r>
            <w:r>
              <w:rPr>
                <w:rFonts w:hint="eastAsia"/>
                <w:sz w:val="24"/>
              </w:rPr>
              <w:t>厂区</w:t>
            </w:r>
            <w:r>
              <w:rPr>
                <w:sz w:val="24"/>
              </w:rPr>
              <w:t>污水处理站处理工艺为</w:t>
            </w:r>
            <w:r>
              <w:rPr>
                <w:rFonts w:hint="eastAsia"/>
                <w:sz w:val="24"/>
              </w:rPr>
              <w:t>“</w:t>
            </w:r>
            <w:r>
              <w:rPr>
                <w:sz w:val="24"/>
              </w:rPr>
              <w:t>斜网过滤+沉砂池+沉淀池+预酸化池+两级IC反应器（串联）+强化水解池+水解沉淀池+氧化沟+二沉池</w:t>
            </w:r>
            <w:r>
              <w:rPr>
                <w:rFonts w:hint="eastAsia"/>
                <w:sz w:val="24"/>
              </w:rPr>
              <w:t>”。</w:t>
            </w:r>
          </w:p>
          <w:p>
            <w:pPr>
              <w:spacing w:line="480" w:lineRule="exact"/>
              <w:ind w:firstLine="480" w:firstLineChars="200"/>
              <w:rPr>
                <w:sz w:val="24"/>
              </w:rPr>
            </w:pPr>
            <w:r>
              <w:rPr>
                <w:rFonts w:hint="eastAsia"/>
                <w:sz w:val="24"/>
              </w:rPr>
              <w:t>根据</w:t>
            </w:r>
            <w:r>
              <w:rPr>
                <w:sz w:val="24"/>
              </w:rPr>
              <w:t>企业</w:t>
            </w:r>
            <w:r>
              <w:rPr>
                <w:rFonts w:hint="eastAsia"/>
                <w:sz w:val="24"/>
              </w:rPr>
              <w:t>2020-2021年至今的在线监测数据与自行监测报告结果，</w:t>
            </w:r>
            <w:r>
              <w:rPr>
                <w:sz w:val="24"/>
              </w:rPr>
              <w:t>现有工程废水经厂区总排口各污染物排放浓度最大值分别为COD 231.98mg/L、NH3-N 17.02mg/L、TP 2.22mg/L、TN 38.6mg/L、BOD5 63.7mg/L、SS 66mg/L和色度16，可以同时满足河南兴泰纸业有限公司城镇污水排入排水管网许可证（附件四）和新乡县环境保护局出具标准（附件三）要求的《污水排入城镇下水道水质标准》（GB/T 31962-2015）限值要求：COD 300mg/L、NH3-N 25mg/L、TP 5mg/L、TN 45mg/L、SS 250mg/L、BOD5 150mg/L和色度64。根据项目2020年全年各单元用排水情况的统计数据，厂区废水排放量最大为3776.55m³/d，则项目现有工程污染物出厂排放量为COD 289.1077t/a、NH3-N 1.3029t/a、TP 0.0125t/a和TN 0.0283t/a。</w:t>
            </w:r>
          </w:p>
          <w:p>
            <w:pPr>
              <w:spacing w:line="480" w:lineRule="exact"/>
              <w:ind w:firstLine="480" w:firstLineChars="200"/>
              <w:rPr>
                <w:sz w:val="24"/>
              </w:rPr>
            </w:pPr>
            <w:r>
              <w:rPr>
                <w:rFonts w:hint="eastAsia"/>
                <w:sz w:val="24"/>
              </w:rPr>
              <w:t>2、废气</w:t>
            </w:r>
          </w:p>
          <w:p>
            <w:pPr>
              <w:spacing w:line="480" w:lineRule="exact"/>
              <w:ind w:firstLine="480" w:firstLineChars="200"/>
              <w:rPr>
                <w:sz w:val="24"/>
              </w:rPr>
            </w:pPr>
            <w:r>
              <w:rPr>
                <w:sz w:val="24"/>
              </w:rPr>
              <w:t>（1）有组织废气</w:t>
            </w:r>
          </w:p>
          <w:p>
            <w:pPr>
              <w:spacing w:line="480" w:lineRule="exact"/>
              <w:ind w:firstLine="480" w:firstLineChars="200"/>
              <w:rPr>
                <w:sz w:val="24"/>
              </w:rPr>
            </w:pPr>
            <w:r>
              <w:rPr>
                <w:rFonts w:hint="eastAsia"/>
                <w:sz w:val="24"/>
              </w:rPr>
              <w:t>①</w:t>
            </w:r>
            <w:r>
              <w:rPr>
                <w:sz w:val="24"/>
              </w:rPr>
              <w:t>投料粉尘</w:t>
            </w:r>
          </w:p>
          <w:p>
            <w:pPr>
              <w:spacing w:line="480" w:lineRule="exact"/>
              <w:ind w:firstLine="480" w:firstLineChars="200"/>
              <w:rPr>
                <w:sz w:val="24"/>
              </w:rPr>
            </w:pPr>
            <w:r>
              <w:rPr>
                <w:sz w:val="24"/>
              </w:rPr>
              <w:t>文化纸/特种纸投料、涂布牛底白卡纸投料工段均会产生一定量的粉尘，均经集气罩收集后引入袋式除尘器处理后经15m高排气筒排放。</w:t>
            </w:r>
          </w:p>
          <w:p>
            <w:pPr>
              <w:spacing w:line="480" w:lineRule="exact"/>
              <w:ind w:firstLine="480" w:firstLineChars="200"/>
              <w:rPr>
                <w:rFonts w:eastAsia="黑体"/>
                <w:color w:val="000000"/>
                <w:sz w:val="24"/>
                <w:szCs w:val="20"/>
              </w:rPr>
            </w:pPr>
            <w:r>
              <w:rPr>
                <w:sz w:val="24"/>
              </w:rPr>
              <w:t>河南兴泰纸业有限公司于2020年8月21日-22日委托河南省万华环境检测有限公司对厂区投料废气进行了监测，</w:t>
            </w:r>
            <w:r>
              <w:rPr>
                <w:rFonts w:hint="eastAsia"/>
                <w:sz w:val="24"/>
              </w:rPr>
              <w:t>后</w:t>
            </w:r>
            <w:r>
              <w:rPr>
                <w:sz w:val="24"/>
              </w:rPr>
              <w:t>又委托河南永飞检测科技有限公司于2021年1月9日-10日对投料废气进行了监测。</w:t>
            </w:r>
          </w:p>
          <w:p>
            <w:pPr>
              <w:spacing w:line="480" w:lineRule="exact"/>
              <w:ind w:firstLine="480" w:firstLineChars="200"/>
              <w:rPr>
                <w:sz w:val="24"/>
              </w:rPr>
            </w:pPr>
            <w:r>
              <w:rPr>
                <w:sz w:val="24"/>
              </w:rPr>
              <w:t>由监测报告数据可知，目前投料工段袋式排气筒排放颗粒物浓度最大值为8.9mg/m³，能够满足《大气污染物综合排放标准》（GB16297-1996）表2颗粒物浓度120mg/m³、速率3.5kg/h（15m高排气筒）的标准要求；同时能够满足《新乡市生态环境局关于进一步规范工业企业颗粒物排放限值的通知》颗粒物浓度10mg/m³的限值要求。</w:t>
            </w:r>
          </w:p>
          <w:p>
            <w:pPr>
              <w:spacing w:line="480" w:lineRule="exact"/>
              <w:ind w:firstLine="480" w:firstLineChars="200"/>
              <w:rPr>
                <w:sz w:val="24"/>
              </w:rPr>
            </w:pPr>
            <w:r>
              <w:rPr>
                <w:rFonts w:hint="eastAsia"/>
                <w:sz w:val="24"/>
              </w:rPr>
              <w:t>②</w:t>
            </w:r>
            <w:r>
              <w:rPr>
                <w:sz w:val="24"/>
              </w:rPr>
              <w:t>备料粉尘</w:t>
            </w:r>
          </w:p>
          <w:p>
            <w:pPr>
              <w:spacing w:line="480" w:lineRule="exact"/>
              <w:ind w:firstLine="480" w:firstLineChars="200"/>
              <w:rPr>
                <w:sz w:val="24"/>
              </w:rPr>
            </w:pPr>
            <w:r>
              <w:rPr>
                <w:sz w:val="24"/>
              </w:rPr>
              <w:t>制浆备料过程会产生一定量的粉尘，经集气罩收集后引入袋式除尘器处理后经15m高排气筒排放。</w:t>
            </w:r>
          </w:p>
          <w:p>
            <w:pPr>
              <w:spacing w:line="480" w:lineRule="exact"/>
              <w:ind w:firstLine="480" w:firstLineChars="200"/>
              <w:rPr>
                <w:rFonts w:eastAsia="黑体"/>
                <w:color w:val="000000"/>
                <w:sz w:val="24"/>
                <w:szCs w:val="20"/>
              </w:rPr>
            </w:pPr>
            <w:r>
              <w:rPr>
                <w:sz w:val="24"/>
              </w:rPr>
              <w:t>河南兴泰纸业有限公司分别于2020年5月19日委托洛阳嘉清检测技术有限公司、2020年10月12日委托河南析源环境检测有限公司对备料废气进行了监测，2021年1月9日-10日又委托河南永飞检测科技有限公司对备料废气进行了监测。</w:t>
            </w:r>
          </w:p>
          <w:p>
            <w:pPr>
              <w:spacing w:line="480" w:lineRule="exact"/>
              <w:ind w:firstLine="480" w:firstLineChars="200"/>
              <w:rPr>
                <w:sz w:val="24"/>
              </w:rPr>
            </w:pPr>
            <w:r>
              <w:rPr>
                <w:sz w:val="24"/>
              </w:rPr>
              <w:t>由</w:t>
            </w:r>
            <w:r>
              <w:rPr>
                <w:rFonts w:hint="eastAsia"/>
                <w:sz w:val="24"/>
              </w:rPr>
              <w:t>监测报告</w:t>
            </w:r>
            <w:r>
              <w:rPr>
                <w:sz w:val="24"/>
              </w:rPr>
              <w:t>数据可知，目前备料工段排气筒排放颗粒物浓度最大值为8.5mg/m³，能够满足《大气污染物综合排放标准》（GB16297-1996）表2颗粒物浓度120mg/m³、速率3.5kg/h（15m高排气筒）的标准要求；同时能够满足《新乡市生态环境局关于进一步规范工业企业颗粒物排放限值的通知》颗粒物浓度10mg/m³的限值要求。</w:t>
            </w:r>
          </w:p>
          <w:p>
            <w:pPr>
              <w:spacing w:line="480" w:lineRule="exact"/>
              <w:ind w:firstLine="480" w:firstLineChars="200"/>
              <w:rPr>
                <w:sz w:val="24"/>
              </w:rPr>
            </w:pPr>
            <w:r>
              <w:rPr>
                <w:rFonts w:hint="eastAsia"/>
                <w:sz w:val="24"/>
              </w:rPr>
              <w:t>③</w:t>
            </w:r>
            <w:r>
              <w:rPr>
                <w:sz w:val="24"/>
              </w:rPr>
              <w:t>碱回收车间碱炉烟气</w:t>
            </w:r>
          </w:p>
          <w:p>
            <w:pPr>
              <w:spacing w:line="480" w:lineRule="exact"/>
              <w:ind w:firstLine="480" w:firstLineChars="200"/>
              <w:rPr>
                <w:sz w:val="24"/>
              </w:rPr>
            </w:pPr>
            <w:r>
              <w:rPr>
                <w:rFonts w:hint="eastAsia"/>
                <w:sz w:val="24"/>
              </w:rPr>
              <w:t>碱回收车间碱炉产生的烟气经“炉内喷氨水脱硝+</w:t>
            </w:r>
            <w:r>
              <w:rPr>
                <w:sz w:val="24"/>
              </w:rPr>
              <w:t>袋式除尘器+二级碱液喷淋脱硫</w:t>
            </w:r>
            <w:r>
              <w:rPr>
                <w:rFonts w:hint="eastAsia"/>
                <w:sz w:val="24"/>
              </w:rPr>
              <w:t>”</w:t>
            </w:r>
            <w:r>
              <w:rPr>
                <w:sz w:val="24"/>
              </w:rPr>
              <w:t>处理后由80米高排气筒排放</w:t>
            </w:r>
            <w:r>
              <w:rPr>
                <w:rFonts w:hint="eastAsia"/>
                <w:sz w:val="24"/>
              </w:rPr>
              <w:t>，河南兴泰纸业有限公司于</w:t>
            </w:r>
            <w:r>
              <w:rPr>
                <w:sz w:val="24"/>
              </w:rPr>
              <w:t>021年1月9日-10日委托河南永飞检测科技有限公司对碱回收炉排气筒出口进行监测</w:t>
            </w:r>
            <w:r>
              <w:rPr>
                <w:rFonts w:hint="eastAsia"/>
                <w:sz w:val="24"/>
              </w:rPr>
              <w:t>。</w:t>
            </w:r>
          </w:p>
          <w:p>
            <w:pPr>
              <w:spacing w:line="480" w:lineRule="exact"/>
              <w:ind w:firstLine="480" w:firstLineChars="200"/>
              <w:rPr>
                <w:sz w:val="24"/>
              </w:rPr>
            </w:pPr>
            <w:r>
              <w:rPr>
                <w:rFonts w:hint="eastAsia"/>
                <w:sz w:val="24"/>
              </w:rPr>
              <w:t>由监测报告数据可知，颗粒物排放浓度范围为6.7~7.7</w:t>
            </w:r>
            <w:r>
              <w:rPr>
                <w:sz w:val="24"/>
              </w:rPr>
              <w:t>mg/m³</w:t>
            </w:r>
            <w:r>
              <w:rPr>
                <w:rFonts w:hint="eastAsia"/>
                <w:sz w:val="24"/>
              </w:rPr>
              <w:t>，二氧化硫排放浓度范围为15~17</w:t>
            </w:r>
            <w:r>
              <w:rPr>
                <w:sz w:val="24"/>
              </w:rPr>
              <w:t>mg/m³</w:t>
            </w:r>
            <w:r>
              <w:rPr>
                <w:rFonts w:hint="eastAsia"/>
                <w:sz w:val="24"/>
              </w:rPr>
              <w:t>，氮氧化物排放浓度范围为32~36</w:t>
            </w:r>
            <w:r>
              <w:rPr>
                <w:sz w:val="24"/>
              </w:rPr>
              <w:t>mg/m³</w:t>
            </w:r>
            <w:r>
              <w:rPr>
                <w:rFonts w:hint="eastAsia"/>
                <w:sz w:val="24"/>
              </w:rPr>
              <w:t>，林格曼黑度＜1。</w:t>
            </w:r>
            <w:r>
              <w:rPr>
                <w:sz w:val="24"/>
              </w:rPr>
              <w:t>碱回收</w:t>
            </w:r>
            <w:r>
              <w:rPr>
                <w:rFonts w:hint="eastAsia"/>
                <w:sz w:val="24"/>
              </w:rPr>
              <w:t>炉烟气中</w:t>
            </w:r>
            <w:r>
              <w:rPr>
                <w:sz w:val="24"/>
              </w:rPr>
              <w:t>的颗粒物、SO</w:t>
            </w:r>
            <w:r>
              <w:rPr>
                <w:sz w:val="24"/>
                <w:vertAlign w:val="subscript"/>
              </w:rPr>
              <w:t>2</w:t>
            </w:r>
            <w:r>
              <w:rPr>
                <w:sz w:val="24"/>
              </w:rPr>
              <w:t>、NO</w:t>
            </w:r>
            <w:r>
              <w:rPr>
                <w:sz w:val="24"/>
                <w:vertAlign w:val="subscript"/>
              </w:rPr>
              <w:t>X</w:t>
            </w:r>
            <w:r>
              <w:rPr>
                <w:sz w:val="24"/>
              </w:rPr>
              <w:t>、林格曼黑度可满足《锅炉大气污染物排放标准》（GB13271-2014）中生物质成型燃料锅炉的排放控制要求30mg/m</w:t>
            </w:r>
            <w:r>
              <w:rPr>
                <w:sz w:val="24"/>
                <w:vertAlign w:val="superscript"/>
              </w:rPr>
              <w:t>3</w:t>
            </w:r>
            <w:r>
              <w:rPr>
                <w:sz w:val="24"/>
              </w:rPr>
              <w:t>、200mg/m</w:t>
            </w:r>
            <w:r>
              <w:rPr>
                <w:sz w:val="24"/>
                <w:vertAlign w:val="superscript"/>
              </w:rPr>
              <w:t>3</w:t>
            </w:r>
            <w:r>
              <w:rPr>
                <w:sz w:val="24"/>
              </w:rPr>
              <w:t>、200mg/m3、30mg/m</w:t>
            </w:r>
            <w:r>
              <w:rPr>
                <w:sz w:val="24"/>
                <w:vertAlign w:val="superscript"/>
              </w:rPr>
              <w:t>3</w:t>
            </w:r>
            <w:r>
              <w:rPr>
                <w:sz w:val="24"/>
              </w:rPr>
              <w:t>、1级的限值要求；同时可以满足《锅炉大气污染物排放标准》（DB41/2089-2021）中生物质锅炉在基准氧含量9%的条件下，烟尘、SO</w:t>
            </w:r>
            <w:r>
              <w:rPr>
                <w:sz w:val="24"/>
                <w:vertAlign w:val="subscript"/>
              </w:rPr>
              <w:t>2</w:t>
            </w:r>
            <w:r>
              <w:rPr>
                <w:sz w:val="24"/>
              </w:rPr>
              <w:t>、NO</w:t>
            </w:r>
            <w:r>
              <w:rPr>
                <w:sz w:val="24"/>
                <w:vertAlign w:val="subscript"/>
              </w:rPr>
              <w:t>X</w:t>
            </w:r>
            <w:r>
              <w:rPr>
                <w:sz w:val="24"/>
              </w:rPr>
              <w:t>排放浓度分别不高于10、35、50mg/m</w:t>
            </w:r>
            <w:r>
              <w:rPr>
                <w:sz w:val="24"/>
                <w:vertAlign w:val="superscript"/>
              </w:rPr>
              <w:t>3</w:t>
            </w:r>
            <w:r>
              <w:rPr>
                <w:sz w:val="24"/>
              </w:rPr>
              <w:t>的限值要求</w:t>
            </w:r>
            <w:r>
              <w:rPr>
                <w:rFonts w:hint="eastAsia"/>
                <w:sz w:val="24"/>
              </w:rPr>
              <w:t>。</w:t>
            </w:r>
          </w:p>
          <w:p>
            <w:pPr>
              <w:spacing w:line="480" w:lineRule="exact"/>
              <w:ind w:firstLine="480" w:firstLineChars="200"/>
              <w:rPr>
                <w:sz w:val="24"/>
              </w:rPr>
            </w:pPr>
            <w:r>
              <w:rPr>
                <w:rFonts w:hint="eastAsia"/>
                <w:sz w:val="24"/>
              </w:rPr>
              <w:t>④</w:t>
            </w:r>
            <w:r>
              <w:rPr>
                <w:sz w:val="24"/>
              </w:rPr>
              <w:t>污水处理站恶臭</w:t>
            </w:r>
          </w:p>
          <w:p>
            <w:pPr>
              <w:spacing w:line="480" w:lineRule="exact"/>
              <w:ind w:firstLine="480" w:firstLineChars="200"/>
              <w:rPr>
                <w:sz w:val="24"/>
              </w:rPr>
            </w:pPr>
            <w:r>
              <w:rPr>
                <w:sz w:val="24"/>
              </w:rPr>
              <w:t>污水处理站恶臭经密闭罩收集后引入</w:t>
            </w:r>
            <w:r>
              <w:rPr>
                <w:rFonts w:hint="eastAsia"/>
                <w:sz w:val="24"/>
              </w:rPr>
              <w:t>“</w:t>
            </w:r>
            <w:r>
              <w:rPr>
                <w:sz w:val="24"/>
              </w:rPr>
              <w:t>水喷淋+碱喷淋+活性炭吸附</w:t>
            </w:r>
            <w:r>
              <w:rPr>
                <w:rFonts w:hint="eastAsia"/>
                <w:sz w:val="24"/>
              </w:rPr>
              <w:t>”</w:t>
            </w:r>
            <w:r>
              <w:rPr>
                <w:sz w:val="24"/>
              </w:rPr>
              <w:t>处理后经15m高排气筒排放</w:t>
            </w:r>
            <w:r>
              <w:rPr>
                <w:rFonts w:hint="eastAsia"/>
                <w:sz w:val="24"/>
              </w:rPr>
              <w:t>。</w:t>
            </w:r>
          </w:p>
          <w:p>
            <w:pPr>
              <w:spacing w:line="480" w:lineRule="exact"/>
              <w:ind w:firstLine="480" w:firstLineChars="200"/>
              <w:rPr>
                <w:sz w:val="24"/>
              </w:rPr>
            </w:pPr>
            <w:r>
              <w:rPr>
                <w:sz w:val="24"/>
              </w:rPr>
              <w:t>河南兴泰纸业有限公司于2020年10月12日委托河南析源环境检测有限公司对污水处理站恶臭处理措施排放口进行了监测，</w:t>
            </w:r>
            <w:r>
              <w:rPr>
                <w:rFonts w:hint="eastAsia"/>
                <w:sz w:val="24"/>
              </w:rPr>
              <w:t>后</w:t>
            </w:r>
            <w:r>
              <w:rPr>
                <w:sz w:val="24"/>
              </w:rPr>
              <w:t>又委托河南永飞检测科技有限公司于2021年1月9日-10日对污水处理站恶臭处理措施排放口进行了监测。</w:t>
            </w:r>
          </w:p>
          <w:p>
            <w:pPr>
              <w:spacing w:line="480" w:lineRule="exact"/>
              <w:ind w:firstLine="480" w:firstLineChars="200"/>
              <w:rPr>
                <w:sz w:val="24"/>
              </w:rPr>
            </w:pPr>
            <w:r>
              <w:rPr>
                <w:rFonts w:hint="eastAsia"/>
                <w:sz w:val="24"/>
              </w:rPr>
              <w:t>由</w:t>
            </w:r>
            <w:r>
              <w:rPr>
                <w:sz w:val="24"/>
              </w:rPr>
              <w:t>监测数据报告可知，H</w:t>
            </w:r>
            <w:r>
              <w:rPr>
                <w:sz w:val="24"/>
                <w:vertAlign w:val="subscript"/>
              </w:rPr>
              <w:t>2</w:t>
            </w:r>
            <w:r>
              <w:rPr>
                <w:sz w:val="24"/>
              </w:rPr>
              <w:t>S排放浓度范围为</w:t>
            </w:r>
            <w:r>
              <w:rPr>
                <w:rFonts w:hint="eastAsia"/>
                <w:sz w:val="24"/>
              </w:rPr>
              <w:t>0.476~0.486</w:t>
            </w:r>
            <w:r>
              <w:rPr>
                <w:sz w:val="24"/>
              </w:rPr>
              <w:t>mg/m³</w:t>
            </w:r>
            <w:r>
              <w:rPr>
                <w:rFonts w:hint="eastAsia"/>
                <w:sz w:val="24"/>
              </w:rPr>
              <w:t>，</w:t>
            </w:r>
            <w:r>
              <w:rPr>
                <w:sz w:val="24"/>
              </w:rPr>
              <w:t>NH</w:t>
            </w:r>
            <w:r>
              <w:rPr>
                <w:sz w:val="24"/>
                <w:vertAlign w:val="subscript"/>
              </w:rPr>
              <w:t>3</w:t>
            </w:r>
            <w:r>
              <w:rPr>
                <w:sz w:val="24"/>
              </w:rPr>
              <w:t>排放浓度范围为</w:t>
            </w:r>
            <w:r>
              <w:rPr>
                <w:rFonts w:hint="eastAsia"/>
                <w:sz w:val="24"/>
              </w:rPr>
              <w:t>3.40~3.83</w:t>
            </w:r>
            <w:r>
              <w:rPr>
                <w:sz w:val="24"/>
              </w:rPr>
              <w:t>mg/m³</w:t>
            </w:r>
            <w:r>
              <w:rPr>
                <w:rFonts w:hint="eastAsia"/>
                <w:sz w:val="24"/>
              </w:rPr>
              <w:t>，</w:t>
            </w:r>
            <w:r>
              <w:rPr>
                <w:sz w:val="24"/>
              </w:rPr>
              <w:t>臭气浓度</w:t>
            </w:r>
            <w:r>
              <w:rPr>
                <w:rFonts w:hint="eastAsia"/>
                <w:sz w:val="24"/>
              </w:rPr>
              <w:t>范围</w:t>
            </w:r>
            <w:r>
              <w:rPr>
                <w:sz w:val="24"/>
              </w:rPr>
              <w:t>为</w:t>
            </w:r>
            <w:r>
              <w:rPr>
                <w:rFonts w:hint="eastAsia"/>
                <w:sz w:val="24"/>
              </w:rPr>
              <w:t>447~851。</w:t>
            </w:r>
            <w:r>
              <w:rPr>
                <w:sz w:val="24"/>
              </w:rPr>
              <w:t>污水处理站恶臭均可满足《恶臭污染物排放标准》（GB14554-93）NH</w:t>
            </w:r>
            <w:r>
              <w:rPr>
                <w:sz w:val="24"/>
                <w:vertAlign w:val="subscript"/>
              </w:rPr>
              <w:t>3</w:t>
            </w:r>
            <w:r>
              <w:rPr>
                <w:sz w:val="24"/>
              </w:rPr>
              <w:t xml:space="preserve"> 4.9kg/h、H</w:t>
            </w:r>
            <w:r>
              <w:rPr>
                <w:sz w:val="24"/>
                <w:vertAlign w:val="subscript"/>
              </w:rPr>
              <w:t>2</w:t>
            </w:r>
            <w:r>
              <w:rPr>
                <w:sz w:val="24"/>
              </w:rPr>
              <w:t>S 0.33 kg/h、臭气浓度2000限值要求。</w:t>
            </w:r>
          </w:p>
          <w:p>
            <w:pPr>
              <w:spacing w:line="480" w:lineRule="exact"/>
              <w:ind w:firstLine="480" w:firstLineChars="200"/>
              <w:rPr>
                <w:sz w:val="24"/>
              </w:rPr>
            </w:pPr>
            <w:r>
              <w:rPr>
                <w:sz w:val="24"/>
              </w:rPr>
              <w:t>（2）无组织废气</w:t>
            </w:r>
          </w:p>
          <w:p>
            <w:pPr>
              <w:spacing w:line="480" w:lineRule="exact"/>
              <w:ind w:firstLine="480" w:firstLineChars="200"/>
              <w:rPr>
                <w:sz w:val="24"/>
              </w:rPr>
            </w:pPr>
            <w:r>
              <w:rPr>
                <w:sz w:val="24"/>
              </w:rPr>
              <w:t>河南兴泰纸业有限公司于2020年（3月、6月、9月和11月）共4次委托郑州德析检测技术有限公司进行了例行监测，后又委托河南永飞检测科技有限公司于2021年1月9日-10日对</w:t>
            </w:r>
            <w:r>
              <w:rPr>
                <w:rFonts w:hint="eastAsia"/>
                <w:sz w:val="24"/>
              </w:rPr>
              <w:t>厂界上、下风向无组织废气</w:t>
            </w:r>
            <w:r>
              <w:rPr>
                <w:sz w:val="24"/>
              </w:rPr>
              <w:t>进行监测。</w:t>
            </w:r>
          </w:p>
          <w:p>
            <w:pPr>
              <w:spacing w:line="480" w:lineRule="exact"/>
              <w:ind w:firstLine="480" w:firstLineChars="200"/>
              <w:rPr>
                <w:sz w:val="24"/>
              </w:rPr>
            </w:pPr>
            <w:r>
              <w:rPr>
                <w:rFonts w:hint="eastAsia"/>
                <w:sz w:val="24"/>
              </w:rPr>
              <w:t>由</w:t>
            </w:r>
            <w:r>
              <w:rPr>
                <w:sz w:val="24"/>
              </w:rPr>
              <w:t>监测数据报告可知，无组织颗粒物在厂界上</w:t>
            </w:r>
            <w:r>
              <w:rPr>
                <w:rFonts w:hint="eastAsia"/>
                <w:sz w:val="24"/>
              </w:rPr>
              <w:t>、</w:t>
            </w:r>
            <w:r>
              <w:rPr>
                <w:sz w:val="24"/>
              </w:rPr>
              <w:t>下风向的颗粒物浓度范围为</w:t>
            </w:r>
            <w:r>
              <w:rPr>
                <w:rFonts w:hint="eastAsia"/>
                <w:sz w:val="24"/>
              </w:rPr>
              <w:t>0.35~0.383</w:t>
            </w:r>
            <w:r>
              <w:rPr>
                <w:sz w:val="24"/>
              </w:rPr>
              <w:t>mg/m³</w:t>
            </w:r>
            <w:r>
              <w:rPr>
                <w:rFonts w:hint="eastAsia"/>
                <w:sz w:val="24"/>
              </w:rPr>
              <w:t>，</w:t>
            </w:r>
            <w:r>
              <w:rPr>
                <w:sz w:val="24"/>
              </w:rPr>
              <w:t>能够满足《新乡市生态环境局关于进一步规范工业企业颗粒物排放限值的通知》颗粒物浓度0.5mg/m³的限值要求；H</w:t>
            </w:r>
            <w:r>
              <w:rPr>
                <w:sz w:val="24"/>
                <w:vertAlign w:val="subscript"/>
              </w:rPr>
              <w:t>2</w:t>
            </w:r>
            <w:r>
              <w:rPr>
                <w:sz w:val="24"/>
              </w:rPr>
              <w:t>S排放浓度范围为</w:t>
            </w:r>
            <w:r>
              <w:rPr>
                <w:rFonts w:hint="eastAsia"/>
                <w:sz w:val="24"/>
              </w:rPr>
              <w:t>0.006~0.007</w:t>
            </w:r>
            <w:r>
              <w:rPr>
                <w:sz w:val="24"/>
              </w:rPr>
              <w:t>mg/m³</w:t>
            </w:r>
            <w:r>
              <w:rPr>
                <w:rFonts w:hint="eastAsia"/>
                <w:sz w:val="24"/>
              </w:rPr>
              <w:t>，</w:t>
            </w:r>
            <w:r>
              <w:rPr>
                <w:sz w:val="24"/>
              </w:rPr>
              <w:t>NH</w:t>
            </w:r>
            <w:r>
              <w:rPr>
                <w:sz w:val="24"/>
                <w:vertAlign w:val="subscript"/>
              </w:rPr>
              <w:t>3</w:t>
            </w:r>
            <w:r>
              <w:rPr>
                <w:sz w:val="24"/>
              </w:rPr>
              <w:t>排放浓度范围为</w:t>
            </w:r>
            <w:r>
              <w:rPr>
                <w:rFonts w:hint="eastAsia"/>
                <w:sz w:val="24"/>
              </w:rPr>
              <w:t>0.08~0.11</w:t>
            </w:r>
            <w:r>
              <w:rPr>
                <w:sz w:val="24"/>
              </w:rPr>
              <w:t>mg/m³</w:t>
            </w:r>
            <w:r>
              <w:rPr>
                <w:rFonts w:hint="eastAsia"/>
                <w:sz w:val="24"/>
              </w:rPr>
              <w:t>，</w:t>
            </w:r>
            <w:r>
              <w:rPr>
                <w:sz w:val="24"/>
              </w:rPr>
              <w:t>臭气浓度＜</w:t>
            </w:r>
            <w:r>
              <w:rPr>
                <w:rFonts w:hint="eastAsia"/>
                <w:sz w:val="24"/>
              </w:rPr>
              <w:t>10，</w:t>
            </w:r>
            <w:r>
              <w:rPr>
                <w:sz w:val="24"/>
              </w:rPr>
              <w:t>恶臭污染物厂界浓度均能够满足《恶臭污染物排放标准》（GB14554-93）H</w:t>
            </w:r>
            <w:r>
              <w:rPr>
                <w:sz w:val="24"/>
                <w:vertAlign w:val="subscript"/>
              </w:rPr>
              <w:t>2</w:t>
            </w:r>
            <w:r>
              <w:rPr>
                <w:sz w:val="24"/>
              </w:rPr>
              <w:t>S 0.06mg/m³、NH</w:t>
            </w:r>
            <w:r>
              <w:rPr>
                <w:sz w:val="24"/>
                <w:vertAlign w:val="subscript"/>
              </w:rPr>
              <w:t>3</w:t>
            </w:r>
            <w:r>
              <w:rPr>
                <w:sz w:val="24"/>
              </w:rPr>
              <w:t xml:space="preserve"> 1.5mg/m³、臭气浓度20（无量纲）的限值要求</w:t>
            </w:r>
            <w:r>
              <w:rPr>
                <w:rFonts w:hint="eastAsia"/>
                <w:sz w:val="24"/>
              </w:rPr>
              <w:t>。</w:t>
            </w:r>
          </w:p>
          <w:p>
            <w:pPr>
              <w:spacing w:line="480" w:lineRule="exact"/>
              <w:ind w:firstLine="480" w:firstLineChars="200"/>
              <w:rPr>
                <w:sz w:val="24"/>
              </w:rPr>
            </w:pPr>
            <w:r>
              <w:rPr>
                <w:rFonts w:hint="eastAsia"/>
                <w:sz w:val="24"/>
              </w:rPr>
              <w:t>3、噪声</w:t>
            </w:r>
          </w:p>
          <w:p>
            <w:pPr>
              <w:spacing w:line="480" w:lineRule="exact"/>
              <w:ind w:firstLine="480" w:firstLineChars="200"/>
              <w:rPr>
                <w:sz w:val="24"/>
              </w:rPr>
            </w:pPr>
            <w:r>
              <w:rPr>
                <w:sz w:val="24"/>
              </w:rPr>
              <w:t>现有工程噪声主要为全厂生产线运行时产生的设备噪声，噪声源主要为各车间的设备噪声，包括牛底白卡纸生产车间碎浆机、抄纸机，文化纸和特种纸抄纸车间抄纸机，碱回收车间和锅炉的鼓风机、引风机以及污水处理站的泵的噪声等。</w:t>
            </w:r>
          </w:p>
          <w:p>
            <w:pPr>
              <w:spacing w:line="480" w:lineRule="exact"/>
              <w:ind w:firstLine="480" w:firstLineChars="200"/>
              <w:rPr>
                <w:sz w:val="24"/>
              </w:rPr>
            </w:pPr>
            <w:r>
              <w:rPr>
                <w:sz w:val="24"/>
              </w:rPr>
              <w:t>各生产车间的设备噪声均采取了减振、消声等措施。根据河南兴泰纸业有限公司委托河南永飞检测科技有限公司于2021年1月9日-10日对厂界噪声的现场实测数据，厂界噪声昼间在52~54dB(A)、夜间42~44dB(A)，现状值均满足《工业企业厂界环境噪声排放标准》（GB12348-2008）2类标准昼间60dB(A)、夜间50dB(A)要求。</w:t>
            </w:r>
          </w:p>
          <w:p>
            <w:pPr>
              <w:spacing w:line="480" w:lineRule="exact"/>
              <w:ind w:firstLine="480" w:firstLineChars="200"/>
              <w:rPr>
                <w:sz w:val="24"/>
              </w:rPr>
            </w:pPr>
            <w:r>
              <w:rPr>
                <w:rFonts w:hint="eastAsia"/>
                <w:sz w:val="24"/>
              </w:rPr>
              <w:t>4、固废</w:t>
            </w:r>
          </w:p>
          <w:p>
            <w:pPr>
              <w:spacing w:line="480" w:lineRule="exact"/>
              <w:ind w:firstLine="480" w:firstLineChars="200"/>
              <w:rPr>
                <w:sz w:val="24"/>
              </w:rPr>
            </w:pPr>
            <w:r>
              <w:rPr>
                <w:sz w:val="24"/>
              </w:rPr>
              <w:t>现有工程固废产排情况如下：</w:t>
            </w:r>
          </w:p>
          <w:p>
            <w:pPr>
              <w:adjustRightInd w:val="0"/>
              <w:spacing w:line="400" w:lineRule="exact"/>
              <w:ind w:firstLine="480" w:firstLineChars="200"/>
              <w:textAlignment w:val="baseline"/>
              <w:rPr>
                <w:rFonts w:eastAsia="黑体"/>
                <w:bCs/>
                <w:color w:val="000000"/>
                <w:sz w:val="24"/>
              </w:rPr>
            </w:pPr>
            <w:r>
              <w:rPr>
                <w:rFonts w:eastAsia="黑体"/>
                <w:bCs/>
                <w:color w:val="000000"/>
                <w:sz w:val="24"/>
              </w:rPr>
              <w:t xml:space="preserve">表14       </w:t>
            </w:r>
            <w:r>
              <w:rPr>
                <w:rFonts w:hint="eastAsia" w:eastAsia="黑体"/>
                <w:bCs/>
                <w:color w:val="000000"/>
                <w:sz w:val="24"/>
              </w:rPr>
              <w:t xml:space="preserve"> </w:t>
            </w:r>
            <w:r>
              <w:rPr>
                <w:rFonts w:eastAsia="黑体"/>
                <w:bCs/>
                <w:color w:val="000000"/>
                <w:sz w:val="24"/>
              </w:rPr>
              <w:t>现有工程固废产排情况一览表</w:t>
            </w:r>
          </w:p>
          <w:tbl>
            <w:tblPr>
              <w:tblStyle w:val="3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814"/>
              <w:gridCol w:w="1063"/>
              <w:gridCol w:w="1454"/>
              <w:gridCol w:w="821"/>
              <w:gridCol w:w="279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951" w:type="dxa"/>
                  <w:vAlign w:val="center"/>
                </w:tcPr>
                <w:p>
                  <w:pPr>
                    <w:pStyle w:val="140"/>
                    <w:rPr>
                      <w:b/>
                      <w:kern w:val="2"/>
                    </w:rPr>
                  </w:pPr>
                  <w:r>
                    <w:rPr>
                      <w:b/>
                    </w:rPr>
                    <w:t>产污环节</w:t>
                  </w:r>
                </w:p>
              </w:tc>
              <w:tc>
                <w:tcPr>
                  <w:tcW w:w="1134" w:type="dxa"/>
                  <w:vAlign w:val="center"/>
                </w:tcPr>
                <w:p>
                  <w:pPr>
                    <w:pStyle w:val="140"/>
                    <w:rPr>
                      <w:b/>
                      <w:kern w:val="2"/>
                    </w:rPr>
                  </w:pPr>
                  <w:r>
                    <w:rPr>
                      <w:b/>
                    </w:rPr>
                    <w:t>污染物</w:t>
                  </w:r>
                </w:p>
              </w:tc>
              <w:tc>
                <w:tcPr>
                  <w:tcW w:w="1559" w:type="dxa"/>
                  <w:vAlign w:val="center"/>
                </w:tcPr>
                <w:p>
                  <w:pPr>
                    <w:pStyle w:val="140"/>
                    <w:rPr>
                      <w:b/>
                    </w:rPr>
                  </w:pPr>
                  <w:r>
                    <w:rPr>
                      <w:b/>
                    </w:rPr>
                    <w:t>产生量</w:t>
                  </w:r>
                </w:p>
                <w:p>
                  <w:pPr>
                    <w:pStyle w:val="140"/>
                    <w:rPr>
                      <w:b/>
                      <w:kern w:val="2"/>
                    </w:rPr>
                  </w:pPr>
                  <w:r>
                    <w:rPr>
                      <w:b/>
                    </w:rPr>
                    <w:t>（t/a）</w:t>
                  </w:r>
                </w:p>
              </w:tc>
              <w:tc>
                <w:tcPr>
                  <w:tcW w:w="871" w:type="dxa"/>
                  <w:vAlign w:val="center"/>
                </w:tcPr>
                <w:p>
                  <w:pPr>
                    <w:pStyle w:val="140"/>
                    <w:rPr>
                      <w:b/>
                    </w:rPr>
                  </w:pPr>
                  <w:r>
                    <w:rPr>
                      <w:b/>
                    </w:rPr>
                    <w:t>排放量</w:t>
                  </w:r>
                </w:p>
                <w:p>
                  <w:pPr>
                    <w:pStyle w:val="140"/>
                    <w:rPr>
                      <w:b/>
                      <w:kern w:val="2"/>
                    </w:rPr>
                  </w:pPr>
                  <w:r>
                    <w:rPr>
                      <w:b/>
                    </w:rPr>
                    <w:t>（t/a）</w:t>
                  </w:r>
                </w:p>
              </w:tc>
              <w:tc>
                <w:tcPr>
                  <w:tcW w:w="3014" w:type="dxa"/>
                  <w:vAlign w:val="center"/>
                </w:tcPr>
                <w:p>
                  <w:pPr>
                    <w:pStyle w:val="140"/>
                    <w:rPr>
                      <w:b/>
                      <w:kern w:val="2"/>
                    </w:rPr>
                  </w:pPr>
                  <w:r>
                    <w:rPr>
                      <w:b/>
                    </w:rPr>
                    <w:t>处置措施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951" w:type="dxa"/>
                  <w:vAlign w:val="center"/>
                </w:tcPr>
                <w:p>
                  <w:pPr>
                    <w:pStyle w:val="140"/>
                  </w:pPr>
                  <w:r>
                    <w:t>化学浆麦草备料</w:t>
                  </w:r>
                </w:p>
              </w:tc>
              <w:tc>
                <w:tcPr>
                  <w:tcW w:w="1134" w:type="dxa"/>
                  <w:vAlign w:val="center"/>
                </w:tcPr>
                <w:p>
                  <w:pPr>
                    <w:pStyle w:val="140"/>
                  </w:pPr>
                  <w:r>
                    <w:t>杂质</w:t>
                  </w:r>
                </w:p>
              </w:tc>
              <w:tc>
                <w:tcPr>
                  <w:tcW w:w="1559" w:type="dxa"/>
                  <w:vAlign w:val="center"/>
                </w:tcPr>
                <w:p>
                  <w:pPr>
                    <w:pStyle w:val="140"/>
                  </w:pPr>
                  <w:r>
                    <w:t>12000</w:t>
                  </w:r>
                </w:p>
              </w:tc>
              <w:tc>
                <w:tcPr>
                  <w:tcW w:w="871" w:type="dxa"/>
                  <w:vAlign w:val="center"/>
                </w:tcPr>
                <w:p>
                  <w:pPr>
                    <w:pStyle w:val="140"/>
                  </w:pPr>
                  <w:r>
                    <w:t>0</w:t>
                  </w:r>
                </w:p>
              </w:tc>
              <w:tc>
                <w:tcPr>
                  <w:tcW w:w="3014" w:type="dxa"/>
                  <w:vAlign w:val="center"/>
                </w:tcPr>
                <w:p>
                  <w:pPr>
                    <w:pStyle w:val="140"/>
                    <w:rPr>
                      <w:color w:val="000000"/>
                    </w:rPr>
                  </w:pPr>
                  <w:r>
                    <w:rPr>
                      <w:rFonts w:hint="eastAsia"/>
                      <w:color w:val="000000"/>
                    </w:rPr>
                    <w:t>送</w:t>
                  </w:r>
                  <w:r>
                    <w:rPr>
                      <w:color w:val="000000"/>
                    </w:rPr>
                    <w:t>新乡县恒新热力有限公司</w:t>
                  </w:r>
                  <w:r>
                    <w:rPr>
                      <w:rFonts w:hint="eastAsia"/>
                      <w:color w:val="000000"/>
                    </w:rPr>
                    <w:t>经预处理满足入炉条件后送入生物质锅炉燃烧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951" w:type="dxa"/>
                  <w:vAlign w:val="center"/>
                </w:tcPr>
                <w:p>
                  <w:pPr>
                    <w:pStyle w:val="140"/>
                  </w:pPr>
                  <w:r>
                    <w:t>碱回收</w:t>
                  </w:r>
                </w:p>
              </w:tc>
              <w:tc>
                <w:tcPr>
                  <w:tcW w:w="1134" w:type="dxa"/>
                  <w:vAlign w:val="center"/>
                </w:tcPr>
                <w:p>
                  <w:pPr>
                    <w:pStyle w:val="140"/>
                  </w:pPr>
                  <w:r>
                    <w:t>白泥</w:t>
                  </w:r>
                </w:p>
              </w:tc>
              <w:tc>
                <w:tcPr>
                  <w:tcW w:w="1559" w:type="dxa"/>
                  <w:vAlign w:val="center"/>
                </w:tcPr>
                <w:p>
                  <w:pPr>
                    <w:pStyle w:val="140"/>
                  </w:pPr>
                  <w:r>
                    <w:t>1</w:t>
                  </w:r>
                  <w:r>
                    <w:rPr>
                      <w:rFonts w:hint="eastAsia"/>
                    </w:rPr>
                    <w:t>2</w:t>
                  </w:r>
                  <w:r>
                    <w:t>000</w:t>
                  </w:r>
                  <w:r>
                    <w:rPr>
                      <w:rFonts w:hint="eastAsia"/>
                    </w:rPr>
                    <w:t>（绝干）</w:t>
                  </w:r>
                </w:p>
              </w:tc>
              <w:tc>
                <w:tcPr>
                  <w:tcW w:w="871" w:type="dxa"/>
                  <w:vAlign w:val="center"/>
                </w:tcPr>
                <w:p>
                  <w:pPr>
                    <w:pStyle w:val="140"/>
                  </w:pPr>
                  <w:r>
                    <w:t>0</w:t>
                  </w:r>
                </w:p>
              </w:tc>
              <w:tc>
                <w:tcPr>
                  <w:tcW w:w="3014" w:type="dxa"/>
                  <w:vAlign w:val="center"/>
                </w:tcPr>
                <w:p>
                  <w:pPr>
                    <w:pStyle w:val="140"/>
                  </w:pPr>
                  <w:r>
                    <w:rPr>
                      <w:rFonts w:hint="eastAsia"/>
                    </w:rPr>
                    <w:t>回用于现有生产线</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951" w:type="dxa"/>
                  <w:vMerge w:val="restart"/>
                  <w:vAlign w:val="center"/>
                </w:tcPr>
                <w:p>
                  <w:pPr>
                    <w:pStyle w:val="140"/>
                    <w:rPr>
                      <w:kern w:val="2"/>
                    </w:rPr>
                  </w:pPr>
                  <w:r>
                    <w:t>牛底白卡纸生产线</w:t>
                  </w:r>
                </w:p>
              </w:tc>
              <w:tc>
                <w:tcPr>
                  <w:tcW w:w="1134" w:type="dxa"/>
                  <w:vAlign w:val="center"/>
                </w:tcPr>
                <w:p>
                  <w:pPr>
                    <w:pStyle w:val="140"/>
                    <w:rPr>
                      <w:kern w:val="2"/>
                    </w:rPr>
                  </w:pPr>
                  <w:r>
                    <w:t>废浆渣</w:t>
                  </w:r>
                </w:p>
              </w:tc>
              <w:tc>
                <w:tcPr>
                  <w:tcW w:w="1559" w:type="dxa"/>
                  <w:vAlign w:val="center"/>
                </w:tcPr>
                <w:p>
                  <w:pPr>
                    <w:pStyle w:val="140"/>
                    <w:rPr>
                      <w:kern w:val="2"/>
                    </w:rPr>
                  </w:pPr>
                  <w:r>
                    <w:t>4000</w:t>
                  </w:r>
                </w:p>
              </w:tc>
              <w:tc>
                <w:tcPr>
                  <w:tcW w:w="871" w:type="dxa"/>
                  <w:vAlign w:val="center"/>
                </w:tcPr>
                <w:p>
                  <w:pPr>
                    <w:pStyle w:val="140"/>
                    <w:rPr>
                      <w:kern w:val="2"/>
                    </w:rPr>
                  </w:pPr>
                  <w:r>
                    <w:t>0</w:t>
                  </w:r>
                </w:p>
              </w:tc>
              <w:tc>
                <w:tcPr>
                  <w:tcW w:w="3014" w:type="dxa"/>
                  <w:vAlign w:val="center"/>
                </w:tcPr>
                <w:p>
                  <w:pPr>
                    <w:pStyle w:val="140"/>
                    <w:rPr>
                      <w:kern w:val="2"/>
                    </w:rPr>
                  </w:pPr>
                  <w:r>
                    <w:t>回用于生产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951" w:type="dxa"/>
                  <w:vMerge w:val="continue"/>
                  <w:vAlign w:val="center"/>
                </w:tcPr>
                <w:p>
                  <w:pPr>
                    <w:pStyle w:val="140"/>
                    <w:rPr>
                      <w:kern w:val="2"/>
                    </w:rPr>
                  </w:pPr>
                </w:p>
              </w:tc>
              <w:tc>
                <w:tcPr>
                  <w:tcW w:w="1134" w:type="dxa"/>
                  <w:vAlign w:val="center"/>
                </w:tcPr>
                <w:p>
                  <w:pPr>
                    <w:pStyle w:val="140"/>
                    <w:rPr>
                      <w:kern w:val="2"/>
                    </w:rPr>
                  </w:pPr>
                  <w:r>
                    <w:t>杂质</w:t>
                  </w:r>
                </w:p>
              </w:tc>
              <w:tc>
                <w:tcPr>
                  <w:tcW w:w="1559" w:type="dxa"/>
                  <w:vAlign w:val="center"/>
                </w:tcPr>
                <w:p>
                  <w:pPr>
                    <w:pStyle w:val="140"/>
                    <w:rPr>
                      <w:kern w:val="2"/>
                    </w:rPr>
                  </w:pPr>
                  <w:r>
                    <w:t>1680</w:t>
                  </w:r>
                </w:p>
              </w:tc>
              <w:tc>
                <w:tcPr>
                  <w:tcW w:w="871" w:type="dxa"/>
                  <w:vAlign w:val="center"/>
                </w:tcPr>
                <w:p>
                  <w:pPr>
                    <w:pStyle w:val="140"/>
                    <w:rPr>
                      <w:kern w:val="2"/>
                    </w:rPr>
                  </w:pPr>
                  <w:r>
                    <w:t>0</w:t>
                  </w:r>
                </w:p>
              </w:tc>
              <w:tc>
                <w:tcPr>
                  <w:tcW w:w="3014" w:type="dxa"/>
                  <w:vAlign w:val="center"/>
                </w:tcPr>
                <w:p>
                  <w:pPr>
                    <w:pStyle w:val="140"/>
                    <w:rPr>
                      <w:kern w:val="2"/>
                    </w:rPr>
                  </w:pPr>
                  <w:r>
                    <w:t>出售给新乡县兴华环保科技有限公司</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951" w:type="dxa"/>
                  <w:vAlign w:val="center"/>
                </w:tcPr>
                <w:p>
                  <w:pPr>
                    <w:pStyle w:val="140"/>
                    <w:rPr>
                      <w:color w:val="000000"/>
                      <w:kern w:val="2"/>
                    </w:rPr>
                  </w:pPr>
                  <w:r>
                    <w:rPr>
                      <w:color w:val="000000"/>
                    </w:rPr>
                    <w:t>袋式除尘器</w:t>
                  </w:r>
                </w:p>
              </w:tc>
              <w:tc>
                <w:tcPr>
                  <w:tcW w:w="1134" w:type="dxa"/>
                  <w:vAlign w:val="center"/>
                </w:tcPr>
                <w:p>
                  <w:pPr>
                    <w:pStyle w:val="140"/>
                    <w:rPr>
                      <w:color w:val="000000"/>
                      <w:kern w:val="2"/>
                    </w:rPr>
                  </w:pPr>
                  <w:r>
                    <w:rPr>
                      <w:color w:val="000000"/>
                    </w:rPr>
                    <w:t>破损布袋</w:t>
                  </w:r>
                </w:p>
              </w:tc>
              <w:tc>
                <w:tcPr>
                  <w:tcW w:w="1559" w:type="dxa"/>
                  <w:vAlign w:val="center"/>
                </w:tcPr>
                <w:p>
                  <w:pPr>
                    <w:pStyle w:val="140"/>
                    <w:rPr>
                      <w:color w:val="000000"/>
                      <w:kern w:val="2"/>
                    </w:rPr>
                  </w:pPr>
                  <w:r>
                    <w:rPr>
                      <w:color w:val="000000"/>
                    </w:rPr>
                    <w:t>0.1t/a</w:t>
                  </w:r>
                </w:p>
              </w:tc>
              <w:tc>
                <w:tcPr>
                  <w:tcW w:w="871" w:type="dxa"/>
                  <w:vAlign w:val="center"/>
                </w:tcPr>
                <w:p>
                  <w:pPr>
                    <w:pStyle w:val="140"/>
                  </w:pPr>
                  <w:r>
                    <w:t>0</w:t>
                  </w:r>
                </w:p>
              </w:tc>
              <w:tc>
                <w:tcPr>
                  <w:tcW w:w="3014" w:type="dxa"/>
                  <w:vAlign w:val="center"/>
                </w:tcPr>
                <w:p>
                  <w:pPr>
                    <w:pStyle w:val="140"/>
                    <w:rPr>
                      <w:color w:val="000000"/>
                      <w:kern w:val="2"/>
                    </w:rPr>
                  </w:pPr>
                  <w:r>
                    <w:rPr>
                      <w:color w:val="000000"/>
                    </w:rPr>
                    <w:t>由厂家回收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951" w:type="dxa"/>
                  <w:vAlign w:val="center"/>
                </w:tcPr>
                <w:p>
                  <w:pPr>
                    <w:pStyle w:val="140"/>
                    <w:rPr>
                      <w:color w:val="000000"/>
                      <w:kern w:val="2"/>
                    </w:rPr>
                  </w:pPr>
                  <w:r>
                    <w:rPr>
                      <w:color w:val="000000"/>
                    </w:rPr>
                    <w:t>空压机等设备</w:t>
                  </w:r>
                </w:p>
              </w:tc>
              <w:tc>
                <w:tcPr>
                  <w:tcW w:w="1134" w:type="dxa"/>
                  <w:vAlign w:val="center"/>
                </w:tcPr>
                <w:p>
                  <w:pPr>
                    <w:pStyle w:val="140"/>
                    <w:rPr>
                      <w:color w:val="000000"/>
                      <w:kern w:val="2"/>
                    </w:rPr>
                  </w:pPr>
                  <w:r>
                    <w:rPr>
                      <w:color w:val="000000"/>
                    </w:rPr>
                    <w:t>废机油</w:t>
                  </w:r>
                </w:p>
              </w:tc>
              <w:tc>
                <w:tcPr>
                  <w:tcW w:w="1559" w:type="dxa"/>
                  <w:vAlign w:val="center"/>
                </w:tcPr>
                <w:p>
                  <w:pPr>
                    <w:pStyle w:val="140"/>
                    <w:rPr>
                      <w:color w:val="000000"/>
                      <w:kern w:val="2"/>
                    </w:rPr>
                  </w:pPr>
                  <w:r>
                    <w:rPr>
                      <w:color w:val="000000"/>
                    </w:rPr>
                    <w:t>2t/a</w:t>
                  </w:r>
                </w:p>
              </w:tc>
              <w:tc>
                <w:tcPr>
                  <w:tcW w:w="871" w:type="dxa"/>
                  <w:vAlign w:val="center"/>
                </w:tcPr>
                <w:p>
                  <w:pPr>
                    <w:pStyle w:val="140"/>
                    <w:rPr>
                      <w:kern w:val="2"/>
                    </w:rPr>
                  </w:pPr>
                  <w:r>
                    <w:t>0</w:t>
                  </w:r>
                </w:p>
              </w:tc>
              <w:tc>
                <w:tcPr>
                  <w:tcW w:w="3014" w:type="dxa"/>
                  <w:vAlign w:val="center"/>
                </w:tcPr>
                <w:p>
                  <w:pPr>
                    <w:pStyle w:val="140"/>
                    <w:rPr>
                      <w:color w:val="000000"/>
                      <w:kern w:val="2"/>
                    </w:rPr>
                  </w:pPr>
                  <w:r>
                    <w:rPr>
                      <w:color w:val="000000"/>
                    </w:rPr>
                    <w:t>委托有资质单位处理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951" w:type="dxa"/>
                  <w:vAlign w:val="center"/>
                </w:tcPr>
                <w:p>
                  <w:pPr>
                    <w:pStyle w:val="140"/>
                    <w:rPr>
                      <w:color w:val="000000"/>
                    </w:rPr>
                  </w:pPr>
                  <w:r>
                    <w:rPr>
                      <w:color w:val="000000"/>
                    </w:rPr>
                    <w:t>污水站恶臭治理</w:t>
                  </w:r>
                </w:p>
              </w:tc>
              <w:tc>
                <w:tcPr>
                  <w:tcW w:w="1134" w:type="dxa"/>
                  <w:vAlign w:val="center"/>
                </w:tcPr>
                <w:p>
                  <w:pPr>
                    <w:pStyle w:val="140"/>
                    <w:rPr>
                      <w:color w:val="000000"/>
                    </w:rPr>
                  </w:pPr>
                  <w:r>
                    <w:rPr>
                      <w:color w:val="000000"/>
                    </w:rPr>
                    <w:t>废活性炭</w:t>
                  </w:r>
                </w:p>
              </w:tc>
              <w:tc>
                <w:tcPr>
                  <w:tcW w:w="1559" w:type="dxa"/>
                  <w:vAlign w:val="center"/>
                </w:tcPr>
                <w:p>
                  <w:pPr>
                    <w:pStyle w:val="140"/>
                    <w:rPr>
                      <w:color w:val="000000"/>
                      <w:kern w:val="2"/>
                    </w:rPr>
                  </w:pPr>
                  <w:r>
                    <w:rPr>
                      <w:color w:val="000000"/>
                    </w:rPr>
                    <w:t>2t/a</w:t>
                  </w:r>
                </w:p>
              </w:tc>
              <w:tc>
                <w:tcPr>
                  <w:tcW w:w="871" w:type="dxa"/>
                  <w:vAlign w:val="center"/>
                </w:tcPr>
                <w:p>
                  <w:pPr>
                    <w:pStyle w:val="140"/>
                    <w:rPr>
                      <w:kern w:val="2"/>
                    </w:rPr>
                  </w:pPr>
                  <w:r>
                    <w:t>0</w:t>
                  </w:r>
                </w:p>
              </w:tc>
              <w:tc>
                <w:tcPr>
                  <w:tcW w:w="3014" w:type="dxa"/>
                  <w:vAlign w:val="center"/>
                </w:tcPr>
                <w:p>
                  <w:pPr>
                    <w:pStyle w:val="140"/>
                    <w:rPr>
                      <w:color w:val="000000"/>
                      <w:kern w:val="2"/>
                    </w:rPr>
                  </w:pPr>
                  <w:r>
                    <w:rPr>
                      <w:color w:val="000000"/>
                    </w:rPr>
                    <w:t>委托有资质单位处理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951" w:type="dxa"/>
                  <w:vAlign w:val="center"/>
                </w:tcPr>
                <w:p>
                  <w:pPr>
                    <w:pStyle w:val="140"/>
                    <w:rPr>
                      <w:color w:val="000000"/>
                    </w:rPr>
                  </w:pPr>
                  <w:r>
                    <w:rPr>
                      <w:rFonts w:hint="eastAsia"/>
                      <w:color w:val="000000"/>
                    </w:rPr>
                    <w:t>污水处理站</w:t>
                  </w:r>
                </w:p>
              </w:tc>
              <w:tc>
                <w:tcPr>
                  <w:tcW w:w="1134" w:type="dxa"/>
                  <w:vAlign w:val="center"/>
                </w:tcPr>
                <w:p>
                  <w:pPr>
                    <w:pStyle w:val="140"/>
                    <w:rPr>
                      <w:color w:val="000000"/>
                    </w:rPr>
                  </w:pPr>
                  <w:r>
                    <w:rPr>
                      <w:rFonts w:hint="eastAsia"/>
                      <w:color w:val="000000"/>
                    </w:rPr>
                    <w:t>污泥</w:t>
                  </w:r>
                </w:p>
              </w:tc>
              <w:tc>
                <w:tcPr>
                  <w:tcW w:w="1559" w:type="dxa"/>
                  <w:vAlign w:val="center"/>
                </w:tcPr>
                <w:p>
                  <w:pPr>
                    <w:pStyle w:val="140"/>
                    <w:rPr>
                      <w:color w:val="000000"/>
                    </w:rPr>
                  </w:pPr>
                  <w:r>
                    <w:rPr>
                      <w:rFonts w:hint="eastAsia"/>
                      <w:color w:val="000000"/>
                    </w:rPr>
                    <w:t>5000t/a（含水率50%）</w:t>
                  </w:r>
                </w:p>
              </w:tc>
              <w:tc>
                <w:tcPr>
                  <w:tcW w:w="871" w:type="dxa"/>
                  <w:vAlign w:val="center"/>
                </w:tcPr>
                <w:p>
                  <w:pPr>
                    <w:pStyle w:val="140"/>
                  </w:pPr>
                  <w:r>
                    <w:rPr>
                      <w:rFonts w:hint="eastAsia"/>
                    </w:rPr>
                    <w:t>0</w:t>
                  </w:r>
                </w:p>
              </w:tc>
              <w:tc>
                <w:tcPr>
                  <w:tcW w:w="3014" w:type="dxa"/>
                  <w:vAlign w:val="center"/>
                </w:tcPr>
                <w:p>
                  <w:pPr>
                    <w:pStyle w:val="140"/>
                    <w:rPr>
                      <w:color w:val="000000"/>
                    </w:rPr>
                  </w:pPr>
                  <w:r>
                    <w:t>板框压滤机</w:t>
                  </w:r>
                  <w:r>
                    <w:rPr>
                      <w:rFonts w:hint="eastAsia"/>
                    </w:rPr>
                    <w:t>处理至含水率不高于50%后</w:t>
                  </w:r>
                  <w:r>
                    <w:rPr>
                      <w:rFonts w:hint="eastAsia"/>
                      <w:color w:val="000000"/>
                    </w:rPr>
                    <w:t>送</w:t>
                  </w:r>
                  <w:r>
                    <w:rPr>
                      <w:color w:val="000000"/>
                    </w:rPr>
                    <w:t>新乡县恒新热力有限公司</w:t>
                  </w:r>
                  <w:r>
                    <w:rPr>
                      <w:rFonts w:hint="eastAsia"/>
                      <w:color w:val="000000"/>
                    </w:rPr>
                    <w:t>经预处理满足入炉条件后送入燃煤锅炉燃烧</w:t>
                  </w:r>
                </w:p>
              </w:tc>
            </w:tr>
          </w:tbl>
          <w:p>
            <w:pPr>
              <w:pStyle w:val="273"/>
              <w:numPr>
                <w:ilvl w:val="0"/>
                <w:numId w:val="3"/>
              </w:numPr>
              <w:spacing w:line="480" w:lineRule="exact"/>
              <w:ind w:firstLineChars="0"/>
              <w:rPr>
                <w:sz w:val="24"/>
              </w:rPr>
            </w:pPr>
            <w:r>
              <w:rPr>
                <w:rFonts w:hint="eastAsia"/>
                <w:sz w:val="24"/>
              </w:rPr>
              <w:t>现有项目污染物排放量</w:t>
            </w:r>
          </w:p>
          <w:p>
            <w:pPr>
              <w:spacing w:line="480" w:lineRule="exact"/>
              <w:ind w:firstLine="480" w:firstLineChars="200"/>
              <w:rPr>
                <w:sz w:val="24"/>
              </w:rPr>
            </w:pPr>
            <w:r>
              <w:rPr>
                <w:sz w:val="24"/>
              </w:rPr>
              <w:t>根据例行监测报告、补充监测报告、废水在线监测数据及排污许可证，现有工程废气、废水污染物排放量见下表。</w:t>
            </w:r>
          </w:p>
          <w:p>
            <w:pPr>
              <w:adjustRightInd w:val="0"/>
              <w:spacing w:line="400" w:lineRule="exact"/>
              <w:ind w:firstLine="480" w:firstLineChars="200"/>
              <w:textAlignment w:val="baseline"/>
              <w:rPr>
                <w:rFonts w:eastAsia="黑体"/>
                <w:bCs/>
                <w:color w:val="000000"/>
                <w:sz w:val="24"/>
              </w:rPr>
            </w:pPr>
          </w:p>
          <w:p>
            <w:pPr>
              <w:adjustRightInd w:val="0"/>
              <w:spacing w:line="400" w:lineRule="exact"/>
              <w:textAlignment w:val="baseline"/>
              <w:rPr>
                <w:rFonts w:eastAsia="黑体"/>
                <w:bCs/>
                <w:color w:val="000000"/>
                <w:sz w:val="24"/>
              </w:rPr>
            </w:pPr>
          </w:p>
          <w:p>
            <w:pPr>
              <w:adjustRightInd w:val="0"/>
              <w:spacing w:line="400" w:lineRule="exact"/>
              <w:ind w:firstLine="480" w:firstLineChars="200"/>
              <w:textAlignment w:val="baseline"/>
              <w:rPr>
                <w:rFonts w:eastAsia="黑体"/>
                <w:bCs/>
                <w:color w:val="000000"/>
                <w:sz w:val="24"/>
              </w:rPr>
            </w:pPr>
            <w:r>
              <w:rPr>
                <w:rFonts w:eastAsia="黑体"/>
                <w:bCs/>
                <w:color w:val="000000"/>
                <w:sz w:val="24"/>
              </w:rPr>
              <w:t xml:space="preserve">表15           </w:t>
            </w:r>
            <w:r>
              <w:rPr>
                <w:rFonts w:hint="eastAsia" w:eastAsia="黑体"/>
                <w:bCs/>
                <w:color w:val="000000"/>
                <w:sz w:val="24"/>
              </w:rPr>
              <w:t xml:space="preserve">   现有</w:t>
            </w:r>
            <w:r>
              <w:rPr>
                <w:rFonts w:eastAsia="黑体"/>
                <w:bCs/>
                <w:color w:val="000000"/>
                <w:sz w:val="24"/>
              </w:rPr>
              <w:t>工程污染物排放量             单位：t/a</w:t>
            </w:r>
          </w:p>
          <w:tbl>
            <w:tblPr>
              <w:tblStyle w:val="3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1"/>
              <w:gridCol w:w="2237"/>
              <w:gridCol w:w="1323"/>
              <w:gridCol w:w="2237"/>
              <w:gridCol w:w="137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4" w:type="dxa"/>
                  <w:gridSpan w:val="3"/>
                  <w:vAlign w:val="center"/>
                </w:tcPr>
                <w:p>
                  <w:pPr>
                    <w:pStyle w:val="140"/>
                    <w:rPr>
                      <w:b/>
                    </w:rPr>
                  </w:pPr>
                  <w:r>
                    <w:rPr>
                      <w:b/>
                    </w:rPr>
                    <w:t>污染物</w:t>
                  </w:r>
                </w:p>
              </w:tc>
              <w:tc>
                <w:tcPr>
                  <w:tcW w:w="2410" w:type="dxa"/>
                  <w:vAlign w:val="center"/>
                </w:tcPr>
                <w:p>
                  <w:pPr>
                    <w:pStyle w:val="140"/>
                    <w:rPr>
                      <w:b/>
                    </w:rPr>
                  </w:pPr>
                  <w:r>
                    <w:rPr>
                      <w:b/>
                    </w:rPr>
                    <w:t>排污许可证许可排放量</w:t>
                  </w:r>
                </w:p>
              </w:tc>
              <w:tc>
                <w:tcPr>
                  <w:tcW w:w="1475" w:type="dxa"/>
                  <w:vAlign w:val="center"/>
                </w:tcPr>
                <w:p>
                  <w:pPr>
                    <w:pStyle w:val="140"/>
                    <w:rPr>
                      <w:b/>
                    </w:rPr>
                  </w:pPr>
                  <w:r>
                    <w:rPr>
                      <w:b/>
                    </w:rPr>
                    <w:t>实际排放量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restart"/>
                  <w:vAlign w:val="center"/>
                </w:tcPr>
                <w:p>
                  <w:pPr>
                    <w:pStyle w:val="140"/>
                  </w:pPr>
                  <w:r>
                    <w:t>废水</w:t>
                  </w:r>
                </w:p>
              </w:tc>
              <w:tc>
                <w:tcPr>
                  <w:tcW w:w="3827" w:type="dxa"/>
                  <w:gridSpan w:val="2"/>
                  <w:vAlign w:val="center"/>
                </w:tcPr>
                <w:p>
                  <w:pPr>
                    <w:pStyle w:val="140"/>
                  </w:pPr>
                  <w:r>
                    <w:t>COD</w:t>
                  </w:r>
                </w:p>
              </w:tc>
              <w:tc>
                <w:tcPr>
                  <w:tcW w:w="2410" w:type="dxa"/>
                  <w:vAlign w:val="center"/>
                </w:tcPr>
                <w:p>
                  <w:pPr>
                    <w:pStyle w:val="140"/>
                  </w:pPr>
                  <w:r>
                    <w:t>306</w:t>
                  </w:r>
                </w:p>
              </w:tc>
              <w:tc>
                <w:tcPr>
                  <w:tcW w:w="1475" w:type="dxa"/>
                  <w:vAlign w:val="center"/>
                </w:tcPr>
                <w:p>
                  <w:pPr>
                    <w:pStyle w:val="140"/>
                  </w:pPr>
                  <w:r>
                    <w:t>289.1077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continue"/>
                  <w:vAlign w:val="center"/>
                </w:tcPr>
                <w:p>
                  <w:pPr>
                    <w:pStyle w:val="140"/>
                  </w:pPr>
                </w:p>
              </w:tc>
              <w:tc>
                <w:tcPr>
                  <w:tcW w:w="3827" w:type="dxa"/>
                  <w:gridSpan w:val="2"/>
                  <w:vAlign w:val="center"/>
                </w:tcPr>
                <w:p>
                  <w:pPr>
                    <w:pStyle w:val="140"/>
                  </w:pPr>
                  <w:r>
                    <w:t>NH</w:t>
                  </w:r>
                  <w:r>
                    <w:rPr>
                      <w:vertAlign w:val="subscript"/>
                    </w:rPr>
                    <w:t>3</w:t>
                  </w:r>
                  <w:r>
                    <w:t>-N</w:t>
                  </w:r>
                </w:p>
              </w:tc>
              <w:tc>
                <w:tcPr>
                  <w:tcW w:w="2410" w:type="dxa"/>
                  <w:vAlign w:val="center"/>
                </w:tcPr>
                <w:p>
                  <w:pPr>
                    <w:pStyle w:val="140"/>
                  </w:pPr>
                  <w:r>
                    <w:t>16.32</w:t>
                  </w:r>
                </w:p>
              </w:tc>
              <w:tc>
                <w:tcPr>
                  <w:tcW w:w="1475" w:type="dxa"/>
                  <w:vAlign w:val="center"/>
                </w:tcPr>
                <w:p>
                  <w:pPr>
                    <w:pStyle w:val="140"/>
                  </w:pPr>
                  <w:r>
                    <w:t>1.3029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continue"/>
                  <w:vAlign w:val="center"/>
                </w:tcPr>
                <w:p>
                  <w:pPr>
                    <w:pStyle w:val="140"/>
                  </w:pPr>
                </w:p>
              </w:tc>
              <w:tc>
                <w:tcPr>
                  <w:tcW w:w="3827" w:type="dxa"/>
                  <w:gridSpan w:val="2"/>
                  <w:vAlign w:val="center"/>
                </w:tcPr>
                <w:p>
                  <w:pPr>
                    <w:pStyle w:val="140"/>
                  </w:pPr>
                  <w:r>
                    <w:t>TN</w:t>
                  </w:r>
                </w:p>
              </w:tc>
              <w:tc>
                <w:tcPr>
                  <w:tcW w:w="2410" w:type="dxa"/>
                  <w:vAlign w:val="center"/>
                </w:tcPr>
                <w:p>
                  <w:pPr>
                    <w:pStyle w:val="140"/>
                  </w:pPr>
                  <w:r>
                    <w:t>118.8</w:t>
                  </w:r>
                </w:p>
              </w:tc>
              <w:tc>
                <w:tcPr>
                  <w:tcW w:w="1475" w:type="dxa"/>
                  <w:vAlign w:val="center"/>
                </w:tcPr>
                <w:p>
                  <w:pPr>
                    <w:pStyle w:val="140"/>
                  </w:pPr>
                  <w:r>
                    <w:t>0.0283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continue"/>
                  <w:vAlign w:val="center"/>
                </w:tcPr>
                <w:p>
                  <w:pPr>
                    <w:pStyle w:val="140"/>
                  </w:pPr>
                </w:p>
              </w:tc>
              <w:tc>
                <w:tcPr>
                  <w:tcW w:w="3827" w:type="dxa"/>
                  <w:gridSpan w:val="2"/>
                  <w:vAlign w:val="center"/>
                </w:tcPr>
                <w:p>
                  <w:pPr>
                    <w:pStyle w:val="140"/>
                  </w:pPr>
                  <w:r>
                    <w:t>TP</w:t>
                  </w:r>
                </w:p>
              </w:tc>
              <w:tc>
                <w:tcPr>
                  <w:tcW w:w="2410" w:type="dxa"/>
                  <w:vAlign w:val="center"/>
                </w:tcPr>
                <w:p>
                  <w:pPr>
                    <w:pStyle w:val="140"/>
                  </w:pPr>
                  <w:r>
                    <w:t>13.2</w:t>
                  </w:r>
                </w:p>
              </w:tc>
              <w:tc>
                <w:tcPr>
                  <w:tcW w:w="1475" w:type="dxa"/>
                  <w:vAlign w:val="center"/>
                </w:tcPr>
                <w:p>
                  <w:pPr>
                    <w:pStyle w:val="140"/>
                  </w:pPr>
                  <w:r>
                    <w:t>0.0125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restart"/>
                  <w:vAlign w:val="center"/>
                </w:tcPr>
                <w:p>
                  <w:pPr>
                    <w:pStyle w:val="140"/>
                  </w:pPr>
                  <w:r>
                    <w:t>废气</w:t>
                  </w:r>
                </w:p>
              </w:tc>
              <w:tc>
                <w:tcPr>
                  <w:tcW w:w="2410" w:type="dxa"/>
                  <w:vAlign w:val="center"/>
                </w:tcPr>
                <w:p>
                  <w:pPr>
                    <w:pStyle w:val="140"/>
                  </w:pPr>
                  <w:r>
                    <w:t>文化纸生产线</w:t>
                  </w:r>
                </w:p>
              </w:tc>
              <w:tc>
                <w:tcPr>
                  <w:tcW w:w="1417" w:type="dxa"/>
                  <w:vAlign w:val="center"/>
                </w:tcPr>
                <w:p>
                  <w:pPr>
                    <w:pStyle w:val="140"/>
                  </w:pPr>
                  <w:r>
                    <w:t>颗粒物</w:t>
                  </w:r>
                </w:p>
              </w:tc>
              <w:tc>
                <w:tcPr>
                  <w:tcW w:w="2410" w:type="dxa"/>
                  <w:vAlign w:val="center"/>
                </w:tcPr>
                <w:p>
                  <w:pPr>
                    <w:pStyle w:val="140"/>
                  </w:pPr>
                  <w:r>
                    <w:t>/</w:t>
                  </w:r>
                </w:p>
              </w:tc>
              <w:tc>
                <w:tcPr>
                  <w:tcW w:w="1475" w:type="dxa"/>
                  <w:vAlign w:val="center"/>
                </w:tcPr>
                <w:p>
                  <w:pPr>
                    <w:pStyle w:val="140"/>
                  </w:pPr>
                  <w:r>
                    <w:t>0.3120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continue"/>
                  <w:vAlign w:val="center"/>
                </w:tcPr>
                <w:p>
                  <w:pPr>
                    <w:pStyle w:val="140"/>
                  </w:pPr>
                </w:p>
              </w:tc>
              <w:tc>
                <w:tcPr>
                  <w:tcW w:w="2410" w:type="dxa"/>
                  <w:vAlign w:val="center"/>
                </w:tcPr>
                <w:p>
                  <w:pPr>
                    <w:pStyle w:val="140"/>
                  </w:pPr>
                  <w:r>
                    <w:t>特种纸生产线</w:t>
                  </w:r>
                </w:p>
              </w:tc>
              <w:tc>
                <w:tcPr>
                  <w:tcW w:w="1417" w:type="dxa"/>
                  <w:vAlign w:val="center"/>
                </w:tcPr>
                <w:p>
                  <w:pPr>
                    <w:pStyle w:val="140"/>
                  </w:pPr>
                  <w:r>
                    <w:t>颗粒物</w:t>
                  </w:r>
                </w:p>
              </w:tc>
              <w:tc>
                <w:tcPr>
                  <w:tcW w:w="2410" w:type="dxa"/>
                  <w:vAlign w:val="center"/>
                </w:tcPr>
                <w:p>
                  <w:pPr>
                    <w:pStyle w:val="140"/>
                  </w:pPr>
                  <w:r>
                    <w:t>/</w:t>
                  </w:r>
                </w:p>
              </w:tc>
              <w:tc>
                <w:tcPr>
                  <w:tcW w:w="1475" w:type="dxa"/>
                  <w:vAlign w:val="center"/>
                </w:tcPr>
                <w:p>
                  <w:pPr>
                    <w:pStyle w:val="140"/>
                  </w:pPr>
                  <w:r>
                    <w:t>0.4950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continue"/>
                  <w:vAlign w:val="center"/>
                </w:tcPr>
                <w:p>
                  <w:pPr>
                    <w:pStyle w:val="140"/>
                  </w:pPr>
                </w:p>
              </w:tc>
              <w:tc>
                <w:tcPr>
                  <w:tcW w:w="2410" w:type="dxa"/>
                  <w:vAlign w:val="center"/>
                </w:tcPr>
                <w:p>
                  <w:pPr>
                    <w:pStyle w:val="140"/>
                  </w:pPr>
                  <w:r>
                    <w:rPr>
                      <w:color w:val="000000"/>
                    </w:rPr>
                    <w:t>牛底白卡涂布纸生产线</w:t>
                  </w:r>
                </w:p>
              </w:tc>
              <w:tc>
                <w:tcPr>
                  <w:tcW w:w="1417" w:type="dxa"/>
                  <w:vAlign w:val="center"/>
                </w:tcPr>
                <w:p>
                  <w:pPr>
                    <w:pStyle w:val="140"/>
                  </w:pPr>
                  <w:r>
                    <w:t>颗粒物</w:t>
                  </w:r>
                </w:p>
              </w:tc>
              <w:tc>
                <w:tcPr>
                  <w:tcW w:w="2410" w:type="dxa"/>
                  <w:vAlign w:val="center"/>
                </w:tcPr>
                <w:p>
                  <w:pPr>
                    <w:pStyle w:val="140"/>
                  </w:pPr>
                  <w:r>
                    <w:t>/</w:t>
                  </w:r>
                </w:p>
              </w:tc>
              <w:tc>
                <w:tcPr>
                  <w:tcW w:w="1475" w:type="dxa"/>
                  <w:vAlign w:val="center"/>
                </w:tcPr>
                <w:p>
                  <w:pPr>
                    <w:pStyle w:val="140"/>
                  </w:pPr>
                  <w:r>
                    <w:t>0.3000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continue"/>
                  <w:vAlign w:val="center"/>
                </w:tcPr>
                <w:p>
                  <w:pPr>
                    <w:pStyle w:val="140"/>
                  </w:pPr>
                </w:p>
              </w:tc>
              <w:tc>
                <w:tcPr>
                  <w:tcW w:w="2410" w:type="dxa"/>
                  <w:vAlign w:val="center"/>
                </w:tcPr>
                <w:p>
                  <w:pPr>
                    <w:pStyle w:val="140"/>
                  </w:pPr>
                  <w:r>
                    <w:t>漂白化学浆生产线</w:t>
                  </w:r>
                </w:p>
              </w:tc>
              <w:tc>
                <w:tcPr>
                  <w:tcW w:w="1417" w:type="dxa"/>
                  <w:vAlign w:val="center"/>
                </w:tcPr>
                <w:p>
                  <w:pPr>
                    <w:pStyle w:val="140"/>
                  </w:pPr>
                  <w:r>
                    <w:t>颗粒物</w:t>
                  </w:r>
                </w:p>
              </w:tc>
              <w:tc>
                <w:tcPr>
                  <w:tcW w:w="2410" w:type="dxa"/>
                  <w:vAlign w:val="center"/>
                </w:tcPr>
                <w:p>
                  <w:pPr>
                    <w:pStyle w:val="140"/>
                  </w:pPr>
                  <w:r>
                    <w:t>/</w:t>
                  </w:r>
                </w:p>
              </w:tc>
              <w:tc>
                <w:tcPr>
                  <w:tcW w:w="1475" w:type="dxa"/>
                  <w:vAlign w:val="center"/>
                </w:tcPr>
                <w:p>
                  <w:pPr>
                    <w:pStyle w:val="140"/>
                  </w:pPr>
                  <w:r>
                    <w:t>1.6371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continue"/>
                  <w:vAlign w:val="center"/>
                </w:tcPr>
                <w:p>
                  <w:pPr>
                    <w:pStyle w:val="140"/>
                  </w:pPr>
                </w:p>
              </w:tc>
              <w:tc>
                <w:tcPr>
                  <w:tcW w:w="2410" w:type="dxa"/>
                  <w:vMerge w:val="restart"/>
                  <w:vAlign w:val="center"/>
                </w:tcPr>
                <w:p>
                  <w:pPr>
                    <w:pStyle w:val="140"/>
                  </w:pPr>
                  <w:r>
                    <w:t>碱回收炉</w:t>
                  </w:r>
                </w:p>
              </w:tc>
              <w:tc>
                <w:tcPr>
                  <w:tcW w:w="1417" w:type="dxa"/>
                  <w:vAlign w:val="center"/>
                </w:tcPr>
                <w:p>
                  <w:pPr>
                    <w:pStyle w:val="140"/>
                  </w:pPr>
                  <w:r>
                    <w:t>颗粒物</w:t>
                  </w:r>
                </w:p>
              </w:tc>
              <w:tc>
                <w:tcPr>
                  <w:tcW w:w="2410" w:type="dxa"/>
                  <w:vAlign w:val="center"/>
                </w:tcPr>
                <w:p>
                  <w:pPr>
                    <w:pStyle w:val="140"/>
                  </w:pPr>
                  <w:r>
                    <w:t>/</w:t>
                  </w:r>
                </w:p>
              </w:tc>
              <w:tc>
                <w:tcPr>
                  <w:tcW w:w="1475" w:type="dxa"/>
                  <w:vAlign w:val="center"/>
                </w:tcPr>
                <w:p>
                  <w:pPr>
                    <w:pStyle w:val="140"/>
                  </w:pPr>
                  <w:r>
                    <w:t>2.6928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continue"/>
                  <w:vAlign w:val="center"/>
                </w:tcPr>
                <w:p>
                  <w:pPr>
                    <w:pStyle w:val="140"/>
                  </w:pPr>
                </w:p>
              </w:tc>
              <w:tc>
                <w:tcPr>
                  <w:tcW w:w="2410" w:type="dxa"/>
                  <w:vMerge w:val="continue"/>
                  <w:vAlign w:val="center"/>
                </w:tcPr>
                <w:p>
                  <w:pPr>
                    <w:pStyle w:val="140"/>
                  </w:pPr>
                </w:p>
              </w:tc>
              <w:tc>
                <w:tcPr>
                  <w:tcW w:w="1417" w:type="dxa"/>
                  <w:vAlign w:val="center"/>
                </w:tcPr>
                <w:p>
                  <w:pPr>
                    <w:pStyle w:val="140"/>
                  </w:pPr>
                  <w:r>
                    <w:t>SO</w:t>
                  </w:r>
                  <w:r>
                    <w:rPr>
                      <w:vertAlign w:val="subscript"/>
                    </w:rPr>
                    <w:t>2</w:t>
                  </w:r>
                </w:p>
              </w:tc>
              <w:tc>
                <w:tcPr>
                  <w:tcW w:w="2410" w:type="dxa"/>
                  <w:vAlign w:val="center"/>
                </w:tcPr>
                <w:p>
                  <w:pPr>
                    <w:pStyle w:val="140"/>
                  </w:pPr>
                  <w:r>
                    <w:t>/</w:t>
                  </w:r>
                </w:p>
              </w:tc>
              <w:tc>
                <w:tcPr>
                  <w:tcW w:w="1475" w:type="dxa"/>
                  <w:vAlign w:val="center"/>
                </w:tcPr>
                <w:p>
                  <w:pPr>
                    <w:pStyle w:val="140"/>
                  </w:pPr>
                  <w:r>
                    <w:t>6.3360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continue"/>
                  <w:vAlign w:val="center"/>
                </w:tcPr>
                <w:p>
                  <w:pPr>
                    <w:pStyle w:val="140"/>
                  </w:pPr>
                </w:p>
              </w:tc>
              <w:tc>
                <w:tcPr>
                  <w:tcW w:w="2410" w:type="dxa"/>
                  <w:vMerge w:val="continue"/>
                  <w:vAlign w:val="center"/>
                </w:tcPr>
                <w:p>
                  <w:pPr>
                    <w:pStyle w:val="140"/>
                  </w:pPr>
                </w:p>
              </w:tc>
              <w:tc>
                <w:tcPr>
                  <w:tcW w:w="1417" w:type="dxa"/>
                  <w:vAlign w:val="center"/>
                </w:tcPr>
                <w:p>
                  <w:pPr>
                    <w:pStyle w:val="140"/>
                  </w:pPr>
                  <w:r>
                    <w:t>NO</w:t>
                  </w:r>
                  <w:r>
                    <w:rPr>
                      <w:vertAlign w:val="subscript"/>
                    </w:rPr>
                    <w:t>X</w:t>
                  </w:r>
                </w:p>
              </w:tc>
              <w:tc>
                <w:tcPr>
                  <w:tcW w:w="2410" w:type="dxa"/>
                  <w:vAlign w:val="center"/>
                </w:tcPr>
                <w:p>
                  <w:pPr>
                    <w:pStyle w:val="140"/>
                  </w:pPr>
                  <w:r>
                    <w:t>/</w:t>
                  </w:r>
                </w:p>
              </w:tc>
              <w:tc>
                <w:tcPr>
                  <w:tcW w:w="1475" w:type="dxa"/>
                  <w:vAlign w:val="center"/>
                </w:tcPr>
                <w:p>
                  <w:pPr>
                    <w:pStyle w:val="140"/>
                  </w:pPr>
                  <w:r>
                    <w:t>12.6720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continue"/>
                  <w:vAlign w:val="center"/>
                </w:tcPr>
                <w:p>
                  <w:pPr>
                    <w:pStyle w:val="140"/>
                  </w:pPr>
                </w:p>
              </w:tc>
              <w:tc>
                <w:tcPr>
                  <w:tcW w:w="2410" w:type="dxa"/>
                  <w:vMerge w:val="restart"/>
                  <w:vAlign w:val="center"/>
                </w:tcPr>
                <w:p>
                  <w:pPr>
                    <w:pStyle w:val="140"/>
                  </w:pPr>
                  <w:r>
                    <w:t>恶臭</w:t>
                  </w:r>
                </w:p>
              </w:tc>
              <w:tc>
                <w:tcPr>
                  <w:tcW w:w="1417" w:type="dxa"/>
                  <w:vAlign w:val="center"/>
                </w:tcPr>
                <w:p>
                  <w:pPr>
                    <w:pStyle w:val="140"/>
                  </w:pPr>
                  <w:r>
                    <w:t>NH</w:t>
                  </w:r>
                  <w:r>
                    <w:rPr>
                      <w:vertAlign w:val="subscript"/>
                    </w:rPr>
                    <w:t>3</w:t>
                  </w:r>
                </w:p>
              </w:tc>
              <w:tc>
                <w:tcPr>
                  <w:tcW w:w="2410" w:type="dxa"/>
                  <w:vAlign w:val="center"/>
                </w:tcPr>
                <w:p>
                  <w:pPr>
                    <w:pStyle w:val="140"/>
                  </w:pPr>
                  <w:r>
                    <w:t>/</w:t>
                  </w:r>
                </w:p>
              </w:tc>
              <w:tc>
                <w:tcPr>
                  <w:tcW w:w="1475" w:type="dxa"/>
                  <w:vAlign w:val="center"/>
                </w:tcPr>
                <w:p>
                  <w:pPr>
                    <w:pStyle w:val="140"/>
                  </w:pPr>
                  <w:r>
                    <w:t>1.1326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continue"/>
                  <w:vAlign w:val="center"/>
                </w:tcPr>
                <w:p>
                  <w:pPr>
                    <w:pStyle w:val="140"/>
                  </w:pPr>
                </w:p>
              </w:tc>
              <w:tc>
                <w:tcPr>
                  <w:tcW w:w="2410" w:type="dxa"/>
                  <w:vMerge w:val="continue"/>
                  <w:vAlign w:val="center"/>
                </w:tcPr>
                <w:p>
                  <w:pPr>
                    <w:pStyle w:val="140"/>
                  </w:pPr>
                </w:p>
              </w:tc>
              <w:tc>
                <w:tcPr>
                  <w:tcW w:w="1417" w:type="dxa"/>
                  <w:vAlign w:val="center"/>
                </w:tcPr>
                <w:p>
                  <w:pPr>
                    <w:pStyle w:val="140"/>
                  </w:pPr>
                  <w:r>
                    <w:t>H</w:t>
                  </w:r>
                  <w:r>
                    <w:rPr>
                      <w:vertAlign w:val="subscript"/>
                    </w:rPr>
                    <w:t>2</w:t>
                  </w:r>
                  <w:r>
                    <w:t>S</w:t>
                  </w:r>
                </w:p>
              </w:tc>
              <w:tc>
                <w:tcPr>
                  <w:tcW w:w="2410" w:type="dxa"/>
                  <w:vAlign w:val="center"/>
                </w:tcPr>
                <w:p>
                  <w:pPr>
                    <w:pStyle w:val="140"/>
                  </w:pPr>
                  <w:r>
                    <w:t>/</w:t>
                  </w:r>
                </w:p>
              </w:tc>
              <w:tc>
                <w:tcPr>
                  <w:tcW w:w="1475" w:type="dxa"/>
                  <w:vAlign w:val="center"/>
                </w:tcPr>
                <w:p>
                  <w:pPr>
                    <w:pStyle w:val="140"/>
                  </w:pPr>
                  <w:r>
                    <w:t>0.1441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continue"/>
                  <w:vAlign w:val="center"/>
                </w:tcPr>
                <w:p>
                  <w:pPr>
                    <w:pStyle w:val="140"/>
                  </w:pPr>
                </w:p>
              </w:tc>
              <w:tc>
                <w:tcPr>
                  <w:tcW w:w="2410" w:type="dxa"/>
                  <w:vMerge w:val="restart"/>
                  <w:vAlign w:val="center"/>
                </w:tcPr>
                <w:p>
                  <w:pPr>
                    <w:pStyle w:val="140"/>
                  </w:pPr>
                  <w:r>
                    <w:t>合计</w:t>
                  </w:r>
                </w:p>
              </w:tc>
              <w:tc>
                <w:tcPr>
                  <w:tcW w:w="1417" w:type="dxa"/>
                  <w:vAlign w:val="center"/>
                </w:tcPr>
                <w:p>
                  <w:pPr>
                    <w:pStyle w:val="140"/>
                  </w:pPr>
                  <w:r>
                    <w:t>颗粒物</w:t>
                  </w:r>
                </w:p>
              </w:tc>
              <w:tc>
                <w:tcPr>
                  <w:tcW w:w="2410" w:type="dxa"/>
                  <w:vAlign w:val="center"/>
                </w:tcPr>
                <w:p>
                  <w:pPr>
                    <w:pStyle w:val="140"/>
                  </w:pPr>
                  <w:r>
                    <w:t>/</w:t>
                  </w:r>
                </w:p>
              </w:tc>
              <w:tc>
                <w:tcPr>
                  <w:tcW w:w="1475" w:type="dxa"/>
                  <w:vAlign w:val="center"/>
                </w:tcPr>
                <w:p>
                  <w:pPr>
                    <w:pStyle w:val="140"/>
                  </w:pPr>
                  <w:r>
                    <w:t>5.4369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continue"/>
                  <w:vAlign w:val="center"/>
                </w:tcPr>
                <w:p>
                  <w:pPr>
                    <w:pStyle w:val="140"/>
                  </w:pPr>
                </w:p>
              </w:tc>
              <w:tc>
                <w:tcPr>
                  <w:tcW w:w="2410" w:type="dxa"/>
                  <w:vMerge w:val="continue"/>
                  <w:vAlign w:val="center"/>
                </w:tcPr>
                <w:p>
                  <w:pPr>
                    <w:pStyle w:val="140"/>
                  </w:pPr>
                </w:p>
              </w:tc>
              <w:tc>
                <w:tcPr>
                  <w:tcW w:w="1417" w:type="dxa"/>
                  <w:vAlign w:val="center"/>
                </w:tcPr>
                <w:p>
                  <w:pPr>
                    <w:pStyle w:val="140"/>
                  </w:pPr>
                  <w:r>
                    <w:t>SO</w:t>
                  </w:r>
                  <w:r>
                    <w:rPr>
                      <w:vertAlign w:val="subscript"/>
                    </w:rPr>
                    <w:t>2</w:t>
                  </w:r>
                </w:p>
              </w:tc>
              <w:tc>
                <w:tcPr>
                  <w:tcW w:w="2410" w:type="dxa"/>
                  <w:vAlign w:val="center"/>
                </w:tcPr>
                <w:p>
                  <w:pPr>
                    <w:pStyle w:val="140"/>
                  </w:pPr>
                  <w:r>
                    <w:t>/</w:t>
                  </w:r>
                </w:p>
              </w:tc>
              <w:tc>
                <w:tcPr>
                  <w:tcW w:w="1475" w:type="dxa"/>
                  <w:vAlign w:val="center"/>
                </w:tcPr>
                <w:p>
                  <w:pPr>
                    <w:pStyle w:val="140"/>
                  </w:pPr>
                  <w:r>
                    <w:t>6.3360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continue"/>
                  <w:vAlign w:val="center"/>
                </w:tcPr>
                <w:p>
                  <w:pPr>
                    <w:pStyle w:val="140"/>
                  </w:pPr>
                </w:p>
              </w:tc>
              <w:tc>
                <w:tcPr>
                  <w:tcW w:w="2410" w:type="dxa"/>
                  <w:vMerge w:val="continue"/>
                  <w:vAlign w:val="center"/>
                </w:tcPr>
                <w:p>
                  <w:pPr>
                    <w:pStyle w:val="140"/>
                  </w:pPr>
                </w:p>
              </w:tc>
              <w:tc>
                <w:tcPr>
                  <w:tcW w:w="1417" w:type="dxa"/>
                  <w:vAlign w:val="center"/>
                </w:tcPr>
                <w:p>
                  <w:pPr>
                    <w:pStyle w:val="140"/>
                  </w:pPr>
                  <w:r>
                    <w:t>NO</w:t>
                  </w:r>
                  <w:r>
                    <w:rPr>
                      <w:vertAlign w:val="subscript"/>
                    </w:rPr>
                    <w:t>X</w:t>
                  </w:r>
                </w:p>
              </w:tc>
              <w:tc>
                <w:tcPr>
                  <w:tcW w:w="2410" w:type="dxa"/>
                  <w:vAlign w:val="center"/>
                </w:tcPr>
                <w:p>
                  <w:pPr>
                    <w:pStyle w:val="140"/>
                  </w:pPr>
                  <w:r>
                    <w:t>/</w:t>
                  </w:r>
                </w:p>
              </w:tc>
              <w:tc>
                <w:tcPr>
                  <w:tcW w:w="1475" w:type="dxa"/>
                  <w:vAlign w:val="center"/>
                </w:tcPr>
                <w:p>
                  <w:pPr>
                    <w:pStyle w:val="140"/>
                  </w:pPr>
                  <w:r>
                    <w:t>12.6720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continue"/>
                  <w:vAlign w:val="center"/>
                </w:tcPr>
                <w:p>
                  <w:pPr>
                    <w:pStyle w:val="140"/>
                  </w:pPr>
                </w:p>
              </w:tc>
              <w:tc>
                <w:tcPr>
                  <w:tcW w:w="2410" w:type="dxa"/>
                  <w:vMerge w:val="continue"/>
                  <w:vAlign w:val="center"/>
                </w:tcPr>
                <w:p>
                  <w:pPr>
                    <w:pStyle w:val="140"/>
                  </w:pPr>
                </w:p>
              </w:tc>
              <w:tc>
                <w:tcPr>
                  <w:tcW w:w="1417" w:type="dxa"/>
                  <w:vAlign w:val="center"/>
                </w:tcPr>
                <w:p>
                  <w:pPr>
                    <w:pStyle w:val="140"/>
                  </w:pPr>
                  <w:r>
                    <w:t>NH</w:t>
                  </w:r>
                  <w:r>
                    <w:rPr>
                      <w:vertAlign w:val="subscript"/>
                    </w:rPr>
                    <w:t>3</w:t>
                  </w:r>
                </w:p>
              </w:tc>
              <w:tc>
                <w:tcPr>
                  <w:tcW w:w="2410" w:type="dxa"/>
                  <w:vAlign w:val="center"/>
                </w:tcPr>
                <w:p>
                  <w:pPr>
                    <w:pStyle w:val="140"/>
                  </w:pPr>
                  <w:r>
                    <w:t>/</w:t>
                  </w:r>
                </w:p>
              </w:tc>
              <w:tc>
                <w:tcPr>
                  <w:tcW w:w="1475" w:type="dxa"/>
                  <w:vAlign w:val="center"/>
                </w:tcPr>
                <w:p>
                  <w:pPr>
                    <w:pStyle w:val="140"/>
                  </w:pPr>
                  <w:r>
                    <w:t>1.1326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continue"/>
                  <w:vAlign w:val="center"/>
                </w:tcPr>
                <w:p>
                  <w:pPr>
                    <w:pStyle w:val="140"/>
                  </w:pPr>
                </w:p>
              </w:tc>
              <w:tc>
                <w:tcPr>
                  <w:tcW w:w="2410" w:type="dxa"/>
                  <w:vMerge w:val="continue"/>
                  <w:vAlign w:val="center"/>
                </w:tcPr>
                <w:p>
                  <w:pPr>
                    <w:pStyle w:val="140"/>
                  </w:pPr>
                </w:p>
              </w:tc>
              <w:tc>
                <w:tcPr>
                  <w:tcW w:w="1417" w:type="dxa"/>
                  <w:vAlign w:val="center"/>
                </w:tcPr>
                <w:p>
                  <w:pPr>
                    <w:pStyle w:val="140"/>
                  </w:pPr>
                  <w:r>
                    <w:t>H</w:t>
                  </w:r>
                  <w:r>
                    <w:rPr>
                      <w:vertAlign w:val="subscript"/>
                    </w:rPr>
                    <w:t>2</w:t>
                  </w:r>
                  <w:r>
                    <w:t>S</w:t>
                  </w:r>
                </w:p>
              </w:tc>
              <w:tc>
                <w:tcPr>
                  <w:tcW w:w="2410" w:type="dxa"/>
                  <w:vAlign w:val="center"/>
                </w:tcPr>
                <w:p>
                  <w:pPr>
                    <w:pStyle w:val="140"/>
                  </w:pPr>
                  <w:r>
                    <w:t>/</w:t>
                  </w:r>
                </w:p>
              </w:tc>
              <w:tc>
                <w:tcPr>
                  <w:tcW w:w="1475" w:type="dxa"/>
                  <w:vAlign w:val="center"/>
                </w:tcPr>
                <w:p>
                  <w:pPr>
                    <w:pStyle w:val="140"/>
                  </w:pPr>
                  <w:r>
                    <w:t>0.1441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9" w:type="dxa"/>
                  <w:gridSpan w:val="5"/>
                  <w:vAlign w:val="center"/>
                </w:tcPr>
                <w:p>
                  <w:pPr>
                    <w:pStyle w:val="140"/>
                  </w:pPr>
                  <w:r>
                    <w:t>备注：因排序许可证和环评及批复均未许可废气污染物排放量，因此以实际排放量作为现有工程的的排放量</w:t>
                  </w:r>
                </w:p>
              </w:tc>
            </w:tr>
          </w:tbl>
          <w:p>
            <w:pPr>
              <w:spacing w:line="480" w:lineRule="exact"/>
              <w:ind w:firstLine="480" w:firstLineChars="200"/>
              <w:rPr>
                <w:sz w:val="24"/>
              </w:rPr>
            </w:pPr>
            <w:r>
              <w:rPr>
                <w:rFonts w:hint="eastAsia"/>
                <w:sz w:val="24"/>
              </w:rPr>
              <w:t>三、在建项目工程污染情况</w:t>
            </w:r>
          </w:p>
          <w:p>
            <w:pPr>
              <w:spacing w:line="480" w:lineRule="exact"/>
              <w:ind w:firstLine="480" w:firstLineChars="200"/>
              <w:rPr>
                <w:sz w:val="24"/>
              </w:rPr>
            </w:pPr>
            <w:r>
              <w:rPr>
                <w:rFonts w:hint="eastAsia"/>
                <w:sz w:val="24"/>
              </w:rPr>
              <w:t>2021年11月，新乡市生态环境局以新环书</w:t>
            </w:r>
            <w:r>
              <w:rPr>
                <w:rFonts w:hint="eastAsia"/>
                <w:sz w:val="24"/>
                <w:lang w:eastAsia="zh-CN"/>
              </w:rPr>
              <w:t>审</w:t>
            </w:r>
            <w:r>
              <w:rPr>
                <w:rFonts w:hint="eastAsia"/>
                <w:sz w:val="24"/>
              </w:rPr>
              <w:t>[2</w:t>
            </w:r>
            <w:r>
              <w:rPr>
                <w:sz w:val="24"/>
              </w:rPr>
              <w:t>021]</w:t>
            </w:r>
            <w:r>
              <w:rPr>
                <w:rFonts w:hint="eastAsia"/>
                <w:sz w:val="24"/>
              </w:rPr>
              <w:t>3</w:t>
            </w:r>
            <w:r>
              <w:rPr>
                <w:rFonts w:hint="eastAsia"/>
                <w:sz w:val="24"/>
                <w:lang w:val="en-US" w:eastAsia="zh-CN"/>
              </w:rPr>
              <w:t>2</w:t>
            </w:r>
            <w:r>
              <w:rPr>
                <w:rFonts w:hint="eastAsia"/>
                <w:sz w:val="24"/>
              </w:rPr>
              <w:t>号文对“河南兴泰</w:t>
            </w:r>
            <w:r>
              <w:rPr>
                <w:rFonts w:hint="eastAsia"/>
                <w:sz w:val="24"/>
                <w:lang w:eastAsia="zh-CN"/>
              </w:rPr>
              <w:t>纸业</w:t>
            </w:r>
            <w:bookmarkStart w:id="3" w:name="_GoBack"/>
            <w:bookmarkEnd w:id="3"/>
            <w:r>
              <w:rPr>
                <w:rFonts w:hint="eastAsia"/>
                <w:sz w:val="24"/>
              </w:rPr>
              <w:t>有限公司年产4.6万吨白卡纸智能化改建项目”进行了审批，目前该项目尚未开工建设，本次评价参考该项目环评进行污染物产排污分析。</w:t>
            </w:r>
          </w:p>
          <w:p>
            <w:pPr>
              <w:spacing w:line="480" w:lineRule="exact"/>
              <w:ind w:firstLine="480" w:firstLineChars="200"/>
              <w:rPr>
                <w:sz w:val="24"/>
              </w:rPr>
            </w:pPr>
            <w:r>
              <w:rPr>
                <w:rFonts w:hint="eastAsia"/>
                <w:sz w:val="24"/>
              </w:rPr>
              <w:t>1、</w:t>
            </w:r>
            <w:r>
              <w:rPr>
                <w:sz w:val="24"/>
              </w:rPr>
              <w:t>废气：</w:t>
            </w:r>
          </w:p>
          <w:p>
            <w:pPr>
              <w:spacing w:line="480" w:lineRule="exact"/>
              <w:ind w:firstLine="480" w:firstLineChars="200"/>
              <w:rPr>
                <w:sz w:val="24"/>
              </w:rPr>
            </w:pPr>
            <w:r>
              <w:rPr>
                <w:sz w:val="24"/>
              </w:rPr>
              <w:t>工程有组织废气主要包括3200特种纸生产线投料工段废气，白卡纸生产线配浆池投料废气、纸机投料废气以及浆钙生产线废气，污染物主要均为颗粒物。</w:t>
            </w:r>
          </w:p>
          <w:p>
            <w:pPr>
              <w:spacing w:line="480" w:lineRule="exact"/>
              <w:ind w:firstLine="480" w:firstLineChars="200"/>
              <w:rPr>
                <w:sz w:val="24"/>
              </w:rPr>
            </w:pPr>
            <w:r>
              <w:rPr>
                <w:sz w:val="24"/>
              </w:rPr>
              <w:t>投料废气均经密闭</w:t>
            </w:r>
            <w:r>
              <w:rPr>
                <w:rFonts w:hint="eastAsia"/>
                <w:sz w:val="24"/>
              </w:rPr>
              <w:t>投料间</w:t>
            </w:r>
            <w:r>
              <w:rPr>
                <w:sz w:val="24"/>
              </w:rPr>
              <w:t>负压收集引至袋式除尘器处理后经15m高排气筒排放；</w:t>
            </w:r>
            <w:r>
              <w:rPr>
                <w:rFonts w:hint="eastAsia"/>
                <w:sz w:val="24"/>
              </w:rPr>
              <w:t>研磨</w:t>
            </w:r>
            <w:r>
              <w:rPr>
                <w:sz w:val="24"/>
              </w:rPr>
              <w:t>废气经密闭</w:t>
            </w:r>
            <w:r>
              <w:rPr>
                <w:rFonts w:hint="eastAsia"/>
                <w:sz w:val="24"/>
              </w:rPr>
              <w:t>管道</w:t>
            </w:r>
            <w:r>
              <w:rPr>
                <w:sz w:val="24"/>
              </w:rPr>
              <w:t>负压收集引至袋式除尘器处理后经15m高排气筒排放。颗粒物排放浓度、排放速率均能够满足《大气污染物综合排放标准》（GB16297-1996）表2颗粒物浓度120mg/m³、速率3.5kg/h（15m高排气筒）的标准要求；同时能够满足《新乡市生态环境局关于进一步规范工业企业颗粒物排放限值的通知》颗粒物浓度10mg/m³的限值要求。</w:t>
            </w:r>
          </w:p>
          <w:p>
            <w:pPr>
              <w:spacing w:line="480" w:lineRule="exact"/>
              <w:ind w:firstLine="480" w:firstLineChars="200"/>
              <w:rPr>
                <w:sz w:val="24"/>
              </w:rPr>
            </w:pPr>
            <w:r>
              <w:rPr>
                <w:rFonts w:hint="eastAsia"/>
                <w:sz w:val="24"/>
              </w:rPr>
              <w:t>2、</w:t>
            </w:r>
            <w:r>
              <w:rPr>
                <w:sz w:val="24"/>
              </w:rPr>
              <w:t>废水：</w:t>
            </w:r>
          </w:p>
          <w:p>
            <w:pPr>
              <w:spacing w:line="480" w:lineRule="exact"/>
              <w:ind w:firstLine="480" w:firstLineChars="200"/>
              <w:rPr>
                <w:sz w:val="24"/>
              </w:rPr>
            </w:pPr>
            <w:r>
              <w:rPr>
                <w:sz w:val="24"/>
              </w:rPr>
              <w:t>本次改建工程废水仅包括3200特种纸和白卡纸生产线纸机白水，全部回用不外排。</w:t>
            </w:r>
            <w:r>
              <w:rPr>
                <w:rFonts w:hint="eastAsia"/>
                <w:sz w:val="24"/>
              </w:rPr>
              <w:t>白水主要污染物为SS和COD，因生产工艺均为造纸，且设备、原料类似，因此改建项目白水污染物水质可类比现有工程，</w:t>
            </w:r>
            <w:r>
              <w:rPr>
                <w:sz w:val="24"/>
              </w:rPr>
              <w:t>根据现有工程的实际运行状况</w:t>
            </w:r>
            <w:r>
              <w:rPr>
                <w:rFonts w:hint="eastAsia"/>
                <w:sz w:val="24"/>
              </w:rPr>
              <w:t>，白水进水污染物浓度为COD</w:t>
            </w:r>
            <w:r>
              <w:rPr>
                <w:sz w:val="24"/>
              </w:rPr>
              <w:t xml:space="preserve"> </w:t>
            </w:r>
            <w:r>
              <w:rPr>
                <w:rFonts w:hint="eastAsia"/>
                <w:sz w:val="24"/>
              </w:rPr>
              <w:t>1333~1363mg/L、SS</w:t>
            </w:r>
            <w:r>
              <w:rPr>
                <w:sz w:val="24"/>
              </w:rPr>
              <w:t xml:space="preserve"> </w:t>
            </w:r>
            <w:r>
              <w:rPr>
                <w:rFonts w:hint="eastAsia"/>
                <w:sz w:val="24"/>
              </w:rPr>
              <w:t>130~145mg/L，出水污染物浓度为COD</w:t>
            </w:r>
            <w:r>
              <w:rPr>
                <w:sz w:val="24"/>
              </w:rPr>
              <w:t xml:space="preserve"> </w:t>
            </w:r>
            <w:r>
              <w:rPr>
                <w:rFonts w:hint="eastAsia"/>
                <w:sz w:val="24"/>
              </w:rPr>
              <w:t>960~980mg/L、SS</w:t>
            </w:r>
            <w:r>
              <w:rPr>
                <w:sz w:val="24"/>
              </w:rPr>
              <w:t xml:space="preserve"> </w:t>
            </w:r>
            <w:r>
              <w:rPr>
                <w:rFonts w:hint="eastAsia"/>
                <w:sz w:val="24"/>
              </w:rPr>
              <w:t>80~104mg/L，</w:t>
            </w:r>
            <w:r>
              <w:rPr>
                <w:sz w:val="24"/>
              </w:rPr>
              <w:t>项目厂区污水处理站出水可以做到稳定达标，回用水水质可以满足生产需求，并未导致产品质量下降。项目改建工程完成后，3200</w:t>
            </w:r>
            <w:r>
              <w:rPr>
                <w:rFonts w:hint="eastAsia"/>
                <w:sz w:val="24"/>
              </w:rPr>
              <w:t>特种纸生产线白水产生量为</w:t>
            </w:r>
            <w:r>
              <w:rPr>
                <w:sz w:val="24"/>
              </w:rPr>
              <w:t>1178t/d</w:t>
            </w:r>
            <w:r>
              <w:rPr>
                <w:rFonts w:hint="eastAsia"/>
                <w:sz w:val="24"/>
              </w:rPr>
              <w:t>，经配套白水塔处理后部分（</w:t>
            </w:r>
            <w:r>
              <w:rPr>
                <w:sz w:val="24"/>
              </w:rPr>
              <w:t>458t/d</w:t>
            </w:r>
            <w:r>
              <w:rPr>
                <w:rFonts w:hint="eastAsia"/>
                <w:sz w:val="24"/>
              </w:rPr>
              <w:t>）回用于纸机，部分（</w:t>
            </w:r>
            <w:r>
              <w:rPr>
                <w:sz w:val="24"/>
              </w:rPr>
              <w:t>720t/d</w:t>
            </w:r>
            <w:r>
              <w:rPr>
                <w:rFonts w:hint="eastAsia"/>
                <w:sz w:val="24"/>
              </w:rPr>
              <w:t>）回用于化学浆生产线双氧水两段漂白工序；</w:t>
            </w:r>
            <w:r>
              <w:rPr>
                <w:sz w:val="24"/>
              </w:rPr>
              <w:t>3200特种纸</w:t>
            </w:r>
            <w:r>
              <w:rPr>
                <w:rFonts w:hint="eastAsia"/>
                <w:sz w:val="24"/>
              </w:rPr>
              <w:t>生产线依托现有2</w:t>
            </w:r>
            <w:r>
              <w:rPr>
                <w:sz w:val="24"/>
              </w:rPr>
              <w:t>个60m3/h</w:t>
            </w:r>
            <w:r>
              <w:rPr>
                <w:rFonts w:hint="eastAsia"/>
                <w:sz w:val="24"/>
              </w:rPr>
              <w:t>的</w:t>
            </w:r>
            <w:r>
              <w:rPr>
                <w:sz w:val="24"/>
              </w:rPr>
              <w:t>白水沉淀塔</w:t>
            </w:r>
            <w:r>
              <w:rPr>
                <w:rFonts w:hint="eastAsia"/>
                <w:sz w:val="24"/>
              </w:rPr>
              <w:t>，处理规模可满足使用要求</w:t>
            </w:r>
            <w:r>
              <w:rPr>
                <w:sz w:val="24"/>
              </w:rPr>
              <w:t>；</w:t>
            </w:r>
          </w:p>
          <w:p>
            <w:pPr>
              <w:spacing w:line="480" w:lineRule="exact"/>
              <w:ind w:firstLine="480" w:firstLineChars="200"/>
              <w:rPr>
                <w:sz w:val="24"/>
              </w:rPr>
            </w:pPr>
            <w:r>
              <w:rPr>
                <w:rFonts w:hint="eastAsia"/>
                <w:sz w:val="24"/>
              </w:rPr>
              <w:t>白卡纸生产线纸机白水产生量为</w:t>
            </w:r>
            <w:r>
              <w:rPr>
                <w:sz w:val="24"/>
              </w:rPr>
              <w:t>2753.87t/d</w:t>
            </w:r>
            <w:r>
              <w:rPr>
                <w:rFonts w:hint="eastAsia"/>
                <w:sz w:val="24"/>
              </w:rPr>
              <w:t>，部分（</w:t>
            </w:r>
            <w:r>
              <w:rPr>
                <w:sz w:val="24"/>
              </w:rPr>
              <w:t>1561.21t/d</w:t>
            </w:r>
            <w:r>
              <w:rPr>
                <w:rFonts w:hint="eastAsia"/>
                <w:sz w:val="24"/>
              </w:rPr>
              <w:t>）回用于碎浆，部分（</w:t>
            </w:r>
            <w:r>
              <w:rPr>
                <w:sz w:val="24"/>
              </w:rPr>
              <w:t>11908t/d</w:t>
            </w:r>
            <w:r>
              <w:rPr>
                <w:rFonts w:hint="eastAsia"/>
                <w:sz w:val="24"/>
              </w:rPr>
              <w:t>）回用于化学浆生产线双氧水两段漂白工序，以及少量（</w:t>
            </w:r>
            <w:r>
              <w:rPr>
                <w:sz w:val="24"/>
              </w:rPr>
              <w:t>2.28t/d</w:t>
            </w:r>
            <w:r>
              <w:rPr>
                <w:rFonts w:hint="eastAsia"/>
                <w:sz w:val="24"/>
              </w:rPr>
              <w:t>）用于浆钙生产线研磨工序。白卡纸生产线新建2个6</w:t>
            </w:r>
            <w:r>
              <w:rPr>
                <w:sz w:val="24"/>
              </w:rPr>
              <w:t>0m3/h</w:t>
            </w:r>
            <w:r>
              <w:rPr>
                <w:rFonts w:hint="eastAsia"/>
                <w:sz w:val="24"/>
              </w:rPr>
              <w:t>的</w:t>
            </w:r>
            <w:r>
              <w:rPr>
                <w:sz w:val="24"/>
              </w:rPr>
              <w:t>白水沉淀塔</w:t>
            </w:r>
            <w:r>
              <w:rPr>
                <w:rFonts w:hint="eastAsia"/>
                <w:sz w:val="24"/>
              </w:rPr>
              <w:t>，处理规模可满足使用要求。</w:t>
            </w:r>
          </w:p>
          <w:p>
            <w:pPr>
              <w:spacing w:line="480" w:lineRule="exact"/>
              <w:ind w:firstLine="480" w:firstLineChars="200"/>
              <w:rPr>
                <w:sz w:val="24"/>
              </w:rPr>
            </w:pPr>
            <w:r>
              <w:rPr>
                <w:rFonts w:hint="eastAsia"/>
                <w:sz w:val="24"/>
              </w:rPr>
              <w:t>综上，</w:t>
            </w:r>
            <w:r>
              <w:rPr>
                <w:sz w:val="24"/>
              </w:rPr>
              <w:t>厂区污水处理站处理工艺、处理规模、进水水量及水质、排水水量及水质均不发生变化，对地表水体影响较小。</w:t>
            </w:r>
          </w:p>
          <w:p>
            <w:pPr>
              <w:spacing w:line="480" w:lineRule="exact"/>
              <w:ind w:firstLine="480" w:firstLineChars="200"/>
              <w:rPr>
                <w:sz w:val="24"/>
              </w:rPr>
            </w:pPr>
            <w:r>
              <w:rPr>
                <w:rFonts w:hint="eastAsia"/>
                <w:sz w:val="24"/>
              </w:rPr>
              <w:t>3、</w:t>
            </w:r>
            <w:r>
              <w:rPr>
                <w:sz w:val="24"/>
              </w:rPr>
              <w:t>噪声：</w:t>
            </w:r>
          </w:p>
          <w:p>
            <w:pPr>
              <w:spacing w:line="480" w:lineRule="exact"/>
              <w:ind w:firstLine="480" w:firstLineChars="200"/>
              <w:rPr>
                <w:sz w:val="24"/>
              </w:rPr>
            </w:pPr>
            <w:r>
              <w:rPr>
                <w:sz w:val="24"/>
              </w:rPr>
              <w:t>新增高噪声设备主要为双盘磨浆机、水力碎浆机、三叠网抄纸机和研磨机等，经安装减振基础、厂房隔音、距离衰减等措施治理后，各个厂界处的噪声预测值满足《工业企业厂界环境噪声排放标准》（GB12348-2008）2类昼间60dB(A)、夜间50dB(A)的要求。</w:t>
            </w:r>
          </w:p>
          <w:p>
            <w:pPr>
              <w:spacing w:line="480" w:lineRule="exact"/>
              <w:ind w:firstLine="480" w:firstLineChars="200"/>
              <w:rPr>
                <w:sz w:val="24"/>
              </w:rPr>
            </w:pPr>
            <w:r>
              <w:rPr>
                <w:rFonts w:hint="eastAsia"/>
                <w:sz w:val="24"/>
              </w:rPr>
              <w:t>4、</w:t>
            </w:r>
            <w:r>
              <w:rPr>
                <w:sz w:val="24"/>
              </w:rPr>
              <w:t>固废：</w:t>
            </w:r>
          </w:p>
          <w:p>
            <w:pPr>
              <w:spacing w:line="480" w:lineRule="exact"/>
              <w:ind w:firstLine="480" w:firstLineChars="200"/>
              <w:rPr>
                <w:sz w:val="24"/>
              </w:rPr>
            </w:pPr>
            <w:r>
              <w:rPr>
                <w:sz w:val="24"/>
              </w:rPr>
              <w:t>3200特种纸生产线除杂和白卡纸生产线除渣筛分产生的浆渣，均属于一般固废</w:t>
            </w:r>
            <w:r>
              <w:rPr>
                <w:rFonts w:hint="eastAsia"/>
                <w:sz w:val="24"/>
              </w:rPr>
              <w:t>。</w:t>
            </w:r>
            <w:r>
              <w:rPr>
                <w:sz w:val="24"/>
              </w:rPr>
              <w:t>3200特种纸生产线除杂浆渣产生量约为31.991kg/t产品（绝干），白卡纸生产线除渣筛分浆渣产生量约为35kg/t产品（绝干），经计算全年产生量为2313.802t/a，全部回用于现有牛底白卡涂布纸生产线芯浆制备工序。</w:t>
            </w:r>
          </w:p>
          <w:p>
            <w:pPr>
              <w:spacing w:line="480" w:lineRule="exact"/>
              <w:ind w:firstLine="480" w:firstLineChars="200"/>
              <w:rPr>
                <w:sz w:val="24"/>
              </w:rPr>
            </w:pPr>
            <w:r>
              <w:rPr>
                <w:sz w:val="24"/>
              </w:rPr>
              <w:t>经采取上述相应的治理措施治理后项目各废气均可实现稳定达标排放，满足相应排放标准要求。</w:t>
            </w:r>
          </w:p>
          <w:p>
            <w:pPr>
              <w:spacing w:line="480" w:lineRule="exact"/>
              <w:ind w:firstLine="480" w:firstLineChars="200"/>
              <w:rPr>
                <w:sz w:val="24"/>
              </w:rPr>
            </w:pPr>
            <w:r>
              <w:rPr>
                <w:rFonts w:hint="eastAsia"/>
                <w:sz w:val="24"/>
              </w:rPr>
              <w:t>四、在建项目建成后全厂污染物排放量</w:t>
            </w:r>
          </w:p>
          <w:p>
            <w:pPr>
              <w:spacing w:line="480" w:lineRule="exact"/>
              <w:ind w:firstLine="480" w:firstLineChars="200"/>
              <w:rPr>
                <w:sz w:val="24"/>
              </w:rPr>
            </w:pPr>
            <w:r>
              <w:rPr>
                <w:rFonts w:hint="eastAsia"/>
                <w:sz w:val="24"/>
              </w:rPr>
              <w:t>在建项目建成后全厂污染物排放情况见下表。</w:t>
            </w:r>
          </w:p>
          <w:p>
            <w:pPr>
              <w:spacing w:line="480" w:lineRule="exact"/>
              <w:ind w:firstLine="480" w:firstLineChars="200"/>
              <w:rPr>
                <w:rFonts w:eastAsia="黑体"/>
                <w:color w:val="000000"/>
                <w:sz w:val="24"/>
                <w:szCs w:val="20"/>
              </w:rPr>
            </w:pPr>
          </w:p>
          <w:p>
            <w:pPr>
              <w:spacing w:line="480" w:lineRule="exact"/>
              <w:ind w:firstLine="480" w:firstLineChars="200"/>
              <w:rPr>
                <w:rFonts w:eastAsia="黑体"/>
                <w:color w:val="000000"/>
                <w:sz w:val="24"/>
                <w:szCs w:val="20"/>
              </w:rPr>
            </w:pPr>
          </w:p>
          <w:p>
            <w:pPr>
              <w:spacing w:line="480" w:lineRule="exact"/>
              <w:ind w:firstLine="480" w:firstLineChars="200"/>
              <w:rPr>
                <w:rFonts w:eastAsia="黑体"/>
                <w:color w:val="000000"/>
                <w:sz w:val="24"/>
                <w:szCs w:val="20"/>
              </w:rPr>
            </w:pPr>
          </w:p>
          <w:p>
            <w:pPr>
              <w:spacing w:line="480" w:lineRule="exact"/>
              <w:rPr>
                <w:rFonts w:eastAsia="黑体"/>
                <w:color w:val="000000"/>
                <w:sz w:val="24"/>
                <w:szCs w:val="20"/>
              </w:rPr>
            </w:pPr>
          </w:p>
          <w:p>
            <w:pPr>
              <w:spacing w:line="480" w:lineRule="exact"/>
              <w:rPr>
                <w:rFonts w:eastAsia="黑体"/>
                <w:color w:val="000000"/>
                <w:sz w:val="24"/>
                <w:szCs w:val="20"/>
              </w:rPr>
            </w:pPr>
          </w:p>
          <w:p>
            <w:pPr>
              <w:spacing w:line="480" w:lineRule="exact"/>
              <w:rPr>
                <w:rFonts w:eastAsia="黑体"/>
                <w:color w:val="000000"/>
                <w:sz w:val="24"/>
                <w:szCs w:val="20"/>
              </w:rPr>
            </w:pPr>
          </w:p>
          <w:p>
            <w:pPr>
              <w:spacing w:line="480" w:lineRule="exact"/>
              <w:rPr>
                <w:rFonts w:eastAsia="黑体"/>
                <w:color w:val="000000"/>
                <w:sz w:val="24"/>
                <w:szCs w:val="20"/>
              </w:rPr>
            </w:pPr>
          </w:p>
          <w:p>
            <w:pPr>
              <w:spacing w:line="480" w:lineRule="exact"/>
              <w:rPr>
                <w:rFonts w:eastAsia="黑体"/>
                <w:color w:val="000000"/>
                <w:sz w:val="24"/>
                <w:szCs w:val="20"/>
              </w:rPr>
            </w:pPr>
          </w:p>
          <w:p>
            <w:pPr>
              <w:spacing w:line="480" w:lineRule="exact"/>
              <w:rPr>
                <w:rFonts w:eastAsia="黑体"/>
                <w:color w:val="000000"/>
                <w:sz w:val="24"/>
                <w:szCs w:val="20"/>
              </w:rPr>
            </w:pPr>
          </w:p>
          <w:p>
            <w:pPr>
              <w:spacing w:line="480" w:lineRule="exact"/>
              <w:rPr>
                <w:rFonts w:eastAsia="黑体"/>
                <w:color w:val="000000"/>
                <w:sz w:val="24"/>
                <w:szCs w:val="20"/>
              </w:rPr>
            </w:pPr>
          </w:p>
          <w:p>
            <w:pPr>
              <w:spacing w:line="480" w:lineRule="exact"/>
              <w:rPr>
                <w:rFonts w:eastAsia="黑体"/>
                <w:color w:val="000000"/>
                <w:sz w:val="24"/>
                <w:szCs w:val="20"/>
              </w:rPr>
            </w:pPr>
          </w:p>
          <w:p>
            <w:pPr>
              <w:spacing w:line="480" w:lineRule="exact"/>
              <w:rPr>
                <w:rFonts w:eastAsia="黑体"/>
                <w:color w:val="000000"/>
                <w:sz w:val="24"/>
                <w:szCs w:val="20"/>
              </w:rPr>
            </w:pPr>
          </w:p>
          <w:p>
            <w:pPr>
              <w:spacing w:line="480" w:lineRule="exact"/>
              <w:rPr>
                <w:rFonts w:eastAsia="黑体"/>
                <w:color w:val="000000"/>
                <w:sz w:val="24"/>
                <w:szCs w:val="20"/>
              </w:rPr>
            </w:pPr>
          </w:p>
          <w:p>
            <w:pPr>
              <w:spacing w:line="480" w:lineRule="exact"/>
              <w:rPr>
                <w:rFonts w:eastAsia="黑体"/>
                <w:color w:val="000000"/>
                <w:sz w:val="24"/>
                <w:szCs w:val="20"/>
              </w:rPr>
            </w:pPr>
          </w:p>
          <w:p>
            <w:pPr>
              <w:spacing w:line="480" w:lineRule="exact"/>
              <w:rPr>
                <w:rFonts w:eastAsia="黑体"/>
                <w:color w:val="000000"/>
                <w:sz w:val="24"/>
                <w:szCs w:val="20"/>
              </w:rPr>
            </w:pPr>
          </w:p>
          <w:p>
            <w:pPr>
              <w:spacing w:line="480" w:lineRule="exact"/>
              <w:rPr>
                <w:rFonts w:eastAsia="黑体"/>
                <w:color w:val="000000"/>
                <w:sz w:val="24"/>
                <w:szCs w:val="20"/>
              </w:rPr>
            </w:pPr>
          </w:p>
          <w:p>
            <w:pPr>
              <w:spacing w:line="480" w:lineRule="exact"/>
              <w:rPr>
                <w:rFonts w:eastAsia="黑体"/>
                <w:color w:val="000000"/>
                <w:sz w:val="24"/>
                <w:szCs w:val="20"/>
              </w:rPr>
            </w:pPr>
          </w:p>
          <w:p>
            <w:pPr>
              <w:spacing w:line="480" w:lineRule="exact"/>
              <w:rPr>
                <w:rFonts w:eastAsia="黑体"/>
                <w:color w:val="000000"/>
                <w:sz w:val="24"/>
                <w:szCs w:val="20"/>
              </w:rPr>
            </w:pPr>
          </w:p>
        </w:tc>
      </w:tr>
    </w:tbl>
    <w:p>
      <w:pPr>
        <w:tabs>
          <w:tab w:val="left" w:pos="5961"/>
        </w:tabs>
        <w:sectPr>
          <w:pgSz w:w="11906" w:h="16838"/>
          <w:pgMar w:top="1701" w:right="1531" w:bottom="1701" w:left="1531" w:header="851" w:footer="1191" w:gutter="0"/>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2" w:hRule="atLeast"/>
        </w:trPr>
        <w:tc>
          <w:tcPr>
            <w:tcW w:w="1101" w:type="dxa"/>
          </w:tcPr>
          <w:p>
            <w:pPr>
              <w:pStyle w:val="29"/>
              <w:jc w:val="center"/>
              <w:outlineLvl w:val="0"/>
              <w:rPr>
                <w:rFonts w:ascii="黑体" w:hAnsi="黑体" w:eastAsia="黑体"/>
                <w:snapToGrid w:val="0"/>
                <w:color w:val="000000"/>
                <w:sz w:val="30"/>
                <w:szCs w:val="30"/>
              </w:rPr>
            </w:pPr>
          </w:p>
        </w:tc>
        <w:tc>
          <w:tcPr>
            <w:tcW w:w="12551" w:type="dxa"/>
          </w:tcPr>
          <w:p>
            <w:pPr>
              <w:snapToGrid w:val="0"/>
              <w:spacing w:line="460" w:lineRule="exact"/>
              <w:ind w:firstLine="480" w:firstLineChars="200"/>
              <w:rPr>
                <w:rFonts w:eastAsia="黑体" w:cs="Calibri"/>
                <w:color w:val="000000"/>
                <w:sz w:val="24"/>
              </w:rPr>
            </w:pPr>
            <w:r>
              <w:rPr>
                <w:rFonts w:eastAsia="黑体" w:cs="Calibri"/>
                <w:color w:val="000000"/>
                <w:sz w:val="24"/>
              </w:rPr>
              <w:t xml:space="preserve">表16                </w:t>
            </w:r>
            <w:r>
              <w:rPr>
                <w:rFonts w:hint="eastAsia" w:eastAsia="黑体" w:cs="Calibri"/>
                <w:color w:val="000000"/>
                <w:sz w:val="24"/>
              </w:rPr>
              <w:t xml:space="preserve">     </w:t>
            </w:r>
            <w:r>
              <w:rPr>
                <w:rFonts w:eastAsia="黑体" w:cs="Calibri"/>
                <w:color w:val="000000"/>
                <w:sz w:val="24"/>
              </w:rPr>
              <w:t xml:space="preserve">   </w:t>
            </w:r>
            <w:r>
              <w:rPr>
                <w:rFonts w:hint="eastAsia" w:eastAsia="黑体" w:cs="Calibri"/>
                <w:color w:val="000000"/>
                <w:sz w:val="24"/>
              </w:rPr>
              <w:t xml:space="preserve"> </w:t>
            </w:r>
            <w:r>
              <w:rPr>
                <w:rFonts w:eastAsia="黑体" w:cs="Calibri"/>
                <w:color w:val="000000"/>
                <w:sz w:val="24"/>
              </w:rPr>
              <w:t>在建项目建成后全厂污染物排放情况                             单位：t/a</w:t>
            </w:r>
          </w:p>
          <w:tbl>
            <w:tblPr>
              <w:tblStyle w:val="31"/>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4"/>
              <w:gridCol w:w="1253"/>
              <w:gridCol w:w="1251"/>
              <w:gridCol w:w="1517"/>
              <w:gridCol w:w="1118"/>
              <w:gridCol w:w="1490"/>
              <w:gridCol w:w="1500"/>
              <w:gridCol w:w="1002"/>
              <w:gridCol w:w="750"/>
              <w:gridCol w:w="1002"/>
              <w:gridCol w:w="106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3" w:type="pct"/>
                  <w:gridSpan w:val="2"/>
                  <w:vMerge w:val="restart"/>
                  <w:tcMar>
                    <w:left w:w="0" w:type="dxa"/>
                    <w:right w:w="0" w:type="dxa"/>
                  </w:tcMar>
                  <w:vAlign w:val="center"/>
                </w:tcPr>
                <w:p>
                  <w:pPr>
                    <w:pStyle w:val="268"/>
                    <w:rPr>
                      <w:rFonts w:cs="Times New Roman"/>
                    </w:rPr>
                  </w:pPr>
                  <w:r>
                    <w:rPr>
                      <w:rFonts w:cs="Times New Roman"/>
                    </w:rPr>
                    <w:t>污染物</w:t>
                  </w:r>
                </w:p>
              </w:tc>
              <w:tc>
                <w:tcPr>
                  <w:tcW w:w="1575" w:type="pct"/>
                  <w:gridSpan w:val="3"/>
                  <w:tcMar>
                    <w:left w:w="0" w:type="dxa"/>
                    <w:right w:w="0" w:type="dxa"/>
                  </w:tcMar>
                  <w:vAlign w:val="center"/>
                </w:tcPr>
                <w:p>
                  <w:pPr>
                    <w:pStyle w:val="268"/>
                    <w:rPr>
                      <w:rFonts w:cs="Times New Roman"/>
                    </w:rPr>
                  </w:pPr>
                  <w:r>
                    <w:rPr>
                      <w:rFonts w:cs="Times New Roman"/>
                    </w:rPr>
                    <w:t>现有工程排放量</w:t>
                  </w:r>
                </w:p>
              </w:tc>
              <w:tc>
                <w:tcPr>
                  <w:tcW w:w="604" w:type="pct"/>
                  <w:vMerge w:val="restart"/>
                  <w:tcMar>
                    <w:left w:w="0" w:type="dxa"/>
                    <w:right w:w="0" w:type="dxa"/>
                  </w:tcMar>
                  <w:vAlign w:val="center"/>
                </w:tcPr>
                <w:p>
                  <w:pPr>
                    <w:pStyle w:val="268"/>
                    <w:rPr>
                      <w:rFonts w:cs="Times New Roman"/>
                    </w:rPr>
                  </w:pPr>
                  <w:r>
                    <w:rPr>
                      <w:rFonts w:hint="eastAsia" w:cs="Times New Roman"/>
                    </w:rPr>
                    <w:t>在建工</w:t>
                  </w:r>
                  <w:r>
                    <w:rPr>
                      <w:rFonts w:cs="Times New Roman"/>
                    </w:rPr>
                    <w:t>程排放量</w:t>
                  </w:r>
                </w:p>
                <w:p>
                  <w:pPr>
                    <w:pStyle w:val="268"/>
                    <w:rPr>
                      <w:rFonts w:cs="Times New Roman"/>
                    </w:rPr>
                  </w:pPr>
                  <w:r>
                    <w:rPr>
                      <w:rFonts w:hint="eastAsia" w:cs="Times New Roman"/>
                    </w:rPr>
                    <w:t>（厂区总排口）</w:t>
                  </w:r>
                </w:p>
              </w:tc>
              <w:tc>
                <w:tcPr>
                  <w:tcW w:w="608" w:type="pct"/>
                  <w:vMerge w:val="restart"/>
                  <w:tcMar>
                    <w:left w:w="0" w:type="dxa"/>
                    <w:right w:w="0" w:type="dxa"/>
                  </w:tcMar>
                  <w:vAlign w:val="center"/>
                </w:tcPr>
                <w:p>
                  <w:pPr>
                    <w:pStyle w:val="268"/>
                    <w:rPr>
                      <w:rFonts w:cs="Times New Roman"/>
                    </w:rPr>
                  </w:pPr>
                  <w:r>
                    <w:rPr>
                      <w:rFonts w:hint="eastAsia" w:cs="Times New Roman"/>
                    </w:rPr>
                    <w:t>在建工</w:t>
                  </w:r>
                  <w:r>
                    <w:rPr>
                      <w:rFonts w:cs="Times New Roman"/>
                    </w:rPr>
                    <w:t>程排放量</w:t>
                  </w:r>
                  <w:r>
                    <w:rPr>
                      <w:rFonts w:hint="eastAsia"/>
                      <w:color w:val="auto"/>
                    </w:rPr>
                    <w:t>（新乡县综合污水处理厂出口）</w:t>
                  </w:r>
                </w:p>
              </w:tc>
              <w:tc>
                <w:tcPr>
                  <w:tcW w:w="406" w:type="pct"/>
                  <w:vMerge w:val="restart"/>
                  <w:tcMar>
                    <w:left w:w="0" w:type="dxa"/>
                    <w:right w:w="0" w:type="dxa"/>
                  </w:tcMar>
                  <w:vAlign w:val="center"/>
                </w:tcPr>
                <w:p>
                  <w:pPr>
                    <w:pStyle w:val="268"/>
                    <w:rPr>
                      <w:rFonts w:cs="Times New Roman"/>
                    </w:rPr>
                  </w:pPr>
                  <w:r>
                    <w:rPr>
                      <w:rFonts w:cs="Times New Roman"/>
                    </w:rPr>
                    <w:t>以新带老削减量</w:t>
                  </w:r>
                </w:p>
              </w:tc>
              <w:tc>
                <w:tcPr>
                  <w:tcW w:w="304" w:type="pct"/>
                  <w:vMerge w:val="restart"/>
                  <w:tcMar>
                    <w:left w:w="0" w:type="dxa"/>
                    <w:right w:w="0" w:type="dxa"/>
                  </w:tcMar>
                  <w:vAlign w:val="center"/>
                </w:tcPr>
                <w:p>
                  <w:pPr>
                    <w:pStyle w:val="268"/>
                    <w:rPr>
                      <w:rFonts w:cs="Times New Roman"/>
                    </w:rPr>
                  </w:pPr>
                  <w:r>
                    <w:rPr>
                      <w:rFonts w:cs="Times New Roman"/>
                    </w:rPr>
                    <w:t>区域平衡替代</w:t>
                  </w:r>
                </w:p>
              </w:tc>
              <w:tc>
                <w:tcPr>
                  <w:tcW w:w="406" w:type="pct"/>
                  <w:vMerge w:val="restart"/>
                  <w:tcMar>
                    <w:left w:w="0" w:type="dxa"/>
                    <w:right w:w="0" w:type="dxa"/>
                  </w:tcMar>
                  <w:vAlign w:val="center"/>
                </w:tcPr>
                <w:p>
                  <w:pPr>
                    <w:pStyle w:val="268"/>
                    <w:rPr>
                      <w:rFonts w:cs="Times New Roman"/>
                    </w:rPr>
                  </w:pPr>
                  <w:r>
                    <w:rPr>
                      <w:rFonts w:cs="Times New Roman"/>
                    </w:rPr>
                    <w:t>在建项目建成后全厂排放量</w:t>
                  </w:r>
                </w:p>
              </w:tc>
              <w:tc>
                <w:tcPr>
                  <w:tcW w:w="433" w:type="pct"/>
                  <w:vMerge w:val="restart"/>
                  <w:tcMar>
                    <w:left w:w="0" w:type="dxa"/>
                    <w:right w:w="0" w:type="dxa"/>
                  </w:tcMar>
                  <w:vAlign w:val="center"/>
                </w:tcPr>
                <w:p>
                  <w:pPr>
                    <w:pStyle w:val="268"/>
                    <w:rPr>
                      <w:rFonts w:cs="Times New Roman"/>
                    </w:rPr>
                  </w:pPr>
                  <w:r>
                    <w:rPr>
                      <w:rFonts w:cs="Times New Roman"/>
                    </w:rPr>
                    <w:t>排放增减量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3" w:type="pct"/>
                  <w:gridSpan w:val="2"/>
                  <w:vMerge w:val="continue"/>
                  <w:tcMar>
                    <w:left w:w="0" w:type="dxa"/>
                    <w:right w:w="0" w:type="dxa"/>
                  </w:tcMar>
                  <w:vAlign w:val="center"/>
                </w:tcPr>
                <w:p>
                  <w:pPr>
                    <w:pStyle w:val="268"/>
                    <w:rPr>
                      <w:rFonts w:cs="Times New Roman"/>
                    </w:rPr>
                  </w:pPr>
                </w:p>
              </w:tc>
              <w:tc>
                <w:tcPr>
                  <w:tcW w:w="507" w:type="pct"/>
                  <w:tcMar>
                    <w:left w:w="0" w:type="dxa"/>
                    <w:right w:w="0" w:type="dxa"/>
                  </w:tcMar>
                  <w:vAlign w:val="center"/>
                </w:tcPr>
                <w:p>
                  <w:pPr>
                    <w:pStyle w:val="268"/>
                    <w:rPr>
                      <w:rFonts w:cs="Times New Roman"/>
                    </w:rPr>
                  </w:pPr>
                  <w:r>
                    <w:rPr>
                      <w:rFonts w:cs="Times New Roman"/>
                    </w:rPr>
                    <w:t>实际排放量</w:t>
                  </w:r>
                </w:p>
                <w:p>
                  <w:pPr>
                    <w:pStyle w:val="268"/>
                    <w:rPr>
                      <w:rFonts w:cs="Times New Roman"/>
                    </w:rPr>
                  </w:pPr>
                  <w:r>
                    <w:rPr>
                      <w:rFonts w:hint="eastAsia" w:cs="Times New Roman"/>
                    </w:rPr>
                    <w:t>（厂区总排口）</w:t>
                  </w:r>
                </w:p>
              </w:tc>
              <w:tc>
                <w:tcPr>
                  <w:tcW w:w="615" w:type="pct"/>
                  <w:tcMar>
                    <w:left w:w="0" w:type="dxa"/>
                    <w:right w:w="0" w:type="dxa"/>
                  </w:tcMar>
                  <w:vAlign w:val="center"/>
                </w:tcPr>
                <w:p>
                  <w:pPr>
                    <w:pStyle w:val="268"/>
                    <w:rPr>
                      <w:rFonts w:cs="Times New Roman"/>
                    </w:rPr>
                  </w:pPr>
                  <w:r>
                    <w:rPr>
                      <w:rFonts w:cs="Times New Roman"/>
                    </w:rPr>
                    <w:t>排污许可允许排放量</w:t>
                  </w:r>
                  <w:r>
                    <w:rPr>
                      <w:rFonts w:hint="eastAsia"/>
                      <w:color w:val="auto"/>
                    </w:rPr>
                    <w:t>（厂区总排口）</w:t>
                  </w:r>
                </w:p>
              </w:tc>
              <w:tc>
                <w:tcPr>
                  <w:tcW w:w="453" w:type="pct"/>
                  <w:tcMar>
                    <w:left w:w="0" w:type="dxa"/>
                    <w:right w:w="0" w:type="dxa"/>
                  </w:tcMar>
                  <w:vAlign w:val="center"/>
                </w:tcPr>
                <w:p>
                  <w:pPr>
                    <w:pStyle w:val="268"/>
                    <w:rPr>
                      <w:rFonts w:cs="Times New Roman"/>
                    </w:rPr>
                  </w:pPr>
                  <w:r>
                    <w:rPr>
                      <w:rFonts w:hint="eastAsia"/>
                      <w:color w:val="auto"/>
                    </w:rPr>
                    <w:t>允许排放量（贾屯污水处理厂出口）</w:t>
                  </w:r>
                </w:p>
              </w:tc>
              <w:tc>
                <w:tcPr>
                  <w:tcW w:w="604" w:type="pct"/>
                  <w:vMerge w:val="continue"/>
                  <w:vAlign w:val="center"/>
                </w:tcPr>
                <w:p>
                  <w:pPr>
                    <w:pStyle w:val="268"/>
                    <w:rPr>
                      <w:b w:val="0"/>
                    </w:rPr>
                  </w:pPr>
                </w:p>
              </w:tc>
              <w:tc>
                <w:tcPr>
                  <w:tcW w:w="608" w:type="pct"/>
                  <w:vMerge w:val="continue"/>
                  <w:vAlign w:val="center"/>
                </w:tcPr>
                <w:p>
                  <w:pPr>
                    <w:pStyle w:val="268"/>
                    <w:rPr>
                      <w:b w:val="0"/>
                    </w:rPr>
                  </w:pPr>
                </w:p>
              </w:tc>
              <w:tc>
                <w:tcPr>
                  <w:tcW w:w="406" w:type="pct"/>
                  <w:vMerge w:val="continue"/>
                  <w:vAlign w:val="center"/>
                </w:tcPr>
                <w:p>
                  <w:pPr>
                    <w:pStyle w:val="268"/>
                    <w:rPr>
                      <w:b w:val="0"/>
                    </w:rPr>
                  </w:pPr>
                </w:p>
              </w:tc>
              <w:tc>
                <w:tcPr>
                  <w:tcW w:w="304" w:type="pct"/>
                  <w:vMerge w:val="continue"/>
                  <w:vAlign w:val="center"/>
                </w:tcPr>
                <w:p>
                  <w:pPr>
                    <w:pStyle w:val="140"/>
                    <w:rPr>
                      <w:b/>
                      <w:color w:val="000000"/>
                      <w:kern w:val="2"/>
                    </w:rPr>
                  </w:pPr>
                </w:p>
              </w:tc>
              <w:tc>
                <w:tcPr>
                  <w:tcW w:w="406" w:type="pct"/>
                  <w:vMerge w:val="continue"/>
                  <w:vAlign w:val="center"/>
                </w:tcPr>
                <w:p>
                  <w:pPr>
                    <w:pStyle w:val="140"/>
                    <w:rPr>
                      <w:b/>
                      <w:color w:val="000000"/>
                      <w:kern w:val="2"/>
                    </w:rPr>
                  </w:pPr>
                </w:p>
              </w:tc>
              <w:tc>
                <w:tcPr>
                  <w:tcW w:w="433" w:type="pct"/>
                  <w:vMerge w:val="continue"/>
                  <w:vAlign w:val="center"/>
                </w:tcPr>
                <w:p>
                  <w:pPr>
                    <w:pStyle w:val="140"/>
                    <w:rPr>
                      <w:color w:val="000000"/>
                      <w:kern w:val="2"/>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 w:type="pct"/>
                  <w:vMerge w:val="restart"/>
                  <w:vAlign w:val="center"/>
                </w:tcPr>
                <w:p>
                  <w:pPr>
                    <w:pStyle w:val="140"/>
                  </w:pPr>
                  <w:r>
                    <w:t>废水</w:t>
                  </w:r>
                </w:p>
              </w:tc>
              <w:tc>
                <w:tcPr>
                  <w:tcW w:w="508" w:type="pct"/>
                  <w:vAlign w:val="center"/>
                </w:tcPr>
                <w:p>
                  <w:pPr>
                    <w:pStyle w:val="140"/>
                  </w:pPr>
                  <w:r>
                    <w:t>COD</w:t>
                  </w:r>
                </w:p>
              </w:tc>
              <w:tc>
                <w:tcPr>
                  <w:tcW w:w="507" w:type="pct"/>
                  <w:vAlign w:val="center"/>
                </w:tcPr>
                <w:p>
                  <w:pPr>
                    <w:pStyle w:val="140"/>
                  </w:pPr>
                  <w:r>
                    <w:t>289.1077</w:t>
                  </w:r>
                </w:p>
              </w:tc>
              <w:tc>
                <w:tcPr>
                  <w:tcW w:w="615" w:type="pct"/>
                  <w:vAlign w:val="center"/>
                </w:tcPr>
                <w:p>
                  <w:pPr>
                    <w:pStyle w:val="140"/>
                  </w:pPr>
                  <w:r>
                    <w:t>306</w:t>
                  </w:r>
                </w:p>
              </w:tc>
              <w:tc>
                <w:tcPr>
                  <w:tcW w:w="453" w:type="pct"/>
                  <w:vAlign w:val="center"/>
                </w:tcPr>
                <w:p>
                  <w:pPr>
                    <w:pStyle w:val="140"/>
                  </w:pPr>
                  <w:r>
                    <w:rPr>
                      <w:rFonts w:hint="eastAsia"/>
                    </w:rPr>
                    <w:t>112.3980</w:t>
                  </w:r>
                </w:p>
              </w:tc>
              <w:tc>
                <w:tcPr>
                  <w:tcW w:w="604" w:type="pct"/>
                  <w:vAlign w:val="center"/>
                </w:tcPr>
                <w:p>
                  <w:pPr>
                    <w:pStyle w:val="140"/>
                  </w:pPr>
                  <w:r>
                    <w:t>473.2531</w:t>
                  </w:r>
                </w:p>
              </w:tc>
              <w:tc>
                <w:tcPr>
                  <w:tcW w:w="608" w:type="pct"/>
                  <w:vAlign w:val="center"/>
                </w:tcPr>
                <w:p>
                  <w:pPr>
                    <w:pStyle w:val="140"/>
                  </w:pPr>
                  <w:r>
                    <w:rPr>
                      <w:rFonts w:hint="eastAsia"/>
                    </w:rPr>
                    <w:t>8</w:t>
                  </w:r>
                  <w:r>
                    <w:t>9.9184</w:t>
                  </w:r>
                </w:p>
              </w:tc>
              <w:tc>
                <w:tcPr>
                  <w:tcW w:w="406" w:type="pct"/>
                  <w:vAlign w:val="center"/>
                </w:tcPr>
                <w:p>
                  <w:pPr>
                    <w:pStyle w:val="140"/>
                  </w:pPr>
                  <w:r>
                    <w:t>0</w:t>
                  </w:r>
                </w:p>
              </w:tc>
              <w:tc>
                <w:tcPr>
                  <w:tcW w:w="304" w:type="pct"/>
                  <w:vAlign w:val="center"/>
                </w:tcPr>
                <w:p>
                  <w:pPr>
                    <w:pStyle w:val="140"/>
                  </w:pPr>
                  <w:r>
                    <w:t>306</w:t>
                  </w:r>
                </w:p>
              </w:tc>
              <w:tc>
                <w:tcPr>
                  <w:tcW w:w="406" w:type="pct"/>
                  <w:vAlign w:val="center"/>
                </w:tcPr>
                <w:p>
                  <w:pPr>
                    <w:pStyle w:val="140"/>
                  </w:pPr>
                  <w:r>
                    <w:rPr>
                      <w:rFonts w:hint="eastAsia"/>
                    </w:rPr>
                    <w:t>8</w:t>
                  </w:r>
                  <w:r>
                    <w:t>9.9184</w:t>
                  </w:r>
                </w:p>
              </w:tc>
              <w:tc>
                <w:tcPr>
                  <w:tcW w:w="433" w:type="pct"/>
                  <w:vAlign w:val="center"/>
                </w:tcPr>
                <w:p>
                  <w:pPr>
                    <w:pStyle w:val="140"/>
                  </w:pPr>
                  <w:r>
                    <w:rPr>
                      <w:rFonts w:hint="eastAsia"/>
                    </w:rPr>
                    <w:t xml:space="preserve">-22.4796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 w:type="pct"/>
                  <w:vMerge w:val="continue"/>
                  <w:vAlign w:val="center"/>
                </w:tcPr>
                <w:p>
                  <w:pPr>
                    <w:pStyle w:val="140"/>
                  </w:pPr>
                </w:p>
              </w:tc>
              <w:tc>
                <w:tcPr>
                  <w:tcW w:w="508" w:type="pct"/>
                  <w:vAlign w:val="center"/>
                </w:tcPr>
                <w:p>
                  <w:pPr>
                    <w:pStyle w:val="140"/>
                  </w:pPr>
                  <w:r>
                    <w:t>NH</w:t>
                  </w:r>
                  <w:r>
                    <w:rPr>
                      <w:vertAlign w:val="subscript"/>
                    </w:rPr>
                    <w:t>3</w:t>
                  </w:r>
                  <w:r>
                    <w:t>-N</w:t>
                  </w:r>
                </w:p>
              </w:tc>
              <w:tc>
                <w:tcPr>
                  <w:tcW w:w="507" w:type="pct"/>
                  <w:vAlign w:val="center"/>
                </w:tcPr>
                <w:p>
                  <w:pPr>
                    <w:pStyle w:val="140"/>
                  </w:pPr>
                  <w:r>
                    <w:t>1.3029</w:t>
                  </w:r>
                </w:p>
              </w:tc>
              <w:tc>
                <w:tcPr>
                  <w:tcW w:w="615" w:type="pct"/>
                  <w:vAlign w:val="center"/>
                </w:tcPr>
                <w:p>
                  <w:pPr>
                    <w:pStyle w:val="140"/>
                  </w:pPr>
                  <w:r>
                    <w:t>16.32</w:t>
                  </w:r>
                </w:p>
              </w:tc>
              <w:tc>
                <w:tcPr>
                  <w:tcW w:w="453" w:type="pct"/>
                  <w:vAlign w:val="center"/>
                </w:tcPr>
                <w:p>
                  <w:pPr>
                    <w:pStyle w:val="140"/>
                  </w:pPr>
                  <w:r>
                    <w:rPr>
                      <w:rFonts w:hint="eastAsia"/>
                    </w:rPr>
                    <w:t>11.2398</w:t>
                  </w:r>
                </w:p>
              </w:tc>
              <w:tc>
                <w:tcPr>
                  <w:tcW w:w="604" w:type="pct"/>
                  <w:vAlign w:val="center"/>
                </w:tcPr>
                <w:p>
                  <w:pPr>
                    <w:pStyle w:val="140"/>
                  </w:pPr>
                  <w:r>
                    <w:t>34.7218</w:t>
                  </w:r>
                </w:p>
              </w:tc>
              <w:tc>
                <w:tcPr>
                  <w:tcW w:w="608" w:type="pct"/>
                  <w:vAlign w:val="center"/>
                </w:tcPr>
                <w:p>
                  <w:pPr>
                    <w:pStyle w:val="140"/>
                  </w:pPr>
                  <w:r>
                    <w:rPr>
                      <w:rFonts w:hint="eastAsia"/>
                    </w:rPr>
                    <w:t>4</w:t>
                  </w:r>
                  <w:r>
                    <w:t>.4959</w:t>
                  </w:r>
                </w:p>
              </w:tc>
              <w:tc>
                <w:tcPr>
                  <w:tcW w:w="406" w:type="pct"/>
                  <w:vAlign w:val="center"/>
                </w:tcPr>
                <w:p>
                  <w:pPr>
                    <w:pStyle w:val="140"/>
                  </w:pPr>
                  <w:r>
                    <w:t>0</w:t>
                  </w:r>
                </w:p>
              </w:tc>
              <w:tc>
                <w:tcPr>
                  <w:tcW w:w="304" w:type="pct"/>
                  <w:vAlign w:val="center"/>
                </w:tcPr>
                <w:p>
                  <w:pPr>
                    <w:pStyle w:val="140"/>
                  </w:pPr>
                  <w:r>
                    <w:t>16.32</w:t>
                  </w:r>
                </w:p>
              </w:tc>
              <w:tc>
                <w:tcPr>
                  <w:tcW w:w="406" w:type="pct"/>
                  <w:vAlign w:val="center"/>
                </w:tcPr>
                <w:p>
                  <w:pPr>
                    <w:pStyle w:val="140"/>
                  </w:pPr>
                  <w:r>
                    <w:rPr>
                      <w:rFonts w:hint="eastAsia"/>
                    </w:rPr>
                    <w:t>4</w:t>
                  </w:r>
                  <w:r>
                    <w:t>.4959</w:t>
                  </w:r>
                </w:p>
              </w:tc>
              <w:tc>
                <w:tcPr>
                  <w:tcW w:w="433" w:type="pct"/>
                  <w:vAlign w:val="center"/>
                </w:tcPr>
                <w:p>
                  <w:pPr>
                    <w:pStyle w:val="140"/>
                  </w:pPr>
                  <w:r>
                    <w:rPr>
                      <w:rFonts w:hint="eastAsia"/>
                    </w:rPr>
                    <w:t xml:space="preserve">-6.7439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 w:type="pct"/>
                  <w:vMerge w:val="continue"/>
                  <w:vAlign w:val="center"/>
                </w:tcPr>
                <w:p>
                  <w:pPr>
                    <w:pStyle w:val="140"/>
                  </w:pPr>
                </w:p>
              </w:tc>
              <w:tc>
                <w:tcPr>
                  <w:tcW w:w="508" w:type="pct"/>
                  <w:vAlign w:val="center"/>
                </w:tcPr>
                <w:p>
                  <w:pPr>
                    <w:pStyle w:val="140"/>
                  </w:pPr>
                  <w:r>
                    <w:t>TN</w:t>
                  </w:r>
                </w:p>
              </w:tc>
              <w:tc>
                <w:tcPr>
                  <w:tcW w:w="507" w:type="pct"/>
                  <w:vAlign w:val="center"/>
                </w:tcPr>
                <w:p>
                  <w:pPr>
                    <w:pStyle w:val="140"/>
                  </w:pPr>
                  <w:r>
                    <w:t>0.0283</w:t>
                  </w:r>
                </w:p>
              </w:tc>
              <w:tc>
                <w:tcPr>
                  <w:tcW w:w="615" w:type="pct"/>
                  <w:vAlign w:val="center"/>
                </w:tcPr>
                <w:p>
                  <w:pPr>
                    <w:pStyle w:val="140"/>
                  </w:pPr>
                  <w:r>
                    <w:t>118.8</w:t>
                  </w:r>
                </w:p>
              </w:tc>
              <w:tc>
                <w:tcPr>
                  <w:tcW w:w="453" w:type="pct"/>
                  <w:vAlign w:val="center"/>
                </w:tcPr>
                <w:p>
                  <w:pPr>
                    <w:pStyle w:val="140"/>
                  </w:pPr>
                  <w:r>
                    <w:rPr>
                      <w:rFonts w:hint="eastAsia"/>
                    </w:rPr>
                    <w:t>33.7194</w:t>
                  </w:r>
                </w:p>
              </w:tc>
              <w:tc>
                <w:tcPr>
                  <w:tcW w:w="604" w:type="pct"/>
                  <w:vAlign w:val="center"/>
                </w:tcPr>
                <w:p>
                  <w:pPr>
                    <w:pStyle w:val="140"/>
                  </w:pPr>
                  <w:r>
                    <w:t>78.7463</w:t>
                  </w:r>
                </w:p>
              </w:tc>
              <w:tc>
                <w:tcPr>
                  <w:tcW w:w="608" w:type="pct"/>
                  <w:vAlign w:val="center"/>
                </w:tcPr>
                <w:p>
                  <w:pPr>
                    <w:pStyle w:val="140"/>
                  </w:pPr>
                  <w:r>
                    <w:rPr>
                      <w:rFonts w:hint="eastAsia"/>
                    </w:rPr>
                    <w:t>3</w:t>
                  </w:r>
                  <w:r>
                    <w:t>3.7194</w:t>
                  </w:r>
                </w:p>
              </w:tc>
              <w:tc>
                <w:tcPr>
                  <w:tcW w:w="406" w:type="pct"/>
                  <w:vAlign w:val="center"/>
                </w:tcPr>
                <w:p>
                  <w:pPr>
                    <w:pStyle w:val="140"/>
                  </w:pPr>
                  <w:r>
                    <w:t>0</w:t>
                  </w:r>
                </w:p>
              </w:tc>
              <w:tc>
                <w:tcPr>
                  <w:tcW w:w="304" w:type="pct"/>
                  <w:vAlign w:val="center"/>
                </w:tcPr>
                <w:p>
                  <w:pPr>
                    <w:pStyle w:val="140"/>
                  </w:pPr>
                  <w:r>
                    <w:t>118.8</w:t>
                  </w:r>
                </w:p>
              </w:tc>
              <w:tc>
                <w:tcPr>
                  <w:tcW w:w="406" w:type="pct"/>
                  <w:vAlign w:val="center"/>
                </w:tcPr>
                <w:p>
                  <w:pPr>
                    <w:pStyle w:val="140"/>
                  </w:pPr>
                  <w:r>
                    <w:rPr>
                      <w:rFonts w:hint="eastAsia"/>
                    </w:rPr>
                    <w:t>3</w:t>
                  </w:r>
                  <w:r>
                    <w:t>3.7194</w:t>
                  </w:r>
                </w:p>
              </w:tc>
              <w:tc>
                <w:tcPr>
                  <w:tcW w:w="433" w:type="pct"/>
                  <w:vAlign w:val="center"/>
                </w:tcPr>
                <w:p>
                  <w:pPr>
                    <w:pStyle w:val="140"/>
                  </w:pPr>
                  <w:r>
                    <w:rPr>
                      <w:rFonts w:hint="eastAsia"/>
                    </w:rPr>
                    <w:t xml:space="preserve">0.0000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 w:type="pct"/>
                  <w:vMerge w:val="continue"/>
                  <w:vAlign w:val="center"/>
                </w:tcPr>
                <w:p>
                  <w:pPr>
                    <w:pStyle w:val="140"/>
                  </w:pPr>
                </w:p>
              </w:tc>
              <w:tc>
                <w:tcPr>
                  <w:tcW w:w="508" w:type="pct"/>
                  <w:vAlign w:val="center"/>
                </w:tcPr>
                <w:p>
                  <w:pPr>
                    <w:pStyle w:val="140"/>
                  </w:pPr>
                  <w:r>
                    <w:t>TP</w:t>
                  </w:r>
                </w:p>
              </w:tc>
              <w:tc>
                <w:tcPr>
                  <w:tcW w:w="507" w:type="pct"/>
                  <w:vAlign w:val="center"/>
                </w:tcPr>
                <w:p>
                  <w:pPr>
                    <w:pStyle w:val="140"/>
                  </w:pPr>
                  <w:r>
                    <w:t>0.0125</w:t>
                  </w:r>
                </w:p>
              </w:tc>
              <w:tc>
                <w:tcPr>
                  <w:tcW w:w="615" w:type="pct"/>
                  <w:vAlign w:val="center"/>
                </w:tcPr>
                <w:p>
                  <w:pPr>
                    <w:pStyle w:val="140"/>
                  </w:pPr>
                  <w:r>
                    <w:t>13.2</w:t>
                  </w:r>
                </w:p>
              </w:tc>
              <w:tc>
                <w:tcPr>
                  <w:tcW w:w="453" w:type="pct"/>
                  <w:vAlign w:val="center"/>
                </w:tcPr>
                <w:p>
                  <w:pPr>
                    <w:pStyle w:val="140"/>
                  </w:pPr>
                  <w:r>
                    <w:rPr>
                      <w:rFonts w:hint="eastAsia"/>
                    </w:rPr>
                    <w:t>1.1240</w:t>
                  </w:r>
                </w:p>
              </w:tc>
              <w:tc>
                <w:tcPr>
                  <w:tcW w:w="604" w:type="pct"/>
                  <w:vAlign w:val="center"/>
                </w:tcPr>
                <w:p>
                  <w:pPr>
                    <w:pStyle w:val="140"/>
                  </w:pPr>
                  <w:r>
                    <w:t>4.5289</w:t>
                  </w:r>
                </w:p>
              </w:tc>
              <w:tc>
                <w:tcPr>
                  <w:tcW w:w="608" w:type="pct"/>
                  <w:vAlign w:val="center"/>
                </w:tcPr>
                <w:p>
                  <w:pPr>
                    <w:pStyle w:val="140"/>
                  </w:pPr>
                  <w:r>
                    <w:rPr>
                      <w:rFonts w:hint="eastAsia"/>
                    </w:rPr>
                    <w:t>0</w:t>
                  </w:r>
                  <w:r>
                    <w:t>.8992</w:t>
                  </w:r>
                </w:p>
              </w:tc>
              <w:tc>
                <w:tcPr>
                  <w:tcW w:w="406" w:type="pct"/>
                  <w:vAlign w:val="center"/>
                </w:tcPr>
                <w:p>
                  <w:pPr>
                    <w:pStyle w:val="140"/>
                  </w:pPr>
                  <w:r>
                    <w:t>0</w:t>
                  </w:r>
                </w:p>
              </w:tc>
              <w:tc>
                <w:tcPr>
                  <w:tcW w:w="304" w:type="pct"/>
                  <w:vAlign w:val="center"/>
                </w:tcPr>
                <w:p>
                  <w:pPr>
                    <w:pStyle w:val="140"/>
                  </w:pPr>
                  <w:r>
                    <w:t>13.2</w:t>
                  </w:r>
                </w:p>
              </w:tc>
              <w:tc>
                <w:tcPr>
                  <w:tcW w:w="406" w:type="pct"/>
                  <w:vAlign w:val="center"/>
                </w:tcPr>
                <w:p>
                  <w:pPr>
                    <w:pStyle w:val="140"/>
                  </w:pPr>
                  <w:r>
                    <w:rPr>
                      <w:rFonts w:hint="eastAsia"/>
                    </w:rPr>
                    <w:t>0</w:t>
                  </w:r>
                  <w:r>
                    <w:t>.8992</w:t>
                  </w:r>
                </w:p>
              </w:tc>
              <w:tc>
                <w:tcPr>
                  <w:tcW w:w="433" w:type="pct"/>
                  <w:vAlign w:val="center"/>
                </w:tcPr>
                <w:p>
                  <w:pPr>
                    <w:pStyle w:val="140"/>
                  </w:pPr>
                  <w:r>
                    <w:rPr>
                      <w:rFonts w:hint="eastAsia"/>
                    </w:rPr>
                    <w:t xml:space="preserve">-0.2248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 w:type="pct"/>
                  <w:vMerge w:val="continue"/>
                  <w:vAlign w:val="center"/>
                </w:tcPr>
                <w:p>
                  <w:pPr>
                    <w:pStyle w:val="140"/>
                  </w:pPr>
                </w:p>
              </w:tc>
              <w:tc>
                <w:tcPr>
                  <w:tcW w:w="508" w:type="pct"/>
                  <w:vAlign w:val="center"/>
                </w:tcPr>
                <w:p>
                  <w:pPr>
                    <w:pStyle w:val="140"/>
                  </w:pPr>
                  <w:r>
                    <w:t>水量（万t/a）</w:t>
                  </w:r>
                </w:p>
              </w:tc>
              <w:tc>
                <w:tcPr>
                  <w:tcW w:w="507" w:type="pct"/>
                  <w:vAlign w:val="center"/>
                </w:tcPr>
                <w:p>
                  <w:pPr>
                    <w:pStyle w:val="140"/>
                  </w:pPr>
                  <w:r>
                    <w:t>204.0060</w:t>
                  </w:r>
                </w:p>
              </w:tc>
              <w:tc>
                <w:tcPr>
                  <w:tcW w:w="615" w:type="pct"/>
                  <w:vAlign w:val="center"/>
                </w:tcPr>
                <w:p>
                  <w:pPr>
                    <w:pStyle w:val="140"/>
                  </w:pPr>
                  <w:r>
                    <w:t>/</w:t>
                  </w:r>
                </w:p>
              </w:tc>
              <w:tc>
                <w:tcPr>
                  <w:tcW w:w="453" w:type="pct"/>
                  <w:vAlign w:val="center"/>
                </w:tcPr>
                <w:p>
                  <w:pPr>
                    <w:pStyle w:val="140"/>
                  </w:pPr>
                  <w:r>
                    <w:t>224.796</w:t>
                  </w:r>
                </w:p>
              </w:tc>
              <w:tc>
                <w:tcPr>
                  <w:tcW w:w="604" w:type="pct"/>
                  <w:vAlign w:val="center"/>
                </w:tcPr>
                <w:p>
                  <w:pPr>
                    <w:pStyle w:val="140"/>
                  </w:pPr>
                  <w:r>
                    <w:t>224.796</w:t>
                  </w:r>
                </w:p>
              </w:tc>
              <w:tc>
                <w:tcPr>
                  <w:tcW w:w="608" w:type="pct"/>
                  <w:vAlign w:val="center"/>
                </w:tcPr>
                <w:p>
                  <w:pPr>
                    <w:pStyle w:val="140"/>
                  </w:pPr>
                  <w:r>
                    <w:t>224.796</w:t>
                  </w:r>
                </w:p>
              </w:tc>
              <w:tc>
                <w:tcPr>
                  <w:tcW w:w="406" w:type="pct"/>
                  <w:vAlign w:val="center"/>
                </w:tcPr>
                <w:p>
                  <w:pPr>
                    <w:pStyle w:val="140"/>
                  </w:pPr>
                  <w:r>
                    <w:t>0</w:t>
                  </w:r>
                </w:p>
              </w:tc>
              <w:tc>
                <w:tcPr>
                  <w:tcW w:w="304" w:type="pct"/>
                  <w:vAlign w:val="center"/>
                </w:tcPr>
                <w:p>
                  <w:pPr>
                    <w:pStyle w:val="140"/>
                  </w:pPr>
                  <w:r>
                    <w:t>/</w:t>
                  </w:r>
                </w:p>
              </w:tc>
              <w:tc>
                <w:tcPr>
                  <w:tcW w:w="406" w:type="pct"/>
                  <w:vAlign w:val="center"/>
                </w:tcPr>
                <w:p>
                  <w:pPr>
                    <w:pStyle w:val="140"/>
                  </w:pPr>
                  <w:r>
                    <w:t>224.796</w:t>
                  </w:r>
                </w:p>
              </w:tc>
              <w:tc>
                <w:tcPr>
                  <w:tcW w:w="433" w:type="pct"/>
                  <w:vAlign w:val="center"/>
                </w:tcPr>
                <w:p>
                  <w:pPr>
                    <w:pStyle w:val="140"/>
                  </w:pPr>
                  <w:r>
                    <w:rPr>
                      <w:rFonts w:hint="eastAsia"/>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 w:type="pct"/>
                  <w:vMerge w:val="restart"/>
                  <w:vAlign w:val="center"/>
                </w:tcPr>
                <w:p>
                  <w:pPr>
                    <w:pStyle w:val="140"/>
                  </w:pPr>
                  <w:r>
                    <w:t>废气</w:t>
                  </w:r>
                </w:p>
              </w:tc>
              <w:tc>
                <w:tcPr>
                  <w:tcW w:w="508" w:type="pct"/>
                  <w:vAlign w:val="center"/>
                </w:tcPr>
                <w:p>
                  <w:pPr>
                    <w:pStyle w:val="140"/>
                  </w:pPr>
                  <w:r>
                    <w:t>颗粒物</w:t>
                  </w:r>
                </w:p>
              </w:tc>
              <w:tc>
                <w:tcPr>
                  <w:tcW w:w="507" w:type="pct"/>
                  <w:vAlign w:val="center"/>
                </w:tcPr>
                <w:p>
                  <w:pPr>
                    <w:pStyle w:val="140"/>
                  </w:pPr>
                  <w:r>
                    <w:t>5.4369</w:t>
                  </w:r>
                </w:p>
              </w:tc>
              <w:tc>
                <w:tcPr>
                  <w:tcW w:w="615" w:type="pct"/>
                  <w:vAlign w:val="center"/>
                </w:tcPr>
                <w:p>
                  <w:pPr>
                    <w:pStyle w:val="140"/>
                  </w:pPr>
                  <w:r>
                    <w:t>/</w:t>
                  </w:r>
                </w:p>
              </w:tc>
              <w:tc>
                <w:tcPr>
                  <w:tcW w:w="453" w:type="pct"/>
                  <w:vAlign w:val="center"/>
                </w:tcPr>
                <w:p>
                  <w:pPr>
                    <w:pStyle w:val="140"/>
                  </w:pPr>
                  <w:r>
                    <w:t>/</w:t>
                  </w:r>
                </w:p>
              </w:tc>
              <w:tc>
                <w:tcPr>
                  <w:tcW w:w="604" w:type="pct"/>
                  <w:vAlign w:val="center"/>
                </w:tcPr>
                <w:p>
                  <w:pPr>
                    <w:pStyle w:val="140"/>
                  </w:pPr>
                  <w:r>
                    <w:rPr>
                      <w:rFonts w:hint="eastAsia"/>
                      <w:szCs w:val="19"/>
                    </w:rPr>
                    <w:t>0.7180</w:t>
                  </w:r>
                </w:p>
              </w:tc>
              <w:tc>
                <w:tcPr>
                  <w:tcW w:w="608" w:type="pct"/>
                  <w:vAlign w:val="center"/>
                </w:tcPr>
                <w:p>
                  <w:pPr>
                    <w:pStyle w:val="140"/>
                  </w:pPr>
                  <w:r>
                    <w:rPr>
                      <w:rFonts w:hint="eastAsia"/>
                      <w:szCs w:val="19"/>
                    </w:rPr>
                    <w:t>0.7180</w:t>
                  </w:r>
                </w:p>
              </w:tc>
              <w:tc>
                <w:tcPr>
                  <w:tcW w:w="406" w:type="pct"/>
                  <w:vAlign w:val="center"/>
                </w:tcPr>
                <w:p>
                  <w:pPr>
                    <w:pStyle w:val="140"/>
                  </w:pPr>
                  <w:r>
                    <w:t>0.8070</w:t>
                  </w:r>
                </w:p>
              </w:tc>
              <w:tc>
                <w:tcPr>
                  <w:tcW w:w="304" w:type="pct"/>
                  <w:vAlign w:val="center"/>
                </w:tcPr>
                <w:p>
                  <w:pPr>
                    <w:pStyle w:val="140"/>
                  </w:pPr>
                  <w:r>
                    <w:t>0</w:t>
                  </w:r>
                </w:p>
              </w:tc>
              <w:tc>
                <w:tcPr>
                  <w:tcW w:w="406" w:type="pct"/>
                  <w:vAlign w:val="center"/>
                </w:tcPr>
                <w:p>
                  <w:pPr>
                    <w:pStyle w:val="140"/>
                  </w:pPr>
                  <w:r>
                    <w:rPr>
                      <w:rFonts w:hint="eastAsia"/>
                    </w:rPr>
                    <w:t>5.3479</w:t>
                  </w:r>
                </w:p>
              </w:tc>
              <w:tc>
                <w:tcPr>
                  <w:tcW w:w="433" w:type="pct"/>
                  <w:vAlign w:val="center"/>
                </w:tcPr>
                <w:p>
                  <w:pPr>
                    <w:pStyle w:val="140"/>
                  </w:pPr>
                  <w:r>
                    <w:t>-0.</w:t>
                  </w:r>
                  <w:r>
                    <w:rPr>
                      <w:rFonts w:hint="eastAsia"/>
                    </w:rPr>
                    <w:t>089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 w:type="pct"/>
                  <w:vMerge w:val="continue"/>
                  <w:vAlign w:val="center"/>
                </w:tcPr>
                <w:p>
                  <w:pPr>
                    <w:pStyle w:val="140"/>
                  </w:pPr>
                </w:p>
              </w:tc>
              <w:tc>
                <w:tcPr>
                  <w:tcW w:w="508" w:type="pct"/>
                  <w:vAlign w:val="center"/>
                </w:tcPr>
                <w:p>
                  <w:pPr>
                    <w:pStyle w:val="140"/>
                  </w:pPr>
                  <w:r>
                    <w:t>SO</w:t>
                  </w:r>
                  <w:r>
                    <w:rPr>
                      <w:vertAlign w:val="subscript"/>
                    </w:rPr>
                    <w:t>2</w:t>
                  </w:r>
                </w:p>
              </w:tc>
              <w:tc>
                <w:tcPr>
                  <w:tcW w:w="507" w:type="pct"/>
                  <w:vAlign w:val="center"/>
                </w:tcPr>
                <w:p>
                  <w:pPr>
                    <w:pStyle w:val="140"/>
                  </w:pPr>
                  <w:r>
                    <w:t>6.3360</w:t>
                  </w:r>
                </w:p>
              </w:tc>
              <w:tc>
                <w:tcPr>
                  <w:tcW w:w="615" w:type="pct"/>
                  <w:vAlign w:val="center"/>
                </w:tcPr>
                <w:p>
                  <w:pPr>
                    <w:pStyle w:val="140"/>
                  </w:pPr>
                  <w:r>
                    <w:t>/</w:t>
                  </w:r>
                </w:p>
              </w:tc>
              <w:tc>
                <w:tcPr>
                  <w:tcW w:w="453" w:type="pct"/>
                  <w:vAlign w:val="center"/>
                </w:tcPr>
                <w:p>
                  <w:pPr>
                    <w:pStyle w:val="140"/>
                  </w:pPr>
                  <w:r>
                    <w:t>/</w:t>
                  </w:r>
                </w:p>
              </w:tc>
              <w:tc>
                <w:tcPr>
                  <w:tcW w:w="604" w:type="pct"/>
                  <w:vAlign w:val="center"/>
                </w:tcPr>
                <w:p>
                  <w:pPr>
                    <w:pStyle w:val="140"/>
                  </w:pPr>
                  <w:r>
                    <w:t>0</w:t>
                  </w:r>
                </w:p>
              </w:tc>
              <w:tc>
                <w:tcPr>
                  <w:tcW w:w="608" w:type="pct"/>
                  <w:vAlign w:val="center"/>
                </w:tcPr>
                <w:p>
                  <w:pPr>
                    <w:pStyle w:val="140"/>
                  </w:pPr>
                  <w:r>
                    <w:t>0</w:t>
                  </w:r>
                </w:p>
              </w:tc>
              <w:tc>
                <w:tcPr>
                  <w:tcW w:w="406" w:type="pct"/>
                  <w:vAlign w:val="center"/>
                </w:tcPr>
                <w:p>
                  <w:pPr>
                    <w:pStyle w:val="140"/>
                  </w:pPr>
                  <w:r>
                    <w:t>0</w:t>
                  </w:r>
                </w:p>
              </w:tc>
              <w:tc>
                <w:tcPr>
                  <w:tcW w:w="304" w:type="pct"/>
                  <w:vAlign w:val="center"/>
                </w:tcPr>
                <w:p>
                  <w:pPr>
                    <w:pStyle w:val="140"/>
                  </w:pPr>
                  <w:r>
                    <w:t>0</w:t>
                  </w:r>
                </w:p>
              </w:tc>
              <w:tc>
                <w:tcPr>
                  <w:tcW w:w="406" w:type="pct"/>
                  <w:vAlign w:val="center"/>
                </w:tcPr>
                <w:p>
                  <w:pPr>
                    <w:pStyle w:val="140"/>
                  </w:pPr>
                  <w:r>
                    <w:t>6.3360</w:t>
                  </w:r>
                </w:p>
              </w:tc>
              <w:tc>
                <w:tcPr>
                  <w:tcW w:w="433" w:type="pct"/>
                  <w:vAlign w:val="center"/>
                </w:tcPr>
                <w:p>
                  <w:pPr>
                    <w:pStyle w:val="140"/>
                  </w:pPr>
                  <w: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 w:type="pct"/>
                  <w:vMerge w:val="continue"/>
                  <w:vAlign w:val="center"/>
                </w:tcPr>
                <w:p>
                  <w:pPr>
                    <w:pStyle w:val="140"/>
                  </w:pPr>
                </w:p>
              </w:tc>
              <w:tc>
                <w:tcPr>
                  <w:tcW w:w="508" w:type="pct"/>
                  <w:vAlign w:val="center"/>
                </w:tcPr>
                <w:p>
                  <w:pPr>
                    <w:pStyle w:val="140"/>
                  </w:pPr>
                  <w:r>
                    <w:t>NO</w:t>
                  </w:r>
                  <w:r>
                    <w:rPr>
                      <w:vertAlign w:val="subscript"/>
                    </w:rPr>
                    <w:t>X</w:t>
                  </w:r>
                </w:p>
              </w:tc>
              <w:tc>
                <w:tcPr>
                  <w:tcW w:w="507" w:type="pct"/>
                  <w:vAlign w:val="center"/>
                </w:tcPr>
                <w:p>
                  <w:pPr>
                    <w:pStyle w:val="140"/>
                  </w:pPr>
                  <w:r>
                    <w:t>12.6720</w:t>
                  </w:r>
                </w:p>
              </w:tc>
              <w:tc>
                <w:tcPr>
                  <w:tcW w:w="615" w:type="pct"/>
                  <w:vAlign w:val="center"/>
                </w:tcPr>
                <w:p>
                  <w:pPr>
                    <w:pStyle w:val="140"/>
                  </w:pPr>
                  <w:r>
                    <w:t>/</w:t>
                  </w:r>
                </w:p>
              </w:tc>
              <w:tc>
                <w:tcPr>
                  <w:tcW w:w="453" w:type="pct"/>
                  <w:vAlign w:val="center"/>
                </w:tcPr>
                <w:p>
                  <w:pPr>
                    <w:pStyle w:val="140"/>
                  </w:pPr>
                  <w:r>
                    <w:t>/</w:t>
                  </w:r>
                </w:p>
              </w:tc>
              <w:tc>
                <w:tcPr>
                  <w:tcW w:w="604" w:type="pct"/>
                  <w:vAlign w:val="center"/>
                </w:tcPr>
                <w:p>
                  <w:pPr>
                    <w:pStyle w:val="140"/>
                  </w:pPr>
                  <w:r>
                    <w:t>0</w:t>
                  </w:r>
                </w:p>
              </w:tc>
              <w:tc>
                <w:tcPr>
                  <w:tcW w:w="608" w:type="pct"/>
                  <w:vAlign w:val="center"/>
                </w:tcPr>
                <w:p>
                  <w:pPr>
                    <w:pStyle w:val="140"/>
                  </w:pPr>
                  <w:r>
                    <w:t>0</w:t>
                  </w:r>
                </w:p>
              </w:tc>
              <w:tc>
                <w:tcPr>
                  <w:tcW w:w="406" w:type="pct"/>
                  <w:vAlign w:val="center"/>
                </w:tcPr>
                <w:p>
                  <w:pPr>
                    <w:pStyle w:val="140"/>
                  </w:pPr>
                  <w:r>
                    <w:t>0</w:t>
                  </w:r>
                </w:p>
              </w:tc>
              <w:tc>
                <w:tcPr>
                  <w:tcW w:w="304" w:type="pct"/>
                  <w:vAlign w:val="center"/>
                </w:tcPr>
                <w:p>
                  <w:pPr>
                    <w:pStyle w:val="140"/>
                  </w:pPr>
                  <w:r>
                    <w:t>0</w:t>
                  </w:r>
                </w:p>
              </w:tc>
              <w:tc>
                <w:tcPr>
                  <w:tcW w:w="406" w:type="pct"/>
                  <w:vAlign w:val="center"/>
                </w:tcPr>
                <w:p>
                  <w:pPr>
                    <w:pStyle w:val="140"/>
                  </w:pPr>
                  <w:r>
                    <w:t>12.6720</w:t>
                  </w:r>
                </w:p>
              </w:tc>
              <w:tc>
                <w:tcPr>
                  <w:tcW w:w="433" w:type="pct"/>
                  <w:vAlign w:val="center"/>
                </w:tcPr>
                <w:p>
                  <w:pPr>
                    <w:pStyle w:val="140"/>
                  </w:pPr>
                  <w: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 w:type="pct"/>
                  <w:vMerge w:val="continue"/>
                  <w:vAlign w:val="center"/>
                </w:tcPr>
                <w:p>
                  <w:pPr>
                    <w:pStyle w:val="140"/>
                  </w:pPr>
                </w:p>
              </w:tc>
              <w:tc>
                <w:tcPr>
                  <w:tcW w:w="508" w:type="pct"/>
                  <w:vAlign w:val="center"/>
                </w:tcPr>
                <w:p>
                  <w:pPr>
                    <w:pStyle w:val="140"/>
                  </w:pPr>
                  <w:r>
                    <w:t>NH</w:t>
                  </w:r>
                  <w:r>
                    <w:rPr>
                      <w:vertAlign w:val="subscript"/>
                    </w:rPr>
                    <w:t>3</w:t>
                  </w:r>
                </w:p>
              </w:tc>
              <w:tc>
                <w:tcPr>
                  <w:tcW w:w="507" w:type="pct"/>
                  <w:vAlign w:val="center"/>
                </w:tcPr>
                <w:p>
                  <w:pPr>
                    <w:pStyle w:val="140"/>
                  </w:pPr>
                  <w:r>
                    <w:t>1.1326</w:t>
                  </w:r>
                </w:p>
              </w:tc>
              <w:tc>
                <w:tcPr>
                  <w:tcW w:w="615" w:type="pct"/>
                  <w:vAlign w:val="center"/>
                </w:tcPr>
                <w:p>
                  <w:pPr>
                    <w:pStyle w:val="140"/>
                  </w:pPr>
                  <w:r>
                    <w:t>/</w:t>
                  </w:r>
                </w:p>
              </w:tc>
              <w:tc>
                <w:tcPr>
                  <w:tcW w:w="453" w:type="pct"/>
                  <w:vAlign w:val="center"/>
                </w:tcPr>
                <w:p>
                  <w:pPr>
                    <w:pStyle w:val="140"/>
                  </w:pPr>
                  <w:r>
                    <w:t>/</w:t>
                  </w:r>
                </w:p>
              </w:tc>
              <w:tc>
                <w:tcPr>
                  <w:tcW w:w="604" w:type="pct"/>
                  <w:vAlign w:val="center"/>
                </w:tcPr>
                <w:p>
                  <w:pPr>
                    <w:pStyle w:val="140"/>
                  </w:pPr>
                  <w:r>
                    <w:t>0</w:t>
                  </w:r>
                </w:p>
              </w:tc>
              <w:tc>
                <w:tcPr>
                  <w:tcW w:w="608" w:type="pct"/>
                  <w:vAlign w:val="center"/>
                </w:tcPr>
                <w:p>
                  <w:pPr>
                    <w:pStyle w:val="140"/>
                  </w:pPr>
                  <w:r>
                    <w:t>0</w:t>
                  </w:r>
                </w:p>
              </w:tc>
              <w:tc>
                <w:tcPr>
                  <w:tcW w:w="406" w:type="pct"/>
                  <w:vAlign w:val="center"/>
                </w:tcPr>
                <w:p>
                  <w:pPr>
                    <w:pStyle w:val="140"/>
                  </w:pPr>
                  <w:r>
                    <w:t>0</w:t>
                  </w:r>
                </w:p>
              </w:tc>
              <w:tc>
                <w:tcPr>
                  <w:tcW w:w="304" w:type="pct"/>
                  <w:vAlign w:val="center"/>
                </w:tcPr>
                <w:p>
                  <w:pPr>
                    <w:pStyle w:val="140"/>
                  </w:pPr>
                  <w:r>
                    <w:t>0</w:t>
                  </w:r>
                </w:p>
              </w:tc>
              <w:tc>
                <w:tcPr>
                  <w:tcW w:w="406" w:type="pct"/>
                  <w:vAlign w:val="center"/>
                </w:tcPr>
                <w:p>
                  <w:pPr>
                    <w:pStyle w:val="140"/>
                  </w:pPr>
                  <w:r>
                    <w:t>1.1326</w:t>
                  </w:r>
                </w:p>
              </w:tc>
              <w:tc>
                <w:tcPr>
                  <w:tcW w:w="433" w:type="pct"/>
                  <w:vAlign w:val="center"/>
                </w:tcPr>
                <w:p>
                  <w:pPr>
                    <w:pStyle w:val="140"/>
                  </w:pPr>
                  <w: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 w:type="pct"/>
                  <w:vMerge w:val="continue"/>
                  <w:vAlign w:val="center"/>
                </w:tcPr>
                <w:p>
                  <w:pPr>
                    <w:pStyle w:val="140"/>
                  </w:pPr>
                </w:p>
              </w:tc>
              <w:tc>
                <w:tcPr>
                  <w:tcW w:w="508" w:type="pct"/>
                  <w:vAlign w:val="center"/>
                </w:tcPr>
                <w:p>
                  <w:pPr>
                    <w:pStyle w:val="140"/>
                  </w:pPr>
                  <w:r>
                    <w:t>H</w:t>
                  </w:r>
                  <w:r>
                    <w:rPr>
                      <w:vertAlign w:val="subscript"/>
                    </w:rPr>
                    <w:t>2</w:t>
                  </w:r>
                  <w:r>
                    <w:t>S</w:t>
                  </w:r>
                </w:p>
              </w:tc>
              <w:tc>
                <w:tcPr>
                  <w:tcW w:w="507" w:type="pct"/>
                  <w:vAlign w:val="center"/>
                </w:tcPr>
                <w:p>
                  <w:pPr>
                    <w:pStyle w:val="140"/>
                  </w:pPr>
                  <w:r>
                    <w:t>0.1441</w:t>
                  </w:r>
                </w:p>
              </w:tc>
              <w:tc>
                <w:tcPr>
                  <w:tcW w:w="615" w:type="pct"/>
                  <w:vAlign w:val="center"/>
                </w:tcPr>
                <w:p>
                  <w:pPr>
                    <w:pStyle w:val="140"/>
                  </w:pPr>
                  <w:r>
                    <w:t>/</w:t>
                  </w:r>
                </w:p>
              </w:tc>
              <w:tc>
                <w:tcPr>
                  <w:tcW w:w="453" w:type="pct"/>
                  <w:vAlign w:val="center"/>
                </w:tcPr>
                <w:p>
                  <w:pPr>
                    <w:pStyle w:val="140"/>
                  </w:pPr>
                  <w:r>
                    <w:t>/</w:t>
                  </w:r>
                </w:p>
              </w:tc>
              <w:tc>
                <w:tcPr>
                  <w:tcW w:w="604" w:type="pct"/>
                  <w:vAlign w:val="center"/>
                </w:tcPr>
                <w:p>
                  <w:pPr>
                    <w:pStyle w:val="140"/>
                  </w:pPr>
                  <w:r>
                    <w:t>0</w:t>
                  </w:r>
                </w:p>
              </w:tc>
              <w:tc>
                <w:tcPr>
                  <w:tcW w:w="608" w:type="pct"/>
                  <w:vAlign w:val="center"/>
                </w:tcPr>
                <w:p>
                  <w:pPr>
                    <w:pStyle w:val="140"/>
                  </w:pPr>
                  <w:r>
                    <w:t>0</w:t>
                  </w:r>
                </w:p>
              </w:tc>
              <w:tc>
                <w:tcPr>
                  <w:tcW w:w="406" w:type="pct"/>
                  <w:vAlign w:val="center"/>
                </w:tcPr>
                <w:p>
                  <w:pPr>
                    <w:pStyle w:val="140"/>
                  </w:pPr>
                  <w:r>
                    <w:t>0</w:t>
                  </w:r>
                </w:p>
              </w:tc>
              <w:tc>
                <w:tcPr>
                  <w:tcW w:w="304" w:type="pct"/>
                  <w:vAlign w:val="center"/>
                </w:tcPr>
                <w:p>
                  <w:pPr>
                    <w:pStyle w:val="140"/>
                  </w:pPr>
                  <w:r>
                    <w:t>0</w:t>
                  </w:r>
                </w:p>
              </w:tc>
              <w:tc>
                <w:tcPr>
                  <w:tcW w:w="406" w:type="pct"/>
                  <w:vAlign w:val="center"/>
                </w:tcPr>
                <w:p>
                  <w:pPr>
                    <w:pStyle w:val="140"/>
                  </w:pPr>
                  <w:r>
                    <w:t>0.1441</w:t>
                  </w:r>
                </w:p>
              </w:tc>
              <w:tc>
                <w:tcPr>
                  <w:tcW w:w="433" w:type="pct"/>
                  <w:vAlign w:val="center"/>
                </w:tcPr>
                <w:p>
                  <w:pPr>
                    <w:pStyle w:val="140"/>
                  </w:pPr>
                  <w: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 w:type="pct"/>
                  <w:vMerge w:val="restart"/>
                  <w:vAlign w:val="center"/>
                </w:tcPr>
                <w:p>
                  <w:pPr>
                    <w:pStyle w:val="140"/>
                  </w:pPr>
                  <w:r>
                    <w:t>固废</w:t>
                  </w:r>
                </w:p>
              </w:tc>
              <w:tc>
                <w:tcPr>
                  <w:tcW w:w="508" w:type="pct"/>
                  <w:vAlign w:val="center"/>
                </w:tcPr>
                <w:p>
                  <w:pPr>
                    <w:pStyle w:val="140"/>
                  </w:pPr>
                  <w:r>
                    <w:t>一般固废</w:t>
                  </w:r>
                </w:p>
              </w:tc>
              <w:tc>
                <w:tcPr>
                  <w:tcW w:w="507" w:type="pct"/>
                  <w:vAlign w:val="center"/>
                </w:tcPr>
                <w:p>
                  <w:pPr>
                    <w:pStyle w:val="140"/>
                  </w:pPr>
                  <w:r>
                    <w:t>0</w:t>
                  </w:r>
                </w:p>
              </w:tc>
              <w:tc>
                <w:tcPr>
                  <w:tcW w:w="615" w:type="pct"/>
                  <w:vAlign w:val="center"/>
                </w:tcPr>
                <w:p>
                  <w:pPr>
                    <w:pStyle w:val="140"/>
                  </w:pPr>
                  <w:r>
                    <w:t>0</w:t>
                  </w:r>
                </w:p>
              </w:tc>
              <w:tc>
                <w:tcPr>
                  <w:tcW w:w="453" w:type="pct"/>
                  <w:vAlign w:val="center"/>
                </w:tcPr>
                <w:p>
                  <w:pPr>
                    <w:pStyle w:val="140"/>
                    <w:rPr>
                      <w:b/>
                      <w:u w:val="single"/>
                    </w:rPr>
                  </w:pPr>
                  <w:r>
                    <w:rPr>
                      <w:b/>
                      <w:u w:val="single"/>
                    </w:rPr>
                    <w:t>/</w:t>
                  </w:r>
                </w:p>
              </w:tc>
              <w:tc>
                <w:tcPr>
                  <w:tcW w:w="604" w:type="pct"/>
                  <w:vAlign w:val="center"/>
                </w:tcPr>
                <w:p>
                  <w:pPr>
                    <w:pStyle w:val="140"/>
                  </w:pPr>
                  <w:r>
                    <w:t>0</w:t>
                  </w:r>
                </w:p>
              </w:tc>
              <w:tc>
                <w:tcPr>
                  <w:tcW w:w="608" w:type="pct"/>
                  <w:vAlign w:val="center"/>
                </w:tcPr>
                <w:p>
                  <w:pPr>
                    <w:pStyle w:val="140"/>
                  </w:pPr>
                  <w:r>
                    <w:t>0</w:t>
                  </w:r>
                </w:p>
              </w:tc>
              <w:tc>
                <w:tcPr>
                  <w:tcW w:w="406" w:type="pct"/>
                  <w:vAlign w:val="center"/>
                </w:tcPr>
                <w:p>
                  <w:pPr>
                    <w:pStyle w:val="140"/>
                  </w:pPr>
                  <w:r>
                    <w:t>0</w:t>
                  </w:r>
                </w:p>
              </w:tc>
              <w:tc>
                <w:tcPr>
                  <w:tcW w:w="304" w:type="pct"/>
                  <w:vAlign w:val="center"/>
                </w:tcPr>
                <w:p>
                  <w:pPr>
                    <w:pStyle w:val="140"/>
                  </w:pPr>
                  <w:r>
                    <w:t>0</w:t>
                  </w:r>
                </w:p>
              </w:tc>
              <w:tc>
                <w:tcPr>
                  <w:tcW w:w="406" w:type="pct"/>
                  <w:vAlign w:val="center"/>
                </w:tcPr>
                <w:p>
                  <w:pPr>
                    <w:pStyle w:val="140"/>
                  </w:pPr>
                  <w:r>
                    <w:t>0</w:t>
                  </w:r>
                </w:p>
              </w:tc>
              <w:tc>
                <w:tcPr>
                  <w:tcW w:w="433" w:type="pct"/>
                  <w:vAlign w:val="center"/>
                </w:tcPr>
                <w:p>
                  <w:pPr>
                    <w:pStyle w:val="140"/>
                  </w:pPr>
                  <w: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 w:type="pct"/>
                  <w:vMerge w:val="continue"/>
                  <w:vAlign w:val="center"/>
                </w:tcPr>
                <w:p>
                  <w:pPr>
                    <w:pStyle w:val="140"/>
                  </w:pPr>
                </w:p>
              </w:tc>
              <w:tc>
                <w:tcPr>
                  <w:tcW w:w="508" w:type="pct"/>
                  <w:vAlign w:val="center"/>
                </w:tcPr>
                <w:p>
                  <w:pPr>
                    <w:pStyle w:val="140"/>
                  </w:pPr>
                  <w:r>
                    <w:t>危险固废</w:t>
                  </w:r>
                </w:p>
              </w:tc>
              <w:tc>
                <w:tcPr>
                  <w:tcW w:w="507" w:type="pct"/>
                  <w:vAlign w:val="center"/>
                </w:tcPr>
                <w:p>
                  <w:pPr>
                    <w:pStyle w:val="140"/>
                  </w:pPr>
                  <w:r>
                    <w:t>0</w:t>
                  </w:r>
                </w:p>
              </w:tc>
              <w:tc>
                <w:tcPr>
                  <w:tcW w:w="615" w:type="pct"/>
                  <w:vAlign w:val="center"/>
                </w:tcPr>
                <w:p>
                  <w:pPr>
                    <w:pStyle w:val="140"/>
                  </w:pPr>
                  <w:r>
                    <w:t>0</w:t>
                  </w:r>
                </w:p>
              </w:tc>
              <w:tc>
                <w:tcPr>
                  <w:tcW w:w="453" w:type="pct"/>
                  <w:vAlign w:val="center"/>
                </w:tcPr>
                <w:p>
                  <w:pPr>
                    <w:pStyle w:val="140"/>
                  </w:pPr>
                  <w:r>
                    <w:t>/</w:t>
                  </w:r>
                </w:p>
              </w:tc>
              <w:tc>
                <w:tcPr>
                  <w:tcW w:w="604" w:type="pct"/>
                  <w:vAlign w:val="center"/>
                </w:tcPr>
                <w:p>
                  <w:pPr>
                    <w:pStyle w:val="140"/>
                  </w:pPr>
                  <w:r>
                    <w:t>0</w:t>
                  </w:r>
                </w:p>
              </w:tc>
              <w:tc>
                <w:tcPr>
                  <w:tcW w:w="608" w:type="pct"/>
                  <w:vAlign w:val="center"/>
                </w:tcPr>
                <w:p>
                  <w:pPr>
                    <w:pStyle w:val="140"/>
                  </w:pPr>
                  <w:r>
                    <w:t>0</w:t>
                  </w:r>
                </w:p>
              </w:tc>
              <w:tc>
                <w:tcPr>
                  <w:tcW w:w="406" w:type="pct"/>
                  <w:vAlign w:val="center"/>
                </w:tcPr>
                <w:p>
                  <w:pPr>
                    <w:pStyle w:val="140"/>
                  </w:pPr>
                  <w:r>
                    <w:t>0</w:t>
                  </w:r>
                </w:p>
              </w:tc>
              <w:tc>
                <w:tcPr>
                  <w:tcW w:w="304" w:type="pct"/>
                  <w:vAlign w:val="center"/>
                </w:tcPr>
                <w:p>
                  <w:pPr>
                    <w:pStyle w:val="140"/>
                  </w:pPr>
                  <w:r>
                    <w:t>0</w:t>
                  </w:r>
                </w:p>
              </w:tc>
              <w:tc>
                <w:tcPr>
                  <w:tcW w:w="406" w:type="pct"/>
                  <w:vAlign w:val="center"/>
                </w:tcPr>
                <w:p>
                  <w:pPr>
                    <w:pStyle w:val="140"/>
                  </w:pPr>
                  <w:r>
                    <w:t>0</w:t>
                  </w:r>
                </w:p>
              </w:tc>
              <w:tc>
                <w:tcPr>
                  <w:tcW w:w="433" w:type="pct"/>
                  <w:vAlign w:val="center"/>
                </w:tcPr>
                <w:p>
                  <w:pPr>
                    <w:pStyle w:val="140"/>
                  </w:pPr>
                  <w:r>
                    <w:t>0</w:t>
                  </w:r>
                </w:p>
              </w:tc>
            </w:tr>
          </w:tbl>
          <w:p>
            <w:pPr>
              <w:spacing w:line="480" w:lineRule="exact"/>
              <w:ind w:firstLine="480" w:firstLineChars="200"/>
              <w:rPr>
                <w:sz w:val="24"/>
              </w:rPr>
            </w:pPr>
            <w:r>
              <w:rPr>
                <w:rFonts w:hint="eastAsia"/>
                <w:sz w:val="24"/>
              </w:rPr>
              <w:t>五、</w:t>
            </w:r>
            <w:r>
              <w:rPr>
                <w:sz w:val="24"/>
              </w:rPr>
              <w:t>现有项目存在问题及整改措施</w:t>
            </w:r>
          </w:p>
          <w:p>
            <w:pPr>
              <w:spacing w:line="480" w:lineRule="exact"/>
              <w:ind w:firstLine="480" w:firstLineChars="200"/>
              <w:rPr>
                <w:sz w:val="24"/>
              </w:rPr>
            </w:pPr>
            <w:r>
              <w:rPr>
                <w:sz w:val="24"/>
              </w:rPr>
              <w:t>经现场勘查</w:t>
            </w:r>
            <w:r>
              <w:rPr>
                <w:rFonts w:hint="eastAsia"/>
                <w:sz w:val="24"/>
              </w:rPr>
              <w:t>，企业不存在不符合当前环保要求问题。</w:t>
            </w:r>
          </w:p>
          <w:p>
            <w:pPr>
              <w:spacing w:line="480" w:lineRule="exact"/>
              <w:rPr>
                <w:rFonts w:ascii="黑体" w:hAnsi="黑体" w:eastAsia="黑体"/>
                <w:snapToGrid w:val="0"/>
                <w:color w:val="000000"/>
                <w:sz w:val="30"/>
                <w:szCs w:val="30"/>
              </w:rPr>
            </w:pPr>
          </w:p>
        </w:tc>
      </w:tr>
    </w:tbl>
    <w:p>
      <w:pPr>
        <w:pStyle w:val="29"/>
        <w:jc w:val="center"/>
        <w:outlineLvl w:val="0"/>
        <w:rPr>
          <w:rFonts w:ascii="黑体" w:hAnsi="黑体" w:eastAsia="黑体"/>
          <w:snapToGrid w:val="0"/>
          <w:color w:val="000000"/>
          <w:sz w:val="30"/>
          <w:szCs w:val="30"/>
        </w:rPr>
        <w:sectPr>
          <w:pgSz w:w="16838" w:h="11906" w:orient="landscape"/>
          <w:pgMar w:top="1531" w:right="1701" w:bottom="1531" w:left="1701" w:header="851" w:footer="1191" w:gutter="0"/>
          <w:cols w:space="720" w:num="1"/>
          <w:docGrid w:linePitch="312" w:charSpace="0"/>
        </w:sectPr>
      </w:pPr>
    </w:p>
    <w:p>
      <w:pPr>
        <w:pStyle w:val="29"/>
        <w:jc w:val="center"/>
        <w:outlineLvl w:val="0"/>
        <w:rPr>
          <w:rFonts w:ascii="黑体" w:hAnsi="黑体" w:eastAsia="黑体"/>
          <w:snapToGrid w:val="0"/>
          <w:color w:val="000000"/>
          <w:sz w:val="30"/>
          <w:szCs w:val="30"/>
        </w:rPr>
      </w:pPr>
      <w:r>
        <w:rPr>
          <w:rFonts w:hint="eastAsia" w:ascii="黑体" w:hAnsi="黑体" w:eastAsia="黑体"/>
          <w:snapToGrid w:val="0"/>
          <w:color w:val="000000"/>
          <w:sz w:val="30"/>
          <w:szCs w:val="30"/>
        </w:rPr>
        <w:t>三、区域环境质量现状、环境保护目标及评价标准</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4" w:hRule="atLeast"/>
          <w:jc w:val="center"/>
        </w:trPr>
        <w:tc>
          <w:tcPr>
            <w:tcW w:w="800" w:type="dxa"/>
            <w:vAlign w:val="center"/>
          </w:tcPr>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区域</w:t>
            </w:r>
          </w:p>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环境</w:t>
            </w:r>
          </w:p>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质量</w:t>
            </w:r>
          </w:p>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现状</w:t>
            </w:r>
          </w:p>
        </w:tc>
        <w:tc>
          <w:tcPr>
            <w:tcW w:w="8190" w:type="dxa"/>
            <w:vAlign w:val="center"/>
          </w:tcPr>
          <w:p>
            <w:pPr>
              <w:snapToGrid w:val="0"/>
              <w:spacing w:line="460" w:lineRule="exact"/>
              <w:ind w:firstLine="482"/>
              <w:jc w:val="left"/>
              <w:rPr>
                <w:rFonts w:cs="Calibri"/>
                <w:b/>
                <w:color w:val="000000"/>
                <w:sz w:val="24"/>
              </w:rPr>
            </w:pPr>
            <w:r>
              <w:rPr>
                <w:rFonts w:hint="eastAsia" w:cs="Calibri"/>
                <w:b/>
                <w:color w:val="000000"/>
                <w:sz w:val="24"/>
              </w:rPr>
              <w:t>建设项目所在地区域环境质量现状及主要环境问题（环境空气、地面水、地下水、声环境、生态环境等）：</w:t>
            </w:r>
          </w:p>
          <w:p>
            <w:pPr>
              <w:snapToGrid w:val="0"/>
              <w:spacing w:line="460" w:lineRule="exact"/>
              <w:ind w:firstLine="480" w:firstLineChars="200"/>
              <w:jc w:val="left"/>
              <w:rPr>
                <w:rFonts w:cs="Calibri"/>
                <w:color w:val="000000"/>
                <w:sz w:val="24"/>
              </w:rPr>
            </w:pPr>
            <w:r>
              <w:rPr>
                <w:rFonts w:hint="eastAsia" w:cs="Calibri"/>
                <w:color w:val="000000"/>
                <w:sz w:val="24"/>
              </w:rPr>
              <w:t>根据现有环境监测资料，建设项目所在地环境质量状况如下：</w:t>
            </w:r>
          </w:p>
          <w:p>
            <w:pPr>
              <w:numPr>
                <w:ilvl w:val="0"/>
                <w:numId w:val="4"/>
              </w:numPr>
              <w:adjustRightInd w:val="0"/>
              <w:snapToGrid w:val="0"/>
              <w:spacing w:line="460" w:lineRule="exact"/>
              <w:jc w:val="left"/>
              <w:rPr>
                <w:rFonts w:cs="Calibri"/>
                <w:b/>
                <w:color w:val="000000"/>
                <w:sz w:val="24"/>
                <w:szCs w:val="20"/>
              </w:rPr>
            </w:pPr>
            <w:r>
              <w:rPr>
                <w:rFonts w:hint="eastAsia" w:cs="Calibri"/>
                <w:b/>
                <w:color w:val="000000"/>
                <w:sz w:val="24"/>
                <w:szCs w:val="20"/>
              </w:rPr>
              <w:t>环境空气质量现状</w:t>
            </w:r>
          </w:p>
          <w:p>
            <w:pPr>
              <w:snapToGrid w:val="0"/>
              <w:spacing w:line="460" w:lineRule="exact"/>
              <w:ind w:firstLine="480" w:firstLineChars="200"/>
              <w:rPr>
                <w:rFonts w:cs="Calibri"/>
                <w:color w:val="000000"/>
                <w:sz w:val="24"/>
                <w:szCs w:val="20"/>
              </w:rPr>
            </w:pPr>
            <w:r>
              <w:rPr>
                <w:rFonts w:hint="eastAsia" w:cs="Calibri"/>
                <w:color w:val="000000"/>
                <w:sz w:val="24"/>
                <w:szCs w:val="20"/>
              </w:rPr>
              <w:t>根据大气功能区划分原则，建设项目所在地为二类功能区，环境空气质量应执行《环境空气质量标准》（</w:t>
            </w:r>
            <w:r>
              <w:rPr>
                <w:rFonts w:cs="Calibri"/>
                <w:color w:val="000000"/>
                <w:sz w:val="24"/>
                <w:szCs w:val="20"/>
              </w:rPr>
              <w:t>GB3095-2012</w:t>
            </w:r>
            <w:r>
              <w:rPr>
                <w:rFonts w:hint="eastAsia" w:cs="Calibri"/>
                <w:color w:val="000000"/>
                <w:sz w:val="24"/>
                <w:szCs w:val="20"/>
              </w:rPr>
              <w:t>）二级标准。</w:t>
            </w:r>
            <w:r>
              <w:rPr>
                <w:rFonts w:hint="eastAsia" w:cs="Calibri"/>
                <w:color w:val="000000"/>
                <w:sz w:val="24"/>
              </w:rPr>
              <w:t>根据新乡市生态环境局发布的《新乡市2020年环境质量年报》</w:t>
            </w:r>
            <w:r>
              <w:rPr>
                <w:rFonts w:hint="eastAsia" w:cs="Calibri"/>
                <w:color w:val="000000"/>
                <w:sz w:val="24"/>
                <w:szCs w:val="20"/>
              </w:rPr>
              <w:t>，区域空气质量现状数据如下表所示。</w:t>
            </w:r>
          </w:p>
          <w:p>
            <w:pPr>
              <w:snapToGrid w:val="0"/>
              <w:spacing w:line="460" w:lineRule="exact"/>
              <w:ind w:firstLine="480" w:firstLineChars="200"/>
              <w:rPr>
                <w:rFonts w:eastAsia="黑体" w:cs="Calibri"/>
                <w:color w:val="000000"/>
                <w:sz w:val="24"/>
              </w:rPr>
            </w:pPr>
            <w:r>
              <w:rPr>
                <w:rFonts w:hint="eastAsia" w:eastAsia="黑体" w:cs="Calibri"/>
                <w:color w:val="000000"/>
                <w:sz w:val="24"/>
              </w:rPr>
              <w:t>表</w:t>
            </w:r>
            <w:r>
              <w:rPr>
                <w:rFonts w:eastAsia="黑体" w:cs="Calibri"/>
                <w:color w:val="000000"/>
                <w:sz w:val="24"/>
              </w:rPr>
              <w:t>18</w:t>
            </w:r>
            <w:r>
              <w:rPr>
                <w:rFonts w:hint="eastAsia" w:eastAsia="黑体" w:cs="Calibri"/>
                <w:color w:val="000000"/>
                <w:sz w:val="24"/>
              </w:rPr>
              <w:t xml:space="preserve"> </w:t>
            </w:r>
            <w:r>
              <w:rPr>
                <w:rFonts w:eastAsia="黑体" w:cs="Calibri"/>
                <w:color w:val="000000"/>
                <w:sz w:val="24"/>
              </w:rPr>
              <w:t xml:space="preserve">              </w:t>
            </w:r>
            <w:r>
              <w:rPr>
                <w:rFonts w:hint="eastAsia" w:eastAsia="黑体" w:cs="Calibri"/>
                <w:color w:val="000000"/>
                <w:sz w:val="24"/>
              </w:rPr>
              <w:t>区域空气质量现状评价表</w:t>
            </w:r>
          </w:p>
          <w:tbl>
            <w:tblPr>
              <w:tblStyle w:val="3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845"/>
              <w:gridCol w:w="1723"/>
              <w:gridCol w:w="1663"/>
              <w:gridCol w:w="1434"/>
              <w:gridCol w:w="1127"/>
              <w:gridCol w:w="118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850" w:type="dxa"/>
                  <w:tcBorders>
                    <w:top w:val="single" w:color="auto" w:sz="8" w:space="0"/>
                    <w:left w:val="nil"/>
                    <w:bottom w:val="single" w:color="auto" w:sz="4" w:space="0"/>
                    <w:right w:val="single" w:color="auto" w:sz="4" w:space="0"/>
                  </w:tcBorders>
                  <w:tcMar>
                    <w:top w:w="57" w:type="dxa"/>
                    <w:left w:w="85" w:type="dxa"/>
                    <w:bottom w:w="57" w:type="dxa"/>
                    <w:right w:w="85" w:type="dxa"/>
                  </w:tcMar>
                  <w:vAlign w:val="center"/>
                </w:tcPr>
                <w:p>
                  <w:pPr>
                    <w:autoSpaceDE w:val="0"/>
                    <w:autoSpaceDN w:val="0"/>
                    <w:adjustRightInd w:val="0"/>
                    <w:snapToGrid w:val="0"/>
                    <w:jc w:val="center"/>
                    <w:rPr>
                      <w:b/>
                      <w:color w:val="000000"/>
                      <w:kern w:val="0"/>
                      <w:szCs w:val="21"/>
                    </w:rPr>
                  </w:pPr>
                  <w:r>
                    <w:rPr>
                      <w:rFonts w:hint="eastAsia"/>
                      <w:b/>
                      <w:color w:val="000000"/>
                      <w:kern w:val="0"/>
                      <w:szCs w:val="21"/>
                    </w:rPr>
                    <w:t>污染物</w:t>
                  </w:r>
                </w:p>
              </w:tc>
              <w:tc>
                <w:tcPr>
                  <w:tcW w:w="1735"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autoSpaceDE w:val="0"/>
                    <w:autoSpaceDN w:val="0"/>
                    <w:adjustRightInd w:val="0"/>
                    <w:snapToGrid w:val="0"/>
                    <w:jc w:val="center"/>
                    <w:rPr>
                      <w:b/>
                      <w:color w:val="000000"/>
                      <w:kern w:val="0"/>
                      <w:szCs w:val="21"/>
                    </w:rPr>
                  </w:pPr>
                  <w:r>
                    <w:rPr>
                      <w:rFonts w:hint="eastAsia"/>
                      <w:b/>
                      <w:color w:val="000000"/>
                      <w:kern w:val="0"/>
                      <w:szCs w:val="21"/>
                    </w:rPr>
                    <w:t>年评价指标</w:t>
                  </w:r>
                </w:p>
              </w:tc>
              <w:tc>
                <w:tcPr>
                  <w:tcW w:w="1675"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autoSpaceDE w:val="0"/>
                    <w:autoSpaceDN w:val="0"/>
                    <w:adjustRightInd w:val="0"/>
                    <w:snapToGrid w:val="0"/>
                    <w:jc w:val="center"/>
                    <w:rPr>
                      <w:b/>
                      <w:color w:val="000000"/>
                      <w:kern w:val="0"/>
                      <w:szCs w:val="21"/>
                    </w:rPr>
                  </w:pPr>
                  <w:r>
                    <w:rPr>
                      <w:rFonts w:hint="eastAsia"/>
                      <w:b/>
                      <w:color w:val="000000"/>
                      <w:kern w:val="0"/>
                      <w:szCs w:val="21"/>
                    </w:rPr>
                    <w:t>现状浓度</w:t>
                  </w:r>
                  <w:r>
                    <w:rPr>
                      <w:b/>
                      <w:color w:val="000000"/>
                      <w:kern w:val="0"/>
                      <w:szCs w:val="21"/>
                    </w:rPr>
                    <w:t>/</w:t>
                  </w:r>
                  <w:r>
                    <w:rPr>
                      <w:rFonts w:hint="eastAsia"/>
                      <w:b/>
                      <w:color w:val="000000"/>
                      <w:kern w:val="0"/>
                      <w:szCs w:val="21"/>
                    </w:rPr>
                    <w:t>（</w:t>
                  </w:r>
                  <w:r>
                    <w:rPr>
                      <w:b/>
                      <w:color w:val="000000"/>
                      <w:kern w:val="0"/>
                      <w:szCs w:val="21"/>
                    </w:rPr>
                    <w:t>μg/m</w:t>
                  </w:r>
                  <w:r>
                    <w:rPr>
                      <w:b/>
                      <w:color w:val="000000"/>
                      <w:kern w:val="0"/>
                      <w:szCs w:val="21"/>
                      <w:vertAlign w:val="superscript"/>
                    </w:rPr>
                    <w:t>3</w:t>
                  </w:r>
                  <w:r>
                    <w:rPr>
                      <w:rFonts w:hint="eastAsia"/>
                      <w:b/>
                      <w:color w:val="000000"/>
                      <w:kern w:val="0"/>
                      <w:szCs w:val="21"/>
                    </w:rPr>
                    <w:t>）</w:t>
                  </w:r>
                </w:p>
              </w:tc>
              <w:tc>
                <w:tcPr>
                  <w:tcW w:w="1444"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autoSpaceDE w:val="0"/>
                    <w:autoSpaceDN w:val="0"/>
                    <w:adjustRightInd w:val="0"/>
                    <w:snapToGrid w:val="0"/>
                    <w:jc w:val="center"/>
                    <w:rPr>
                      <w:b/>
                      <w:color w:val="000000"/>
                      <w:kern w:val="0"/>
                      <w:szCs w:val="21"/>
                    </w:rPr>
                  </w:pPr>
                  <w:r>
                    <w:rPr>
                      <w:rFonts w:hint="eastAsia"/>
                      <w:b/>
                      <w:color w:val="000000"/>
                      <w:kern w:val="0"/>
                      <w:szCs w:val="21"/>
                    </w:rPr>
                    <w:t>标准值</w:t>
                  </w:r>
                  <w:r>
                    <w:rPr>
                      <w:b/>
                      <w:color w:val="000000"/>
                      <w:kern w:val="0"/>
                      <w:szCs w:val="21"/>
                    </w:rPr>
                    <w:t>/</w:t>
                  </w:r>
                  <w:r>
                    <w:rPr>
                      <w:rFonts w:hint="eastAsia"/>
                      <w:b/>
                      <w:color w:val="000000"/>
                      <w:kern w:val="0"/>
                      <w:szCs w:val="21"/>
                    </w:rPr>
                    <w:t>（</w:t>
                  </w:r>
                  <w:r>
                    <w:rPr>
                      <w:b/>
                      <w:bCs/>
                      <w:color w:val="000000"/>
                      <w:kern w:val="0"/>
                      <w:szCs w:val="21"/>
                    </w:rPr>
                    <w:t>μ</w:t>
                  </w:r>
                  <w:r>
                    <w:rPr>
                      <w:b/>
                      <w:color w:val="000000"/>
                      <w:kern w:val="0"/>
                      <w:szCs w:val="21"/>
                    </w:rPr>
                    <w:t>g/m</w:t>
                  </w:r>
                  <w:r>
                    <w:rPr>
                      <w:b/>
                      <w:color w:val="000000"/>
                      <w:kern w:val="0"/>
                      <w:szCs w:val="21"/>
                      <w:vertAlign w:val="superscript"/>
                    </w:rPr>
                    <w:t>3</w:t>
                  </w:r>
                  <w:r>
                    <w:rPr>
                      <w:rFonts w:hint="eastAsia"/>
                      <w:b/>
                      <w:color w:val="000000"/>
                      <w:kern w:val="0"/>
                      <w:szCs w:val="21"/>
                    </w:rPr>
                    <w:t>）</w:t>
                  </w:r>
                </w:p>
              </w:tc>
              <w:tc>
                <w:tcPr>
                  <w:tcW w:w="1134"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autoSpaceDE w:val="0"/>
                    <w:autoSpaceDN w:val="0"/>
                    <w:adjustRightInd w:val="0"/>
                    <w:snapToGrid w:val="0"/>
                    <w:jc w:val="center"/>
                    <w:rPr>
                      <w:b/>
                      <w:color w:val="000000"/>
                      <w:kern w:val="0"/>
                      <w:szCs w:val="21"/>
                    </w:rPr>
                  </w:pPr>
                  <w:r>
                    <w:rPr>
                      <w:rFonts w:hint="eastAsia"/>
                      <w:b/>
                      <w:color w:val="000000"/>
                      <w:kern w:val="0"/>
                      <w:szCs w:val="21"/>
                    </w:rPr>
                    <w:t>占标率</w:t>
                  </w:r>
                  <w:r>
                    <w:rPr>
                      <w:b/>
                      <w:color w:val="000000"/>
                      <w:kern w:val="0"/>
                      <w:szCs w:val="21"/>
                    </w:rPr>
                    <w:t>/%</w:t>
                  </w:r>
                </w:p>
              </w:tc>
              <w:tc>
                <w:tcPr>
                  <w:tcW w:w="1190" w:type="dxa"/>
                  <w:tcBorders>
                    <w:top w:val="single" w:color="auto" w:sz="8" w:space="0"/>
                    <w:left w:val="single" w:color="auto" w:sz="4" w:space="0"/>
                    <w:bottom w:val="single" w:color="auto" w:sz="4" w:space="0"/>
                    <w:right w:val="nil"/>
                  </w:tcBorders>
                  <w:tcMar>
                    <w:top w:w="57" w:type="dxa"/>
                    <w:left w:w="85" w:type="dxa"/>
                    <w:bottom w:w="57" w:type="dxa"/>
                    <w:right w:w="85" w:type="dxa"/>
                  </w:tcMar>
                  <w:vAlign w:val="center"/>
                </w:tcPr>
                <w:p>
                  <w:pPr>
                    <w:autoSpaceDE w:val="0"/>
                    <w:autoSpaceDN w:val="0"/>
                    <w:adjustRightInd w:val="0"/>
                    <w:snapToGrid w:val="0"/>
                    <w:jc w:val="center"/>
                    <w:rPr>
                      <w:b/>
                      <w:color w:val="000000"/>
                      <w:kern w:val="0"/>
                      <w:szCs w:val="21"/>
                    </w:rPr>
                  </w:pPr>
                  <w:r>
                    <w:rPr>
                      <w:rFonts w:hint="eastAsia"/>
                      <w:b/>
                      <w:color w:val="000000"/>
                      <w:kern w:val="0"/>
                      <w:szCs w:val="21"/>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850"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autoSpaceDE w:val="0"/>
                    <w:autoSpaceDN w:val="0"/>
                    <w:adjustRightInd w:val="0"/>
                    <w:snapToGrid w:val="0"/>
                    <w:jc w:val="center"/>
                    <w:rPr>
                      <w:color w:val="000000"/>
                      <w:kern w:val="0"/>
                      <w:szCs w:val="21"/>
                    </w:rPr>
                  </w:pPr>
                  <w:r>
                    <w:rPr>
                      <w:color w:val="000000"/>
                      <w:kern w:val="0"/>
                      <w:szCs w:val="21"/>
                    </w:rPr>
                    <w:t>PM</w:t>
                  </w:r>
                  <w:r>
                    <w:rPr>
                      <w:color w:val="000000"/>
                      <w:kern w:val="0"/>
                      <w:szCs w:val="21"/>
                      <w:vertAlign w:val="subscript"/>
                    </w:rPr>
                    <w:t>10</w:t>
                  </w:r>
                </w:p>
              </w:tc>
              <w:tc>
                <w:tcPr>
                  <w:tcW w:w="1735"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utoSpaceDE w:val="0"/>
                    <w:autoSpaceDN w:val="0"/>
                    <w:adjustRightInd w:val="0"/>
                    <w:snapToGrid w:val="0"/>
                    <w:jc w:val="center"/>
                    <w:rPr>
                      <w:color w:val="000000"/>
                      <w:kern w:val="0"/>
                      <w:szCs w:val="21"/>
                    </w:rPr>
                  </w:pPr>
                  <w:r>
                    <w:rPr>
                      <w:rFonts w:hint="eastAsia"/>
                      <w:color w:val="000000"/>
                      <w:kern w:val="0"/>
                      <w:szCs w:val="21"/>
                    </w:rPr>
                    <w:t>年平均质量浓度</w:t>
                  </w:r>
                </w:p>
              </w:tc>
              <w:tc>
                <w:tcPr>
                  <w:tcW w:w="1675"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utoSpaceDE w:val="0"/>
                    <w:autoSpaceDN w:val="0"/>
                    <w:contextualSpacing/>
                    <w:jc w:val="center"/>
                    <w:rPr>
                      <w:color w:val="000000"/>
                      <w:szCs w:val="21"/>
                    </w:rPr>
                  </w:pPr>
                  <w:r>
                    <w:rPr>
                      <w:rFonts w:hint="eastAsia"/>
                      <w:color w:val="000000"/>
                      <w:szCs w:val="21"/>
                    </w:rPr>
                    <w:t>89</w:t>
                  </w:r>
                </w:p>
              </w:tc>
              <w:tc>
                <w:tcPr>
                  <w:tcW w:w="144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40"/>
                    <w:rPr>
                      <w:kern w:val="2"/>
                    </w:rPr>
                  </w:pPr>
                  <w:r>
                    <w:rPr>
                      <w:kern w:val="2"/>
                    </w:rPr>
                    <w:t>70</w:t>
                  </w:r>
                </w:p>
              </w:tc>
              <w:tc>
                <w:tcPr>
                  <w:tcW w:w="113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utoSpaceDE w:val="0"/>
                    <w:autoSpaceDN w:val="0"/>
                    <w:contextualSpacing/>
                    <w:jc w:val="center"/>
                    <w:rPr>
                      <w:color w:val="000000"/>
                      <w:szCs w:val="21"/>
                    </w:rPr>
                  </w:pPr>
                  <w:r>
                    <w:rPr>
                      <w:color w:val="000000"/>
                      <w:szCs w:val="21"/>
                    </w:rPr>
                    <w:t>1</w:t>
                  </w:r>
                  <w:r>
                    <w:rPr>
                      <w:rFonts w:hint="eastAsia"/>
                      <w:color w:val="000000"/>
                      <w:szCs w:val="21"/>
                    </w:rPr>
                    <w:t>27</w:t>
                  </w:r>
                </w:p>
              </w:tc>
              <w:tc>
                <w:tcPr>
                  <w:tcW w:w="1190"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pStyle w:val="140"/>
                    <w:rPr>
                      <w:kern w:val="2"/>
                    </w:rPr>
                  </w:pPr>
                  <w:r>
                    <w:rPr>
                      <w:rFonts w:hint="eastAsia"/>
                      <w:kern w:val="2"/>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850"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autoSpaceDE w:val="0"/>
                    <w:autoSpaceDN w:val="0"/>
                    <w:adjustRightInd w:val="0"/>
                    <w:snapToGrid w:val="0"/>
                    <w:jc w:val="center"/>
                    <w:rPr>
                      <w:color w:val="000000"/>
                      <w:kern w:val="0"/>
                      <w:szCs w:val="21"/>
                    </w:rPr>
                  </w:pPr>
                  <w:r>
                    <w:rPr>
                      <w:color w:val="000000"/>
                      <w:kern w:val="0"/>
                      <w:szCs w:val="21"/>
                    </w:rPr>
                    <w:t>PM</w:t>
                  </w:r>
                  <w:r>
                    <w:rPr>
                      <w:color w:val="000000"/>
                      <w:kern w:val="0"/>
                      <w:szCs w:val="21"/>
                      <w:vertAlign w:val="subscript"/>
                    </w:rPr>
                    <w:t>2.5</w:t>
                  </w:r>
                </w:p>
              </w:tc>
              <w:tc>
                <w:tcPr>
                  <w:tcW w:w="1735"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utoSpaceDE w:val="0"/>
                    <w:autoSpaceDN w:val="0"/>
                    <w:adjustRightInd w:val="0"/>
                    <w:snapToGrid w:val="0"/>
                    <w:jc w:val="center"/>
                    <w:rPr>
                      <w:color w:val="000000"/>
                      <w:kern w:val="0"/>
                      <w:szCs w:val="21"/>
                    </w:rPr>
                  </w:pPr>
                  <w:r>
                    <w:rPr>
                      <w:rFonts w:hint="eastAsia"/>
                      <w:color w:val="000000"/>
                      <w:kern w:val="0"/>
                      <w:szCs w:val="21"/>
                    </w:rPr>
                    <w:t>年平均质量浓度</w:t>
                  </w:r>
                </w:p>
              </w:tc>
              <w:tc>
                <w:tcPr>
                  <w:tcW w:w="1675"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utoSpaceDE w:val="0"/>
                    <w:autoSpaceDN w:val="0"/>
                    <w:contextualSpacing/>
                    <w:jc w:val="center"/>
                    <w:rPr>
                      <w:color w:val="000000"/>
                      <w:szCs w:val="21"/>
                    </w:rPr>
                  </w:pPr>
                  <w:r>
                    <w:rPr>
                      <w:rFonts w:hint="eastAsia"/>
                      <w:color w:val="000000"/>
                      <w:szCs w:val="21"/>
                    </w:rPr>
                    <w:t>51</w:t>
                  </w:r>
                </w:p>
              </w:tc>
              <w:tc>
                <w:tcPr>
                  <w:tcW w:w="144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40"/>
                    <w:rPr>
                      <w:kern w:val="2"/>
                    </w:rPr>
                  </w:pPr>
                  <w:r>
                    <w:rPr>
                      <w:kern w:val="2"/>
                    </w:rPr>
                    <w:t>35</w:t>
                  </w:r>
                </w:p>
              </w:tc>
              <w:tc>
                <w:tcPr>
                  <w:tcW w:w="113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utoSpaceDE w:val="0"/>
                    <w:autoSpaceDN w:val="0"/>
                    <w:contextualSpacing/>
                    <w:jc w:val="center"/>
                    <w:rPr>
                      <w:color w:val="000000"/>
                      <w:szCs w:val="21"/>
                    </w:rPr>
                  </w:pPr>
                  <w:r>
                    <w:rPr>
                      <w:color w:val="000000"/>
                      <w:szCs w:val="21"/>
                    </w:rPr>
                    <w:t>1</w:t>
                  </w:r>
                  <w:r>
                    <w:rPr>
                      <w:rFonts w:hint="eastAsia"/>
                      <w:color w:val="000000"/>
                      <w:szCs w:val="21"/>
                    </w:rPr>
                    <w:t>46</w:t>
                  </w:r>
                </w:p>
              </w:tc>
              <w:tc>
                <w:tcPr>
                  <w:tcW w:w="1190"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pStyle w:val="140"/>
                    <w:rPr>
                      <w:kern w:val="2"/>
                    </w:rPr>
                  </w:pPr>
                  <w:r>
                    <w:rPr>
                      <w:rFonts w:hint="eastAsia"/>
                      <w:kern w:val="2"/>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850"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autoSpaceDE w:val="0"/>
                    <w:autoSpaceDN w:val="0"/>
                    <w:adjustRightInd w:val="0"/>
                    <w:snapToGrid w:val="0"/>
                    <w:jc w:val="center"/>
                    <w:rPr>
                      <w:color w:val="000000"/>
                      <w:kern w:val="0"/>
                      <w:szCs w:val="21"/>
                    </w:rPr>
                  </w:pPr>
                  <w:r>
                    <w:rPr>
                      <w:color w:val="000000"/>
                      <w:kern w:val="0"/>
                      <w:szCs w:val="21"/>
                    </w:rPr>
                    <w:t>SO</w:t>
                  </w:r>
                  <w:r>
                    <w:rPr>
                      <w:color w:val="000000"/>
                      <w:kern w:val="0"/>
                      <w:szCs w:val="21"/>
                      <w:vertAlign w:val="subscript"/>
                    </w:rPr>
                    <w:t>2</w:t>
                  </w:r>
                </w:p>
              </w:tc>
              <w:tc>
                <w:tcPr>
                  <w:tcW w:w="1735"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utoSpaceDE w:val="0"/>
                    <w:autoSpaceDN w:val="0"/>
                    <w:adjustRightInd w:val="0"/>
                    <w:snapToGrid w:val="0"/>
                    <w:jc w:val="center"/>
                    <w:rPr>
                      <w:color w:val="000000"/>
                      <w:kern w:val="0"/>
                      <w:szCs w:val="21"/>
                    </w:rPr>
                  </w:pPr>
                  <w:r>
                    <w:rPr>
                      <w:rFonts w:hint="eastAsia"/>
                      <w:color w:val="000000"/>
                      <w:kern w:val="0"/>
                      <w:szCs w:val="21"/>
                    </w:rPr>
                    <w:t>年平均质量浓度</w:t>
                  </w:r>
                </w:p>
              </w:tc>
              <w:tc>
                <w:tcPr>
                  <w:tcW w:w="1675"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utoSpaceDE w:val="0"/>
                    <w:autoSpaceDN w:val="0"/>
                    <w:contextualSpacing/>
                    <w:jc w:val="center"/>
                    <w:rPr>
                      <w:color w:val="000000"/>
                      <w:szCs w:val="21"/>
                    </w:rPr>
                  </w:pPr>
                  <w:r>
                    <w:rPr>
                      <w:color w:val="000000"/>
                      <w:szCs w:val="21"/>
                    </w:rPr>
                    <w:t>1</w:t>
                  </w:r>
                  <w:r>
                    <w:rPr>
                      <w:rFonts w:hint="eastAsia"/>
                      <w:color w:val="000000"/>
                      <w:szCs w:val="21"/>
                    </w:rPr>
                    <w:t>3</w:t>
                  </w:r>
                </w:p>
              </w:tc>
              <w:tc>
                <w:tcPr>
                  <w:tcW w:w="144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40"/>
                    <w:rPr>
                      <w:kern w:val="2"/>
                    </w:rPr>
                  </w:pPr>
                  <w:r>
                    <w:rPr>
                      <w:kern w:val="2"/>
                    </w:rPr>
                    <w:t>60</w:t>
                  </w:r>
                </w:p>
              </w:tc>
              <w:tc>
                <w:tcPr>
                  <w:tcW w:w="113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utoSpaceDE w:val="0"/>
                    <w:autoSpaceDN w:val="0"/>
                    <w:contextualSpacing/>
                    <w:jc w:val="center"/>
                    <w:rPr>
                      <w:color w:val="000000"/>
                      <w:szCs w:val="21"/>
                    </w:rPr>
                  </w:pPr>
                  <w:r>
                    <w:rPr>
                      <w:color w:val="000000"/>
                      <w:szCs w:val="21"/>
                    </w:rPr>
                    <w:t>2</w:t>
                  </w:r>
                  <w:r>
                    <w:rPr>
                      <w:rFonts w:hint="eastAsia"/>
                      <w:color w:val="000000"/>
                      <w:szCs w:val="21"/>
                    </w:rPr>
                    <w:t>1</w:t>
                  </w:r>
                  <w:r>
                    <w:rPr>
                      <w:color w:val="000000"/>
                      <w:szCs w:val="21"/>
                    </w:rPr>
                    <w:t>.7</w:t>
                  </w:r>
                </w:p>
              </w:tc>
              <w:tc>
                <w:tcPr>
                  <w:tcW w:w="1190"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pStyle w:val="140"/>
                    <w:rPr>
                      <w:kern w:val="2"/>
                    </w:rPr>
                  </w:pPr>
                  <w:r>
                    <w:rPr>
                      <w:rFonts w:hint="eastAsia"/>
                      <w:kern w:val="2"/>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850"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autoSpaceDE w:val="0"/>
                    <w:autoSpaceDN w:val="0"/>
                    <w:adjustRightInd w:val="0"/>
                    <w:snapToGrid w:val="0"/>
                    <w:jc w:val="center"/>
                    <w:rPr>
                      <w:color w:val="000000"/>
                      <w:kern w:val="0"/>
                      <w:szCs w:val="21"/>
                    </w:rPr>
                  </w:pPr>
                  <w:r>
                    <w:rPr>
                      <w:color w:val="000000"/>
                      <w:kern w:val="0"/>
                      <w:szCs w:val="21"/>
                    </w:rPr>
                    <w:t>NO</w:t>
                  </w:r>
                  <w:r>
                    <w:rPr>
                      <w:color w:val="000000"/>
                      <w:kern w:val="0"/>
                      <w:szCs w:val="21"/>
                      <w:vertAlign w:val="subscript"/>
                    </w:rPr>
                    <w:t>2</w:t>
                  </w:r>
                </w:p>
              </w:tc>
              <w:tc>
                <w:tcPr>
                  <w:tcW w:w="1735"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utoSpaceDE w:val="0"/>
                    <w:autoSpaceDN w:val="0"/>
                    <w:adjustRightInd w:val="0"/>
                    <w:snapToGrid w:val="0"/>
                    <w:jc w:val="center"/>
                    <w:rPr>
                      <w:color w:val="000000"/>
                      <w:kern w:val="0"/>
                      <w:szCs w:val="21"/>
                    </w:rPr>
                  </w:pPr>
                  <w:r>
                    <w:rPr>
                      <w:rFonts w:hint="eastAsia"/>
                      <w:color w:val="000000"/>
                      <w:kern w:val="0"/>
                      <w:szCs w:val="21"/>
                    </w:rPr>
                    <w:t>年平均质量浓度</w:t>
                  </w:r>
                </w:p>
              </w:tc>
              <w:tc>
                <w:tcPr>
                  <w:tcW w:w="1675"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utoSpaceDE w:val="0"/>
                    <w:autoSpaceDN w:val="0"/>
                    <w:contextualSpacing/>
                    <w:jc w:val="center"/>
                    <w:rPr>
                      <w:color w:val="000000"/>
                      <w:szCs w:val="21"/>
                    </w:rPr>
                  </w:pPr>
                  <w:r>
                    <w:rPr>
                      <w:rFonts w:hint="eastAsia"/>
                      <w:color w:val="000000"/>
                      <w:szCs w:val="21"/>
                    </w:rPr>
                    <w:t>35</w:t>
                  </w:r>
                </w:p>
              </w:tc>
              <w:tc>
                <w:tcPr>
                  <w:tcW w:w="144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40"/>
                    <w:rPr>
                      <w:kern w:val="2"/>
                    </w:rPr>
                  </w:pPr>
                  <w:r>
                    <w:rPr>
                      <w:kern w:val="2"/>
                    </w:rPr>
                    <w:t>40</w:t>
                  </w:r>
                </w:p>
              </w:tc>
              <w:tc>
                <w:tcPr>
                  <w:tcW w:w="113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utoSpaceDE w:val="0"/>
                    <w:autoSpaceDN w:val="0"/>
                    <w:contextualSpacing/>
                    <w:jc w:val="center"/>
                    <w:rPr>
                      <w:color w:val="000000"/>
                      <w:szCs w:val="21"/>
                    </w:rPr>
                  </w:pPr>
                  <w:r>
                    <w:rPr>
                      <w:rFonts w:hint="eastAsia"/>
                      <w:color w:val="000000"/>
                      <w:szCs w:val="21"/>
                    </w:rPr>
                    <w:t>87.5</w:t>
                  </w:r>
                </w:p>
              </w:tc>
              <w:tc>
                <w:tcPr>
                  <w:tcW w:w="1190"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pStyle w:val="140"/>
                    <w:rPr>
                      <w:kern w:val="2"/>
                    </w:rPr>
                  </w:pPr>
                  <w:r>
                    <w:rPr>
                      <w:rFonts w:hint="eastAsia"/>
                      <w:kern w:val="2"/>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850"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autoSpaceDE w:val="0"/>
                    <w:autoSpaceDN w:val="0"/>
                    <w:adjustRightInd w:val="0"/>
                    <w:snapToGrid w:val="0"/>
                    <w:jc w:val="center"/>
                    <w:rPr>
                      <w:color w:val="000000"/>
                      <w:szCs w:val="21"/>
                    </w:rPr>
                  </w:pPr>
                  <w:r>
                    <w:rPr>
                      <w:color w:val="000000"/>
                      <w:szCs w:val="21"/>
                    </w:rPr>
                    <w:t>CO</w:t>
                  </w:r>
                </w:p>
              </w:tc>
              <w:tc>
                <w:tcPr>
                  <w:tcW w:w="1735"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utoSpaceDE w:val="0"/>
                    <w:autoSpaceDN w:val="0"/>
                    <w:adjustRightInd w:val="0"/>
                    <w:snapToGrid w:val="0"/>
                    <w:jc w:val="center"/>
                    <w:rPr>
                      <w:color w:val="000000"/>
                      <w:szCs w:val="21"/>
                    </w:rPr>
                  </w:pPr>
                  <w:r>
                    <w:rPr>
                      <w:rFonts w:hint="eastAsia"/>
                      <w:color w:val="000000"/>
                      <w:szCs w:val="21"/>
                    </w:rPr>
                    <w:t>第</w:t>
                  </w:r>
                  <w:r>
                    <w:rPr>
                      <w:color w:val="000000"/>
                      <w:szCs w:val="21"/>
                    </w:rPr>
                    <w:t>95</w:t>
                  </w:r>
                  <w:r>
                    <w:rPr>
                      <w:rFonts w:hint="eastAsia"/>
                      <w:color w:val="000000"/>
                      <w:szCs w:val="21"/>
                    </w:rPr>
                    <w:t>百分位浓度</w:t>
                  </w:r>
                </w:p>
              </w:tc>
              <w:tc>
                <w:tcPr>
                  <w:tcW w:w="1675"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utoSpaceDE w:val="0"/>
                    <w:autoSpaceDN w:val="0"/>
                    <w:contextualSpacing/>
                    <w:jc w:val="center"/>
                    <w:rPr>
                      <w:color w:val="000000"/>
                      <w:szCs w:val="21"/>
                    </w:rPr>
                  </w:pPr>
                  <w:r>
                    <w:rPr>
                      <w:rFonts w:hint="eastAsia"/>
                      <w:color w:val="000000"/>
                      <w:szCs w:val="21"/>
                    </w:rPr>
                    <w:t>1.675</w:t>
                  </w:r>
                  <w:r>
                    <w:rPr>
                      <w:color w:val="000000"/>
                      <w:szCs w:val="21"/>
                    </w:rPr>
                    <w:t>mg/m</w:t>
                  </w:r>
                  <w:r>
                    <w:rPr>
                      <w:color w:val="000000"/>
                      <w:szCs w:val="21"/>
                      <w:vertAlign w:val="superscript"/>
                    </w:rPr>
                    <w:t>3</w:t>
                  </w:r>
                </w:p>
              </w:tc>
              <w:tc>
                <w:tcPr>
                  <w:tcW w:w="144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40"/>
                    <w:rPr>
                      <w:kern w:val="2"/>
                    </w:rPr>
                  </w:pPr>
                  <w:r>
                    <w:rPr>
                      <w:kern w:val="2"/>
                    </w:rPr>
                    <w:t>4mg/m</w:t>
                  </w:r>
                  <w:r>
                    <w:rPr>
                      <w:kern w:val="2"/>
                      <w:vertAlign w:val="superscript"/>
                    </w:rPr>
                    <w:t>3</w:t>
                  </w:r>
                </w:p>
              </w:tc>
              <w:tc>
                <w:tcPr>
                  <w:tcW w:w="113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utoSpaceDE w:val="0"/>
                    <w:autoSpaceDN w:val="0"/>
                    <w:contextualSpacing/>
                    <w:jc w:val="center"/>
                    <w:rPr>
                      <w:color w:val="000000"/>
                      <w:szCs w:val="21"/>
                    </w:rPr>
                  </w:pPr>
                  <w:r>
                    <w:rPr>
                      <w:rFonts w:hint="eastAsia"/>
                      <w:color w:val="000000"/>
                      <w:szCs w:val="21"/>
                    </w:rPr>
                    <w:t>41.9</w:t>
                  </w:r>
                </w:p>
              </w:tc>
              <w:tc>
                <w:tcPr>
                  <w:tcW w:w="1190"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pStyle w:val="140"/>
                    <w:rPr>
                      <w:kern w:val="2"/>
                    </w:rPr>
                  </w:pPr>
                  <w:r>
                    <w:rPr>
                      <w:rFonts w:hint="eastAsia"/>
                      <w:kern w:val="2"/>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850" w:type="dxa"/>
                  <w:tcBorders>
                    <w:top w:val="single" w:color="auto" w:sz="4" w:space="0"/>
                    <w:left w:val="nil"/>
                    <w:bottom w:val="single" w:color="auto" w:sz="8" w:space="0"/>
                    <w:right w:val="single" w:color="auto" w:sz="4" w:space="0"/>
                  </w:tcBorders>
                  <w:tcMar>
                    <w:top w:w="57" w:type="dxa"/>
                    <w:left w:w="85" w:type="dxa"/>
                    <w:bottom w:w="57" w:type="dxa"/>
                    <w:right w:w="85" w:type="dxa"/>
                  </w:tcMar>
                  <w:vAlign w:val="center"/>
                </w:tcPr>
                <w:p>
                  <w:pPr>
                    <w:autoSpaceDE w:val="0"/>
                    <w:autoSpaceDN w:val="0"/>
                    <w:adjustRightInd w:val="0"/>
                    <w:snapToGrid w:val="0"/>
                    <w:jc w:val="center"/>
                    <w:rPr>
                      <w:color w:val="000000"/>
                      <w:szCs w:val="21"/>
                    </w:rPr>
                  </w:pPr>
                  <w:r>
                    <w:rPr>
                      <w:color w:val="000000"/>
                      <w:szCs w:val="21"/>
                    </w:rPr>
                    <w:t>O</w:t>
                  </w:r>
                  <w:r>
                    <w:rPr>
                      <w:color w:val="000000"/>
                      <w:szCs w:val="21"/>
                      <w:vertAlign w:val="subscript"/>
                    </w:rPr>
                    <w:t>3</w:t>
                  </w:r>
                </w:p>
              </w:tc>
              <w:tc>
                <w:tcPr>
                  <w:tcW w:w="1735"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autoSpaceDE w:val="0"/>
                    <w:autoSpaceDN w:val="0"/>
                    <w:adjustRightInd w:val="0"/>
                    <w:snapToGrid w:val="0"/>
                    <w:jc w:val="center"/>
                    <w:rPr>
                      <w:color w:val="000000"/>
                      <w:szCs w:val="21"/>
                    </w:rPr>
                  </w:pPr>
                  <w:r>
                    <w:rPr>
                      <w:rFonts w:hint="eastAsia"/>
                      <w:color w:val="000000"/>
                      <w:szCs w:val="21"/>
                    </w:rPr>
                    <w:t>第</w:t>
                  </w:r>
                  <w:r>
                    <w:rPr>
                      <w:color w:val="000000"/>
                      <w:szCs w:val="21"/>
                    </w:rPr>
                    <w:t>90</w:t>
                  </w:r>
                  <w:r>
                    <w:rPr>
                      <w:rFonts w:hint="eastAsia"/>
                      <w:color w:val="000000"/>
                      <w:szCs w:val="21"/>
                    </w:rPr>
                    <w:t>百分位浓度</w:t>
                  </w:r>
                </w:p>
              </w:tc>
              <w:tc>
                <w:tcPr>
                  <w:tcW w:w="1675"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autoSpaceDE w:val="0"/>
                    <w:autoSpaceDN w:val="0"/>
                    <w:contextualSpacing/>
                    <w:jc w:val="center"/>
                    <w:rPr>
                      <w:color w:val="000000"/>
                      <w:szCs w:val="21"/>
                    </w:rPr>
                  </w:pPr>
                  <w:r>
                    <w:rPr>
                      <w:color w:val="000000"/>
                      <w:szCs w:val="21"/>
                    </w:rPr>
                    <w:t>17</w:t>
                  </w:r>
                  <w:r>
                    <w:rPr>
                      <w:rFonts w:hint="eastAsia"/>
                      <w:color w:val="000000"/>
                      <w:szCs w:val="21"/>
                    </w:rPr>
                    <w:t>3</w:t>
                  </w:r>
                </w:p>
              </w:tc>
              <w:tc>
                <w:tcPr>
                  <w:tcW w:w="1444"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pStyle w:val="140"/>
                    <w:rPr>
                      <w:kern w:val="2"/>
                    </w:rPr>
                  </w:pPr>
                  <w:r>
                    <w:rPr>
                      <w:kern w:val="2"/>
                    </w:rPr>
                    <w:t>160</w:t>
                  </w:r>
                </w:p>
              </w:tc>
              <w:tc>
                <w:tcPr>
                  <w:tcW w:w="1134"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autoSpaceDE w:val="0"/>
                    <w:autoSpaceDN w:val="0"/>
                    <w:contextualSpacing/>
                    <w:jc w:val="center"/>
                    <w:rPr>
                      <w:color w:val="000000"/>
                      <w:szCs w:val="21"/>
                    </w:rPr>
                  </w:pPr>
                  <w:r>
                    <w:rPr>
                      <w:color w:val="000000"/>
                      <w:szCs w:val="21"/>
                    </w:rPr>
                    <w:t>1</w:t>
                  </w:r>
                  <w:r>
                    <w:rPr>
                      <w:rFonts w:hint="eastAsia"/>
                      <w:color w:val="000000"/>
                      <w:szCs w:val="21"/>
                    </w:rPr>
                    <w:t>08</w:t>
                  </w:r>
                </w:p>
              </w:tc>
              <w:tc>
                <w:tcPr>
                  <w:tcW w:w="1190" w:type="dxa"/>
                  <w:tcBorders>
                    <w:top w:val="single" w:color="auto" w:sz="4" w:space="0"/>
                    <w:left w:val="single" w:color="auto" w:sz="4" w:space="0"/>
                    <w:bottom w:val="single" w:color="auto" w:sz="8" w:space="0"/>
                    <w:right w:val="nil"/>
                  </w:tcBorders>
                  <w:tcMar>
                    <w:top w:w="57" w:type="dxa"/>
                    <w:left w:w="85" w:type="dxa"/>
                    <w:bottom w:w="57" w:type="dxa"/>
                    <w:right w:w="85" w:type="dxa"/>
                  </w:tcMar>
                  <w:vAlign w:val="center"/>
                </w:tcPr>
                <w:p>
                  <w:pPr>
                    <w:pStyle w:val="140"/>
                    <w:rPr>
                      <w:kern w:val="2"/>
                    </w:rPr>
                  </w:pPr>
                  <w:r>
                    <w:rPr>
                      <w:rFonts w:hint="eastAsia"/>
                      <w:kern w:val="2"/>
                    </w:rPr>
                    <w:t>超标</w:t>
                  </w:r>
                </w:p>
              </w:tc>
            </w:tr>
          </w:tbl>
          <w:p>
            <w:pPr>
              <w:pStyle w:val="95"/>
            </w:pPr>
            <w:r>
              <w:rPr>
                <w:rFonts w:hint="eastAsia" w:cs="Calibri"/>
                <w:color w:val="000000"/>
              </w:rPr>
              <w:t>由上表可知，其中</w:t>
            </w:r>
            <w:r>
              <w:rPr>
                <w:rFonts w:cs="Calibri"/>
                <w:color w:val="000000"/>
              </w:rPr>
              <w:t>PM</w:t>
            </w:r>
            <w:r>
              <w:rPr>
                <w:rFonts w:cs="Calibri"/>
                <w:color w:val="000000"/>
                <w:vertAlign w:val="subscript"/>
              </w:rPr>
              <w:t>10</w:t>
            </w:r>
            <w:r>
              <w:rPr>
                <w:rFonts w:hint="eastAsia" w:cs="Calibri"/>
                <w:color w:val="000000"/>
              </w:rPr>
              <w:t>、</w:t>
            </w:r>
            <w:r>
              <w:rPr>
                <w:rFonts w:cs="Calibri"/>
                <w:color w:val="000000"/>
              </w:rPr>
              <w:t>PM</w:t>
            </w:r>
            <w:r>
              <w:rPr>
                <w:rFonts w:cs="Calibri"/>
                <w:color w:val="000000"/>
                <w:vertAlign w:val="subscript"/>
              </w:rPr>
              <w:t>2.5</w:t>
            </w:r>
            <w:r>
              <w:rPr>
                <w:rFonts w:hint="eastAsia" w:cs="Calibri"/>
                <w:color w:val="000000"/>
              </w:rPr>
              <w:t>和</w:t>
            </w:r>
            <w:r>
              <w:rPr>
                <w:rFonts w:cs="Calibri"/>
                <w:color w:val="000000"/>
              </w:rPr>
              <w:t>O</w:t>
            </w:r>
            <w:r>
              <w:rPr>
                <w:rFonts w:cs="Calibri"/>
                <w:color w:val="000000"/>
                <w:vertAlign w:val="subscript"/>
              </w:rPr>
              <w:t>3</w:t>
            </w:r>
            <w:r>
              <w:rPr>
                <w:rFonts w:hint="eastAsia" w:cs="Calibri"/>
                <w:color w:val="000000"/>
              </w:rPr>
              <w:t>均不能够满足《环境空气质量标准》（</w:t>
            </w:r>
            <w:r>
              <w:rPr>
                <w:rFonts w:cs="Calibri"/>
                <w:color w:val="000000"/>
              </w:rPr>
              <w:t>GB3095-2012</w:t>
            </w:r>
            <w:r>
              <w:rPr>
                <w:rFonts w:hint="eastAsia" w:cs="Calibri"/>
                <w:color w:val="000000"/>
              </w:rPr>
              <w:t>）二级标准要求。根据《环境影响评价技术导则</w:t>
            </w:r>
            <w:r>
              <w:rPr>
                <w:rFonts w:cs="Calibri"/>
                <w:color w:val="000000"/>
              </w:rPr>
              <w:t xml:space="preserve">  </w:t>
            </w:r>
            <w:r>
              <w:rPr>
                <w:rFonts w:hint="eastAsia" w:cs="Calibri"/>
                <w:color w:val="000000"/>
              </w:rPr>
              <w:t>大气环境》</w:t>
            </w:r>
            <w:r>
              <w:rPr>
                <w:rFonts w:cs="Calibri"/>
                <w:color w:val="000000"/>
              </w:rPr>
              <w:t>(HJ2.2-2018)</w:t>
            </w:r>
            <w:r>
              <w:rPr>
                <w:rFonts w:hint="eastAsia" w:cs="Calibri"/>
                <w:color w:val="000000"/>
              </w:rPr>
              <w:t>，本项目所在区域属于未达标区。</w:t>
            </w:r>
            <w:r>
              <w:rPr>
                <w:rFonts w:hint="eastAsia"/>
              </w:rPr>
              <w:t>空气质量超标原因主要为：①冬季供暖锅炉以及部分企业燃煤锅炉启动，且冬季大气自净能力下降，污染扩散气象条件差；②区域内汽车等交通源增加，污染物排放量增大；③天气干燥，尘土较多。因此超标现象属于区域性污染问题。</w:t>
            </w:r>
          </w:p>
          <w:p>
            <w:pPr>
              <w:pStyle w:val="95"/>
              <w:rPr>
                <w:rFonts w:cs="宋体"/>
              </w:rPr>
            </w:pPr>
            <w:r>
              <w:rPr>
                <w:rFonts w:hint="eastAsia" w:cs="宋体"/>
              </w:rPr>
              <w:t>2020年，新乡市PM</w:t>
            </w:r>
            <w:r>
              <w:rPr>
                <w:rFonts w:hint="eastAsia" w:cs="宋体"/>
                <w:vertAlign w:val="subscript"/>
              </w:rPr>
              <w:t>10</w:t>
            </w:r>
            <w:r>
              <w:rPr>
                <w:rFonts w:hint="eastAsia" w:cs="宋体"/>
              </w:rPr>
              <w:t>平均浓度89微克/立方米，同比下降12微克/立方米，降幅11.9%；PM</w:t>
            </w:r>
            <w:r>
              <w:rPr>
                <w:rFonts w:hint="eastAsia" w:cs="宋体"/>
                <w:vertAlign w:val="subscript"/>
              </w:rPr>
              <w:t>2.5</w:t>
            </w:r>
            <w:r>
              <w:rPr>
                <w:rFonts w:hint="eastAsia" w:cs="宋体"/>
              </w:rPr>
              <w:t>平均浓度51微克/立方米，同比下降5微克/立方米，降幅8.9%；SO</w:t>
            </w:r>
            <w:r>
              <w:rPr>
                <w:rFonts w:hint="eastAsia" w:cs="宋体"/>
                <w:vertAlign w:val="subscript"/>
              </w:rPr>
              <w:t>2</w:t>
            </w:r>
            <w:r>
              <w:rPr>
                <w:rFonts w:hint="eastAsia" w:cs="宋体"/>
              </w:rPr>
              <w:t>平均浓度13微克/立方米，同比下降3微克/立方米，降幅18.8%；NO</w:t>
            </w:r>
            <w:r>
              <w:rPr>
                <w:rFonts w:hint="eastAsia" w:cs="宋体"/>
                <w:vertAlign w:val="subscript"/>
              </w:rPr>
              <w:t>2</w:t>
            </w:r>
            <w:r>
              <w:rPr>
                <w:rFonts w:hint="eastAsia" w:cs="宋体"/>
              </w:rPr>
              <w:t>平均浓度35微克/立方米，同比下降9微克/立方米，降幅20.5%；O</w:t>
            </w:r>
            <w:r>
              <w:rPr>
                <w:rFonts w:hint="eastAsia" w:cs="宋体"/>
                <w:vertAlign w:val="subscript"/>
              </w:rPr>
              <w:t>3</w:t>
            </w:r>
            <w:r>
              <w:rPr>
                <w:rFonts w:hint="eastAsia" w:cs="宋体"/>
              </w:rPr>
              <w:t>第90百分位浓度为173微克/立方米，同比下降12微克/立方米，降幅6.5%，CO第95百分位浓度1.675毫克/立方米，同比下降0.405毫克/立方米，降幅19.5%。</w:t>
            </w:r>
          </w:p>
          <w:p>
            <w:pPr>
              <w:pStyle w:val="95"/>
              <w:rPr>
                <w:rFonts w:cs="宋体"/>
              </w:rPr>
            </w:pPr>
            <w:r>
              <w:rPr>
                <w:rFonts w:hint="eastAsia" w:cs="宋体"/>
              </w:rPr>
              <w:t>本项目废气主要为投料粉尘，由集气罩收集后，经袋式除尘器处理，通过15m高排气筒有组织排放，满足《新乡市生态环境局关于进一步规范工业企业颗粒物排放限值的通知》有组织颗粒物排放浓度10mg/m</w:t>
            </w:r>
            <w:r>
              <w:rPr>
                <w:rFonts w:hint="eastAsia" w:cs="宋体"/>
                <w:vertAlign w:val="superscript"/>
              </w:rPr>
              <w:t>3</w:t>
            </w:r>
            <w:r>
              <w:rPr>
                <w:rFonts w:hint="eastAsia" w:cs="宋体"/>
              </w:rPr>
              <w:t>的限值要求。因此，项目的投产运行不会对区域环境质量产生不良影响。</w:t>
            </w:r>
          </w:p>
          <w:p>
            <w:pPr>
              <w:snapToGrid w:val="0"/>
              <w:spacing w:line="460" w:lineRule="exact"/>
              <w:ind w:firstLine="482" w:firstLineChars="200"/>
              <w:textAlignment w:val="baseline"/>
              <w:rPr>
                <w:rFonts w:cs="Calibri"/>
                <w:b/>
                <w:color w:val="000000"/>
                <w:sz w:val="24"/>
              </w:rPr>
            </w:pPr>
            <w:r>
              <w:rPr>
                <w:rFonts w:cs="Calibri"/>
                <w:b/>
                <w:sz w:val="24"/>
              </w:rPr>
              <w:t>2</w:t>
            </w:r>
            <w:r>
              <w:rPr>
                <w:rFonts w:hint="eastAsia" w:cs="Calibri"/>
                <w:b/>
                <w:sz w:val="24"/>
              </w:rPr>
              <w:t>、地表水环境质量现状</w:t>
            </w:r>
          </w:p>
          <w:p>
            <w:pPr>
              <w:spacing w:line="460" w:lineRule="exact"/>
              <w:ind w:firstLine="480" w:firstLineChars="200"/>
              <w:jc w:val="left"/>
              <w:rPr>
                <w:rFonts w:cs="Calibri"/>
                <w:bCs/>
                <w:sz w:val="24"/>
                <w:szCs w:val="20"/>
              </w:rPr>
            </w:pPr>
            <w:r>
              <w:rPr>
                <w:rFonts w:hint="eastAsia" w:cs="Calibri"/>
                <w:sz w:val="24"/>
                <w:szCs w:val="20"/>
              </w:rPr>
              <w:t>本项目无新增废水产生，企业现有废水经厂区污水站处理后排入新乡县综合污水处理厂，新乡县综合污水处理厂出水最终进入东孟姜女河。</w:t>
            </w:r>
            <w:r>
              <w:rPr>
                <w:rFonts w:hint="eastAsia" w:cs="Calibri"/>
                <w:bCs/>
                <w:sz w:val="24"/>
                <w:szCs w:val="20"/>
              </w:rPr>
              <w:t>根据《“十四五”及2</w:t>
            </w:r>
            <w:r>
              <w:rPr>
                <w:rFonts w:cs="Calibri"/>
                <w:bCs/>
                <w:sz w:val="24"/>
                <w:szCs w:val="20"/>
              </w:rPr>
              <w:t>021</w:t>
            </w:r>
            <w:r>
              <w:rPr>
                <w:rFonts w:hint="eastAsia" w:cs="Calibri"/>
                <w:bCs/>
                <w:sz w:val="24"/>
                <w:szCs w:val="20"/>
              </w:rPr>
              <w:t>年地表水环境质量目标目标》，</w:t>
            </w:r>
            <w:r>
              <w:rPr>
                <w:rFonts w:hint="eastAsia" w:cs="Calibri"/>
                <w:sz w:val="24"/>
                <w:szCs w:val="20"/>
              </w:rPr>
              <w:t>东孟姜女河水体功能类别为</w:t>
            </w:r>
            <w:r>
              <w:rPr>
                <w:sz w:val="24"/>
                <w:szCs w:val="20"/>
              </w:rPr>
              <w:t>Ⅳ</w:t>
            </w:r>
            <w:r>
              <w:rPr>
                <w:rFonts w:hint="eastAsia" w:cs="Calibri"/>
                <w:sz w:val="24"/>
                <w:szCs w:val="20"/>
              </w:rPr>
              <w:t>类标准。</w:t>
            </w:r>
            <w:r>
              <w:rPr>
                <w:sz w:val="24"/>
              </w:rPr>
              <w:t>根据新乡市环境监测站对</w:t>
            </w:r>
            <w:r>
              <w:rPr>
                <w:rFonts w:hint="eastAsia"/>
                <w:sz w:val="24"/>
              </w:rPr>
              <w:t>东孟姜女河东孟南环桥</w:t>
            </w:r>
            <w:r>
              <w:rPr>
                <w:sz w:val="24"/>
              </w:rPr>
              <w:t>断面的监测2021年</w:t>
            </w:r>
            <w:r>
              <w:rPr>
                <w:rFonts w:hint="eastAsia"/>
                <w:sz w:val="24"/>
              </w:rPr>
              <w:t>10</w:t>
            </w:r>
            <w:r>
              <w:rPr>
                <w:sz w:val="24"/>
              </w:rPr>
              <w:t>月份周报数据见下表。</w:t>
            </w:r>
          </w:p>
          <w:p>
            <w:pPr>
              <w:adjustRightInd w:val="0"/>
              <w:snapToGrid w:val="0"/>
              <w:spacing w:line="460" w:lineRule="exact"/>
              <w:ind w:firstLine="480" w:firstLineChars="200"/>
              <w:rPr>
                <w:rFonts w:eastAsia="黑体"/>
                <w:color w:val="000000"/>
                <w:sz w:val="24"/>
              </w:rPr>
            </w:pPr>
            <w:r>
              <w:rPr>
                <w:rFonts w:hint="eastAsia" w:eastAsia="黑体"/>
                <w:color w:val="000000"/>
                <w:sz w:val="24"/>
              </w:rPr>
              <w:t>表</w:t>
            </w:r>
            <w:r>
              <w:rPr>
                <w:rFonts w:eastAsia="黑体"/>
                <w:color w:val="000000"/>
                <w:sz w:val="24"/>
              </w:rPr>
              <w:t>19</w:t>
            </w:r>
            <w:r>
              <w:rPr>
                <w:rFonts w:hint="eastAsia" w:eastAsia="黑体"/>
                <w:sz w:val="24"/>
              </w:rPr>
              <w:t xml:space="preserve">       东孟南环桥</w:t>
            </w:r>
            <w:r>
              <w:rPr>
                <w:rFonts w:eastAsia="黑体"/>
                <w:sz w:val="24"/>
              </w:rPr>
              <w:t>断面监测数据</w:t>
            </w:r>
            <w:r>
              <w:rPr>
                <w:rFonts w:hint="eastAsia" w:eastAsia="黑体"/>
                <w:sz w:val="24"/>
              </w:rPr>
              <w:t xml:space="preserve">（2021年10月）     </w:t>
            </w:r>
            <w:r>
              <w:rPr>
                <w:rFonts w:eastAsia="黑体"/>
                <w:sz w:val="24"/>
              </w:rPr>
              <w:t>单位：mg/L</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55"/>
              <w:gridCol w:w="1809"/>
              <w:gridCol w:w="2132"/>
              <w:gridCol w:w="16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71" w:type="dxa"/>
                  <w:tcBorders>
                    <w:top w:val="single" w:color="auto" w:sz="8" w:space="0"/>
                    <w:left w:val="nil"/>
                    <w:bottom w:val="single" w:color="auto" w:sz="4" w:space="0"/>
                    <w:right w:val="single" w:color="auto" w:sz="4" w:space="0"/>
                  </w:tcBorders>
                  <w:vAlign w:val="center"/>
                </w:tcPr>
                <w:p>
                  <w:pPr>
                    <w:adjustRightInd w:val="0"/>
                    <w:snapToGrid w:val="0"/>
                    <w:jc w:val="center"/>
                    <w:rPr>
                      <w:rFonts w:cs="Calibri"/>
                      <w:b/>
                      <w:color w:val="000000"/>
                      <w:szCs w:val="21"/>
                    </w:rPr>
                  </w:pPr>
                  <w:r>
                    <w:rPr>
                      <w:rFonts w:hint="eastAsia" w:cs="Calibri"/>
                      <w:b/>
                      <w:color w:val="000000"/>
                      <w:szCs w:val="21"/>
                    </w:rPr>
                    <w:t>监测因子</w:t>
                  </w:r>
                </w:p>
              </w:tc>
              <w:tc>
                <w:tcPr>
                  <w:tcW w:w="1821"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cs="Calibri"/>
                      <w:b/>
                      <w:color w:val="000000"/>
                      <w:szCs w:val="21"/>
                    </w:rPr>
                  </w:pPr>
                  <w:r>
                    <w:rPr>
                      <w:rFonts w:cs="Calibri"/>
                      <w:b/>
                      <w:color w:val="000000"/>
                      <w:szCs w:val="21"/>
                    </w:rPr>
                    <w:t>COD</w:t>
                  </w:r>
                </w:p>
              </w:tc>
              <w:tc>
                <w:tcPr>
                  <w:tcW w:w="2147"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cs="Calibri"/>
                      <w:b/>
                      <w:color w:val="000000"/>
                      <w:szCs w:val="21"/>
                    </w:rPr>
                  </w:pPr>
                  <w:r>
                    <w:rPr>
                      <w:rFonts w:cs="Calibri"/>
                      <w:b/>
                      <w:color w:val="000000"/>
                      <w:szCs w:val="21"/>
                    </w:rPr>
                    <w:t>NH</w:t>
                  </w:r>
                  <w:r>
                    <w:rPr>
                      <w:rFonts w:cs="Calibri"/>
                      <w:b/>
                      <w:color w:val="000000"/>
                      <w:szCs w:val="21"/>
                      <w:vertAlign w:val="subscript"/>
                    </w:rPr>
                    <w:t>3</w:t>
                  </w:r>
                  <w:r>
                    <w:rPr>
                      <w:rFonts w:cs="Calibri"/>
                      <w:b/>
                      <w:color w:val="000000"/>
                      <w:szCs w:val="21"/>
                    </w:rPr>
                    <w:t>-N</w:t>
                  </w:r>
                </w:p>
              </w:tc>
              <w:tc>
                <w:tcPr>
                  <w:tcW w:w="1689" w:type="dxa"/>
                  <w:tcBorders>
                    <w:top w:val="single" w:color="auto" w:sz="8" w:space="0"/>
                    <w:left w:val="single" w:color="auto" w:sz="4" w:space="0"/>
                    <w:bottom w:val="single" w:color="auto" w:sz="4" w:space="0"/>
                    <w:right w:val="nil"/>
                  </w:tcBorders>
                  <w:vAlign w:val="center"/>
                </w:tcPr>
                <w:p>
                  <w:pPr>
                    <w:adjustRightInd w:val="0"/>
                    <w:snapToGrid w:val="0"/>
                    <w:jc w:val="center"/>
                    <w:rPr>
                      <w:rFonts w:cs="Calibri"/>
                      <w:b/>
                      <w:color w:val="000000"/>
                      <w:szCs w:val="21"/>
                    </w:rPr>
                  </w:pPr>
                  <w:r>
                    <w:rPr>
                      <w:rFonts w:cs="Calibri"/>
                      <w:b/>
                      <w:color w:val="000000"/>
                      <w:szCs w:val="21"/>
                    </w:rPr>
                    <w:t>TP</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71" w:type="dxa"/>
                  <w:tcBorders>
                    <w:top w:val="single" w:color="auto" w:sz="4" w:space="0"/>
                    <w:left w:val="nil"/>
                    <w:bottom w:val="single" w:color="auto" w:sz="4" w:space="0"/>
                    <w:right w:val="single" w:color="auto" w:sz="4" w:space="0"/>
                  </w:tcBorders>
                  <w:vAlign w:val="center"/>
                </w:tcPr>
                <w:p>
                  <w:pPr>
                    <w:adjustRightInd w:val="0"/>
                    <w:snapToGrid w:val="0"/>
                    <w:jc w:val="center"/>
                    <w:rPr>
                      <w:rFonts w:cs="Calibri"/>
                      <w:color w:val="000000"/>
                      <w:szCs w:val="21"/>
                    </w:rPr>
                  </w:pPr>
                  <w:r>
                    <w:rPr>
                      <w:rFonts w:hint="eastAsia" w:cs="Calibri"/>
                      <w:color w:val="000000"/>
                      <w:szCs w:val="21"/>
                    </w:rPr>
                    <w:t>监测数据</w:t>
                  </w:r>
                </w:p>
              </w:tc>
              <w:tc>
                <w:tcPr>
                  <w:tcW w:w="182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Cs w:val="21"/>
                    </w:rPr>
                  </w:pPr>
                  <w:r>
                    <w:rPr>
                      <w:rFonts w:hint="eastAsia"/>
                      <w:kern w:val="0"/>
                      <w:szCs w:val="21"/>
                    </w:rPr>
                    <w:t>32.70~35.19</w:t>
                  </w:r>
                </w:p>
              </w:tc>
              <w:tc>
                <w:tcPr>
                  <w:tcW w:w="2147"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rFonts w:hint="eastAsia"/>
                      <w:kern w:val="0"/>
                      <w:szCs w:val="21"/>
                    </w:rPr>
                    <w:t>1.54~3.16</w:t>
                  </w:r>
                </w:p>
              </w:tc>
              <w:tc>
                <w:tcPr>
                  <w:tcW w:w="1689" w:type="dxa"/>
                  <w:tcBorders>
                    <w:top w:val="single" w:color="auto" w:sz="4" w:space="0"/>
                    <w:left w:val="single" w:color="auto" w:sz="4" w:space="0"/>
                    <w:bottom w:val="single" w:color="auto" w:sz="4" w:space="0"/>
                    <w:right w:val="nil"/>
                  </w:tcBorders>
                  <w:vAlign w:val="center"/>
                </w:tcPr>
                <w:p>
                  <w:pPr>
                    <w:widowControl/>
                    <w:jc w:val="center"/>
                    <w:rPr>
                      <w:kern w:val="0"/>
                      <w:szCs w:val="21"/>
                    </w:rPr>
                  </w:pPr>
                  <w:r>
                    <w:rPr>
                      <w:rFonts w:hint="eastAsia"/>
                      <w:kern w:val="0"/>
                      <w:szCs w:val="21"/>
                    </w:rPr>
                    <w:t>0.272~0.394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71" w:type="dxa"/>
                  <w:tcBorders>
                    <w:top w:val="single" w:color="auto" w:sz="4" w:space="0"/>
                    <w:left w:val="nil"/>
                    <w:bottom w:val="single" w:color="auto" w:sz="4" w:space="0"/>
                    <w:right w:val="single" w:color="auto" w:sz="4" w:space="0"/>
                  </w:tcBorders>
                  <w:vAlign w:val="center"/>
                </w:tcPr>
                <w:p>
                  <w:pPr>
                    <w:adjustRightInd w:val="0"/>
                    <w:snapToGrid w:val="0"/>
                    <w:jc w:val="center"/>
                    <w:rPr>
                      <w:rFonts w:cs="Calibri"/>
                      <w:color w:val="000000"/>
                      <w:szCs w:val="21"/>
                    </w:rPr>
                  </w:pPr>
                  <w:r>
                    <w:rPr>
                      <w:rFonts w:hint="eastAsia" w:cs="Calibri"/>
                      <w:color w:val="000000"/>
                      <w:szCs w:val="21"/>
                    </w:rPr>
                    <w:t>断面标准</w:t>
                  </w:r>
                </w:p>
              </w:tc>
              <w:tc>
                <w:tcPr>
                  <w:tcW w:w="182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kern w:val="0"/>
                      <w:szCs w:val="21"/>
                    </w:rPr>
                    <w:t>40</w:t>
                  </w:r>
                </w:p>
              </w:tc>
              <w:tc>
                <w:tcPr>
                  <w:tcW w:w="2147"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2</w:t>
                  </w:r>
                </w:p>
              </w:tc>
              <w:tc>
                <w:tcPr>
                  <w:tcW w:w="1689" w:type="dxa"/>
                  <w:tcBorders>
                    <w:top w:val="single" w:color="auto" w:sz="4" w:space="0"/>
                    <w:left w:val="single" w:color="auto" w:sz="4" w:space="0"/>
                    <w:bottom w:val="single" w:color="auto" w:sz="4" w:space="0"/>
                    <w:right w:val="nil"/>
                  </w:tcBorders>
                  <w:vAlign w:val="center"/>
                </w:tcPr>
                <w:p>
                  <w:pPr>
                    <w:jc w:val="center"/>
                    <w:rPr>
                      <w:szCs w:val="21"/>
                    </w:rPr>
                  </w:pPr>
                  <w:r>
                    <w:rPr>
                      <w:szCs w:val="21"/>
                    </w:rPr>
                    <w:t>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71" w:type="dxa"/>
                  <w:tcBorders>
                    <w:top w:val="single" w:color="auto" w:sz="4" w:space="0"/>
                    <w:left w:val="nil"/>
                    <w:bottom w:val="single" w:color="auto" w:sz="8" w:space="0"/>
                    <w:right w:val="single" w:color="auto" w:sz="4" w:space="0"/>
                  </w:tcBorders>
                  <w:vAlign w:val="center"/>
                </w:tcPr>
                <w:p>
                  <w:pPr>
                    <w:adjustRightInd w:val="0"/>
                    <w:snapToGrid w:val="0"/>
                    <w:jc w:val="center"/>
                    <w:rPr>
                      <w:rFonts w:cs="Calibri"/>
                      <w:color w:val="000000"/>
                      <w:szCs w:val="21"/>
                    </w:rPr>
                  </w:pPr>
                  <w:r>
                    <w:rPr>
                      <w:rFonts w:hint="eastAsia" w:cs="Calibri"/>
                      <w:color w:val="000000"/>
                      <w:szCs w:val="21"/>
                    </w:rPr>
                    <w:t>达标情况</w:t>
                  </w:r>
                </w:p>
              </w:tc>
              <w:tc>
                <w:tcPr>
                  <w:tcW w:w="1821" w:type="dxa"/>
                  <w:tcBorders>
                    <w:top w:val="single" w:color="auto" w:sz="4" w:space="0"/>
                    <w:left w:val="single" w:color="auto" w:sz="4" w:space="0"/>
                    <w:bottom w:val="single" w:color="auto" w:sz="8" w:space="0"/>
                    <w:right w:val="single" w:color="auto" w:sz="4" w:space="0"/>
                  </w:tcBorders>
                  <w:vAlign w:val="center"/>
                </w:tcPr>
                <w:p>
                  <w:pPr>
                    <w:jc w:val="center"/>
                    <w:rPr>
                      <w:szCs w:val="21"/>
                    </w:rPr>
                  </w:pPr>
                  <w:r>
                    <w:rPr>
                      <w:rFonts w:hint="eastAsia"/>
                      <w:szCs w:val="21"/>
                    </w:rPr>
                    <w:t>达标</w:t>
                  </w:r>
                </w:p>
              </w:tc>
              <w:tc>
                <w:tcPr>
                  <w:tcW w:w="2147" w:type="dxa"/>
                  <w:tcBorders>
                    <w:top w:val="single" w:color="auto" w:sz="4" w:space="0"/>
                    <w:left w:val="single" w:color="auto" w:sz="4" w:space="0"/>
                    <w:bottom w:val="single" w:color="auto" w:sz="8" w:space="0"/>
                    <w:right w:val="single" w:color="auto" w:sz="4" w:space="0"/>
                  </w:tcBorders>
                  <w:vAlign w:val="center"/>
                </w:tcPr>
                <w:p>
                  <w:pPr>
                    <w:jc w:val="center"/>
                    <w:rPr>
                      <w:szCs w:val="21"/>
                    </w:rPr>
                  </w:pPr>
                  <w:r>
                    <w:rPr>
                      <w:rFonts w:hint="eastAsia"/>
                      <w:szCs w:val="21"/>
                    </w:rPr>
                    <w:t>存在超标现象</w:t>
                  </w:r>
                </w:p>
              </w:tc>
              <w:tc>
                <w:tcPr>
                  <w:tcW w:w="1689" w:type="dxa"/>
                  <w:tcBorders>
                    <w:top w:val="single" w:color="auto" w:sz="4" w:space="0"/>
                    <w:left w:val="single" w:color="auto" w:sz="4" w:space="0"/>
                    <w:bottom w:val="single" w:color="auto" w:sz="8" w:space="0"/>
                    <w:right w:val="nil"/>
                  </w:tcBorders>
                  <w:vAlign w:val="center"/>
                </w:tcPr>
                <w:p>
                  <w:pPr>
                    <w:jc w:val="center"/>
                    <w:rPr>
                      <w:szCs w:val="21"/>
                    </w:rPr>
                  </w:pPr>
                  <w:r>
                    <w:rPr>
                      <w:rFonts w:hint="eastAsia"/>
                      <w:szCs w:val="21"/>
                    </w:rPr>
                    <w:t>存在超标现象</w:t>
                  </w:r>
                </w:p>
              </w:tc>
            </w:tr>
          </w:tbl>
          <w:p>
            <w:pPr>
              <w:adjustRightInd w:val="0"/>
              <w:snapToGrid w:val="0"/>
              <w:spacing w:line="480" w:lineRule="exact"/>
              <w:ind w:firstLine="480" w:firstLineChars="200"/>
              <w:jc w:val="left"/>
              <w:rPr>
                <w:kern w:val="0"/>
                <w:sz w:val="24"/>
              </w:rPr>
            </w:pPr>
            <w:r>
              <w:rPr>
                <w:rFonts w:hint="eastAsia"/>
                <w:kern w:val="0"/>
                <w:sz w:val="24"/>
              </w:rPr>
              <w:t>根据10月份东孟南环桥的断面数据</w:t>
            </w:r>
            <w:r>
              <w:rPr>
                <w:kern w:val="0"/>
                <w:sz w:val="24"/>
              </w:rPr>
              <w:t>，NH</w:t>
            </w:r>
            <w:r>
              <w:rPr>
                <w:kern w:val="0"/>
                <w:sz w:val="24"/>
                <w:vertAlign w:val="subscript"/>
              </w:rPr>
              <w:t>3</w:t>
            </w:r>
            <w:r>
              <w:rPr>
                <w:kern w:val="0"/>
                <w:sz w:val="24"/>
              </w:rPr>
              <w:t>-N、TP浓度均存在超标情况</w:t>
            </w:r>
            <w:r>
              <w:rPr>
                <w:rFonts w:hint="eastAsia"/>
                <w:kern w:val="0"/>
                <w:sz w:val="24"/>
              </w:rPr>
              <w:t>。超标原因主要是因为东孟姜女河接纳了上游大量生活污水和工业废水导致其水质超标。目前新乡市正在实施《新乡市污水处理厂及配套管网建设与城市黑臭水体整治实施方案》（新环攻坚办（</w:t>
            </w:r>
            <w:r>
              <w:rPr>
                <w:kern w:val="0"/>
                <w:sz w:val="24"/>
              </w:rPr>
              <w:t>2017</w:t>
            </w:r>
            <w:r>
              <w:rPr>
                <w:rFonts w:hint="eastAsia"/>
                <w:kern w:val="0"/>
                <w:sz w:val="24"/>
              </w:rPr>
              <w:t>）</w:t>
            </w:r>
            <w:r>
              <w:rPr>
                <w:kern w:val="0"/>
                <w:sz w:val="24"/>
              </w:rPr>
              <w:t>13</w:t>
            </w:r>
            <w:r>
              <w:rPr>
                <w:rFonts w:hint="eastAsia"/>
                <w:kern w:val="0"/>
                <w:sz w:val="24"/>
              </w:rPr>
              <w:t>号）和《新乡市2</w:t>
            </w:r>
            <w:r>
              <w:rPr>
                <w:kern w:val="0"/>
                <w:sz w:val="24"/>
              </w:rPr>
              <w:t>021</w:t>
            </w:r>
            <w:r>
              <w:rPr>
                <w:rFonts w:hint="eastAsia"/>
                <w:kern w:val="0"/>
                <w:sz w:val="24"/>
              </w:rPr>
              <w:t>年水污染防治攻坚战实施方案》，将逐步改善新乡市水环境质量。</w:t>
            </w:r>
          </w:p>
          <w:p>
            <w:pPr>
              <w:snapToGrid w:val="0"/>
              <w:spacing w:line="460" w:lineRule="exact"/>
              <w:ind w:firstLine="482" w:firstLineChars="200"/>
              <w:rPr>
                <w:rFonts w:cs="Calibri"/>
                <w:b/>
                <w:color w:val="000000"/>
                <w:sz w:val="24"/>
              </w:rPr>
            </w:pPr>
            <w:r>
              <w:rPr>
                <w:rFonts w:hint="eastAsia"/>
                <w:b/>
                <w:color w:val="000000"/>
                <w:sz w:val="24"/>
              </w:rPr>
              <w:t>3、声环境质量现状</w:t>
            </w:r>
          </w:p>
          <w:p>
            <w:pPr>
              <w:snapToGrid w:val="0"/>
              <w:spacing w:line="460" w:lineRule="exact"/>
              <w:ind w:firstLine="480" w:firstLineChars="200"/>
              <w:rPr>
                <w:color w:val="000000"/>
                <w:sz w:val="24"/>
              </w:rPr>
            </w:pPr>
            <w:r>
              <w:rPr>
                <w:rFonts w:hint="eastAsia"/>
                <w:color w:val="000000"/>
                <w:sz w:val="24"/>
              </w:rPr>
              <w:t>本项目位于</w:t>
            </w:r>
            <w:r>
              <w:rPr>
                <w:rFonts w:hint="eastAsia" w:ascii="宋体" w:hAnsi="宋体" w:cs="宋体"/>
                <w:color w:val="000000"/>
                <w:sz w:val="24"/>
              </w:rPr>
              <w:t>新乡市新乡县翟坡镇兴宁村南</w:t>
            </w:r>
            <w:r>
              <w:rPr>
                <w:color w:val="000000"/>
                <w:sz w:val="24"/>
              </w:rPr>
              <w:t>，项目所在地执行</w:t>
            </w:r>
            <w:r>
              <w:rPr>
                <w:rFonts w:hint="eastAsia"/>
                <w:color w:val="000000"/>
                <w:sz w:val="24"/>
              </w:rPr>
              <w:t>《工业企业厂界环境噪声排放标准》（GB12348-2008）2类标准。</w:t>
            </w:r>
          </w:p>
          <w:p>
            <w:pPr>
              <w:snapToGrid w:val="0"/>
              <w:spacing w:line="460" w:lineRule="exact"/>
              <w:ind w:firstLine="480" w:firstLineChars="200"/>
              <w:rPr>
                <w:color w:val="000000"/>
                <w:sz w:val="24"/>
              </w:rPr>
            </w:pPr>
            <w:r>
              <w:rPr>
                <w:rFonts w:hint="eastAsia"/>
                <w:color w:val="000000"/>
                <w:sz w:val="24"/>
              </w:rPr>
              <w:t>根据《建设项目环境影响报告表编制技术指南（污染影响类）（试行）》，本项目厂界外周边</w:t>
            </w:r>
            <w:r>
              <w:rPr>
                <w:color w:val="000000"/>
                <w:sz w:val="24"/>
              </w:rPr>
              <w:t>50</w:t>
            </w:r>
            <w:r>
              <w:rPr>
                <w:rFonts w:hint="eastAsia"/>
                <w:color w:val="000000"/>
                <w:sz w:val="24"/>
              </w:rPr>
              <w:t>米范围内不存在声环境保护目标，因此不进行声环境质量现状调查。</w:t>
            </w:r>
          </w:p>
          <w:p>
            <w:pPr>
              <w:snapToGrid w:val="0"/>
              <w:spacing w:line="460" w:lineRule="exact"/>
              <w:ind w:firstLine="482" w:firstLineChars="200"/>
              <w:rPr>
                <w:b/>
                <w:color w:val="000000"/>
                <w:sz w:val="24"/>
              </w:rPr>
            </w:pPr>
            <w:r>
              <w:rPr>
                <w:rFonts w:hint="eastAsia"/>
                <w:b/>
                <w:color w:val="000000"/>
                <w:sz w:val="24"/>
              </w:rPr>
              <w:t>4、地下水、土壤环境质量现状</w:t>
            </w:r>
          </w:p>
          <w:p>
            <w:pPr>
              <w:adjustRightInd w:val="0"/>
              <w:snapToGrid w:val="0"/>
              <w:spacing w:line="440" w:lineRule="exact"/>
              <w:ind w:firstLine="480" w:firstLineChars="200"/>
              <w:jc w:val="left"/>
              <w:rPr>
                <w:b/>
                <w:color w:val="000000"/>
                <w:sz w:val="24"/>
              </w:rPr>
            </w:pPr>
            <w:r>
              <w:rPr>
                <w:rFonts w:hint="eastAsia"/>
                <w:color w:val="000000"/>
                <w:sz w:val="24"/>
              </w:rPr>
              <w:t>根据《建设项目环境影响报告表编制技术指南（污染影响类）（试行）》，原则上不开展地下水和土壤环境质量现状调查，且本项目不存在地下水、土壤污染途径，因此不进行地下水、土壤质量现状调查。</w:t>
            </w:r>
          </w:p>
          <w:p>
            <w:pPr>
              <w:snapToGrid w:val="0"/>
              <w:spacing w:line="460" w:lineRule="exact"/>
              <w:ind w:firstLine="482" w:firstLineChars="200"/>
              <w:rPr>
                <w:b/>
                <w:color w:val="000000"/>
                <w:sz w:val="24"/>
              </w:rPr>
            </w:pPr>
            <w:r>
              <w:rPr>
                <w:rFonts w:hint="eastAsia"/>
                <w:b/>
                <w:color w:val="000000"/>
                <w:sz w:val="24"/>
              </w:rPr>
              <w:t>5、生态环境现状</w:t>
            </w:r>
          </w:p>
          <w:p>
            <w:pPr>
              <w:spacing w:line="460" w:lineRule="exact"/>
              <w:ind w:firstLine="480" w:firstLineChars="200"/>
              <w:jc w:val="left"/>
              <w:rPr>
                <w:color w:val="000000"/>
                <w:sz w:val="24"/>
              </w:rPr>
            </w:pPr>
            <w:r>
              <w:rPr>
                <w:rFonts w:hint="eastAsia"/>
                <w:color w:val="000000"/>
                <w:sz w:val="24"/>
              </w:rPr>
              <w:t>根据《建设项目环境影响报告表编制技术指南（污染影响类）（试行）》，本项目位于新乡市新乡县翟坡镇兴宁村南，不属于产业园区，</w:t>
            </w:r>
            <w:r>
              <w:rPr>
                <w:rFonts w:ascii="宋体" w:hAnsi="宋体" w:cs="宋体"/>
                <w:color w:val="000000"/>
                <w:sz w:val="24"/>
              </w:rPr>
              <w:t>不新增用地且用地范围内不</w:t>
            </w:r>
            <w:r>
              <w:rPr>
                <w:rFonts w:hint="eastAsia" w:ascii="宋体" w:hAnsi="宋体" w:cs="宋体"/>
                <w:color w:val="000000"/>
                <w:sz w:val="24"/>
              </w:rPr>
              <w:t>涉及</w:t>
            </w:r>
            <w:r>
              <w:rPr>
                <w:rFonts w:ascii="宋体" w:hAnsi="宋体" w:cs="宋体"/>
                <w:color w:val="000000"/>
                <w:sz w:val="24"/>
              </w:rPr>
              <w:t>有生态环境保护目标</w:t>
            </w:r>
            <w:r>
              <w:rPr>
                <w:rFonts w:hint="eastAsia" w:ascii="宋体" w:hAnsi="宋体" w:cs="宋体"/>
                <w:color w:val="000000"/>
                <w:sz w:val="24"/>
              </w:rPr>
              <w:t>，</w:t>
            </w:r>
            <w:r>
              <w:rPr>
                <w:rFonts w:ascii="宋体" w:hAnsi="宋体" w:cs="宋体"/>
                <w:color w:val="000000"/>
                <w:sz w:val="24"/>
              </w:rPr>
              <w:t>因此不进行</w:t>
            </w:r>
            <w:r>
              <w:rPr>
                <w:rFonts w:hint="eastAsia" w:ascii="宋体" w:hAnsi="宋体" w:cs="宋体"/>
                <w:color w:val="000000"/>
                <w:sz w:val="24"/>
              </w:rPr>
              <w:t>生态</w:t>
            </w:r>
            <w:r>
              <w:rPr>
                <w:rFonts w:ascii="宋体" w:hAnsi="宋体" w:cs="宋体"/>
                <w:color w:val="000000"/>
                <w:sz w:val="24"/>
              </w:rPr>
              <w:t>环境现状调查</w:t>
            </w:r>
            <w:r>
              <w:rPr>
                <w:rFonts w:hint="eastAsia" w:ascii="宋体" w:hAnsi="宋体" w:cs="宋体"/>
                <w:color w:val="00000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22" w:hRule="atLeast"/>
          <w:jc w:val="center"/>
        </w:trPr>
        <w:tc>
          <w:tcPr>
            <w:tcW w:w="800" w:type="dxa"/>
            <w:vAlign w:val="center"/>
          </w:tcPr>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环境</w:t>
            </w:r>
          </w:p>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保护</w:t>
            </w:r>
          </w:p>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目标</w:t>
            </w:r>
          </w:p>
        </w:tc>
        <w:tc>
          <w:tcPr>
            <w:tcW w:w="8190" w:type="dxa"/>
          </w:tcPr>
          <w:p>
            <w:pPr>
              <w:widowControl/>
              <w:spacing w:line="460" w:lineRule="exact"/>
              <w:rPr>
                <w:b/>
                <w:color w:val="000000"/>
                <w:sz w:val="24"/>
              </w:rPr>
            </w:pPr>
            <w:r>
              <w:rPr>
                <w:b/>
                <w:color w:val="000000"/>
                <w:sz w:val="24"/>
              </w:rPr>
              <w:t>主要环境保护目标</w:t>
            </w:r>
          </w:p>
          <w:p>
            <w:pPr>
              <w:adjustRightInd w:val="0"/>
              <w:snapToGrid w:val="0"/>
              <w:spacing w:line="460" w:lineRule="exact"/>
              <w:ind w:firstLine="480" w:firstLineChars="200"/>
              <w:rPr>
                <w:rFonts w:ascii="宋体" w:hAnsi="宋体" w:cs="宋体"/>
                <w:color w:val="000000"/>
                <w:kern w:val="0"/>
                <w:sz w:val="24"/>
              </w:rPr>
            </w:pPr>
            <w:r>
              <w:rPr>
                <w:rFonts w:hint="eastAsia" w:ascii="宋体" w:hAnsi="宋体" w:cs="宋体"/>
                <w:color w:val="000000"/>
                <w:kern w:val="0"/>
                <w:sz w:val="24"/>
              </w:rPr>
              <w:t>根据《建设项目环境影响报告表编制技术指南（污染影响类）（试行）》，本项目厂界</w:t>
            </w:r>
            <w:r>
              <w:rPr>
                <w:color w:val="000000"/>
                <w:kern w:val="0"/>
                <w:sz w:val="24"/>
              </w:rPr>
              <w:t>外500米内存在大气环境保护目标，主要为厂区西北</w:t>
            </w:r>
            <w:r>
              <w:rPr>
                <w:rFonts w:hint="eastAsia"/>
                <w:color w:val="000000"/>
                <w:kern w:val="0"/>
                <w:sz w:val="24"/>
              </w:rPr>
              <w:t>430米外的兴宁村、西南280米外的李庄村和东南470米外的李台村；</w:t>
            </w:r>
            <w:r>
              <w:rPr>
                <w:color w:val="000000"/>
                <w:kern w:val="0"/>
                <w:sz w:val="24"/>
              </w:rPr>
              <w:t>500米内不存在地下水环境保护目标</w:t>
            </w:r>
            <w:r>
              <w:rPr>
                <w:rFonts w:hint="eastAsia"/>
                <w:color w:val="000000"/>
                <w:kern w:val="0"/>
                <w:sz w:val="24"/>
              </w:rPr>
              <w:t>；</w:t>
            </w:r>
            <w:r>
              <w:rPr>
                <w:color w:val="000000"/>
                <w:kern w:val="0"/>
                <w:sz w:val="24"/>
              </w:rPr>
              <w:t>50米</w:t>
            </w:r>
            <w:r>
              <w:rPr>
                <w:rFonts w:hint="eastAsia" w:ascii="宋体" w:hAnsi="宋体" w:cs="宋体"/>
                <w:color w:val="000000"/>
                <w:kern w:val="0"/>
                <w:sz w:val="24"/>
              </w:rPr>
              <w:t>范围内不存在声环境保护目标，且本项目位于</w:t>
            </w:r>
            <w:r>
              <w:rPr>
                <w:rFonts w:hint="eastAsia" w:ascii="宋体" w:hAnsi="宋体" w:cs="宋体"/>
                <w:color w:val="000000"/>
                <w:sz w:val="24"/>
              </w:rPr>
              <w:t>新乡市新乡县新乡经济开发区黄河大道中段</w:t>
            </w:r>
            <w:r>
              <w:rPr>
                <w:rFonts w:hint="eastAsia" w:ascii="宋体" w:hAnsi="宋体" w:cs="宋体"/>
                <w:color w:val="000000"/>
                <w:kern w:val="0"/>
                <w:sz w:val="24"/>
              </w:rPr>
              <w:t>，</w:t>
            </w:r>
            <w:r>
              <w:rPr>
                <w:rFonts w:ascii="宋体" w:hAnsi="宋体" w:cs="宋体"/>
                <w:color w:val="000000"/>
                <w:sz w:val="24"/>
              </w:rPr>
              <w:t>不新增用地且用地范围内</w:t>
            </w:r>
            <w:r>
              <w:rPr>
                <w:rFonts w:ascii="宋体" w:hAnsi="宋体" w:cs="宋体"/>
                <w:color w:val="000000"/>
                <w:kern w:val="0"/>
                <w:sz w:val="24"/>
              </w:rPr>
              <w:t>不涉及生态环境保护目标</w:t>
            </w:r>
            <w:r>
              <w:rPr>
                <w:rFonts w:hint="eastAsia" w:ascii="宋体" w:hAnsi="宋体" w:cs="宋体"/>
                <w:color w:val="000000"/>
                <w:kern w:val="0"/>
                <w:sz w:val="24"/>
              </w:rPr>
              <w:t>，</w:t>
            </w:r>
            <w:r>
              <w:rPr>
                <w:rFonts w:ascii="宋体" w:hAnsi="宋体" w:cs="宋体"/>
                <w:color w:val="000000"/>
                <w:kern w:val="0"/>
                <w:sz w:val="24"/>
              </w:rPr>
              <w:t>因此本项目仅涉及大气</w:t>
            </w:r>
            <w:r>
              <w:rPr>
                <w:rFonts w:hint="eastAsia" w:ascii="宋体" w:hAnsi="宋体" w:cs="宋体"/>
                <w:color w:val="000000"/>
                <w:kern w:val="0"/>
                <w:sz w:val="24"/>
              </w:rPr>
              <w:t>、</w:t>
            </w:r>
            <w:r>
              <w:rPr>
                <w:rFonts w:ascii="宋体" w:hAnsi="宋体" w:cs="宋体"/>
                <w:color w:val="000000"/>
                <w:kern w:val="0"/>
                <w:sz w:val="24"/>
              </w:rPr>
              <w:t>声环境保护目标</w:t>
            </w:r>
            <w:r>
              <w:rPr>
                <w:rFonts w:hint="eastAsia" w:ascii="宋体" w:hAnsi="宋体" w:cs="宋体"/>
                <w:color w:val="000000"/>
                <w:kern w:val="0"/>
                <w:sz w:val="24"/>
              </w:rPr>
              <w:t>。</w:t>
            </w:r>
          </w:p>
          <w:p>
            <w:pPr>
              <w:pStyle w:val="209"/>
              <w:spacing w:afterLines="0" w:line="460" w:lineRule="exact"/>
              <w:ind w:firstLine="480" w:firstLineChars="200"/>
              <w:rPr>
                <w:rFonts w:ascii="Times New Roman" w:hAnsi="Times New Roman" w:cs="Times New Roman"/>
                <w:color w:val="000000"/>
              </w:rPr>
            </w:pPr>
            <w:r>
              <w:rPr>
                <w:rFonts w:ascii="Times New Roman" w:hAnsi="Times New Roman" w:cs="Times New Roman"/>
                <w:color w:val="000000"/>
              </w:rPr>
              <w:t>本项目周围环境保护目标和保护级别见下表。</w:t>
            </w:r>
          </w:p>
          <w:p>
            <w:pPr>
              <w:spacing w:line="460" w:lineRule="exact"/>
              <w:ind w:firstLine="480" w:firstLineChars="200"/>
              <w:rPr>
                <w:rFonts w:eastAsia="黑体"/>
                <w:bCs/>
                <w:color w:val="000000"/>
                <w:sz w:val="24"/>
              </w:rPr>
            </w:pPr>
            <w:r>
              <w:rPr>
                <w:rFonts w:eastAsia="黑体"/>
                <w:bCs/>
                <w:color w:val="000000"/>
                <w:sz w:val="24"/>
              </w:rPr>
              <w:t>表</w:t>
            </w:r>
            <w:r>
              <w:rPr>
                <w:rFonts w:hint="eastAsia" w:eastAsia="黑体"/>
                <w:bCs/>
                <w:color w:val="000000"/>
                <w:sz w:val="24"/>
              </w:rPr>
              <w:t>2</w:t>
            </w:r>
            <w:r>
              <w:rPr>
                <w:rFonts w:eastAsia="黑体"/>
                <w:bCs/>
                <w:color w:val="000000"/>
                <w:sz w:val="24"/>
              </w:rPr>
              <w:t>0                 环境保护目标概况</w:t>
            </w:r>
          </w:p>
          <w:tbl>
            <w:tblPr>
              <w:tblStyle w:val="3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90"/>
              <w:gridCol w:w="1452"/>
              <w:gridCol w:w="1418"/>
              <w:gridCol w:w="1134"/>
              <w:gridCol w:w="708"/>
              <w:gridCol w:w="851"/>
              <w:gridCol w:w="172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690" w:type="dxa"/>
                  <w:vMerge w:val="restart"/>
                  <w:tcBorders>
                    <w:top w:val="single" w:color="auto" w:sz="8" w:space="0"/>
                  </w:tcBorders>
                  <w:vAlign w:val="center"/>
                </w:tcPr>
                <w:p>
                  <w:pPr>
                    <w:jc w:val="center"/>
                    <w:rPr>
                      <w:b/>
                      <w:color w:val="000000"/>
                      <w:szCs w:val="21"/>
                    </w:rPr>
                  </w:pPr>
                  <w:r>
                    <w:rPr>
                      <w:b/>
                      <w:color w:val="000000"/>
                      <w:szCs w:val="21"/>
                    </w:rPr>
                    <w:t>保护类别</w:t>
                  </w:r>
                </w:p>
              </w:tc>
              <w:tc>
                <w:tcPr>
                  <w:tcW w:w="1452" w:type="dxa"/>
                  <w:vMerge w:val="restart"/>
                  <w:tcBorders>
                    <w:top w:val="single" w:color="auto" w:sz="8" w:space="0"/>
                  </w:tcBorders>
                  <w:vAlign w:val="center"/>
                </w:tcPr>
                <w:p>
                  <w:pPr>
                    <w:jc w:val="center"/>
                    <w:rPr>
                      <w:b/>
                      <w:color w:val="000000"/>
                      <w:szCs w:val="21"/>
                    </w:rPr>
                  </w:pPr>
                  <w:r>
                    <w:rPr>
                      <w:b/>
                      <w:color w:val="000000"/>
                      <w:szCs w:val="21"/>
                    </w:rPr>
                    <w:t>敏感点名称</w:t>
                  </w:r>
                </w:p>
              </w:tc>
              <w:tc>
                <w:tcPr>
                  <w:tcW w:w="1418" w:type="dxa"/>
                  <w:vMerge w:val="restart"/>
                  <w:tcBorders>
                    <w:top w:val="single" w:color="auto" w:sz="8" w:space="0"/>
                  </w:tcBorders>
                  <w:vAlign w:val="center"/>
                </w:tcPr>
                <w:p>
                  <w:pPr>
                    <w:jc w:val="center"/>
                    <w:rPr>
                      <w:b/>
                      <w:color w:val="000000"/>
                      <w:szCs w:val="21"/>
                    </w:rPr>
                  </w:pPr>
                  <w:r>
                    <w:rPr>
                      <w:b/>
                      <w:color w:val="000000"/>
                      <w:szCs w:val="21"/>
                    </w:rPr>
                    <w:t>保护对象</w:t>
                  </w:r>
                </w:p>
              </w:tc>
              <w:tc>
                <w:tcPr>
                  <w:tcW w:w="1134" w:type="dxa"/>
                  <w:vMerge w:val="restart"/>
                  <w:tcBorders>
                    <w:top w:val="single" w:color="auto" w:sz="8" w:space="0"/>
                  </w:tcBorders>
                  <w:vAlign w:val="center"/>
                </w:tcPr>
                <w:p>
                  <w:pPr>
                    <w:jc w:val="center"/>
                    <w:rPr>
                      <w:b/>
                      <w:color w:val="000000"/>
                      <w:szCs w:val="21"/>
                    </w:rPr>
                  </w:pPr>
                  <w:r>
                    <w:rPr>
                      <w:b/>
                      <w:color w:val="000000"/>
                      <w:szCs w:val="21"/>
                    </w:rPr>
                    <w:t>保护内容</w:t>
                  </w:r>
                </w:p>
              </w:tc>
              <w:tc>
                <w:tcPr>
                  <w:tcW w:w="708" w:type="dxa"/>
                  <w:vMerge w:val="restart"/>
                  <w:tcBorders>
                    <w:top w:val="single" w:color="auto" w:sz="8" w:space="0"/>
                  </w:tcBorders>
                  <w:vAlign w:val="center"/>
                </w:tcPr>
                <w:p>
                  <w:pPr>
                    <w:jc w:val="center"/>
                    <w:rPr>
                      <w:b/>
                      <w:color w:val="000000"/>
                      <w:szCs w:val="21"/>
                    </w:rPr>
                  </w:pPr>
                  <w:r>
                    <w:rPr>
                      <w:b/>
                      <w:color w:val="000000"/>
                      <w:szCs w:val="21"/>
                    </w:rPr>
                    <w:t>方向</w:t>
                  </w:r>
                </w:p>
              </w:tc>
              <w:tc>
                <w:tcPr>
                  <w:tcW w:w="851" w:type="dxa"/>
                  <w:vMerge w:val="restart"/>
                  <w:tcBorders>
                    <w:top w:val="single" w:color="auto" w:sz="8" w:space="0"/>
                  </w:tcBorders>
                  <w:vAlign w:val="center"/>
                </w:tcPr>
                <w:p>
                  <w:pPr>
                    <w:jc w:val="center"/>
                    <w:rPr>
                      <w:b/>
                      <w:color w:val="000000"/>
                      <w:szCs w:val="21"/>
                    </w:rPr>
                  </w:pPr>
                  <w:r>
                    <w:rPr>
                      <w:b/>
                      <w:color w:val="000000"/>
                      <w:szCs w:val="21"/>
                    </w:rPr>
                    <w:t>距离(</w:t>
                  </w:r>
                  <w:r>
                    <w:rPr>
                      <w:color w:val="000000"/>
                      <w:szCs w:val="21"/>
                    </w:rPr>
                    <w:t>m)</w:t>
                  </w:r>
                </w:p>
              </w:tc>
              <w:tc>
                <w:tcPr>
                  <w:tcW w:w="1721" w:type="dxa"/>
                  <w:vMerge w:val="restart"/>
                  <w:tcBorders>
                    <w:top w:val="single" w:color="auto" w:sz="8" w:space="0"/>
                  </w:tcBorders>
                  <w:vAlign w:val="center"/>
                </w:tcPr>
                <w:p>
                  <w:pPr>
                    <w:jc w:val="center"/>
                    <w:rPr>
                      <w:b/>
                      <w:color w:val="000000"/>
                      <w:szCs w:val="21"/>
                    </w:rPr>
                  </w:pPr>
                  <w:r>
                    <w:rPr>
                      <w:b/>
                      <w:color w:val="000000"/>
                      <w:szCs w:val="21"/>
                    </w:rPr>
                    <w:t>保护级别</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90" w:type="dxa"/>
                  <w:vMerge w:val="continue"/>
                  <w:vAlign w:val="center"/>
                </w:tcPr>
                <w:p>
                  <w:pPr>
                    <w:rPr>
                      <w:b/>
                      <w:color w:val="000000"/>
                      <w:szCs w:val="21"/>
                    </w:rPr>
                  </w:pPr>
                </w:p>
              </w:tc>
              <w:tc>
                <w:tcPr>
                  <w:tcW w:w="1452" w:type="dxa"/>
                  <w:vMerge w:val="continue"/>
                  <w:vAlign w:val="center"/>
                </w:tcPr>
                <w:p>
                  <w:pPr>
                    <w:rPr>
                      <w:b/>
                      <w:color w:val="000000"/>
                      <w:szCs w:val="21"/>
                    </w:rPr>
                  </w:pPr>
                </w:p>
              </w:tc>
              <w:tc>
                <w:tcPr>
                  <w:tcW w:w="1418" w:type="dxa"/>
                  <w:vMerge w:val="continue"/>
                  <w:vAlign w:val="center"/>
                </w:tcPr>
                <w:p>
                  <w:pPr>
                    <w:rPr>
                      <w:b/>
                      <w:color w:val="000000"/>
                      <w:szCs w:val="21"/>
                    </w:rPr>
                  </w:pPr>
                </w:p>
              </w:tc>
              <w:tc>
                <w:tcPr>
                  <w:tcW w:w="1134" w:type="dxa"/>
                  <w:vMerge w:val="continue"/>
                  <w:vAlign w:val="center"/>
                </w:tcPr>
                <w:p>
                  <w:pPr>
                    <w:rPr>
                      <w:b/>
                      <w:color w:val="000000"/>
                      <w:szCs w:val="21"/>
                    </w:rPr>
                  </w:pPr>
                </w:p>
              </w:tc>
              <w:tc>
                <w:tcPr>
                  <w:tcW w:w="708" w:type="dxa"/>
                  <w:vMerge w:val="continue"/>
                  <w:vAlign w:val="center"/>
                </w:tcPr>
                <w:p>
                  <w:pPr>
                    <w:rPr>
                      <w:b/>
                      <w:color w:val="000000"/>
                      <w:szCs w:val="21"/>
                    </w:rPr>
                  </w:pPr>
                </w:p>
              </w:tc>
              <w:tc>
                <w:tcPr>
                  <w:tcW w:w="851" w:type="dxa"/>
                  <w:vMerge w:val="continue"/>
                  <w:vAlign w:val="center"/>
                </w:tcPr>
                <w:p>
                  <w:pPr>
                    <w:rPr>
                      <w:b/>
                      <w:color w:val="000000"/>
                      <w:szCs w:val="21"/>
                    </w:rPr>
                  </w:pPr>
                </w:p>
              </w:tc>
              <w:tc>
                <w:tcPr>
                  <w:tcW w:w="1721" w:type="dxa"/>
                  <w:vMerge w:val="continue"/>
                  <w:vAlign w:val="center"/>
                </w:tcPr>
                <w:p>
                  <w:pPr>
                    <w:rPr>
                      <w:b/>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690" w:type="dxa"/>
                  <w:vMerge w:val="restart"/>
                  <w:vAlign w:val="center"/>
                </w:tcPr>
                <w:p>
                  <w:pPr>
                    <w:jc w:val="center"/>
                    <w:rPr>
                      <w:color w:val="000000"/>
                      <w:szCs w:val="21"/>
                    </w:rPr>
                  </w:pPr>
                  <w:r>
                    <w:rPr>
                      <w:color w:val="000000"/>
                      <w:szCs w:val="21"/>
                    </w:rPr>
                    <w:t>大气环境</w:t>
                  </w:r>
                </w:p>
              </w:tc>
              <w:tc>
                <w:tcPr>
                  <w:tcW w:w="1452" w:type="dxa"/>
                  <w:vAlign w:val="center"/>
                </w:tcPr>
                <w:p>
                  <w:pPr>
                    <w:adjustRightInd w:val="0"/>
                    <w:snapToGrid w:val="0"/>
                    <w:jc w:val="center"/>
                    <w:rPr>
                      <w:color w:val="000000"/>
                      <w:szCs w:val="21"/>
                    </w:rPr>
                  </w:pPr>
                  <w:r>
                    <w:rPr>
                      <w:color w:val="000000"/>
                      <w:szCs w:val="21"/>
                    </w:rPr>
                    <w:t>兴宁村</w:t>
                  </w:r>
                </w:p>
              </w:tc>
              <w:tc>
                <w:tcPr>
                  <w:tcW w:w="1418" w:type="dxa"/>
                  <w:vAlign w:val="center"/>
                </w:tcPr>
                <w:p>
                  <w:pPr>
                    <w:adjustRightInd w:val="0"/>
                    <w:snapToGrid w:val="0"/>
                    <w:jc w:val="center"/>
                    <w:rPr>
                      <w:color w:val="000000"/>
                      <w:szCs w:val="21"/>
                    </w:rPr>
                  </w:pPr>
                  <w:r>
                    <w:rPr>
                      <w:color w:val="000000"/>
                      <w:szCs w:val="21"/>
                    </w:rPr>
                    <w:t>兴宁村村民</w:t>
                  </w:r>
                </w:p>
              </w:tc>
              <w:tc>
                <w:tcPr>
                  <w:tcW w:w="1134" w:type="dxa"/>
                  <w:vAlign w:val="center"/>
                </w:tcPr>
                <w:p>
                  <w:pPr>
                    <w:adjustRightInd w:val="0"/>
                    <w:snapToGrid w:val="0"/>
                    <w:jc w:val="center"/>
                    <w:rPr>
                      <w:color w:val="000000"/>
                      <w:szCs w:val="21"/>
                    </w:rPr>
                  </w:pPr>
                  <w:r>
                    <w:rPr>
                      <w:color w:val="000000"/>
                      <w:szCs w:val="21"/>
                    </w:rPr>
                    <w:t>村民</w:t>
                  </w:r>
                </w:p>
              </w:tc>
              <w:tc>
                <w:tcPr>
                  <w:tcW w:w="708" w:type="dxa"/>
                  <w:vAlign w:val="center"/>
                </w:tcPr>
                <w:p>
                  <w:pPr>
                    <w:jc w:val="center"/>
                    <w:rPr>
                      <w:color w:val="000000"/>
                      <w:szCs w:val="21"/>
                    </w:rPr>
                  </w:pPr>
                  <w:r>
                    <w:rPr>
                      <w:color w:val="000000"/>
                      <w:szCs w:val="21"/>
                    </w:rPr>
                    <w:t>西北</w:t>
                  </w:r>
                </w:p>
              </w:tc>
              <w:tc>
                <w:tcPr>
                  <w:tcW w:w="851" w:type="dxa"/>
                  <w:vAlign w:val="center"/>
                </w:tcPr>
                <w:p>
                  <w:pPr>
                    <w:adjustRightInd w:val="0"/>
                    <w:snapToGrid w:val="0"/>
                    <w:jc w:val="center"/>
                    <w:rPr>
                      <w:color w:val="000000"/>
                      <w:szCs w:val="21"/>
                    </w:rPr>
                  </w:pPr>
                  <w:r>
                    <w:rPr>
                      <w:rFonts w:hint="eastAsia"/>
                      <w:color w:val="000000"/>
                      <w:szCs w:val="21"/>
                    </w:rPr>
                    <w:t>430</w:t>
                  </w:r>
                </w:p>
              </w:tc>
              <w:tc>
                <w:tcPr>
                  <w:tcW w:w="1721" w:type="dxa"/>
                  <w:vMerge w:val="restart"/>
                  <w:vAlign w:val="center"/>
                </w:tcPr>
                <w:p>
                  <w:pPr>
                    <w:adjustRightInd w:val="0"/>
                    <w:snapToGrid w:val="0"/>
                    <w:jc w:val="center"/>
                    <w:rPr>
                      <w:color w:val="000000"/>
                      <w:szCs w:val="21"/>
                    </w:rPr>
                  </w:pPr>
                  <w:r>
                    <w:rPr>
                      <w:color w:val="000000"/>
                      <w:szCs w:val="21"/>
                    </w:rPr>
                    <w:t>《环境空气质量标准》（GB3095-2012）二级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690" w:type="dxa"/>
                  <w:vMerge w:val="continue"/>
                  <w:vAlign w:val="center"/>
                </w:tcPr>
                <w:p>
                  <w:pPr>
                    <w:jc w:val="center"/>
                    <w:rPr>
                      <w:color w:val="000000"/>
                      <w:szCs w:val="21"/>
                    </w:rPr>
                  </w:pPr>
                </w:p>
              </w:tc>
              <w:tc>
                <w:tcPr>
                  <w:tcW w:w="1452" w:type="dxa"/>
                  <w:vAlign w:val="center"/>
                </w:tcPr>
                <w:p>
                  <w:pPr>
                    <w:adjustRightInd w:val="0"/>
                    <w:snapToGrid w:val="0"/>
                    <w:jc w:val="center"/>
                    <w:rPr>
                      <w:color w:val="000000"/>
                      <w:szCs w:val="21"/>
                    </w:rPr>
                  </w:pPr>
                  <w:r>
                    <w:rPr>
                      <w:color w:val="000000"/>
                      <w:szCs w:val="21"/>
                    </w:rPr>
                    <w:t>李庄村</w:t>
                  </w:r>
                </w:p>
              </w:tc>
              <w:tc>
                <w:tcPr>
                  <w:tcW w:w="1418" w:type="dxa"/>
                  <w:vAlign w:val="center"/>
                </w:tcPr>
                <w:p>
                  <w:pPr>
                    <w:adjustRightInd w:val="0"/>
                    <w:snapToGrid w:val="0"/>
                    <w:jc w:val="center"/>
                    <w:rPr>
                      <w:color w:val="000000"/>
                      <w:szCs w:val="21"/>
                    </w:rPr>
                  </w:pPr>
                  <w:r>
                    <w:rPr>
                      <w:color w:val="000000"/>
                      <w:szCs w:val="21"/>
                    </w:rPr>
                    <w:t>李庄村村民</w:t>
                  </w:r>
                </w:p>
              </w:tc>
              <w:tc>
                <w:tcPr>
                  <w:tcW w:w="1134" w:type="dxa"/>
                  <w:vAlign w:val="center"/>
                </w:tcPr>
                <w:p>
                  <w:pPr>
                    <w:adjustRightInd w:val="0"/>
                    <w:snapToGrid w:val="0"/>
                    <w:jc w:val="center"/>
                    <w:rPr>
                      <w:color w:val="000000"/>
                      <w:szCs w:val="21"/>
                    </w:rPr>
                  </w:pPr>
                  <w:r>
                    <w:rPr>
                      <w:color w:val="000000"/>
                      <w:szCs w:val="21"/>
                    </w:rPr>
                    <w:t>村民</w:t>
                  </w:r>
                </w:p>
              </w:tc>
              <w:tc>
                <w:tcPr>
                  <w:tcW w:w="708" w:type="dxa"/>
                  <w:vAlign w:val="center"/>
                </w:tcPr>
                <w:p>
                  <w:pPr>
                    <w:jc w:val="center"/>
                    <w:rPr>
                      <w:color w:val="000000"/>
                      <w:szCs w:val="21"/>
                    </w:rPr>
                  </w:pPr>
                  <w:r>
                    <w:rPr>
                      <w:color w:val="000000"/>
                      <w:szCs w:val="21"/>
                    </w:rPr>
                    <w:t>西南</w:t>
                  </w:r>
                </w:p>
              </w:tc>
              <w:tc>
                <w:tcPr>
                  <w:tcW w:w="851" w:type="dxa"/>
                  <w:vAlign w:val="center"/>
                </w:tcPr>
                <w:p>
                  <w:pPr>
                    <w:adjustRightInd w:val="0"/>
                    <w:snapToGrid w:val="0"/>
                    <w:jc w:val="center"/>
                    <w:rPr>
                      <w:color w:val="000000"/>
                      <w:szCs w:val="21"/>
                    </w:rPr>
                  </w:pPr>
                  <w:r>
                    <w:rPr>
                      <w:rFonts w:hint="eastAsia"/>
                      <w:color w:val="000000"/>
                      <w:szCs w:val="21"/>
                    </w:rPr>
                    <w:t>280</w:t>
                  </w:r>
                </w:p>
              </w:tc>
              <w:tc>
                <w:tcPr>
                  <w:tcW w:w="1721"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90" w:type="dxa"/>
                  <w:vMerge w:val="continue"/>
                  <w:vAlign w:val="center"/>
                </w:tcPr>
                <w:p>
                  <w:pPr>
                    <w:jc w:val="center"/>
                    <w:rPr>
                      <w:color w:val="000000"/>
                      <w:szCs w:val="21"/>
                    </w:rPr>
                  </w:pPr>
                </w:p>
              </w:tc>
              <w:tc>
                <w:tcPr>
                  <w:tcW w:w="1452" w:type="dxa"/>
                  <w:vAlign w:val="center"/>
                </w:tcPr>
                <w:p>
                  <w:pPr>
                    <w:adjustRightInd w:val="0"/>
                    <w:snapToGrid w:val="0"/>
                    <w:jc w:val="center"/>
                    <w:rPr>
                      <w:color w:val="000000"/>
                      <w:szCs w:val="21"/>
                    </w:rPr>
                  </w:pPr>
                  <w:r>
                    <w:rPr>
                      <w:color w:val="000000"/>
                      <w:szCs w:val="21"/>
                    </w:rPr>
                    <w:t>李台村</w:t>
                  </w:r>
                </w:p>
              </w:tc>
              <w:tc>
                <w:tcPr>
                  <w:tcW w:w="1418" w:type="dxa"/>
                  <w:vAlign w:val="center"/>
                </w:tcPr>
                <w:p>
                  <w:pPr>
                    <w:adjustRightInd w:val="0"/>
                    <w:snapToGrid w:val="0"/>
                    <w:jc w:val="center"/>
                    <w:rPr>
                      <w:color w:val="000000"/>
                      <w:szCs w:val="21"/>
                    </w:rPr>
                  </w:pPr>
                  <w:r>
                    <w:rPr>
                      <w:color w:val="000000"/>
                      <w:szCs w:val="21"/>
                    </w:rPr>
                    <w:t>李台村村民</w:t>
                  </w:r>
                </w:p>
              </w:tc>
              <w:tc>
                <w:tcPr>
                  <w:tcW w:w="1134" w:type="dxa"/>
                  <w:vAlign w:val="center"/>
                </w:tcPr>
                <w:p>
                  <w:pPr>
                    <w:adjustRightInd w:val="0"/>
                    <w:snapToGrid w:val="0"/>
                    <w:jc w:val="center"/>
                    <w:rPr>
                      <w:color w:val="000000"/>
                      <w:szCs w:val="21"/>
                    </w:rPr>
                  </w:pPr>
                  <w:r>
                    <w:rPr>
                      <w:color w:val="000000"/>
                      <w:szCs w:val="21"/>
                    </w:rPr>
                    <w:t>村民</w:t>
                  </w:r>
                </w:p>
              </w:tc>
              <w:tc>
                <w:tcPr>
                  <w:tcW w:w="708" w:type="dxa"/>
                  <w:vAlign w:val="center"/>
                </w:tcPr>
                <w:p>
                  <w:pPr>
                    <w:jc w:val="center"/>
                    <w:rPr>
                      <w:color w:val="000000"/>
                      <w:szCs w:val="21"/>
                    </w:rPr>
                  </w:pPr>
                  <w:r>
                    <w:rPr>
                      <w:color w:val="000000"/>
                      <w:szCs w:val="21"/>
                    </w:rPr>
                    <w:t>东南</w:t>
                  </w:r>
                </w:p>
              </w:tc>
              <w:tc>
                <w:tcPr>
                  <w:tcW w:w="851" w:type="dxa"/>
                  <w:vAlign w:val="center"/>
                </w:tcPr>
                <w:p>
                  <w:pPr>
                    <w:adjustRightInd w:val="0"/>
                    <w:snapToGrid w:val="0"/>
                    <w:jc w:val="center"/>
                    <w:rPr>
                      <w:color w:val="000000"/>
                      <w:szCs w:val="21"/>
                    </w:rPr>
                  </w:pPr>
                  <w:r>
                    <w:rPr>
                      <w:rFonts w:hint="eastAsia"/>
                      <w:color w:val="000000"/>
                      <w:szCs w:val="21"/>
                    </w:rPr>
                    <w:t>470</w:t>
                  </w:r>
                </w:p>
              </w:tc>
              <w:tc>
                <w:tcPr>
                  <w:tcW w:w="1721" w:type="dxa"/>
                  <w:vMerge w:val="continue"/>
                  <w:vAlign w:val="center"/>
                </w:tcPr>
                <w:p>
                  <w:pPr>
                    <w:adjustRightInd w:val="0"/>
                    <w:snapToGrid w:val="0"/>
                    <w:jc w:val="center"/>
                    <w:rPr>
                      <w:color w:val="000000"/>
                      <w:szCs w:val="21"/>
                    </w:rPr>
                  </w:pPr>
                </w:p>
              </w:tc>
            </w:tr>
          </w:tbl>
          <w:p>
            <w:pPr>
              <w:adjustRightInd w:val="0"/>
              <w:snapToGrid w:val="0"/>
              <w:spacing w:line="460" w:lineRule="exact"/>
              <w:ind w:firstLine="480" w:firstLineChars="200"/>
              <w:rPr>
                <w:color w:val="000000"/>
                <w:kern w:val="0"/>
                <w:sz w:val="24"/>
              </w:rPr>
            </w:pPr>
            <w:r>
              <w:rPr>
                <w:color w:val="000000"/>
                <w:kern w:val="0"/>
                <w:sz w:val="24"/>
              </w:rPr>
              <w:t>本项目选址西北侧有570户兴宁村村民，项目厂界距兴宁村居民430m，项目生产车间距兴宁村村民650m；西南侧有370户李庄村村民，项目厂界距李庄村村民280m，项目生产车间距李庄村村民470m；东南侧有1160户李台村村民，项目厂界距李台村村民470m，项目生产车间距李台村村民500m。</w:t>
            </w:r>
          </w:p>
          <w:p>
            <w:pPr>
              <w:adjustRightInd w:val="0"/>
              <w:snapToGrid w:val="0"/>
              <w:spacing w:line="460" w:lineRule="exact"/>
              <w:rPr>
                <w:rFonts w:ascii="宋体" w:hAnsi="宋体" w:cs="宋体"/>
                <w:color w:val="000000"/>
                <w:kern w:val="0"/>
                <w:sz w:val="24"/>
              </w:rPr>
            </w:pPr>
            <w:r>
              <w:rPr>
                <w:rFonts w:hint="eastAsia" w:ascii="宋体" w:hAnsi="宋体" w:cs="宋体"/>
                <w:color w:val="000000"/>
                <w:kern w:val="0"/>
                <w:sz w:val="24"/>
              </w:rPr>
              <w:t>本项目外购原料均采用袋装包装，进厂后非取用状态时封口，保持密闭，存放于密闭原料库内；投料间整体密闭负压，分散搅拌罐及配料罐均采用密闭负压管道对废气进行收集；车间、料库</w:t>
            </w:r>
            <w:r>
              <w:rPr>
                <w:rFonts w:hint="eastAsia"/>
                <w:kern w:val="0"/>
                <w:sz w:val="24"/>
              </w:rPr>
              <w:t>四面密闭，通道口安装推拉门，保证空气合理流动不产生湍流。</w:t>
            </w:r>
          </w:p>
          <w:p>
            <w:pPr>
              <w:adjustRightInd w:val="0"/>
              <w:snapToGrid w:val="0"/>
              <w:spacing w:line="460" w:lineRule="exact"/>
              <w:ind w:firstLine="480" w:firstLineChars="200"/>
              <w:rPr>
                <w:color w:val="000000"/>
                <w:kern w:val="0"/>
                <w:sz w:val="24"/>
              </w:rPr>
            </w:pPr>
            <w:r>
              <w:rPr>
                <w:rFonts w:hint="eastAsia"/>
                <w:color w:val="000000"/>
                <w:kern w:val="0"/>
                <w:sz w:val="24"/>
              </w:rPr>
              <w:t>本项目涂布机、研磨机、输送泵及振动筛运行过程中产生的噪声经基础减振、厂房隔声，可以满足《工业企业厂界环境噪声排放标准》（GB12348-2008）2类昼间60dB(A)、夜间5</w:t>
            </w:r>
            <w:r>
              <w:rPr>
                <w:color w:val="000000"/>
                <w:kern w:val="0"/>
                <w:sz w:val="24"/>
              </w:rPr>
              <w:t>0</w:t>
            </w:r>
            <w:r>
              <w:rPr>
                <w:rFonts w:hint="eastAsia"/>
                <w:color w:val="000000"/>
                <w:kern w:val="0"/>
                <w:sz w:val="24"/>
              </w:rPr>
              <w:t>dB</w:t>
            </w:r>
            <w:r>
              <w:rPr>
                <w:color w:val="000000"/>
                <w:kern w:val="0"/>
                <w:sz w:val="24"/>
              </w:rPr>
              <w:t>(A)</w:t>
            </w:r>
            <w:r>
              <w:rPr>
                <w:rFonts w:hint="eastAsia"/>
                <w:color w:val="000000"/>
                <w:kern w:val="0"/>
                <w:sz w:val="24"/>
              </w:rPr>
              <w:t>的标准。</w:t>
            </w:r>
          </w:p>
          <w:p>
            <w:pPr>
              <w:adjustRightInd w:val="0"/>
              <w:snapToGrid w:val="0"/>
              <w:spacing w:line="460" w:lineRule="exact"/>
              <w:ind w:firstLine="480" w:firstLineChars="200"/>
              <w:rPr>
                <w:color w:val="000000"/>
                <w:kern w:val="0"/>
                <w:sz w:val="24"/>
              </w:rPr>
            </w:pPr>
            <w:r>
              <w:rPr>
                <w:rFonts w:hint="eastAsia"/>
                <w:color w:val="000000"/>
                <w:kern w:val="0"/>
                <w:sz w:val="24"/>
              </w:rPr>
              <w:t>本项目生产过程中产生的废气污染物主要为颗粒物，产生于浆钙制备的投料、研磨工段和涂布的投料、分散搅拌、面涂配料工段。浆钙生产线的密闭投料间采用整体负压抽吸方式，研磨机呼吸口设置密闭负压管道，减少颗粒物无组织排放；涂布生产线的投料间密闭，并在投料口配置集气罩进行负压收集，分散罐呼吸口及配料罐呼吸口均设有密闭负压管道，对颗粒物进行收集。颗粒物经袋式除尘器处理可以满足《新乡市生态环境局关于进一步规范工业企业颗粒物排放限值的通知》有组织颗粒物排放浓度</w:t>
            </w:r>
            <w:r>
              <w:rPr>
                <w:color w:val="000000"/>
                <w:kern w:val="0"/>
                <w:sz w:val="24"/>
              </w:rPr>
              <w:t>10mg/m3</w:t>
            </w:r>
            <w:r>
              <w:rPr>
                <w:rFonts w:hint="eastAsia"/>
                <w:color w:val="000000"/>
                <w:kern w:val="0"/>
                <w:sz w:val="24"/>
              </w:rPr>
              <w:t>的限值要求达标排放。</w:t>
            </w:r>
          </w:p>
          <w:p>
            <w:pPr>
              <w:adjustRightInd w:val="0"/>
              <w:snapToGrid w:val="0"/>
              <w:spacing w:line="460" w:lineRule="exact"/>
              <w:ind w:firstLine="480" w:firstLineChars="200"/>
              <w:rPr>
                <w:rFonts w:ascii="宋体" w:hAnsi="宋体" w:cs="宋体"/>
                <w:color w:val="000000"/>
                <w:kern w:val="0"/>
                <w:sz w:val="24"/>
              </w:rPr>
            </w:pPr>
            <w:r>
              <w:rPr>
                <w:rFonts w:hint="eastAsia"/>
                <w:color w:val="000000"/>
                <w:kern w:val="0"/>
                <w:sz w:val="24"/>
              </w:rPr>
              <w:t>综上所述，经治理后的废气能够</w:t>
            </w:r>
            <w:r>
              <w:rPr>
                <w:color w:val="000000"/>
                <w:kern w:val="0"/>
                <w:sz w:val="24"/>
              </w:rPr>
              <w:t>能够满足</w:t>
            </w:r>
            <w:r>
              <w:rPr>
                <w:rFonts w:hint="eastAsia"/>
                <w:color w:val="000000"/>
                <w:kern w:val="0"/>
                <w:sz w:val="24"/>
              </w:rPr>
              <w:t>《新乡市生态环境局关于进一步规范工业企业颗粒物排放限值的通知》有组织颗粒物标准限值。本项目营运期废气经治理后对厂界外</w:t>
            </w:r>
            <w:r>
              <w:rPr>
                <w:color w:val="000000"/>
                <w:kern w:val="0"/>
                <w:sz w:val="24"/>
              </w:rPr>
              <w:t>500米范围内的环境保护目标影响较小</w:t>
            </w:r>
            <w:r>
              <w:rPr>
                <w:rFonts w:hint="eastAsia"/>
                <w:color w:val="000000"/>
                <w:kern w:val="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00" w:type="dxa"/>
            <w:tcMar>
              <w:left w:w="28" w:type="dxa"/>
              <w:right w:w="28" w:type="dxa"/>
            </w:tcMar>
            <w:vAlign w:val="center"/>
          </w:tcPr>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污染</w:t>
            </w:r>
          </w:p>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物排</w:t>
            </w:r>
          </w:p>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放控</w:t>
            </w:r>
          </w:p>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制标</w:t>
            </w:r>
          </w:p>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准</w:t>
            </w:r>
          </w:p>
        </w:tc>
        <w:tc>
          <w:tcPr>
            <w:tcW w:w="8190" w:type="dxa"/>
            <w:vAlign w:val="center"/>
          </w:tcPr>
          <w:p>
            <w:pPr>
              <w:spacing w:line="460" w:lineRule="exact"/>
              <w:ind w:firstLine="480" w:firstLineChars="200"/>
              <w:rPr>
                <w:rFonts w:eastAsia="黑体"/>
                <w:color w:val="000000"/>
                <w:sz w:val="24"/>
              </w:rPr>
            </w:pPr>
            <w:r>
              <w:rPr>
                <w:rFonts w:eastAsia="黑体"/>
                <w:color w:val="000000"/>
                <w:sz w:val="24"/>
              </w:rPr>
              <w:t>表</w:t>
            </w:r>
            <w:r>
              <w:rPr>
                <w:rFonts w:hint="eastAsia" w:eastAsia="黑体"/>
                <w:color w:val="000000"/>
                <w:sz w:val="24"/>
              </w:rPr>
              <w:t>2</w:t>
            </w:r>
            <w:r>
              <w:rPr>
                <w:rFonts w:eastAsia="黑体"/>
                <w:color w:val="000000"/>
                <w:sz w:val="24"/>
              </w:rPr>
              <w:t xml:space="preserve">1            </w:t>
            </w:r>
            <w:r>
              <w:rPr>
                <w:rFonts w:hint="eastAsia" w:eastAsia="黑体"/>
                <w:color w:val="000000"/>
                <w:sz w:val="24"/>
              </w:rPr>
              <w:t xml:space="preserve">  </w:t>
            </w:r>
            <w:r>
              <w:rPr>
                <w:rFonts w:eastAsia="黑体"/>
                <w:color w:val="000000"/>
                <w:sz w:val="24"/>
              </w:rPr>
              <w:t xml:space="preserve">    污染物排放标准</w:t>
            </w:r>
          </w:p>
          <w:tbl>
            <w:tblPr>
              <w:tblStyle w:val="3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969"/>
              <w:gridCol w:w="3016"/>
              <w:gridCol w:w="1276"/>
              <w:gridCol w:w="271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969" w:type="dxa"/>
                  <w:tcBorders>
                    <w:top w:val="single" w:color="auto" w:sz="8" w:space="0"/>
                    <w:bottom w:val="single" w:color="auto" w:sz="4" w:space="0"/>
                    <w:right w:val="single" w:color="auto" w:sz="4" w:space="0"/>
                  </w:tcBorders>
                  <w:vAlign w:val="center"/>
                </w:tcPr>
                <w:p>
                  <w:pPr>
                    <w:jc w:val="center"/>
                    <w:rPr>
                      <w:b/>
                      <w:color w:val="000000"/>
                      <w:szCs w:val="21"/>
                    </w:rPr>
                  </w:pPr>
                  <w:r>
                    <w:rPr>
                      <w:b/>
                      <w:color w:val="000000"/>
                      <w:szCs w:val="21"/>
                    </w:rPr>
                    <w:t>污染物</w:t>
                  </w:r>
                </w:p>
              </w:tc>
              <w:tc>
                <w:tcPr>
                  <w:tcW w:w="3016" w:type="dxa"/>
                  <w:tcBorders>
                    <w:top w:val="single" w:color="auto" w:sz="8"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标准名称</w:t>
                  </w:r>
                </w:p>
              </w:tc>
              <w:tc>
                <w:tcPr>
                  <w:tcW w:w="1276" w:type="dxa"/>
                  <w:tcBorders>
                    <w:top w:val="single" w:color="auto" w:sz="8"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污染因子</w:t>
                  </w:r>
                </w:p>
              </w:tc>
              <w:tc>
                <w:tcPr>
                  <w:tcW w:w="2713" w:type="dxa"/>
                  <w:tcBorders>
                    <w:top w:val="single" w:color="auto" w:sz="8" w:space="0"/>
                    <w:left w:val="single" w:color="auto" w:sz="4" w:space="0"/>
                    <w:bottom w:val="single" w:color="auto" w:sz="4" w:space="0"/>
                  </w:tcBorders>
                  <w:vAlign w:val="center"/>
                </w:tcPr>
                <w:p>
                  <w:pPr>
                    <w:jc w:val="center"/>
                    <w:rPr>
                      <w:b/>
                      <w:color w:val="000000"/>
                      <w:szCs w:val="21"/>
                    </w:rPr>
                  </w:pPr>
                  <w:r>
                    <w:rPr>
                      <w:b/>
                      <w:color w:val="000000"/>
                      <w:szCs w:val="21"/>
                    </w:rPr>
                    <w:t>标准限值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52" w:hRule="atLeast"/>
                <w:jc w:val="center"/>
              </w:trPr>
              <w:tc>
                <w:tcPr>
                  <w:tcW w:w="969" w:type="dxa"/>
                  <w:vMerge w:val="restart"/>
                  <w:tcBorders>
                    <w:top w:val="single" w:color="auto" w:sz="4" w:space="0"/>
                    <w:right w:val="single" w:color="auto" w:sz="4" w:space="0"/>
                  </w:tcBorders>
                  <w:vAlign w:val="center"/>
                </w:tcPr>
                <w:p>
                  <w:pPr>
                    <w:jc w:val="center"/>
                    <w:rPr>
                      <w:color w:val="000000"/>
                      <w:szCs w:val="21"/>
                    </w:rPr>
                  </w:pPr>
                  <w:r>
                    <w:rPr>
                      <w:color w:val="000000"/>
                      <w:szCs w:val="21"/>
                    </w:rPr>
                    <w:t>废气</w:t>
                  </w:r>
                </w:p>
              </w:tc>
              <w:tc>
                <w:tcPr>
                  <w:tcW w:w="3016" w:type="dxa"/>
                  <w:vMerge w:val="restart"/>
                  <w:tcBorders>
                    <w:top w:val="single" w:color="auto" w:sz="4" w:space="0"/>
                    <w:left w:val="single" w:color="auto" w:sz="4" w:space="0"/>
                    <w:right w:val="single" w:color="auto" w:sz="4" w:space="0"/>
                  </w:tcBorders>
                  <w:vAlign w:val="center"/>
                </w:tcPr>
                <w:p>
                  <w:pPr>
                    <w:jc w:val="center"/>
                    <w:rPr>
                      <w:color w:val="000000"/>
                      <w:szCs w:val="21"/>
                    </w:rPr>
                  </w:pPr>
                  <w:r>
                    <w:rPr>
                      <w:color w:val="000000"/>
                      <w:szCs w:val="21"/>
                    </w:rPr>
                    <w:t>《新乡市生态环境局关于进一步规范工业企业颗粒物排放限值的通知》</w:t>
                  </w:r>
                </w:p>
              </w:tc>
              <w:tc>
                <w:tcPr>
                  <w:tcW w:w="1276" w:type="dxa"/>
                  <w:vMerge w:val="restart"/>
                  <w:tcBorders>
                    <w:top w:val="single" w:color="auto" w:sz="4" w:space="0"/>
                    <w:left w:val="single" w:color="auto" w:sz="4" w:space="0"/>
                    <w:right w:val="single" w:color="auto" w:sz="4" w:space="0"/>
                  </w:tcBorders>
                  <w:vAlign w:val="center"/>
                </w:tcPr>
                <w:p>
                  <w:pPr>
                    <w:jc w:val="center"/>
                    <w:rPr>
                      <w:color w:val="000000"/>
                      <w:szCs w:val="21"/>
                    </w:rPr>
                  </w:pPr>
                  <w:r>
                    <w:rPr>
                      <w:color w:val="000000"/>
                      <w:szCs w:val="21"/>
                    </w:rPr>
                    <w:t>颗粒物</w:t>
                  </w:r>
                </w:p>
              </w:tc>
              <w:tc>
                <w:tcPr>
                  <w:tcW w:w="2713" w:type="dxa"/>
                  <w:tcBorders>
                    <w:top w:val="single" w:color="auto" w:sz="4" w:space="0"/>
                    <w:left w:val="single" w:color="auto" w:sz="4" w:space="0"/>
                    <w:bottom w:val="single" w:color="auto" w:sz="4" w:space="0"/>
                  </w:tcBorders>
                  <w:vAlign w:val="center"/>
                </w:tcPr>
                <w:p>
                  <w:pPr>
                    <w:jc w:val="center"/>
                    <w:rPr>
                      <w:color w:val="000000"/>
                      <w:szCs w:val="21"/>
                    </w:rPr>
                  </w:pPr>
                  <w:r>
                    <w:rPr>
                      <w:color w:val="000000"/>
                      <w:szCs w:val="21"/>
                    </w:rPr>
                    <w:t>有组织排放口</w:t>
                  </w:r>
                  <w:r>
                    <w:rPr>
                      <w:rFonts w:hint="eastAsia"/>
                      <w:color w:val="000000"/>
                      <w:szCs w:val="21"/>
                    </w:rPr>
                    <w:t>：</w:t>
                  </w:r>
                  <w:r>
                    <w:rPr>
                      <w:color w:val="000000"/>
                      <w:szCs w:val="21"/>
                    </w:rPr>
                    <w:t>10mg/m</w:t>
                  </w:r>
                  <w:r>
                    <w:rPr>
                      <w:color w:val="000000"/>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52" w:hRule="atLeast"/>
                <w:jc w:val="center"/>
              </w:trPr>
              <w:tc>
                <w:tcPr>
                  <w:tcW w:w="969" w:type="dxa"/>
                  <w:vMerge w:val="continue"/>
                  <w:tcBorders>
                    <w:right w:val="single" w:color="auto" w:sz="4" w:space="0"/>
                  </w:tcBorders>
                  <w:vAlign w:val="center"/>
                </w:tcPr>
                <w:p>
                  <w:pPr>
                    <w:jc w:val="center"/>
                    <w:rPr>
                      <w:color w:val="000000"/>
                      <w:szCs w:val="21"/>
                    </w:rPr>
                  </w:pPr>
                </w:p>
              </w:tc>
              <w:tc>
                <w:tcPr>
                  <w:tcW w:w="3016" w:type="dxa"/>
                  <w:vMerge w:val="continue"/>
                  <w:tcBorders>
                    <w:left w:val="single" w:color="auto" w:sz="4" w:space="0"/>
                    <w:right w:val="single" w:color="auto" w:sz="4" w:space="0"/>
                  </w:tcBorders>
                  <w:vAlign w:val="center"/>
                </w:tcPr>
                <w:p>
                  <w:pPr>
                    <w:jc w:val="center"/>
                    <w:rPr>
                      <w:color w:val="000000"/>
                      <w:szCs w:val="21"/>
                    </w:rPr>
                  </w:pPr>
                </w:p>
              </w:tc>
              <w:tc>
                <w:tcPr>
                  <w:tcW w:w="1276" w:type="dxa"/>
                  <w:vMerge w:val="continue"/>
                  <w:tcBorders>
                    <w:left w:val="single" w:color="auto" w:sz="4" w:space="0"/>
                    <w:right w:val="single" w:color="auto" w:sz="4" w:space="0"/>
                  </w:tcBorders>
                  <w:vAlign w:val="center"/>
                </w:tcPr>
                <w:p>
                  <w:pPr>
                    <w:jc w:val="center"/>
                    <w:rPr>
                      <w:color w:val="000000"/>
                      <w:szCs w:val="21"/>
                    </w:rPr>
                  </w:pPr>
                </w:p>
              </w:tc>
              <w:tc>
                <w:tcPr>
                  <w:tcW w:w="2713" w:type="dxa"/>
                  <w:tcBorders>
                    <w:top w:val="single" w:color="auto" w:sz="4" w:space="0"/>
                    <w:left w:val="single" w:color="auto" w:sz="4" w:space="0"/>
                    <w:bottom w:val="single" w:color="auto" w:sz="4" w:space="0"/>
                  </w:tcBorders>
                  <w:vAlign w:val="center"/>
                </w:tcPr>
                <w:p>
                  <w:pPr>
                    <w:jc w:val="center"/>
                    <w:rPr>
                      <w:color w:val="000000"/>
                      <w:szCs w:val="21"/>
                    </w:rPr>
                  </w:pPr>
                  <w:r>
                    <w:rPr>
                      <w:color w:val="000000"/>
                      <w:szCs w:val="21"/>
                    </w:rPr>
                    <w:t>厂界</w:t>
                  </w:r>
                  <w:r>
                    <w:rPr>
                      <w:rFonts w:hint="eastAsia"/>
                      <w:color w:val="000000"/>
                      <w:szCs w:val="21"/>
                    </w:rPr>
                    <w:t>：</w:t>
                  </w:r>
                  <w:r>
                    <w:rPr>
                      <w:color w:val="000000"/>
                      <w:szCs w:val="21"/>
                    </w:rPr>
                    <w:t>0.5mg/m</w:t>
                  </w:r>
                  <w:r>
                    <w:rPr>
                      <w:color w:val="000000"/>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969" w:type="dxa"/>
                  <w:vMerge w:val="restart"/>
                  <w:tcBorders>
                    <w:top w:val="single" w:color="auto" w:sz="4" w:space="0"/>
                    <w:right w:val="single" w:color="auto" w:sz="4" w:space="0"/>
                  </w:tcBorders>
                  <w:vAlign w:val="center"/>
                </w:tcPr>
                <w:p>
                  <w:pPr>
                    <w:jc w:val="center"/>
                    <w:rPr>
                      <w:color w:val="000000"/>
                      <w:szCs w:val="21"/>
                    </w:rPr>
                  </w:pPr>
                  <w:r>
                    <w:rPr>
                      <w:color w:val="000000"/>
                      <w:szCs w:val="21"/>
                    </w:rPr>
                    <w:t>噪声</w:t>
                  </w:r>
                </w:p>
              </w:tc>
              <w:tc>
                <w:tcPr>
                  <w:tcW w:w="3016" w:type="dxa"/>
                  <w:vMerge w:val="restart"/>
                  <w:tcBorders>
                    <w:top w:val="single" w:color="auto" w:sz="4" w:space="0"/>
                    <w:left w:val="single" w:color="auto" w:sz="4" w:space="0"/>
                    <w:right w:val="single" w:color="auto" w:sz="4" w:space="0"/>
                  </w:tcBorders>
                  <w:vAlign w:val="center"/>
                </w:tcPr>
                <w:p>
                  <w:pPr>
                    <w:jc w:val="center"/>
                    <w:rPr>
                      <w:color w:val="000000"/>
                      <w:szCs w:val="21"/>
                    </w:rPr>
                  </w:pPr>
                  <w:r>
                    <w:rPr>
                      <w:color w:val="000000"/>
                      <w:szCs w:val="21"/>
                    </w:rPr>
                    <w:t>《工业企业厂界环境噪声排放标准》（GB12348-2008）</w:t>
                  </w:r>
                  <w:r>
                    <w:rPr>
                      <w:rFonts w:hint="eastAsia"/>
                      <w:color w:val="000000"/>
                      <w:szCs w:val="21"/>
                    </w:rPr>
                    <w:t>3</w:t>
                  </w:r>
                  <w:r>
                    <w:rPr>
                      <w:color w:val="000000"/>
                      <w:szCs w:val="21"/>
                    </w:rPr>
                    <w:t>类</w:t>
                  </w:r>
                </w:p>
              </w:tc>
              <w:tc>
                <w:tcPr>
                  <w:tcW w:w="1276" w:type="dxa"/>
                  <w:vMerge w:val="restart"/>
                  <w:tcBorders>
                    <w:top w:val="single" w:color="auto" w:sz="4" w:space="0"/>
                    <w:left w:val="single" w:color="auto" w:sz="4" w:space="0"/>
                    <w:right w:val="single" w:color="auto" w:sz="4" w:space="0"/>
                  </w:tcBorders>
                  <w:vAlign w:val="center"/>
                </w:tcPr>
                <w:p>
                  <w:pPr>
                    <w:jc w:val="center"/>
                    <w:rPr>
                      <w:color w:val="000000"/>
                      <w:szCs w:val="21"/>
                    </w:rPr>
                  </w:pPr>
                  <w:r>
                    <w:rPr>
                      <w:color w:val="000000"/>
                      <w:szCs w:val="21"/>
                    </w:rPr>
                    <w:t>噪声</w:t>
                  </w:r>
                </w:p>
              </w:tc>
              <w:tc>
                <w:tcPr>
                  <w:tcW w:w="2713" w:type="dxa"/>
                  <w:tcBorders>
                    <w:top w:val="single" w:color="auto" w:sz="4" w:space="0"/>
                    <w:left w:val="single" w:color="auto" w:sz="4" w:space="0"/>
                    <w:bottom w:val="single" w:color="auto" w:sz="4" w:space="0"/>
                  </w:tcBorders>
                  <w:vAlign w:val="center"/>
                </w:tcPr>
                <w:p>
                  <w:pPr>
                    <w:jc w:val="center"/>
                    <w:rPr>
                      <w:color w:val="000000"/>
                      <w:szCs w:val="21"/>
                    </w:rPr>
                  </w:pPr>
                  <w:r>
                    <w:rPr>
                      <w:color w:val="000000"/>
                      <w:szCs w:val="21"/>
                    </w:rPr>
                    <w:t>昼间6</w:t>
                  </w:r>
                  <w:r>
                    <w:rPr>
                      <w:rFonts w:hint="eastAsia"/>
                      <w:color w:val="000000"/>
                      <w:szCs w:val="21"/>
                    </w:rPr>
                    <w:t>5</w:t>
                  </w:r>
                  <w:r>
                    <w:rPr>
                      <w:color w:val="000000"/>
                      <w:szCs w:val="21"/>
                    </w:rPr>
                    <w:t>dB(A)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969" w:type="dxa"/>
                  <w:vMerge w:val="continue"/>
                  <w:tcBorders>
                    <w:right w:val="single" w:color="auto" w:sz="4" w:space="0"/>
                  </w:tcBorders>
                  <w:vAlign w:val="center"/>
                </w:tcPr>
                <w:p>
                  <w:pPr>
                    <w:jc w:val="center"/>
                    <w:rPr>
                      <w:color w:val="000000"/>
                      <w:szCs w:val="21"/>
                    </w:rPr>
                  </w:pPr>
                </w:p>
              </w:tc>
              <w:tc>
                <w:tcPr>
                  <w:tcW w:w="3016" w:type="dxa"/>
                  <w:vMerge w:val="continue"/>
                  <w:tcBorders>
                    <w:left w:val="single" w:color="auto" w:sz="4" w:space="0"/>
                    <w:right w:val="single" w:color="auto" w:sz="4" w:space="0"/>
                  </w:tcBorders>
                  <w:vAlign w:val="center"/>
                </w:tcPr>
                <w:p>
                  <w:pPr>
                    <w:jc w:val="center"/>
                    <w:rPr>
                      <w:color w:val="000000"/>
                      <w:szCs w:val="21"/>
                    </w:rPr>
                  </w:pPr>
                </w:p>
              </w:tc>
              <w:tc>
                <w:tcPr>
                  <w:tcW w:w="1276" w:type="dxa"/>
                  <w:vMerge w:val="continue"/>
                  <w:tcBorders>
                    <w:left w:val="single" w:color="auto" w:sz="4" w:space="0"/>
                    <w:right w:val="single" w:color="auto" w:sz="4" w:space="0"/>
                  </w:tcBorders>
                  <w:vAlign w:val="center"/>
                </w:tcPr>
                <w:p>
                  <w:pPr>
                    <w:jc w:val="center"/>
                    <w:rPr>
                      <w:color w:val="000000"/>
                      <w:szCs w:val="21"/>
                    </w:rPr>
                  </w:pPr>
                </w:p>
              </w:tc>
              <w:tc>
                <w:tcPr>
                  <w:tcW w:w="2713" w:type="dxa"/>
                  <w:tcBorders>
                    <w:top w:val="single" w:color="auto" w:sz="4" w:space="0"/>
                    <w:left w:val="single" w:color="auto" w:sz="4" w:space="0"/>
                    <w:bottom w:val="single" w:color="auto" w:sz="4" w:space="0"/>
                  </w:tcBorders>
                  <w:vAlign w:val="center"/>
                </w:tcPr>
                <w:p>
                  <w:pPr>
                    <w:jc w:val="center"/>
                    <w:rPr>
                      <w:color w:val="000000"/>
                      <w:szCs w:val="21"/>
                    </w:rPr>
                  </w:pPr>
                  <w:r>
                    <w:rPr>
                      <w:color w:val="000000"/>
                      <w:szCs w:val="21"/>
                    </w:rPr>
                    <w:t>夜间5</w:t>
                  </w:r>
                  <w:r>
                    <w:rPr>
                      <w:rFonts w:hint="eastAsia"/>
                      <w:color w:val="000000"/>
                      <w:szCs w:val="21"/>
                    </w:rPr>
                    <w:t>5</w:t>
                  </w:r>
                  <w:r>
                    <w:rPr>
                      <w:color w:val="000000"/>
                      <w:szCs w:val="21"/>
                    </w:rPr>
                    <w:t>dB(A)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969" w:type="dxa"/>
                  <w:tcBorders>
                    <w:top w:val="single" w:color="auto" w:sz="4" w:space="0"/>
                    <w:bottom w:val="single" w:color="auto" w:sz="8" w:space="0"/>
                    <w:right w:val="single" w:color="auto" w:sz="4" w:space="0"/>
                  </w:tcBorders>
                  <w:vAlign w:val="center"/>
                </w:tcPr>
                <w:p>
                  <w:pPr>
                    <w:jc w:val="center"/>
                    <w:rPr>
                      <w:color w:val="000000"/>
                      <w:szCs w:val="21"/>
                    </w:rPr>
                  </w:pPr>
                  <w:r>
                    <w:rPr>
                      <w:color w:val="000000"/>
                      <w:szCs w:val="21"/>
                    </w:rPr>
                    <w:t>固废</w:t>
                  </w:r>
                </w:p>
              </w:tc>
              <w:tc>
                <w:tcPr>
                  <w:tcW w:w="7005" w:type="dxa"/>
                  <w:gridSpan w:val="3"/>
                  <w:tcBorders>
                    <w:top w:val="single" w:color="auto" w:sz="4" w:space="0"/>
                    <w:left w:val="single" w:color="auto" w:sz="4" w:space="0"/>
                    <w:bottom w:val="single" w:color="auto" w:sz="8" w:space="0"/>
                  </w:tcBorders>
                  <w:vAlign w:val="center"/>
                </w:tcPr>
                <w:p>
                  <w:pPr>
                    <w:jc w:val="center"/>
                    <w:rPr>
                      <w:color w:val="000000"/>
                      <w:szCs w:val="21"/>
                    </w:rPr>
                  </w:pPr>
                  <w:r>
                    <w:rPr>
                      <w:rFonts w:hint="eastAsia"/>
                      <w:color w:val="000000"/>
                      <w:szCs w:val="21"/>
                    </w:rPr>
                    <w:t>《一般工业固体废物贮存和填埋污染控制标准》（GB18599－2020）</w:t>
                  </w:r>
                </w:p>
              </w:tc>
            </w:tr>
          </w:tbl>
          <w:p>
            <w:pPr>
              <w:adjustRightInd w:val="0"/>
              <w:snapToGrid w:val="0"/>
              <w:rPr>
                <w:rFonts w:ascii="宋体" w:hAnsi="宋体" w:cs="宋体"/>
                <w:color w:val="000000"/>
                <w:kern w:val="0"/>
                <w:szCs w:val="21"/>
              </w:rPr>
            </w:pPr>
          </w:p>
          <w:p>
            <w:pPr>
              <w:adjustRightInd w:val="0"/>
              <w:snapToGrid w:val="0"/>
              <w:rPr>
                <w:rFonts w:ascii="宋体" w:hAnsi="宋体" w:cs="宋体"/>
                <w:color w:val="000000"/>
                <w:kern w:val="0"/>
                <w:szCs w:val="21"/>
              </w:rPr>
            </w:pPr>
          </w:p>
          <w:p>
            <w:pPr>
              <w:adjustRightInd w:val="0"/>
              <w:snapToGrid w:val="0"/>
              <w:rPr>
                <w:rFonts w:ascii="宋体" w:hAnsi="宋体" w:cs="宋体"/>
                <w:color w:val="000000"/>
                <w:kern w:val="0"/>
                <w:szCs w:val="21"/>
              </w:rPr>
            </w:pPr>
          </w:p>
          <w:p>
            <w:pPr>
              <w:adjustRightInd w:val="0"/>
              <w:snapToGrid w:val="0"/>
              <w:rPr>
                <w:rFonts w:ascii="宋体" w:hAnsi="宋体" w:cs="宋体"/>
                <w:color w:val="000000"/>
                <w:kern w:val="0"/>
                <w:szCs w:val="21"/>
              </w:rPr>
            </w:pPr>
          </w:p>
          <w:p>
            <w:pPr>
              <w:adjustRightInd w:val="0"/>
              <w:snapToGrid w:val="0"/>
              <w:rPr>
                <w:rFonts w:ascii="宋体" w:hAnsi="宋体" w:cs="宋体"/>
                <w:color w:val="000000"/>
                <w:kern w:val="0"/>
                <w:szCs w:val="21"/>
              </w:rPr>
            </w:pPr>
          </w:p>
          <w:p>
            <w:pPr>
              <w:adjustRightInd w:val="0"/>
              <w:snapToGrid w:val="0"/>
              <w:rPr>
                <w:rFonts w:ascii="宋体" w:hAnsi="宋体" w:cs="宋体"/>
                <w:color w:val="000000"/>
                <w:kern w:val="0"/>
                <w:szCs w:val="21"/>
              </w:rPr>
            </w:pPr>
          </w:p>
          <w:p>
            <w:pPr>
              <w:adjustRightInd w:val="0"/>
              <w:snapToGrid w:val="0"/>
              <w:rPr>
                <w:rFonts w:ascii="宋体" w:hAnsi="宋体" w:cs="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16" w:hRule="atLeast"/>
          <w:jc w:val="center"/>
        </w:trPr>
        <w:tc>
          <w:tcPr>
            <w:tcW w:w="800" w:type="dxa"/>
            <w:vAlign w:val="center"/>
          </w:tcPr>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总量</w:t>
            </w:r>
          </w:p>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控制</w:t>
            </w:r>
          </w:p>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指标</w:t>
            </w:r>
          </w:p>
        </w:tc>
        <w:tc>
          <w:tcPr>
            <w:tcW w:w="8190" w:type="dxa"/>
            <w:vAlign w:val="center"/>
          </w:tcPr>
          <w:p>
            <w:pPr>
              <w:spacing w:line="460" w:lineRule="exact"/>
              <w:jc w:val="left"/>
              <w:rPr>
                <w:sz w:val="24"/>
              </w:rPr>
            </w:pPr>
            <w:r>
              <w:rPr>
                <w:sz w:val="24"/>
              </w:rPr>
              <w:t>项目建成后全厂污染物排放情况见下表。</w:t>
            </w:r>
          </w:p>
          <w:p>
            <w:pPr>
              <w:keepNext/>
              <w:spacing w:line="440" w:lineRule="exact"/>
              <w:ind w:firstLine="600" w:firstLineChars="250"/>
              <w:rPr>
                <w:rFonts w:eastAsia="黑体"/>
                <w:sz w:val="24"/>
              </w:rPr>
            </w:pPr>
            <w:r>
              <w:rPr>
                <w:rFonts w:eastAsia="黑体"/>
                <w:sz w:val="24"/>
              </w:rPr>
              <w:t>表</w:t>
            </w:r>
            <w:r>
              <w:rPr>
                <w:rFonts w:hint="eastAsia" w:eastAsia="黑体"/>
                <w:sz w:val="24"/>
              </w:rPr>
              <w:t>2</w:t>
            </w:r>
            <w:r>
              <w:rPr>
                <w:rFonts w:eastAsia="黑体"/>
                <w:sz w:val="24"/>
              </w:rPr>
              <w:t>2        本项目建成后全厂污染物排放情况一览表</w:t>
            </w:r>
            <w:r>
              <w:rPr>
                <w:rFonts w:hint="eastAsia" w:eastAsia="黑体"/>
                <w:sz w:val="24"/>
              </w:rPr>
              <w:t xml:space="preserve">      </w:t>
            </w:r>
            <w:r>
              <w:rPr>
                <w:rFonts w:eastAsia="黑体"/>
                <w:color w:val="000000"/>
                <w:sz w:val="24"/>
              </w:rPr>
              <w:t>单位：t/a</w:t>
            </w:r>
          </w:p>
          <w:tbl>
            <w:tblPr>
              <w:tblStyle w:val="31"/>
              <w:tblpPr w:leftFromText="180" w:rightFromText="180" w:vertAnchor="text"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3"/>
              <w:gridCol w:w="893"/>
              <w:gridCol w:w="992"/>
              <w:gridCol w:w="993"/>
              <w:gridCol w:w="961"/>
              <w:gridCol w:w="881"/>
              <w:gridCol w:w="993"/>
              <w:gridCol w:w="878"/>
              <w:gridCol w:w="100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dxa"/>
                  <w:gridSpan w:val="2"/>
                  <w:vMerge w:val="restart"/>
                  <w:vAlign w:val="center"/>
                </w:tcPr>
                <w:p>
                  <w:pPr>
                    <w:pStyle w:val="160"/>
                    <w:snapToGrid w:val="0"/>
                    <w:spacing w:line="240" w:lineRule="auto"/>
                    <w:ind w:firstLine="0"/>
                    <w:jc w:val="center"/>
                    <w:rPr>
                      <w:b/>
                      <w:color w:val="000000"/>
                      <w:sz w:val="21"/>
                      <w:szCs w:val="21"/>
                    </w:rPr>
                  </w:pPr>
                  <w:r>
                    <w:rPr>
                      <w:b/>
                      <w:color w:val="000000"/>
                      <w:sz w:val="21"/>
                      <w:szCs w:val="21"/>
                    </w:rPr>
                    <w:t>污染物</w:t>
                  </w:r>
                </w:p>
              </w:tc>
              <w:tc>
                <w:tcPr>
                  <w:tcW w:w="1985" w:type="dxa"/>
                  <w:gridSpan w:val="2"/>
                  <w:vAlign w:val="center"/>
                </w:tcPr>
                <w:p>
                  <w:pPr>
                    <w:pStyle w:val="160"/>
                    <w:snapToGrid w:val="0"/>
                    <w:spacing w:line="240" w:lineRule="auto"/>
                    <w:ind w:firstLine="0"/>
                    <w:jc w:val="center"/>
                    <w:rPr>
                      <w:b/>
                      <w:color w:val="000000"/>
                      <w:sz w:val="21"/>
                      <w:szCs w:val="21"/>
                    </w:rPr>
                  </w:pPr>
                  <w:r>
                    <w:rPr>
                      <w:b/>
                      <w:color w:val="000000"/>
                      <w:sz w:val="21"/>
                      <w:szCs w:val="21"/>
                    </w:rPr>
                    <w:t>现有工程</w:t>
                  </w:r>
                </w:p>
              </w:tc>
              <w:tc>
                <w:tcPr>
                  <w:tcW w:w="961" w:type="dxa"/>
                  <w:vMerge w:val="restart"/>
                  <w:vAlign w:val="center"/>
                </w:tcPr>
                <w:p>
                  <w:pPr>
                    <w:pStyle w:val="160"/>
                    <w:snapToGrid w:val="0"/>
                    <w:spacing w:line="240" w:lineRule="auto"/>
                    <w:ind w:firstLine="0"/>
                    <w:jc w:val="center"/>
                    <w:rPr>
                      <w:b/>
                      <w:color w:val="000000"/>
                      <w:sz w:val="21"/>
                      <w:szCs w:val="21"/>
                    </w:rPr>
                  </w:pPr>
                  <w:r>
                    <w:rPr>
                      <w:rFonts w:hint="eastAsia"/>
                      <w:b/>
                      <w:color w:val="000000"/>
                      <w:sz w:val="21"/>
                      <w:szCs w:val="21"/>
                    </w:rPr>
                    <w:t>在建工程排放量</w:t>
                  </w:r>
                </w:p>
              </w:tc>
              <w:tc>
                <w:tcPr>
                  <w:tcW w:w="881" w:type="dxa"/>
                  <w:vMerge w:val="restart"/>
                  <w:vAlign w:val="center"/>
                </w:tcPr>
                <w:p>
                  <w:pPr>
                    <w:pStyle w:val="160"/>
                    <w:snapToGrid w:val="0"/>
                    <w:spacing w:line="240" w:lineRule="auto"/>
                    <w:ind w:firstLine="0"/>
                    <w:jc w:val="center"/>
                    <w:rPr>
                      <w:b/>
                      <w:color w:val="000000"/>
                      <w:sz w:val="21"/>
                      <w:szCs w:val="21"/>
                    </w:rPr>
                  </w:pPr>
                  <w:r>
                    <w:rPr>
                      <w:rFonts w:hint="eastAsia"/>
                      <w:b/>
                      <w:color w:val="000000"/>
                      <w:sz w:val="21"/>
                      <w:szCs w:val="21"/>
                    </w:rPr>
                    <w:t>在建工程以新带老削减量</w:t>
                  </w:r>
                </w:p>
              </w:tc>
              <w:tc>
                <w:tcPr>
                  <w:tcW w:w="993" w:type="dxa"/>
                  <w:vMerge w:val="restart"/>
                  <w:vAlign w:val="center"/>
                </w:tcPr>
                <w:p>
                  <w:pPr>
                    <w:pStyle w:val="160"/>
                    <w:snapToGrid w:val="0"/>
                    <w:spacing w:line="240" w:lineRule="auto"/>
                    <w:ind w:firstLine="0"/>
                    <w:jc w:val="center"/>
                    <w:rPr>
                      <w:b/>
                      <w:color w:val="000000"/>
                      <w:sz w:val="21"/>
                      <w:szCs w:val="21"/>
                    </w:rPr>
                  </w:pPr>
                  <w:r>
                    <w:rPr>
                      <w:b/>
                      <w:color w:val="000000"/>
                      <w:sz w:val="21"/>
                      <w:szCs w:val="21"/>
                    </w:rPr>
                    <w:t>在建工程</w:t>
                  </w:r>
                  <w:r>
                    <w:rPr>
                      <w:rFonts w:hint="eastAsia"/>
                      <w:b/>
                      <w:color w:val="000000"/>
                      <w:sz w:val="21"/>
                      <w:szCs w:val="21"/>
                    </w:rPr>
                    <w:t>建成后</w:t>
                  </w:r>
                  <w:r>
                    <w:rPr>
                      <w:b/>
                      <w:color w:val="000000"/>
                      <w:sz w:val="21"/>
                      <w:szCs w:val="21"/>
                    </w:rPr>
                    <w:t>全厂排放量</w:t>
                  </w:r>
                </w:p>
              </w:tc>
              <w:tc>
                <w:tcPr>
                  <w:tcW w:w="878" w:type="dxa"/>
                  <w:vMerge w:val="restart"/>
                  <w:vAlign w:val="center"/>
                </w:tcPr>
                <w:p>
                  <w:pPr>
                    <w:pStyle w:val="160"/>
                    <w:snapToGrid w:val="0"/>
                    <w:spacing w:line="240" w:lineRule="auto"/>
                    <w:ind w:firstLine="0"/>
                    <w:jc w:val="center"/>
                    <w:rPr>
                      <w:b/>
                      <w:color w:val="000000"/>
                      <w:sz w:val="21"/>
                      <w:szCs w:val="21"/>
                    </w:rPr>
                  </w:pPr>
                  <w:r>
                    <w:rPr>
                      <w:rFonts w:hint="eastAsia"/>
                      <w:b/>
                      <w:color w:val="000000"/>
                      <w:sz w:val="21"/>
                      <w:szCs w:val="21"/>
                    </w:rPr>
                    <w:t>本项目</w:t>
                  </w:r>
                </w:p>
              </w:tc>
              <w:tc>
                <w:tcPr>
                  <w:tcW w:w="1000" w:type="dxa"/>
                  <w:vMerge w:val="restart"/>
                  <w:vAlign w:val="center"/>
                </w:tcPr>
                <w:p>
                  <w:pPr>
                    <w:pStyle w:val="160"/>
                    <w:snapToGrid w:val="0"/>
                    <w:spacing w:line="240" w:lineRule="auto"/>
                    <w:ind w:firstLine="0"/>
                    <w:jc w:val="center"/>
                    <w:rPr>
                      <w:b/>
                      <w:color w:val="000000"/>
                      <w:sz w:val="21"/>
                      <w:szCs w:val="21"/>
                    </w:rPr>
                  </w:pPr>
                  <w:r>
                    <w:rPr>
                      <w:b/>
                      <w:color w:val="000000"/>
                      <w:sz w:val="21"/>
                      <w:szCs w:val="21"/>
                    </w:rPr>
                    <w:t>全厂排放量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dxa"/>
                  <w:gridSpan w:val="2"/>
                  <w:vMerge w:val="continue"/>
                  <w:vAlign w:val="center"/>
                </w:tcPr>
                <w:p>
                  <w:pPr>
                    <w:pStyle w:val="160"/>
                    <w:snapToGrid w:val="0"/>
                    <w:spacing w:line="240" w:lineRule="auto"/>
                    <w:ind w:firstLine="0"/>
                    <w:jc w:val="center"/>
                    <w:rPr>
                      <w:color w:val="000000"/>
                      <w:sz w:val="21"/>
                      <w:szCs w:val="21"/>
                    </w:rPr>
                  </w:pPr>
                </w:p>
              </w:tc>
              <w:tc>
                <w:tcPr>
                  <w:tcW w:w="992" w:type="dxa"/>
                  <w:vAlign w:val="center"/>
                </w:tcPr>
                <w:p>
                  <w:pPr>
                    <w:pStyle w:val="160"/>
                    <w:snapToGrid w:val="0"/>
                    <w:spacing w:line="240" w:lineRule="auto"/>
                    <w:ind w:firstLine="0"/>
                    <w:jc w:val="center"/>
                    <w:rPr>
                      <w:b/>
                      <w:color w:val="000000"/>
                      <w:sz w:val="21"/>
                      <w:szCs w:val="21"/>
                    </w:rPr>
                  </w:pPr>
                  <w:r>
                    <w:rPr>
                      <w:b/>
                      <w:color w:val="000000"/>
                      <w:sz w:val="21"/>
                      <w:szCs w:val="21"/>
                    </w:rPr>
                    <w:t>实际排放量</w:t>
                  </w:r>
                </w:p>
              </w:tc>
              <w:tc>
                <w:tcPr>
                  <w:tcW w:w="993" w:type="dxa"/>
                  <w:vAlign w:val="center"/>
                </w:tcPr>
                <w:p>
                  <w:pPr>
                    <w:pStyle w:val="160"/>
                    <w:snapToGrid w:val="0"/>
                    <w:spacing w:line="240" w:lineRule="auto"/>
                    <w:ind w:firstLine="0"/>
                    <w:jc w:val="center"/>
                    <w:rPr>
                      <w:b/>
                      <w:color w:val="000000"/>
                      <w:sz w:val="21"/>
                      <w:szCs w:val="21"/>
                    </w:rPr>
                  </w:pPr>
                  <w:r>
                    <w:rPr>
                      <w:b/>
                      <w:color w:val="000000"/>
                      <w:sz w:val="21"/>
                      <w:szCs w:val="21"/>
                    </w:rPr>
                    <w:t>允许排放量</w:t>
                  </w:r>
                </w:p>
              </w:tc>
              <w:tc>
                <w:tcPr>
                  <w:tcW w:w="961" w:type="dxa"/>
                  <w:vMerge w:val="continue"/>
                  <w:vAlign w:val="center"/>
                </w:tcPr>
                <w:p>
                  <w:pPr>
                    <w:pStyle w:val="160"/>
                    <w:snapToGrid w:val="0"/>
                    <w:spacing w:line="240" w:lineRule="auto"/>
                    <w:ind w:firstLine="0"/>
                    <w:jc w:val="center"/>
                    <w:rPr>
                      <w:color w:val="000000"/>
                      <w:sz w:val="21"/>
                      <w:szCs w:val="21"/>
                    </w:rPr>
                  </w:pPr>
                </w:p>
              </w:tc>
              <w:tc>
                <w:tcPr>
                  <w:tcW w:w="881" w:type="dxa"/>
                  <w:vMerge w:val="continue"/>
                  <w:vAlign w:val="center"/>
                </w:tcPr>
                <w:p>
                  <w:pPr>
                    <w:pStyle w:val="160"/>
                    <w:snapToGrid w:val="0"/>
                    <w:spacing w:line="240" w:lineRule="auto"/>
                    <w:ind w:firstLine="0"/>
                    <w:jc w:val="center"/>
                    <w:rPr>
                      <w:color w:val="000000"/>
                      <w:sz w:val="21"/>
                      <w:szCs w:val="21"/>
                    </w:rPr>
                  </w:pPr>
                </w:p>
              </w:tc>
              <w:tc>
                <w:tcPr>
                  <w:tcW w:w="993" w:type="dxa"/>
                  <w:vMerge w:val="continue"/>
                  <w:vAlign w:val="center"/>
                </w:tcPr>
                <w:p>
                  <w:pPr>
                    <w:pStyle w:val="160"/>
                    <w:snapToGrid w:val="0"/>
                    <w:spacing w:line="240" w:lineRule="auto"/>
                    <w:ind w:firstLine="0"/>
                    <w:jc w:val="center"/>
                    <w:rPr>
                      <w:color w:val="000000"/>
                      <w:sz w:val="21"/>
                      <w:szCs w:val="21"/>
                    </w:rPr>
                  </w:pPr>
                </w:p>
              </w:tc>
              <w:tc>
                <w:tcPr>
                  <w:tcW w:w="878" w:type="dxa"/>
                  <w:vMerge w:val="continue"/>
                  <w:vAlign w:val="center"/>
                </w:tcPr>
                <w:p>
                  <w:pPr>
                    <w:pStyle w:val="160"/>
                    <w:snapToGrid w:val="0"/>
                    <w:spacing w:line="240" w:lineRule="auto"/>
                    <w:ind w:firstLine="0"/>
                    <w:jc w:val="center"/>
                    <w:rPr>
                      <w:color w:val="000000"/>
                      <w:sz w:val="21"/>
                      <w:szCs w:val="21"/>
                    </w:rPr>
                  </w:pPr>
                </w:p>
              </w:tc>
              <w:tc>
                <w:tcPr>
                  <w:tcW w:w="1000" w:type="dxa"/>
                  <w:vMerge w:val="continue"/>
                  <w:vAlign w:val="center"/>
                </w:tcPr>
                <w:p>
                  <w:pPr>
                    <w:pStyle w:val="160"/>
                    <w:snapToGrid w:val="0"/>
                    <w:spacing w:line="240" w:lineRule="auto"/>
                    <w:ind w:firstLine="0"/>
                    <w:jc w:val="center"/>
                    <w:rPr>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3" w:type="dxa"/>
                  <w:vMerge w:val="restart"/>
                  <w:vAlign w:val="center"/>
                </w:tcPr>
                <w:p>
                  <w:pPr>
                    <w:pStyle w:val="160"/>
                    <w:snapToGrid w:val="0"/>
                    <w:spacing w:line="240" w:lineRule="auto"/>
                    <w:ind w:firstLine="0"/>
                    <w:jc w:val="center"/>
                    <w:rPr>
                      <w:color w:val="000000"/>
                      <w:sz w:val="21"/>
                      <w:szCs w:val="21"/>
                    </w:rPr>
                  </w:pPr>
                  <w:r>
                    <w:rPr>
                      <w:color w:val="000000"/>
                      <w:sz w:val="21"/>
                      <w:szCs w:val="21"/>
                    </w:rPr>
                    <w:t>废水</w:t>
                  </w:r>
                </w:p>
              </w:tc>
              <w:tc>
                <w:tcPr>
                  <w:tcW w:w="893" w:type="dxa"/>
                  <w:vAlign w:val="center"/>
                </w:tcPr>
                <w:p>
                  <w:pPr>
                    <w:pStyle w:val="160"/>
                    <w:snapToGrid w:val="0"/>
                    <w:spacing w:line="240" w:lineRule="auto"/>
                    <w:ind w:firstLine="0"/>
                    <w:jc w:val="center"/>
                    <w:rPr>
                      <w:color w:val="000000"/>
                      <w:sz w:val="21"/>
                      <w:szCs w:val="21"/>
                    </w:rPr>
                  </w:pPr>
                  <w:r>
                    <w:rPr>
                      <w:color w:val="000000"/>
                      <w:sz w:val="21"/>
                      <w:szCs w:val="21"/>
                    </w:rPr>
                    <w:t>COD</w:t>
                  </w:r>
                </w:p>
              </w:tc>
              <w:tc>
                <w:tcPr>
                  <w:tcW w:w="992" w:type="dxa"/>
                  <w:vAlign w:val="center"/>
                </w:tcPr>
                <w:p>
                  <w:pPr>
                    <w:pStyle w:val="140"/>
                  </w:pPr>
                  <w:r>
                    <w:t>289.1077</w:t>
                  </w:r>
                </w:p>
              </w:tc>
              <w:tc>
                <w:tcPr>
                  <w:tcW w:w="993" w:type="dxa"/>
                  <w:vAlign w:val="center"/>
                </w:tcPr>
                <w:p>
                  <w:pPr>
                    <w:pStyle w:val="140"/>
                  </w:pPr>
                  <w:r>
                    <w:rPr>
                      <w:rFonts w:hint="eastAsia"/>
                    </w:rPr>
                    <w:t>112.3980</w:t>
                  </w:r>
                </w:p>
              </w:tc>
              <w:tc>
                <w:tcPr>
                  <w:tcW w:w="961" w:type="dxa"/>
                  <w:vAlign w:val="center"/>
                </w:tcPr>
                <w:p>
                  <w:pPr>
                    <w:pStyle w:val="140"/>
                  </w:pPr>
                  <w:r>
                    <w:rPr>
                      <w:rFonts w:hint="eastAsia"/>
                    </w:rPr>
                    <w:t>8</w:t>
                  </w:r>
                  <w:r>
                    <w:t>9.9184</w:t>
                  </w:r>
                </w:p>
              </w:tc>
              <w:tc>
                <w:tcPr>
                  <w:tcW w:w="881" w:type="dxa"/>
                  <w:vAlign w:val="center"/>
                </w:tcPr>
                <w:p>
                  <w:pPr>
                    <w:pStyle w:val="140"/>
                  </w:pPr>
                  <w:r>
                    <w:rPr>
                      <w:rFonts w:hint="eastAsia"/>
                      <w:color w:val="000000"/>
                    </w:rPr>
                    <w:t>0</w:t>
                  </w:r>
                </w:p>
              </w:tc>
              <w:tc>
                <w:tcPr>
                  <w:tcW w:w="993" w:type="dxa"/>
                  <w:vAlign w:val="center"/>
                </w:tcPr>
                <w:p>
                  <w:pPr>
                    <w:pStyle w:val="140"/>
                  </w:pPr>
                  <w:r>
                    <w:rPr>
                      <w:rFonts w:hint="eastAsia"/>
                    </w:rPr>
                    <w:t>8</w:t>
                  </w:r>
                  <w:r>
                    <w:t>9.9184</w:t>
                  </w:r>
                </w:p>
              </w:tc>
              <w:tc>
                <w:tcPr>
                  <w:tcW w:w="878" w:type="dxa"/>
                  <w:vAlign w:val="center"/>
                </w:tcPr>
                <w:p>
                  <w:pPr>
                    <w:pStyle w:val="160"/>
                    <w:snapToGrid w:val="0"/>
                    <w:spacing w:line="240" w:lineRule="auto"/>
                    <w:ind w:firstLine="0"/>
                    <w:jc w:val="center"/>
                    <w:rPr>
                      <w:color w:val="000000"/>
                      <w:sz w:val="21"/>
                      <w:szCs w:val="21"/>
                    </w:rPr>
                  </w:pPr>
                  <w:r>
                    <w:rPr>
                      <w:rFonts w:hint="eastAsia"/>
                      <w:color w:val="000000"/>
                      <w:sz w:val="21"/>
                      <w:szCs w:val="21"/>
                    </w:rPr>
                    <w:t>0</w:t>
                  </w:r>
                </w:p>
              </w:tc>
              <w:tc>
                <w:tcPr>
                  <w:tcW w:w="1000" w:type="dxa"/>
                  <w:vAlign w:val="center"/>
                </w:tcPr>
                <w:p>
                  <w:pPr>
                    <w:pStyle w:val="140"/>
                  </w:pPr>
                  <w:r>
                    <w:rPr>
                      <w:rFonts w:hint="eastAsia"/>
                    </w:rPr>
                    <w:t>8</w:t>
                  </w:r>
                  <w:r>
                    <w:t>9.9184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3" w:type="dxa"/>
                  <w:vMerge w:val="continue"/>
                  <w:vAlign w:val="center"/>
                </w:tcPr>
                <w:p>
                  <w:pPr>
                    <w:pStyle w:val="160"/>
                    <w:snapToGrid w:val="0"/>
                    <w:spacing w:line="240" w:lineRule="auto"/>
                    <w:ind w:firstLine="0"/>
                    <w:jc w:val="center"/>
                    <w:rPr>
                      <w:color w:val="000000"/>
                      <w:sz w:val="21"/>
                      <w:szCs w:val="21"/>
                    </w:rPr>
                  </w:pPr>
                </w:p>
              </w:tc>
              <w:tc>
                <w:tcPr>
                  <w:tcW w:w="893" w:type="dxa"/>
                  <w:vAlign w:val="center"/>
                </w:tcPr>
                <w:p>
                  <w:pPr>
                    <w:pStyle w:val="160"/>
                    <w:snapToGrid w:val="0"/>
                    <w:spacing w:line="240" w:lineRule="auto"/>
                    <w:ind w:firstLine="0"/>
                    <w:jc w:val="center"/>
                    <w:rPr>
                      <w:color w:val="000000"/>
                      <w:sz w:val="21"/>
                      <w:szCs w:val="21"/>
                    </w:rPr>
                  </w:pPr>
                  <w:r>
                    <w:rPr>
                      <w:color w:val="000000"/>
                      <w:sz w:val="21"/>
                      <w:szCs w:val="21"/>
                    </w:rPr>
                    <w:t>NH</w:t>
                  </w:r>
                  <w:r>
                    <w:rPr>
                      <w:color w:val="000000"/>
                      <w:sz w:val="21"/>
                      <w:szCs w:val="21"/>
                      <w:vertAlign w:val="subscript"/>
                    </w:rPr>
                    <w:t>3</w:t>
                  </w:r>
                  <w:r>
                    <w:rPr>
                      <w:color w:val="000000"/>
                      <w:sz w:val="21"/>
                      <w:szCs w:val="21"/>
                    </w:rPr>
                    <w:t>-N</w:t>
                  </w:r>
                </w:p>
              </w:tc>
              <w:tc>
                <w:tcPr>
                  <w:tcW w:w="992" w:type="dxa"/>
                  <w:vAlign w:val="center"/>
                </w:tcPr>
                <w:p>
                  <w:pPr>
                    <w:pStyle w:val="140"/>
                  </w:pPr>
                  <w:r>
                    <w:t>1.3029</w:t>
                  </w:r>
                </w:p>
              </w:tc>
              <w:tc>
                <w:tcPr>
                  <w:tcW w:w="993" w:type="dxa"/>
                  <w:vAlign w:val="center"/>
                </w:tcPr>
                <w:p>
                  <w:pPr>
                    <w:pStyle w:val="140"/>
                  </w:pPr>
                  <w:r>
                    <w:rPr>
                      <w:rFonts w:hint="eastAsia"/>
                    </w:rPr>
                    <w:t>11.2398</w:t>
                  </w:r>
                </w:p>
              </w:tc>
              <w:tc>
                <w:tcPr>
                  <w:tcW w:w="961" w:type="dxa"/>
                  <w:vAlign w:val="center"/>
                </w:tcPr>
                <w:p>
                  <w:pPr>
                    <w:pStyle w:val="140"/>
                  </w:pPr>
                  <w:r>
                    <w:rPr>
                      <w:rFonts w:hint="eastAsia"/>
                    </w:rPr>
                    <w:t>4</w:t>
                  </w:r>
                  <w:r>
                    <w:t>.4959</w:t>
                  </w:r>
                </w:p>
              </w:tc>
              <w:tc>
                <w:tcPr>
                  <w:tcW w:w="881" w:type="dxa"/>
                  <w:vAlign w:val="center"/>
                </w:tcPr>
                <w:p>
                  <w:pPr>
                    <w:pStyle w:val="140"/>
                  </w:pPr>
                  <w:r>
                    <w:rPr>
                      <w:rFonts w:hint="eastAsia"/>
                      <w:color w:val="000000"/>
                    </w:rPr>
                    <w:t>0</w:t>
                  </w:r>
                </w:p>
              </w:tc>
              <w:tc>
                <w:tcPr>
                  <w:tcW w:w="993" w:type="dxa"/>
                  <w:vAlign w:val="center"/>
                </w:tcPr>
                <w:p>
                  <w:pPr>
                    <w:pStyle w:val="140"/>
                  </w:pPr>
                  <w:r>
                    <w:rPr>
                      <w:rFonts w:hint="eastAsia"/>
                    </w:rPr>
                    <w:t>4</w:t>
                  </w:r>
                  <w:r>
                    <w:t>.4959</w:t>
                  </w:r>
                </w:p>
              </w:tc>
              <w:tc>
                <w:tcPr>
                  <w:tcW w:w="878" w:type="dxa"/>
                  <w:vAlign w:val="center"/>
                </w:tcPr>
                <w:p>
                  <w:pPr>
                    <w:pStyle w:val="160"/>
                    <w:snapToGrid w:val="0"/>
                    <w:spacing w:line="240" w:lineRule="auto"/>
                    <w:ind w:firstLine="0"/>
                    <w:jc w:val="center"/>
                    <w:rPr>
                      <w:color w:val="000000"/>
                      <w:sz w:val="21"/>
                      <w:szCs w:val="21"/>
                    </w:rPr>
                  </w:pPr>
                  <w:r>
                    <w:rPr>
                      <w:rFonts w:hint="eastAsia"/>
                      <w:color w:val="000000"/>
                      <w:sz w:val="21"/>
                      <w:szCs w:val="21"/>
                    </w:rPr>
                    <w:t>0</w:t>
                  </w:r>
                </w:p>
              </w:tc>
              <w:tc>
                <w:tcPr>
                  <w:tcW w:w="1000" w:type="dxa"/>
                  <w:vAlign w:val="center"/>
                </w:tcPr>
                <w:p>
                  <w:pPr>
                    <w:pStyle w:val="140"/>
                  </w:pPr>
                  <w:r>
                    <w:rPr>
                      <w:rFonts w:hint="eastAsia"/>
                    </w:rPr>
                    <w:t>4</w:t>
                  </w:r>
                  <w:r>
                    <w:t>.4959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3" w:type="dxa"/>
                  <w:vMerge w:val="continue"/>
                  <w:vAlign w:val="center"/>
                </w:tcPr>
                <w:p>
                  <w:pPr>
                    <w:pStyle w:val="160"/>
                    <w:snapToGrid w:val="0"/>
                    <w:spacing w:line="240" w:lineRule="auto"/>
                    <w:ind w:firstLine="0"/>
                    <w:jc w:val="center"/>
                    <w:rPr>
                      <w:color w:val="000000"/>
                      <w:sz w:val="21"/>
                      <w:szCs w:val="21"/>
                    </w:rPr>
                  </w:pPr>
                </w:p>
              </w:tc>
              <w:tc>
                <w:tcPr>
                  <w:tcW w:w="893" w:type="dxa"/>
                  <w:vAlign w:val="center"/>
                </w:tcPr>
                <w:p>
                  <w:pPr>
                    <w:pStyle w:val="160"/>
                    <w:snapToGrid w:val="0"/>
                    <w:spacing w:line="240" w:lineRule="auto"/>
                    <w:ind w:firstLine="0"/>
                    <w:jc w:val="center"/>
                    <w:rPr>
                      <w:color w:val="000000"/>
                      <w:sz w:val="21"/>
                      <w:szCs w:val="21"/>
                    </w:rPr>
                  </w:pPr>
                  <w:r>
                    <w:rPr>
                      <w:color w:val="000000"/>
                      <w:sz w:val="21"/>
                      <w:szCs w:val="21"/>
                    </w:rPr>
                    <w:t>TP</w:t>
                  </w:r>
                </w:p>
              </w:tc>
              <w:tc>
                <w:tcPr>
                  <w:tcW w:w="992" w:type="dxa"/>
                  <w:vAlign w:val="center"/>
                </w:tcPr>
                <w:p>
                  <w:pPr>
                    <w:pStyle w:val="140"/>
                  </w:pPr>
                  <w:r>
                    <w:t>0.0283</w:t>
                  </w:r>
                </w:p>
              </w:tc>
              <w:tc>
                <w:tcPr>
                  <w:tcW w:w="993" w:type="dxa"/>
                  <w:vAlign w:val="center"/>
                </w:tcPr>
                <w:p>
                  <w:pPr>
                    <w:pStyle w:val="140"/>
                  </w:pPr>
                  <w:r>
                    <w:rPr>
                      <w:rFonts w:hint="eastAsia"/>
                    </w:rPr>
                    <w:t>33.7194</w:t>
                  </w:r>
                </w:p>
              </w:tc>
              <w:tc>
                <w:tcPr>
                  <w:tcW w:w="961" w:type="dxa"/>
                  <w:vAlign w:val="center"/>
                </w:tcPr>
                <w:p>
                  <w:pPr>
                    <w:pStyle w:val="140"/>
                  </w:pPr>
                  <w:r>
                    <w:rPr>
                      <w:rFonts w:hint="eastAsia"/>
                    </w:rPr>
                    <w:t>3</w:t>
                  </w:r>
                  <w:r>
                    <w:t>3.7194</w:t>
                  </w:r>
                </w:p>
              </w:tc>
              <w:tc>
                <w:tcPr>
                  <w:tcW w:w="881" w:type="dxa"/>
                  <w:vAlign w:val="center"/>
                </w:tcPr>
                <w:p>
                  <w:pPr>
                    <w:pStyle w:val="140"/>
                  </w:pPr>
                  <w:r>
                    <w:rPr>
                      <w:rFonts w:hint="eastAsia"/>
                      <w:color w:val="000000"/>
                    </w:rPr>
                    <w:t>0</w:t>
                  </w:r>
                </w:p>
              </w:tc>
              <w:tc>
                <w:tcPr>
                  <w:tcW w:w="993" w:type="dxa"/>
                  <w:vAlign w:val="center"/>
                </w:tcPr>
                <w:p>
                  <w:pPr>
                    <w:pStyle w:val="140"/>
                  </w:pPr>
                  <w:r>
                    <w:rPr>
                      <w:rFonts w:hint="eastAsia"/>
                    </w:rPr>
                    <w:t>3</w:t>
                  </w:r>
                  <w:r>
                    <w:t>3.7194</w:t>
                  </w:r>
                </w:p>
              </w:tc>
              <w:tc>
                <w:tcPr>
                  <w:tcW w:w="878" w:type="dxa"/>
                  <w:vAlign w:val="center"/>
                </w:tcPr>
                <w:p>
                  <w:pPr>
                    <w:pStyle w:val="160"/>
                    <w:snapToGrid w:val="0"/>
                    <w:spacing w:line="240" w:lineRule="auto"/>
                    <w:ind w:firstLine="0"/>
                    <w:jc w:val="center"/>
                    <w:rPr>
                      <w:color w:val="000000"/>
                      <w:sz w:val="21"/>
                      <w:szCs w:val="21"/>
                    </w:rPr>
                  </w:pPr>
                  <w:r>
                    <w:rPr>
                      <w:rFonts w:hint="eastAsia"/>
                      <w:color w:val="000000"/>
                      <w:sz w:val="21"/>
                      <w:szCs w:val="21"/>
                    </w:rPr>
                    <w:t>0</w:t>
                  </w:r>
                </w:p>
              </w:tc>
              <w:tc>
                <w:tcPr>
                  <w:tcW w:w="1000" w:type="dxa"/>
                  <w:vAlign w:val="center"/>
                </w:tcPr>
                <w:p>
                  <w:pPr>
                    <w:pStyle w:val="140"/>
                  </w:pPr>
                  <w:r>
                    <w:rPr>
                      <w:rFonts w:hint="eastAsia"/>
                    </w:rPr>
                    <w:t>3</w:t>
                  </w:r>
                  <w:r>
                    <w:t>3.7194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3" w:type="dxa"/>
                  <w:vMerge w:val="continue"/>
                  <w:vAlign w:val="center"/>
                </w:tcPr>
                <w:p>
                  <w:pPr>
                    <w:pStyle w:val="160"/>
                    <w:snapToGrid w:val="0"/>
                    <w:spacing w:line="240" w:lineRule="auto"/>
                    <w:ind w:firstLine="0"/>
                    <w:jc w:val="center"/>
                    <w:rPr>
                      <w:color w:val="000000"/>
                      <w:sz w:val="21"/>
                      <w:szCs w:val="21"/>
                    </w:rPr>
                  </w:pPr>
                </w:p>
              </w:tc>
              <w:tc>
                <w:tcPr>
                  <w:tcW w:w="893" w:type="dxa"/>
                  <w:vAlign w:val="center"/>
                </w:tcPr>
                <w:p>
                  <w:pPr>
                    <w:pStyle w:val="160"/>
                    <w:snapToGrid w:val="0"/>
                    <w:spacing w:line="240" w:lineRule="auto"/>
                    <w:ind w:firstLine="0"/>
                    <w:jc w:val="center"/>
                    <w:rPr>
                      <w:color w:val="000000"/>
                      <w:sz w:val="21"/>
                      <w:szCs w:val="21"/>
                    </w:rPr>
                  </w:pPr>
                  <w:r>
                    <w:rPr>
                      <w:color w:val="000000"/>
                      <w:sz w:val="21"/>
                      <w:szCs w:val="21"/>
                    </w:rPr>
                    <w:t>TN</w:t>
                  </w:r>
                </w:p>
              </w:tc>
              <w:tc>
                <w:tcPr>
                  <w:tcW w:w="992" w:type="dxa"/>
                  <w:vAlign w:val="center"/>
                </w:tcPr>
                <w:p>
                  <w:pPr>
                    <w:pStyle w:val="140"/>
                  </w:pPr>
                  <w:r>
                    <w:t>0.0125</w:t>
                  </w:r>
                </w:p>
              </w:tc>
              <w:tc>
                <w:tcPr>
                  <w:tcW w:w="993" w:type="dxa"/>
                  <w:vAlign w:val="center"/>
                </w:tcPr>
                <w:p>
                  <w:pPr>
                    <w:pStyle w:val="140"/>
                  </w:pPr>
                  <w:r>
                    <w:rPr>
                      <w:rFonts w:hint="eastAsia"/>
                    </w:rPr>
                    <w:t>1.1240</w:t>
                  </w:r>
                </w:p>
              </w:tc>
              <w:tc>
                <w:tcPr>
                  <w:tcW w:w="961" w:type="dxa"/>
                  <w:vAlign w:val="center"/>
                </w:tcPr>
                <w:p>
                  <w:pPr>
                    <w:pStyle w:val="140"/>
                  </w:pPr>
                  <w:r>
                    <w:rPr>
                      <w:rFonts w:hint="eastAsia"/>
                    </w:rPr>
                    <w:t>0</w:t>
                  </w:r>
                  <w:r>
                    <w:t>.8992</w:t>
                  </w:r>
                </w:p>
              </w:tc>
              <w:tc>
                <w:tcPr>
                  <w:tcW w:w="881" w:type="dxa"/>
                  <w:vAlign w:val="center"/>
                </w:tcPr>
                <w:p>
                  <w:pPr>
                    <w:pStyle w:val="140"/>
                  </w:pPr>
                  <w:r>
                    <w:rPr>
                      <w:rFonts w:hint="eastAsia"/>
                      <w:color w:val="000000"/>
                    </w:rPr>
                    <w:t>0</w:t>
                  </w:r>
                </w:p>
              </w:tc>
              <w:tc>
                <w:tcPr>
                  <w:tcW w:w="993" w:type="dxa"/>
                  <w:vAlign w:val="center"/>
                </w:tcPr>
                <w:p>
                  <w:pPr>
                    <w:pStyle w:val="140"/>
                  </w:pPr>
                  <w:r>
                    <w:rPr>
                      <w:rFonts w:hint="eastAsia"/>
                    </w:rPr>
                    <w:t>0</w:t>
                  </w:r>
                  <w:r>
                    <w:t>.8992</w:t>
                  </w:r>
                </w:p>
              </w:tc>
              <w:tc>
                <w:tcPr>
                  <w:tcW w:w="878" w:type="dxa"/>
                  <w:vAlign w:val="center"/>
                </w:tcPr>
                <w:p>
                  <w:pPr>
                    <w:pStyle w:val="160"/>
                    <w:snapToGrid w:val="0"/>
                    <w:spacing w:line="240" w:lineRule="auto"/>
                    <w:ind w:firstLine="0"/>
                    <w:jc w:val="center"/>
                    <w:rPr>
                      <w:color w:val="000000"/>
                      <w:sz w:val="21"/>
                      <w:szCs w:val="21"/>
                    </w:rPr>
                  </w:pPr>
                  <w:r>
                    <w:rPr>
                      <w:rFonts w:hint="eastAsia"/>
                      <w:color w:val="000000"/>
                      <w:sz w:val="21"/>
                      <w:szCs w:val="21"/>
                    </w:rPr>
                    <w:t>0</w:t>
                  </w:r>
                </w:p>
              </w:tc>
              <w:tc>
                <w:tcPr>
                  <w:tcW w:w="1000" w:type="dxa"/>
                  <w:vAlign w:val="center"/>
                </w:tcPr>
                <w:p>
                  <w:pPr>
                    <w:pStyle w:val="140"/>
                  </w:pPr>
                  <w:r>
                    <w:rPr>
                      <w:rFonts w:hint="eastAsia"/>
                    </w:rPr>
                    <w:t>0</w:t>
                  </w:r>
                  <w:r>
                    <w:t>.8992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3" w:type="dxa"/>
                  <w:vMerge w:val="continue"/>
                  <w:vAlign w:val="center"/>
                </w:tcPr>
                <w:p>
                  <w:pPr>
                    <w:pStyle w:val="160"/>
                    <w:snapToGrid w:val="0"/>
                    <w:spacing w:line="240" w:lineRule="auto"/>
                    <w:ind w:firstLine="0"/>
                    <w:jc w:val="center"/>
                    <w:rPr>
                      <w:color w:val="000000"/>
                      <w:sz w:val="21"/>
                      <w:szCs w:val="21"/>
                    </w:rPr>
                  </w:pPr>
                </w:p>
              </w:tc>
              <w:tc>
                <w:tcPr>
                  <w:tcW w:w="893" w:type="dxa"/>
                  <w:vAlign w:val="center"/>
                </w:tcPr>
                <w:p>
                  <w:pPr>
                    <w:pStyle w:val="160"/>
                    <w:snapToGrid w:val="0"/>
                    <w:spacing w:line="240" w:lineRule="auto"/>
                    <w:ind w:firstLine="0"/>
                    <w:jc w:val="center"/>
                    <w:rPr>
                      <w:color w:val="000000"/>
                      <w:sz w:val="21"/>
                      <w:szCs w:val="21"/>
                    </w:rPr>
                  </w:pPr>
                  <w:r>
                    <w:rPr>
                      <w:color w:val="000000"/>
                      <w:sz w:val="21"/>
                      <w:szCs w:val="21"/>
                    </w:rPr>
                    <w:t>水量</w:t>
                  </w:r>
                </w:p>
                <w:p>
                  <w:pPr>
                    <w:pStyle w:val="160"/>
                    <w:snapToGrid w:val="0"/>
                    <w:spacing w:line="240" w:lineRule="auto"/>
                    <w:ind w:firstLine="0"/>
                    <w:jc w:val="center"/>
                    <w:rPr>
                      <w:color w:val="000000"/>
                      <w:sz w:val="21"/>
                      <w:szCs w:val="21"/>
                    </w:rPr>
                  </w:pPr>
                  <w:r>
                    <w:rPr>
                      <w:rFonts w:hint="eastAsia"/>
                      <w:color w:val="000000"/>
                      <w:sz w:val="21"/>
                      <w:szCs w:val="21"/>
                    </w:rPr>
                    <w:t>（万吨/a）</w:t>
                  </w:r>
                </w:p>
              </w:tc>
              <w:tc>
                <w:tcPr>
                  <w:tcW w:w="992" w:type="dxa"/>
                  <w:vAlign w:val="center"/>
                </w:tcPr>
                <w:p>
                  <w:pPr>
                    <w:pStyle w:val="140"/>
                  </w:pPr>
                  <w:r>
                    <w:t>204.0060</w:t>
                  </w:r>
                </w:p>
              </w:tc>
              <w:tc>
                <w:tcPr>
                  <w:tcW w:w="993" w:type="dxa"/>
                  <w:vAlign w:val="center"/>
                </w:tcPr>
                <w:p>
                  <w:pPr>
                    <w:pStyle w:val="140"/>
                  </w:pPr>
                  <w:r>
                    <w:t>224.796</w:t>
                  </w:r>
                </w:p>
              </w:tc>
              <w:tc>
                <w:tcPr>
                  <w:tcW w:w="961" w:type="dxa"/>
                  <w:vAlign w:val="center"/>
                </w:tcPr>
                <w:p>
                  <w:pPr>
                    <w:pStyle w:val="140"/>
                  </w:pPr>
                  <w:r>
                    <w:t>224.796</w:t>
                  </w:r>
                </w:p>
              </w:tc>
              <w:tc>
                <w:tcPr>
                  <w:tcW w:w="881" w:type="dxa"/>
                  <w:vAlign w:val="center"/>
                </w:tcPr>
                <w:p>
                  <w:pPr>
                    <w:pStyle w:val="140"/>
                  </w:pPr>
                  <w:r>
                    <w:rPr>
                      <w:rFonts w:hint="eastAsia"/>
                      <w:color w:val="000000"/>
                    </w:rPr>
                    <w:t>0</w:t>
                  </w:r>
                </w:p>
              </w:tc>
              <w:tc>
                <w:tcPr>
                  <w:tcW w:w="993" w:type="dxa"/>
                  <w:vAlign w:val="center"/>
                </w:tcPr>
                <w:p>
                  <w:pPr>
                    <w:pStyle w:val="140"/>
                  </w:pPr>
                  <w:r>
                    <w:t>224.796</w:t>
                  </w:r>
                </w:p>
              </w:tc>
              <w:tc>
                <w:tcPr>
                  <w:tcW w:w="878" w:type="dxa"/>
                  <w:vAlign w:val="center"/>
                </w:tcPr>
                <w:p>
                  <w:pPr>
                    <w:pStyle w:val="160"/>
                    <w:snapToGrid w:val="0"/>
                    <w:spacing w:line="240" w:lineRule="auto"/>
                    <w:ind w:firstLine="0"/>
                    <w:jc w:val="center"/>
                    <w:rPr>
                      <w:color w:val="000000"/>
                      <w:sz w:val="21"/>
                      <w:szCs w:val="21"/>
                    </w:rPr>
                  </w:pPr>
                  <w:r>
                    <w:rPr>
                      <w:rFonts w:hint="eastAsia"/>
                      <w:color w:val="000000"/>
                      <w:sz w:val="21"/>
                      <w:szCs w:val="21"/>
                    </w:rPr>
                    <w:t>0</w:t>
                  </w:r>
                </w:p>
              </w:tc>
              <w:tc>
                <w:tcPr>
                  <w:tcW w:w="1000" w:type="dxa"/>
                  <w:vAlign w:val="center"/>
                </w:tcPr>
                <w:p>
                  <w:pPr>
                    <w:pStyle w:val="140"/>
                  </w:pPr>
                  <w:r>
                    <w:t>224.796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3" w:type="dxa"/>
                  <w:vMerge w:val="restart"/>
                  <w:vAlign w:val="center"/>
                </w:tcPr>
                <w:p>
                  <w:pPr>
                    <w:pStyle w:val="160"/>
                    <w:snapToGrid w:val="0"/>
                    <w:spacing w:line="240" w:lineRule="auto"/>
                    <w:ind w:firstLine="0"/>
                    <w:jc w:val="center"/>
                    <w:rPr>
                      <w:color w:val="000000"/>
                      <w:sz w:val="21"/>
                      <w:szCs w:val="21"/>
                    </w:rPr>
                  </w:pPr>
                  <w:r>
                    <w:rPr>
                      <w:color w:val="000000"/>
                      <w:sz w:val="21"/>
                      <w:szCs w:val="21"/>
                    </w:rPr>
                    <w:t>废气</w:t>
                  </w:r>
                </w:p>
              </w:tc>
              <w:tc>
                <w:tcPr>
                  <w:tcW w:w="893" w:type="dxa"/>
                  <w:vAlign w:val="center"/>
                </w:tcPr>
                <w:p>
                  <w:pPr>
                    <w:pStyle w:val="160"/>
                    <w:snapToGrid w:val="0"/>
                    <w:spacing w:line="240" w:lineRule="auto"/>
                    <w:ind w:firstLine="0"/>
                    <w:jc w:val="center"/>
                    <w:rPr>
                      <w:color w:val="000000"/>
                      <w:sz w:val="21"/>
                      <w:szCs w:val="21"/>
                    </w:rPr>
                  </w:pPr>
                  <w:r>
                    <w:rPr>
                      <w:color w:val="000000"/>
                      <w:sz w:val="21"/>
                      <w:szCs w:val="21"/>
                    </w:rPr>
                    <w:t>颗粒物</w:t>
                  </w:r>
                </w:p>
              </w:tc>
              <w:tc>
                <w:tcPr>
                  <w:tcW w:w="992" w:type="dxa"/>
                  <w:vAlign w:val="center"/>
                </w:tcPr>
                <w:p>
                  <w:pPr>
                    <w:pStyle w:val="140"/>
                  </w:pPr>
                  <w:r>
                    <w:t>5.4369</w:t>
                  </w:r>
                </w:p>
              </w:tc>
              <w:tc>
                <w:tcPr>
                  <w:tcW w:w="993" w:type="dxa"/>
                  <w:vAlign w:val="center"/>
                </w:tcPr>
                <w:p>
                  <w:pPr>
                    <w:pStyle w:val="140"/>
                  </w:pPr>
                  <w:r>
                    <w:t>/</w:t>
                  </w:r>
                </w:p>
              </w:tc>
              <w:tc>
                <w:tcPr>
                  <w:tcW w:w="961" w:type="dxa"/>
                  <w:vAlign w:val="center"/>
                </w:tcPr>
                <w:p>
                  <w:pPr>
                    <w:pStyle w:val="140"/>
                  </w:pPr>
                  <w:r>
                    <w:rPr>
                      <w:rFonts w:hint="eastAsia"/>
                    </w:rPr>
                    <w:t>0</w:t>
                  </w:r>
                  <w:r>
                    <w:t>.7180</w:t>
                  </w:r>
                </w:p>
              </w:tc>
              <w:tc>
                <w:tcPr>
                  <w:tcW w:w="881" w:type="dxa"/>
                  <w:vAlign w:val="center"/>
                </w:tcPr>
                <w:p>
                  <w:pPr>
                    <w:pStyle w:val="140"/>
                  </w:pPr>
                  <w:r>
                    <w:rPr>
                      <w:rFonts w:hint="eastAsia"/>
                    </w:rPr>
                    <w:t>0</w:t>
                  </w:r>
                  <w:r>
                    <w:t>.8070</w:t>
                  </w:r>
                </w:p>
              </w:tc>
              <w:tc>
                <w:tcPr>
                  <w:tcW w:w="993" w:type="dxa"/>
                  <w:vAlign w:val="center"/>
                </w:tcPr>
                <w:p>
                  <w:pPr>
                    <w:pStyle w:val="140"/>
                  </w:pPr>
                  <w:r>
                    <w:rPr>
                      <w:rFonts w:hint="eastAsia"/>
                    </w:rPr>
                    <w:t>5.3479</w:t>
                  </w:r>
                </w:p>
              </w:tc>
              <w:tc>
                <w:tcPr>
                  <w:tcW w:w="878" w:type="dxa"/>
                  <w:vAlign w:val="center"/>
                </w:tcPr>
                <w:p>
                  <w:pPr>
                    <w:pStyle w:val="160"/>
                    <w:snapToGrid w:val="0"/>
                    <w:spacing w:line="240" w:lineRule="auto"/>
                    <w:ind w:firstLine="0"/>
                    <w:jc w:val="center"/>
                    <w:rPr>
                      <w:color w:val="000000"/>
                      <w:sz w:val="21"/>
                      <w:szCs w:val="21"/>
                    </w:rPr>
                  </w:pPr>
                  <w:r>
                    <w:rPr>
                      <w:rFonts w:hint="eastAsia"/>
                      <w:color w:val="000000"/>
                      <w:sz w:val="21"/>
                      <w:szCs w:val="21"/>
                    </w:rPr>
                    <w:t>0.2245</w:t>
                  </w:r>
                </w:p>
              </w:tc>
              <w:tc>
                <w:tcPr>
                  <w:tcW w:w="1000" w:type="dxa"/>
                  <w:vAlign w:val="center"/>
                </w:tcPr>
                <w:p>
                  <w:pPr>
                    <w:pStyle w:val="160"/>
                    <w:snapToGrid w:val="0"/>
                    <w:spacing w:line="240" w:lineRule="auto"/>
                    <w:ind w:firstLine="0"/>
                    <w:jc w:val="center"/>
                    <w:rPr>
                      <w:color w:val="000000"/>
                      <w:sz w:val="21"/>
                      <w:szCs w:val="21"/>
                    </w:rPr>
                  </w:pPr>
                  <w:r>
                    <w:rPr>
                      <w:rFonts w:hint="eastAsia"/>
                      <w:color w:val="000000"/>
                      <w:sz w:val="21"/>
                      <w:szCs w:val="21"/>
                    </w:rPr>
                    <w:t>5.5724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3" w:type="dxa"/>
                  <w:vMerge w:val="continue"/>
                  <w:vAlign w:val="center"/>
                </w:tcPr>
                <w:p>
                  <w:pPr>
                    <w:pStyle w:val="160"/>
                    <w:snapToGrid w:val="0"/>
                    <w:spacing w:line="240" w:lineRule="auto"/>
                    <w:ind w:firstLine="0"/>
                    <w:jc w:val="center"/>
                    <w:rPr>
                      <w:color w:val="000000"/>
                      <w:sz w:val="21"/>
                      <w:szCs w:val="21"/>
                    </w:rPr>
                  </w:pPr>
                </w:p>
              </w:tc>
              <w:tc>
                <w:tcPr>
                  <w:tcW w:w="893" w:type="dxa"/>
                  <w:vAlign w:val="center"/>
                </w:tcPr>
                <w:p>
                  <w:pPr>
                    <w:pStyle w:val="160"/>
                    <w:snapToGrid w:val="0"/>
                    <w:spacing w:line="240" w:lineRule="auto"/>
                    <w:ind w:firstLine="0"/>
                    <w:jc w:val="center"/>
                    <w:rPr>
                      <w:color w:val="000000"/>
                      <w:sz w:val="21"/>
                      <w:szCs w:val="21"/>
                    </w:rPr>
                  </w:pPr>
                  <w:r>
                    <w:rPr>
                      <w:color w:val="000000"/>
                      <w:sz w:val="21"/>
                      <w:szCs w:val="21"/>
                    </w:rPr>
                    <w:t>SO</w:t>
                  </w:r>
                  <w:r>
                    <w:rPr>
                      <w:color w:val="000000"/>
                      <w:sz w:val="21"/>
                      <w:szCs w:val="21"/>
                      <w:vertAlign w:val="subscript"/>
                    </w:rPr>
                    <w:t>2</w:t>
                  </w:r>
                </w:p>
              </w:tc>
              <w:tc>
                <w:tcPr>
                  <w:tcW w:w="992" w:type="dxa"/>
                  <w:vAlign w:val="center"/>
                </w:tcPr>
                <w:p>
                  <w:pPr>
                    <w:pStyle w:val="140"/>
                  </w:pPr>
                  <w:r>
                    <w:t>6.3360</w:t>
                  </w:r>
                </w:p>
              </w:tc>
              <w:tc>
                <w:tcPr>
                  <w:tcW w:w="993" w:type="dxa"/>
                  <w:vAlign w:val="center"/>
                </w:tcPr>
                <w:p>
                  <w:pPr>
                    <w:pStyle w:val="140"/>
                  </w:pPr>
                  <w:r>
                    <w:t>/</w:t>
                  </w:r>
                </w:p>
              </w:tc>
              <w:tc>
                <w:tcPr>
                  <w:tcW w:w="961" w:type="dxa"/>
                  <w:vAlign w:val="center"/>
                </w:tcPr>
                <w:p>
                  <w:pPr>
                    <w:pStyle w:val="140"/>
                  </w:pPr>
                  <w:r>
                    <w:rPr>
                      <w:rFonts w:hint="eastAsia"/>
                    </w:rPr>
                    <w:t>0</w:t>
                  </w:r>
                </w:p>
              </w:tc>
              <w:tc>
                <w:tcPr>
                  <w:tcW w:w="881" w:type="dxa"/>
                  <w:vAlign w:val="center"/>
                </w:tcPr>
                <w:p>
                  <w:pPr>
                    <w:pStyle w:val="140"/>
                  </w:pPr>
                  <w:r>
                    <w:rPr>
                      <w:rFonts w:hint="eastAsia"/>
                      <w:color w:val="000000"/>
                    </w:rPr>
                    <w:t>0</w:t>
                  </w:r>
                </w:p>
              </w:tc>
              <w:tc>
                <w:tcPr>
                  <w:tcW w:w="993" w:type="dxa"/>
                  <w:vAlign w:val="center"/>
                </w:tcPr>
                <w:p>
                  <w:pPr>
                    <w:pStyle w:val="140"/>
                  </w:pPr>
                  <w:r>
                    <w:t>6.3360</w:t>
                  </w:r>
                </w:p>
              </w:tc>
              <w:tc>
                <w:tcPr>
                  <w:tcW w:w="878" w:type="dxa"/>
                  <w:vAlign w:val="center"/>
                </w:tcPr>
                <w:p>
                  <w:pPr>
                    <w:pStyle w:val="160"/>
                    <w:snapToGrid w:val="0"/>
                    <w:spacing w:line="240" w:lineRule="auto"/>
                    <w:ind w:firstLine="0"/>
                    <w:jc w:val="center"/>
                    <w:rPr>
                      <w:color w:val="000000"/>
                      <w:sz w:val="21"/>
                      <w:szCs w:val="21"/>
                    </w:rPr>
                  </w:pPr>
                  <w:r>
                    <w:rPr>
                      <w:rFonts w:hint="eastAsia"/>
                      <w:color w:val="000000"/>
                      <w:sz w:val="21"/>
                      <w:szCs w:val="21"/>
                    </w:rPr>
                    <w:t>0</w:t>
                  </w:r>
                </w:p>
              </w:tc>
              <w:tc>
                <w:tcPr>
                  <w:tcW w:w="1000" w:type="dxa"/>
                  <w:vAlign w:val="center"/>
                </w:tcPr>
                <w:p>
                  <w:pPr>
                    <w:pStyle w:val="140"/>
                  </w:pPr>
                  <w:r>
                    <w:t>6.3360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3" w:type="dxa"/>
                  <w:vMerge w:val="continue"/>
                  <w:vAlign w:val="center"/>
                </w:tcPr>
                <w:p>
                  <w:pPr>
                    <w:pStyle w:val="160"/>
                    <w:snapToGrid w:val="0"/>
                    <w:spacing w:line="240" w:lineRule="auto"/>
                    <w:ind w:firstLine="0"/>
                    <w:jc w:val="center"/>
                    <w:rPr>
                      <w:color w:val="000000"/>
                      <w:sz w:val="21"/>
                      <w:szCs w:val="21"/>
                    </w:rPr>
                  </w:pPr>
                </w:p>
              </w:tc>
              <w:tc>
                <w:tcPr>
                  <w:tcW w:w="893" w:type="dxa"/>
                  <w:vAlign w:val="center"/>
                </w:tcPr>
                <w:p>
                  <w:pPr>
                    <w:pStyle w:val="160"/>
                    <w:snapToGrid w:val="0"/>
                    <w:spacing w:line="240" w:lineRule="auto"/>
                    <w:ind w:firstLine="0"/>
                    <w:jc w:val="center"/>
                    <w:rPr>
                      <w:color w:val="000000"/>
                      <w:sz w:val="21"/>
                      <w:szCs w:val="21"/>
                    </w:rPr>
                  </w:pPr>
                  <w:r>
                    <w:rPr>
                      <w:color w:val="000000"/>
                      <w:sz w:val="21"/>
                      <w:szCs w:val="21"/>
                    </w:rPr>
                    <w:t>NO</w:t>
                  </w:r>
                  <w:r>
                    <w:rPr>
                      <w:color w:val="000000"/>
                      <w:sz w:val="21"/>
                      <w:szCs w:val="21"/>
                      <w:vertAlign w:val="subscript"/>
                    </w:rPr>
                    <w:t>X</w:t>
                  </w:r>
                </w:p>
              </w:tc>
              <w:tc>
                <w:tcPr>
                  <w:tcW w:w="992" w:type="dxa"/>
                  <w:vAlign w:val="center"/>
                </w:tcPr>
                <w:p>
                  <w:pPr>
                    <w:pStyle w:val="140"/>
                  </w:pPr>
                  <w:r>
                    <w:t>12.6720</w:t>
                  </w:r>
                </w:p>
              </w:tc>
              <w:tc>
                <w:tcPr>
                  <w:tcW w:w="993" w:type="dxa"/>
                  <w:vAlign w:val="center"/>
                </w:tcPr>
                <w:p>
                  <w:pPr>
                    <w:pStyle w:val="140"/>
                  </w:pPr>
                  <w:r>
                    <w:t>/</w:t>
                  </w:r>
                </w:p>
              </w:tc>
              <w:tc>
                <w:tcPr>
                  <w:tcW w:w="961" w:type="dxa"/>
                  <w:vAlign w:val="center"/>
                </w:tcPr>
                <w:p>
                  <w:pPr>
                    <w:pStyle w:val="140"/>
                  </w:pPr>
                  <w:r>
                    <w:rPr>
                      <w:rFonts w:hint="eastAsia"/>
                    </w:rPr>
                    <w:t>0</w:t>
                  </w:r>
                </w:p>
              </w:tc>
              <w:tc>
                <w:tcPr>
                  <w:tcW w:w="881" w:type="dxa"/>
                  <w:vAlign w:val="center"/>
                </w:tcPr>
                <w:p>
                  <w:pPr>
                    <w:pStyle w:val="140"/>
                  </w:pPr>
                  <w:r>
                    <w:rPr>
                      <w:rFonts w:hint="eastAsia"/>
                      <w:color w:val="000000"/>
                    </w:rPr>
                    <w:t>0</w:t>
                  </w:r>
                </w:p>
              </w:tc>
              <w:tc>
                <w:tcPr>
                  <w:tcW w:w="993" w:type="dxa"/>
                  <w:vAlign w:val="center"/>
                </w:tcPr>
                <w:p>
                  <w:pPr>
                    <w:pStyle w:val="140"/>
                  </w:pPr>
                  <w:r>
                    <w:t>12.6720</w:t>
                  </w:r>
                </w:p>
              </w:tc>
              <w:tc>
                <w:tcPr>
                  <w:tcW w:w="878" w:type="dxa"/>
                  <w:vAlign w:val="center"/>
                </w:tcPr>
                <w:p>
                  <w:pPr>
                    <w:pStyle w:val="160"/>
                    <w:snapToGrid w:val="0"/>
                    <w:spacing w:line="240" w:lineRule="auto"/>
                    <w:ind w:firstLine="0"/>
                    <w:jc w:val="center"/>
                    <w:rPr>
                      <w:color w:val="000000"/>
                      <w:sz w:val="21"/>
                      <w:szCs w:val="21"/>
                    </w:rPr>
                  </w:pPr>
                  <w:r>
                    <w:rPr>
                      <w:rFonts w:hint="eastAsia"/>
                      <w:color w:val="000000"/>
                      <w:sz w:val="21"/>
                      <w:szCs w:val="21"/>
                    </w:rPr>
                    <w:t>0</w:t>
                  </w:r>
                </w:p>
              </w:tc>
              <w:tc>
                <w:tcPr>
                  <w:tcW w:w="1000" w:type="dxa"/>
                  <w:vAlign w:val="center"/>
                </w:tcPr>
                <w:p>
                  <w:pPr>
                    <w:pStyle w:val="140"/>
                  </w:pPr>
                  <w:r>
                    <w:t>12.6720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3" w:type="dxa"/>
                  <w:vMerge w:val="continue"/>
                  <w:vAlign w:val="center"/>
                </w:tcPr>
                <w:p>
                  <w:pPr>
                    <w:pStyle w:val="160"/>
                    <w:snapToGrid w:val="0"/>
                    <w:spacing w:line="240" w:lineRule="auto"/>
                    <w:ind w:firstLine="0"/>
                    <w:jc w:val="center"/>
                    <w:rPr>
                      <w:color w:val="000000"/>
                      <w:sz w:val="21"/>
                      <w:szCs w:val="21"/>
                    </w:rPr>
                  </w:pPr>
                </w:p>
              </w:tc>
              <w:tc>
                <w:tcPr>
                  <w:tcW w:w="893" w:type="dxa"/>
                  <w:vAlign w:val="center"/>
                </w:tcPr>
                <w:p>
                  <w:pPr>
                    <w:pStyle w:val="160"/>
                    <w:snapToGrid w:val="0"/>
                    <w:spacing w:line="240" w:lineRule="auto"/>
                    <w:ind w:firstLine="0"/>
                    <w:jc w:val="center"/>
                    <w:rPr>
                      <w:color w:val="000000"/>
                      <w:sz w:val="21"/>
                      <w:szCs w:val="21"/>
                    </w:rPr>
                  </w:pPr>
                  <w:r>
                    <w:rPr>
                      <w:rFonts w:hint="eastAsia"/>
                      <w:color w:val="000000"/>
                      <w:sz w:val="21"/>
                      <w:szCs w:val="21"/>
                    </w:rPr>
                    <w:t>NH</w:t>
                  </w:r>
                  <w:r>
                    <w:rPr>
                      <w:rFonts w:hint="eastAsia"/>
                      <w:color w:val="000000"/>
                      <w:sz w:val="21"/>
                      <w:szCs w:val="21"/>
                      <w:vertAlign w:val="subscript"/>
                    </w:rPr>
                    <w:t>3</w:t>
                  </w:r>
                </w:p>
              </w:tc>
              <w:tc>
                <w:tcPr>
                  <w:tcW w:w="992" w:type="dxa"/>
                  <w:vAlign w:val="center"/>
                </w:tcPr>
                <w:p>
                  <w:pPr>
                    <w:pStyle w:val="140"/>
                  </w:pPr>
                  <w:r>
                    <w:t>1.1326</w:t>
                  </w:r>
                </w:p>
              </w:tc>
              <w:tc>
                <w:tcPr>
                  <w:tcW w:w="993" w:type="dxa"/>
                  <w:vAlign w:val="center"/>
                </w:tcPr>
                <w:p>
                  <w:pPr>
                    <w:pStyle w:val="140"/>
                  </w:pPr>
                  <w:r>
                    <w:t>/</w:t>
                  </w:r>
                </w:p>
              </w:tc>
              <w:tc>
                <w:tcPr>
                  <w:tcW w:w="961" w:type="dxa"/>
                  <w:vAlign w:val="center"/>
                </w:tcPr>
                <w:p>
                  <w:pPr>
                    <w:pStyle w:val="140"/>
                  </w:pPr>
                  <w:r>
                    <w:rPr>
                      <w:rFonts w:hint="eastAsia"/>
                    </w:rPr>
                    <w:t>0</w:t>
                  </w:r>
                </w:p>
              </w:tc>
              <w:tc>
                <w:tcPr>
                  <w:tcW w:w="881" w:type="dxa"/>
                  <w:vAlign w:val="center"/>
                </w:tcPr>
                <w:p>
                  <w:pPr>
                    <w:pStyle w:val="140"/>
                  </w:pPr>
                  <w:r>
                    <w:rPr>
                      <w:rFonts w:hint="eastAsia"/>
                      <w:color w:val="000000"/>
                    </w:rPr>
                    <w:t>0</w:t>
                  </w:r>
                </w:p>
              </w:tc>
              <w:tc>
                <w:tcPr>
                  <w:tcW w:w="993" w:type="dxa"/>
                  <w:vAlign w:val="center"/>
                </w:tcPr>
                <w:p>
                  <w:pPr>
                    <w:pStyle w:val="140"/>
                  </w:pPr>
                  <w:r>
                    <w:t>1.1326</w:t>
                  </w:r>
                </w:p>
              </w:tc>
              <w:tc>
                <w:tcPr>
                  <w:tcW w:w="878" w:type="dxa"/>
                  <w:vAlign w:val="center"/>
                </w:tcPr>
                <w:p>
                  <w:pPr>
                    <w:pStyle w:val="160"/>
                    <w:snapToGrid w:val="0"/>
                    <w:spacing w:line="240" w:lineRule="auto"/>
                    <w:ind w:firstLine="0"/>
                    <w:jc w:val="center"/>
                    <w:rPr>
                      <w:color w:val="000000"/>
                      <w:sz w:val="21"/>
                      <w:szCs w:val="21"/>
                    </w:rPr>
                  </w:pPr>
                  <w:r>
                    <w:rPr>
                      <w:rFonts w:hint="eastAsia"/>
                      <w:color w:val="000000"/>
                      <w:sz w:val="21"/>
                      <w:szCs w:val="21"/>
                    </w:rPr>
                    <w:t>0</w:t>
                  </w:r>
                </w:p>
              </w:tc>
              <w:tc>
                <w:tcPr>
                  <w:tcW w:w="1000" w:type="dxa"/>
                  <w:vAlign w:val="center"/>
                </w:tcPr>
                <w:p>
                  <w:pPr>
                    <w:pStyle w:val="140"/>
                  </w:pPr>
                  <w:r>
                    <w:t>1.1326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3" w:type="dxa"/>
                  <w:vMerge w:val="continue"/>
                  <w:vAlign w:val="center"/>
                </w:tcPr>
                <w:p>
                  <w:pPr>
                    <w:pStyle w:val="160"/>
                    <w:snapToGrid w:val="0"/>
                    <w:spacing w:line="240" w:lineRule="auto"/>
                    <w:ind w:firstLine="0"/>
                    <w:jc w:val="center"/>
                    <w:rPr>
                      <w:color w:val="000000"/>
                      <w:sz w:val="21"/>
                      <w:szCs w:val="21"/>
                    </w:rPr>
                  </w:pPr>
                </w:p>
              </w:tc>
              <w:tc>
                <w:tcPr>
                  <w:tcW w:w="893" w:type="dxa"/>
                  <w:vAlign w:val="center"/>
                </w:tcPr>
                <w:p>
                  <w:pPr>
                    <w:pStyle w:val="160"/>
                    <w:snapToGrid w:val="0"/>
                    <w:spacing w:line="240" w:lineRule="auto"/>
                    <w:ind w:firstLine="0"/>
                    <w:jc w:val="center"/>
                    <w:rPr>
                      <w:color w:val="000000"/>
                      <w:sz w:val="21"/>
                      <w:szCs w:val="21"/>
                    </w:rPr>
                  </w:pPr>
                  <w:r>
                    <w:rPr>
                      <w:rFonts w:hint="eastAsia"/>
                      <w:color w:val="000000"/>
                      <w:sz w:val="21"/>
                      <w:szCs w:val="21"/>
                    </w:rPr>
                    <w:t>H</w:t>
                  </w:r>
                  <w:r>
                    <w:rPr>
                      <w:rFonts w:hint="eastAsia"/>
                      <w:color w:val="000000"/>
                      <w:sz w:val="21"/>
                      <w:szCs w:val="21"/>
                      <w:vertAlign w:val="subscript"/>
                    </w:rPr>
                    <w:t>2</w:t>
                  </w:r>
                  <w:r>
                    <w:rPr>
                      <w:rFonts w:hint="eastAsia"/>
                      <w:color w:val="000000"/>
                      <w:sz w:val="21"/>
                      <w:szCs w:val="21"/>
                    </w:rPr>
                    <w:t>S</w:t>
                  </w:r>
                </w:p>
              </w:tc>
              <w:tc>
                <w:tcPr>
                  <w:tcW w:w="992" w:type="dxa"/>
                  <w:vAlign w:val="center"/>
                </w:tcPr>
                <w:p>
                  <w:pPr>
                    <w:pStyle w:val="140"/>
                  </w:pPr>
                  <w:r>
                    <w:t>0.1441</w:t>
                  </w:r>
                </w:p>
              </w:tc>
              <w:tc>
                <w:tcPr>
                  <w:tcW w:w="993" w:type="dxa"/>
                  <w:vAlign w:val="center"/>
                </w:tcPr>
                <w:p>
                  <w:pPr>
                    <w:pStyle w:val="140"/>
                  </w:pPr>
                  <w:r>
                    <w:t>/</w:t>
                  </w:r>
                </w:p>
              </w:tc>
              <w:tc>
                <w:tcPr>
                  <w:tcW w:w="961" w:type="dxa"/>
                  <w:vAlign w:val="center"/>
                </w:tcPr>
                <w:p>
                  <w:pPr>
                    <w:pStyle w:val="140"/>
                  </w:pPr>
                  <w:r>
                    <w:rPr>
                      <w:rFonts w:hint="eastAsia"/>
                    </w:rPr>
                    <w:t>0</w:t>
                  </w:r>
                </w:p>
              </w:tc>
              <w:tc>
                <w:tcPr>
                  <w:tcW w:w="881" w:type="dxa"/>
                  <w:vAlign w:val="center"/>
                </w:tcPr>
                <w:p>
                  <w:pPr>
                    <w:pStyle w:val="140"/>
                  </w:pPr>
                  <w:r>
                    <w:rPr>
                      <w:rFonts w:hint="eastAsia"/>
                      <w:color w:val="000000"/>
                    </w:rPr>
                    <w:t>0</w:t>
                  </w:r>
                </w:p>
              </w:tc>
              <w:tc>
                <w:tcPr>
                  <w:tcW w:w="993" w:type="dxa"/>
                  <w:vAlign w:val="center"/>
                </w:tcPr>
                <w:p>
                  <w:pPr>
                    <w:pStyle w:val="140"/>
                  </w:pPr>
                  <w:r>
                    <w:t>0.1441</w:t>
                  </w:r>
                </w:p>
              </w:tc>
              <w:tc>
                <w:tcPr>
                  <w:tcW w:w="878" w:type="dxa"/>
                  <w:vAlign w:val="center"/>
                </w:tcPr>
                <w:p>
                  <w:pPr>
                    <w:pStyle w:val="160"/>
                    <w:snapToGrid w:val="0"/>
                    <w:spacing w:line="240" w:lineRule="auto"/>
                    <w:ind w:firstLine="0"/>
                    <w:jc w:val="center"/>
                    <w:rPr>
                      <w:color w:val="000000"/>
                      <w:sz w:val="21"/>
                      <w:szCs w:val="21"/>
                    </w:rPr>
                  </w:pPr>
                  <w:r>
                    <w:rPr>
                      <w:rFonts w:hint="eastAsia"/>
                      <w:color w:val="000000"/>
                      <w:sz w:val="21"/>
                      <w:szCs w:val="21"/>
                    </w:rPr>
                    <w:t>0</w:t>
                  </w:r>
                </w:p>
              </w:tc>
              <w:tc>
                <w:tcPr>
                  <w:tcW w:w="1000" w:type="dxa"/>
                  <w:vAlign w:val="center"/>
                </w:tcPr>
                <w:p>
                  <w:pPr>
                    <w:pStyle w:val="140"/>
                  </w:pPr>
                  <w:r>
                    <w:t>0.1441</w:t>
                  </w:r>
                </w:p>
              </w:tc>
            </w:tr>
          </w:tbl>
          <w:p>
            <w:pPr>
              <w:spacing w:line="480" w:lineRule="exact"/>
              <w:ind w:firstLine="480" w:firstLineChars="200"/>
              <w:rPr>
                <w:sz w:val="24"/>
              </w:rPr>
            </w:pPr>
            <w:r>
              <w:rPr>
                <w:rFonts w:hint="eastAsia"/>
                <w:sz w:val="24"/>
              </w:rPr>
              <w:t>根据新乡市生态环境局关于转发《河南省生态环境厅关于印发建设项目主要污染物排放总量指标管理工作内部规程的通知》的通知和《新乡市建设项目新增总量指标替代管理指导意见（试行）》的要求，对新增重点污染物（化学需氧量、氨氮、二氧化硫、氮氧化物、挥发性有机物，重金属铅、铬、镉、汞、砷10类）排放量的项目，需要进行总量审核。本项目不涉及重点污染物</w:t>
            </w:r>
            <w:r>
              <w:rPr>
                <w:rFonts w:hint="eastAsia"/>
                <w:bCs/>
                <w:sz w:val="24"/>
                <w:lang w:val="pt-BR"/>
              </w:rPr>
              <w:t>，</w:t>
            </w:r>
            <w:r>
              <w:rPr>
                <w:bCs/>
                <w:sz w:val="24"/>
                <w:lang w:val="pt-BR"/>
              </w:rPr>
              <w:t>本项目涉及其他污染物为颗粒物</w:t>
            </w:r>
            <w:r>
              <w:rPr>
                <w:rFonts w:hint="eastAsia"/>
                <w:sz w:val="24"/>
              </w:rPr>
              <w:t>。</w:t>
            </w:r>
          </w:p>
          <w:p>
            <w:pPr>
              <w:spacing w:line="480" w:lineRule="exact"/>
              <w:ind w:firstLine="480" w:firstLineChars="200"/>
              <w:rPr>
                <w:sz w:val="24"/>
              </w:rPr>
            </w:pPr>
            <w:r>
              <w:rPr>
                <w:rFonts w:hint="eastAsia"/>
                <w:sz w:val="24"/>
              </w:rPr>
              <w:t>本项目属于改扩建项目，新增污染物排放量为颗粒物0.2245</w:t>
            </w:r>
            <w:r>
              <w:rPr>
                <w:sz w:val="24"/>
              </w:rPr>
              <w:t>t/a</w:t>
            </w:r>
            <w:r>
              <w:rPr>
                <w:rFonts w:hint="eastAsia"/>
                <w:sz w:val="24"/>
              </w:rPr>
              <w:t>。</w:t>
            </w:r>
            <w:r>
              <w:rPr>
                <w:sz w:val="24"/>
              </w:rPr>
              <w:t>新增重点污染物排放总量进行双倍替代</w:t>
            </w:r>
            <w:r>
              <w:rPr>
                <w:rFonts w:hint="eastAsia"/>
                <w:sz w:val="24"/>
              </w:rPr>
              <w:t>，双倍替代量为颗粒物0.449t/a，从新乡市奥柯建材有限公司导热油炉、煤气发生炉拆改剩余削减量颗粒物5</w:t>
            </w:r>
            <w:r>
              <w:rPr>
                <w:sz w:val="24"/>
              </w:rPr>
              <w:t>.414398</w:t>
            </w:r>
            <w:r>
              <w:rPr>
                <w:rFonts w:hint="eastAsia"/>
                <w:sz w:val="24"/>
              </w:rPr>
              <w:t>t</w:t>
            </w:r>
            <w:r>
              <w:rPr>
                <w:sz w:val="24"/>
              </w:rPr>
              <w:t>/</w:t>
            </w:r>
            <w:r>
              <w:rPr>
                <w:rFonts w:hint="eastAsia"/>
                <w:sz w:val="24"/>
              </w:rPr>
              <w:t>a中扣除指标。</w:t>
            </w: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rPr>
                <w:rFonts w:hint="eastAsia"/>
                <w:color w:val="000000"/>
                <w:sz w:val="24"/>
              </w:rPr>
            </w:pPr>
          </w:p>
        </w:tc>
      </w:tr>
    </w:tbl>
    <w:p>
      <w:pPr>
        <w:pStyle w:val="29"/>
        <w:jc w:val="center"/>
        <w:outlineLvl w:val="0"/>
        <w:rPr>
          <w:rFonts w:ascii="黑体" w:hAnsi="黑体" w:eastAsia="黑体"/>
          <w:snapToGrid w:val="0"/>
          <w:color w:val="000000"/>
          <w:sz w:val="30"/>
          <w:szCs w:val="30"/>
        </w:rPr>
      </w:pPr>
      <w:r>
        <w:rPr>
          <w:rFonts w:ascii="黑体" w:hAnsi="黑体" w:eastAsia="黑体"/>
          <w:snapToGrid w:val="0"/>
          <w:color w:val="000000"/>
          <w:sz w:val="36"/>
          <w:szCs w:val="36"/>
        </w:rPr>
        <w:br w:type="page"/>
      </w:r>
      <w:r>
        <w:rPr>
          <w:rFonts w:hint="eastAsia" w:ascii="黑体" w:hAnsi="黑体" w:eastAsia="黑体"/>
          <w:snapToGrid w:val="0"/>
          <w:color w:val="000000"/>
          <w:sz w:val="30"/>
          <w:szCs w:val="30"/>
        </w:rPr>
        <w:t>四、主要环境影响和保护措施</w:t>
      </w:r>
    </w:p>
    <w:tbl>
      <w:tblPr>
        <w:tblStyle w:val="31"/>
        <w:tblpPr w:leftFromText="180" w:rightFromText="180" w:vertAnchor="text" w:tblpXSpec="center" w:tblpY="1"/>
        <w:tblOverlap w:val="never"/>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7"/>
        <w:gridCol w:w="82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410" w:type="pct"/>
            <w:tcMar>
              <w:left w:w="28" w:type="dxa"/>
              <w:right w:w="28" w:type="dxa"/>
            </w:tcMar>
            <w:vAlign w:val="center"/>
          </w:tcPr>
          <w:p>
            <w:pPr>
              <w:pStyle w:val="29"/>
              <w:adjustRightInd w:val="0"/>
              <w:snapToGrid w:val="0"/>
              <w:spacing w:before="0" w:beforeAutospacing="0" w:after="0" w:afterAutospacing="0"/>
              <w:jc w:val="center"/>
              <w:rPr>
                <w:rFonts w:cs="宋体"/>
                <w:color w:val="000000"/>
                <w:kern w:val="2"/>
                <w:sz w:val="21"/>
                <w:szCs w:val="21"/>
              </w:rPr>
            </w:pPr>
            <w:r>
              <w:rPr>
                <w:rFonts w:hint="eastAsia" w:cs="宋体"/>
                <w:color w:val="000000"/>
                <w:kern w:val="2"/>
                <w:sz w:val="21"/>
                <w:szCs w:val="21"/>
              </w:rPr>
              <w:t>施工</w:t>
            </w:r>
          </w:p>
          <w:p>
            <w:pPr>
              <w:pStyle w:val="29"/>
              <w:adjustRightInd w:val="0"/>
              <w:snapToGrid w:val="0"/>
              <w:spacing w:before="0" w:beforeAutospacing="0" w:after="0" w:afterAutospacing="0"/>
              <w:jc w:val="center"/>
              <w:rPr>
                <w:rFonts w:cs="宋体"/>
                <w:color w:val="000000"/>
                <w:kern w:val="2"/>
                <w:sz w:val="21"/>
                <w:szCs w:val="21"/>
              </w:rPr>
            </w:pPr>
            <w:r>
              <w:rPr>
                <w:rFonts w:hint="eastAsia" w:cs="宋体"/>
                <w:color w:val="000000"/>
                <w:kern w:val="2"/>
                <w:sz w:val="21"/>
                <w:szCs w:val="21"/>
              </w:rPr>
              <w:t>期环</w:t>
            </w:r>
          </w:p>
          <w:p>
            <w:pPr>
              <w:pStyle w:val="29"/>
              <w:adjustRightInd w:val="0"/>
              <w:snapToGrid w:val="0"/>
              <w:spacing w:before="0" w:beforeAutospacing="0" w:after="0" w:afterAutospacing="0"/>
              <w:jc w:val="center"/>
              <w:rPr>
                <w:rFonts w:cs="宋体"/>
                <w:color w:val="000000"/>
                <w:kern w:val="2"/>
                <w:sz w:val="21"/>
                <w:szCs w:val="21"/>
              </w:rPr>
            </w:pPr>
            <w:r>
              <w:rPr>
                <w:rFonts w:hint="eastAsia" w:cs="宋体"/>
                <w:color w:val="000000"/>
                <w:kern w:val="2"/>
                <w:sz w:val="21"/>
                <w:szCs w:val="21"/>
              </w:rPr>
              <w:t>境保</w:t>
            </w:r>
          </w:p>
          <w:p>
            <w:pPr>
              <w:pStyle w:val="29"/>
              <w:adjustRightInd w:val="0"/>
              <w:snapToGrid w:val="0"/>
              <w:spacing w:before="0" w:beforeAutospacing="0" w:after="0" w:afterAutospacing="0"/>
              <w:jc w:val="center"/>
              <w:rPr>
                <w:rFonts w:cs="宋体"/>
                <w:color w:val="000000"/>
                <w:kern w:val="2"/>
                <w:sz w:val="21"/>
                <w:szCs w:val="21"/>
              </w:rPr>
            </w:pPr>
            <w:r>
              <w:rPr>
                <w:rFonts w:hint="eastAsia" w:cs="宋体"/>
                <w:color w:val="000000"/>
                <w:kern w:val="2"/>
                <w:sz w:val="21"/>
                <w:szCs w:val="21"/>
              </w:rPr>
              <w:t>护措</w:t>
            </w:r>
          </w:p>
          <w:p>
            <w:pPr>
              <w:pStyle w:val="29"/>
              <w:adjustRightInd w:val="0"/>
              <w:snapToGrid w:val="0"/>
              <w:spacing w:before="0" w:beforeAutospacing="0" w:after="0" w:afterAutospacing="0"/>
              <w:jc w:val="center"/>
              <w:rPr>
                <w:rFonts w:cs="宋体"/>
                <w:bCs/>
                <w:color w:val="000000"/>
                <w:kern w:val="2"/>
                <w:szCs w:val="24"/>
              </w:rPr>
            </w:pPr>
            <w:r>
              <w:rPr>
                <w:rFonts w:hint="eastAsia" w:cs="宋体"/>
                <w:color w:val="000000"/>
                <w:kern w:val="2"/>
                <w:sz w:val="21"/>
                <w:szCs w:val="21"/>
              </w:rPr>
              <w:t>施</w:t>
            </w:r>
          </w:p>
        </w:tc>
        <w:tc>
          <w:tcPr>
            <w:tcW w:w="4590" w:type="pct"/>
            <w:vAlign w:val="center"/>
          </w:tcPr>
          <w:p>
            <w:pPr>
              <w:spacing w:line="460" w:lineRule="exact"/>
              <w:ind w:firstLine="480" w:firstLineChars="200"/>
              <w:rPr>
                <w:rFonts w:ascii="Calibri" w:hAnsi="Calibri" w:cs="Calibri"/>
                <w:bCs/>
                <w:color w:val="000000"/>
                <w:sz w:val="24"/>
                <w:szCs w:val="20"/>
              </w:rPr>
            </w:pPr>
            <w:r>
              <w:rPr>
                <w:rFonts w:hint="eastAsia" w:ascii="Calibri" w:hAnsi="Calibri" w:cs="Calibri"/>
                <w:bCs/>
                <w:color w:val="000000"/>
                <w:sz w:val="24"/>
                <w:szCs w:val="20"/>
              </w:rPr>
              <w:t>本项目</w:t>
            </w:r>
            <w:r>
              <w:rPr>
                <w:rFonts w:hint="eastAsia"/>
                <w:color w:val="000000"/>
                <w:sz w:val="24"/>
              </w:rPr>
              <w:t>利用厂区内现有车间</w:t>
            </w:r>
            <w:r>
              <w:rPr>
                <w:rFonts w:hint="eastAsia" w:ascii="Calibri" w:hAnsi="Calibri" w:cs="Calibri"/>
                <w:bCs/>
                <w:color w:val="000000"/>
                <w:sz w:val="24"/>
                <w:szCs w:val="20"/>
              </w:rPr>
              <w:t>进行生产，仅进行设备的安装，因此不存在施工期影响。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410" w:type="pct"/>
            <w:tcMar>
              <w:left w:w="28" w:type="dxa"/>
              <w:right w:w="28" w:type="dxa"/>
            </w:tcMar>
            <w:vAlign w:val="center"/>
          </w:tcPr>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pStyle w:val="29"/>
              <w:adjustRightInd w:val="0"/>
              <w:snapToGrid w:val="0"/>
              <w:spacing w:before="0" w:beforeAutospacing="0" w:after="0" w:afterAutospacing="0"/>
              <w:jc w:val="center"/>
              <w:rPr>
                <w:rFonts w:cs="宋体"/>
                <w:color w:val="000000"/>
                <w:kern w:val="2"/>
                <w:sz w:val="21"/>
                <w:szCs w:val="21"/>
              </w:rPr>
            </w:pPr>
            <w:r>
              <w:rPr>
                <w:bCs/>
                <w:sz w:val="21"/>
                <w:szCs w:val="21"/>
              </w:rPr>
              <w:t>措施</w:t>
            </w:r>
          </w:p>
        </w:tc>
        <w:tc>
          <w:tcPr>
            <w:tcW w:w="4590" w:type="pct"/>
            <w:vAlign w:val="center"/>
          </w:tcPr>
          <w:p>
            <w:pPr>
              <w:spacing w:line="440" w:lineRule="exact"/>
              <w:jc w:val="left"/>
              <w:rPr>
                <w:b/>
                <w:sz w:val="24"/>
              </w:rPr>
            </w:pPr>
            <w:r>
              <w:rPr>
                <w:b/>
                <w:sz w:val="24"/>
              </w:rPr>
              <w:t>营运期环境影响分析：</w:t>
            </w:r>
          </w:p>
          <w:p>
            <w:pPr>
              <w:spacing w:line="460" w:lineRule="exact"/>
              <w:ind w:firstLine="480" w:firstLineChars="200"/>
              <w:jc w:val="left"/>
              <w:rPr>
                <w:sz w:val="24"/>
              </w:rPr>
            </w:pPr>
            <w:r>
              <w:rPr>
                <w:sz w:val="24"/>
              </w:rPr>
              <w:t>营运期污染因素主要有废气、废水</w:t>
            </w:r>
            <w:r>
              <w:rPr>
                <w:rFonts w:hint="eastAsia"/>
                <w:sz w:val="24"/>
              </w:rPr>
              <w:t>、</w:t>
            </w:r>
            <w:r>
              <w:rPr>
                <w:sz w:val="24"/>
              </w:rPr>
              <w:t>噪声、固废，具体内容详见以下分析。</w:t>
            </w:r>
          </w:p>
          <w:p>
            <w:pPr>
              <w:spacing w:line="460" w:lineRule="exact"/>
              <w:jc w:val="left"/>
              <w:rPr>
                <w:rFonts w:ascii="Calibri" w:hAnsi="Calibri" w:cs="Calibri"/>
                <w:b/>
                <w:bCs/>
                <w:color w:val="000000"/>
                <w:sz w:val="24"/>
                <w:szCs w:val="20"/>
              </w:rPr>
            </w:pPr>
            <w:r>
              <w:rPr>
                <w:rFonts w:hint="eastAsia" w:ascii="Calibri" w:hAnsi="Calibri" w:cs="Calibri"/>
                <w:b/>
                <w:bCs/>
                <w:color w:val="000000"/>
                <w:sz w:val="24"/>
                <w:szCs w:val="20"/>
              </w:rPr>
              <w:t>一、废气</w:t>
            </w:r>
          </w:p>
          <w:p>
            <w:pPr>
              <w:tabs>
                <w:tab w:val="left" w:pos="354"/>
              </w:tabs>
              <w:spacing w:line="440" w:lineRule="exact"/>
              <w:ind w:firstLine="480" w:firstLineChars="200"/>
              <w:rPr>
                <w:sz w:val="24"/>
              </w:rPr>
            </w:pPr>
            <w:r>
              <w:rPr>
                <w:sz w:val="24"/>
              </w:rPr>
              <w:t>本项目废气主要为浆钙制备工段的投料粉尘</w:t>
            </w:r>
            <w:r>
              <w:rPr>
                <w:rFonts w:hint="eastAsia"/>
                <w:sz w:val="24"/>
              </w:rPr>
              <w:t>、研磨粉尘，涂布工段的投料粉尘、分散搅拌粉尘、面涂配料粉尘</w:t>
            </w:r>
            <w:r>
              <w:rPr>
                <w:sz w:val="24"/>
              </w:rPr>
              <w:t>。</w:t>
            </w:r>
          </w:p>
          <w:p>
            <w:pPr>
              <w:numPr>
                <w:ilvl w:val="0"/>
                <w:numId w:val="5"/>
              </w:numPr>
              <w:tabs>
                <w:tab w:val="left" w:pos="354"/>
              </w:tabs>
              <w:spacing w:line="440" w:lineRule="exact"/>
              <w:rPr>
                <w:b/>
                <w:sz w:val="24"/>
              </w:rPr>
            </w:pPr>
            <w:r>
              <w:rPr>
                <w:rFonts w:hint="eastAsia"/>
                <w:b/>
                <w:sz w:val="24"/>
              </w:rPr>
              <w:t>废气产生情况</w:t>
            </w:r>
          </w:p>
          <w:p>
            <w:pPr>
              <w:spacing w:line="480" w:lineRule="exact"/>
              <w:ind w:firstLine="480"/>
              <w:rPr>
                <w:sz w:val="24"/>
              </w:rPr>
            </w:pPr>
            <w:r>
              <w:rPr>
                <w:rFonts w:hint="eastAsia"/>
                <w:sz w:val="24"/>
              </w:rPr>
              <w:t>（1）浆钙制备投料粉尘</w:t>
            </w:r>
          </w:p>
          <w:p>
            <w:pPr>
              <w:spacing w:line="480" w:lineRule="exact"/>
              <w:ind w:firstLine="480"/>
              <w:rPr>
                <w:sz w:val="24"/>
              </w:rPr>
            </w:pPr>
            <w:r>
              <w:rPr>
                <w:sz w:val="24"/>
              </w:rPr>
              <w:t>本项目浆钙生产线使用钙粉</w:t>
            </w:r>
            <w:r>
              <w:rPr>
                <w:rFonts w:hint="eastAsia"/>
                <w:sz w:val="24"/>
              </w:rPr>
              <w:t>包装规格为吨包，依托在建浆钙生产线的吨包自动上料系统1套，吨包经行车运至密闭投料间内放置在吨包自动上料机上，然后经密闭螺旋输送机输送到研磨机内。吨包上料过程</w:t>
            </w:r>
            <w:r>
              <w:rPr>
                <w:sz w:val="24"/>
              </w:rPr>
              <w:t>会产生粉尘</w:t>
            </w:r>
            <w:r>
              <w:rPr>
                <w:rFonts w:hint="eastAsia"/>
                <w:sz w:val="24"/>
              </w:rPr>
              <w:t>，</w:t>
            </w:r>
            <w:r>
              <w:rPr>
                <w:sz w:val="24"/>
              </w:rPr>
              <w:t>根据《</w:t>
            </w:r>
            <w:r>
              <w:rPr>
                <w:rFonts w:hint="eastAsia"/>
                <w:sz w:val="24"/>
              </w:rPr>
              <w:t>工业源产排污核算方法和系数手册-3099其他非金属矿物制品制造行业系数手册</w:t>
            </w:r>
            <w:r>
              <w:rPr>
                <w:sz w:val="24"/>
              </w:rPr>
              <w:t>》（</w:t>
            </w:r>
            <w:r>
              <w:rPr>
                <w:rFonts w:hint="eastAsia"/>
                <w:sz w:val="24"/>
              </w:rPr>
              <w:t>第二次污染源普查</w:t>
            </w:r>
            <w:r>
              <w:rPr>
                <w:sz w:val="24"/>
              </w:rPr>
              <w:t>）</w:t>
            </w:r>
            <w:r>
              <w:rPr>
                <w:rFonts w:hint="eastAsia"/>
                <w:sz w:val="24"/>
              </w:rPr>
              <w:t>，钙粉破碎、筛分、粉磨工序颗粒物产生系数为1.13~1.19kg/t产品，参照此系数且按照环评最不利原则</w:t>
            </w:r>
            <w:r>
              <w:rPr>
                <w:sz w:val="24"/>
              </w:rPr>
              <w:t>，</w:t>
            </w:r>
            <w:r>
              <w:rPr>
                <w:rFonts w:hint="eastAsia"/>
                <w:sz w:val="24"/>
              </w:rPr>
              <w:t>本项目钙粉投料</w:t>
            </w:r>
            <w:r>
              <w:rPr>
                <w:sz w:val="24"/>
              </w:rPr>
              <w:t>时粉尘产生系数</w:t>
            </w:r>
            <w:r>
              <w:rPr>
                <w:rFonts w:hint="eastAsia"/>
                <w:sz w:val="24"/>
              </w:rPr>
              <w:t>取1.19kg/t产品，需投料的钙粉量为4000</w:t>
            </w:r>
            <w:r>
              <w:rPr>
                <w:sz w:val="24"/>
              </w:rPr>
              <w:t>t/a</w:t>
            </w:r>
            <w:r>
              <w:rPr>
                <w:rFonts w:hint="eastAsia"/>
                <w:sz w:val="24"/>
              </w:rPr>
              <w:t>，则</w:t>
            </w:r>
            <w:r>
              <w:rPr>
                <w:sz w:val="24"/>
              </w:rPr>
              <w:t>钙粉</w:t>
            </w:r>
            <w:r>
              <w:rPr>
                <w:rFonts w:hint="eastAsia"/>
                <w:sz w:val="24"/>
              </w:rPr>
              <w:t>投料</w:t>
            </w:r>
            <w:r>
              <w:rPr>
                <w:sz w:val="24"/>
              </w:rPr>
              <w:t>粉尘产生量为</w:t>
            </w:r>
            <w:r>
              <w:rPr>
                <w:rFonts w:hint="eastAsia"/>
                <w:sz w:val="24"/>
              </w:rPr>
              <w:t>4.76</w:t>
            </w:r>
            <w:r>
              <w:rPr>
                <w:sz w:val="24"/>
              </w:rPr>
              <w:t>t/a</w:t>
            </w:r>
            <w:r>
              <w:rPr>
                <w:rFonts w:hint="eastAsia"/>
                <w:sz w:val="24"/>
              </w:rPr>
              <w:t>。</w:t>
            </w:r>
          </w:p>
          <w:p>
            <w:pPr>
              <w:spacing w:line="480" w:lineRule="exact"/>
              <w:ind w:firstLine="480"/>
              <w:rPr>
                <w:sz w:val="24"/>
              </w:rPr>
            </w:pPr>
            <w:r>
              <w:rPr>
                <w:rFonts w:hint="eastAsia"/>
                <w:sz w:val="24"/>
              </w:rPr>
              <w:t>评价提出：依托在建浆钙生产线的密闭投料间采用整体负压抽吸方式将投料废气抽至袋式除尘器处理后经15m高排气筒排放。</w:t>
            </w:r>
            <w:r>
              <w:rPr>
                <w:sz w:val="24"/>
              </w:rPr>
              <w:t>收集效率以95%计算</w:t>
            </w:r>
            <w:r>
              <w:rPr>
                <w:rFonts w:hint="eastAsia"/>
                <w:sz w:val="24"/>
              </w:rPr>
              <w:t>，则粉尘有组织收集量为4.522</w:t>
            </w:r>
            <w:r>
              <w:rPr>
                <w:sz w:val="24"/>
              </w:rPr>
              <w:t>t/a</w:t>
            </w:r>
            <w:r>
              <w:rPr>
                <w:rFonts w:hint="eastAsia"/>
                <w:sz w:val="24"/>
              </w:rPr>
              <w:t>；密闭投料间设计尺寸为：8m×5m×6m，设计换风次数为30次/小时，经计算最小理论风量为7200m</w:t>
            </w:r>
            <w:r>
              <w:rPr>
                <w:rFonts w:hint="eastAsia"/>
                <w:sz w:val="24"/>
                <w:vertAlign w:val="superscript"/>
              </w:rPr>
              <w:t>3</w:t>
            </w:r>
            <w:r>
              <w:rPr>
                <w:rFonts w:hint="eastAsia"/>
                <w:sz w:val="24"/>
              </w:rPr>
              <w:t>/h，本次评价风机设计风量以8000m</w:t>
            </w:r>
            <w:r>
              <w:rPr>
                <w:rFonts w:hint="eastAsia"/>
                <w:sz w:val="24"/>
                <w:vertAlign w:val="superscript"/>
              </w:rPr>
              <w:t>3</w:t>
            </w:r>
            <w:r>
              <w:rPr>
                <w:rFonts w:hint="eastAsia"/>
                <w:sz w:val="24"/>
              </w:rPr>
              <w:t>/h计；</w:t>
            </w:r>
            <w:r>
              <w:rPr>
                <w:sz w:val="24"/>
              </w:rPr>
              <w:t>年工作时间为</w:t>
            </w:r>
            <w:r>
              <w:rPr>
                <w:rFonts w:hint="eastAsia"/>
                <w:sz w:val="24"/>
              </w:rPr>
              <w:t>6</w:t>
            </w:r>
            <w:r>
              <w:rPr>
                <w:sz w:val="24"/>
              </w:rPr>
              <w:t>h/d（</w:t>
            </w:r>
            <w:r>
              <w:rPr>
                <w:rFonts w:hint="eastAsia"/>
                <w:sz w:val="24"/>
              </w:rPr>
              <w:t>2040</w:t>
            </w:r>
            <w:r>
              <w:rPr>
                <w:sz w:val="24"/>
              </w:rPr>
              <w:t>h/a）</w:t>
            </w:r>
            <w:r>
              <w:rPr>
                <w:rFonts w:hint="eastAsia"/>
                <w:sz w:val="24"/>
              </w:rPr>
              <w:t>。</w:t>
            </w:r>
          </w:p>
          <w:p>
            <w:pPr>
              <w:spacing w:line="480" w:lineRule="exact"/>
              <w:ind w:firstLine="480"/>
              <w:rPr>
                <w:sz w:val="24"/>
              </w:rPr>
            </w:pPr>
            <w:r>
              <w:rPr>
                <w:rFonts w:hint="eastAsia"/>
                <w:sz w:val="24"/>
              </w:rPr>
              <w:t>（2）浆钙制备研磨粉尘</w:t>
            </w:r>
          </w:p>
          <w:p>
            <w:pPr>
              <w:spacing w:line="480" w:lineRule="exact"/>
              <w:ind w:firstLine="480"/>
              <w:rPr>
                <w:sz w:val="24"/>
              </w:rPr>
            </w:pPr>
            <w:r>
              <w:rPr>
                <w:rFonts w:hint="eastAsia"/>
                <w:sz w:val="24"/>
              </w:rPr>
              <w:t>钙粉经密闭螺旋机输送至1</w:t>
            </w:r>
            <w:r>
              <w:rPr>
                <w:sz w:val="24"/>
              </w:rPr>
              <w:t>#研磨机</w:t>
            </w:r>
            <w:r>
              <w:rPr>
                <w:rFonts w:hint="eastAsia"/>
                <w:sz w:val="24"/>
              </w:rPr>
              <w:t>内下落过程中会有粉尘产生，研磨机为密闭式研磨机，粉尘经研磨机呼吸口排放，</w:t>
            </w:r>
            <w:r>
              <w:rPr>
                <w:sz w:val="24"/>
              </w:rPr>
              <w:t>根据《</w:t>
            </w:r>
            <w:r>
              <w:rPr>
                <w:rFonts w:hint="eastAsia"/>
                <w:sz w:val="24"/>
              </w:rPr>
              <w:t>工业源产排污核算方法和系数手册-3099其他非金属矿物制品制造行业系数手册</w:t>
            </w:r>
            <w:r>
              <w:rPr>
                <w:sz w:val="24"/>
              </w:rPr>
              <w:t>》（</w:t>
            </w:r>
            <w:r>
              <w:rPr>
                <w:rFonts w:hint="eastAsia"/>
                <w:sz w:val="24"/>
              </w:rPr>
              <w:t>第二次污染源普查</w:t>
            </w:r>
            <w:r>
              <w:rPr>
                <w:sz w:val="24"/>
              </w:rPr>
              <w:t>）</w:t>
            </w:r>
            <w:r>
              <w:rPr>
                <w:rFonts w:hint="eastAsia"/>
                <w:sz w:val="24"/>
              </w:rPr>
              <w:t>，钙粉破碎、筛分、粉磨工序颗粒物产生系数为1.13~1.19kg/t产品，参照此系数且按照环评最不利原则</w:t>
            </w:r>
            <w:r>
              <w:rPr>
                <w:sz w:val="24"/>
              </w:rPr>
              <w:t>，</w:t>
            </w:r>
            <w:r>
              <w:rPr>
                <w:rFonts w:hint="eastAsia"/>
                <w:sz w:val="24"/>
              </w:rPr>
              <w:t>本项目研磨</w:t>
            </w:r>
            <w:r>
              <w:rPr>
                <w:sz w:val="24"/>
              </w:rPr>
              <w:t>时粉尘产生系数</w:t>
            </w:r>
            <w:r>
              <w:rPr>
                <w:rFonts w:hint="eastAsia"/>
                <w:sz w:val="24"/>
              </w:rPr>
              <w:t>取1.19kg/t产品，需研磨的钙粉量为4000</w:t>
            </w:r>
            <w:r>
              <w:rPr>
                <w:sz w:val="24"/>
              </w:rPr>
              <w:t>t/a</w:t>
            </w:r>
            <w:r>
              <w:rPr>
                <w:rFonts w:hint="eastAsia"/>
                <w:sz w:val="24"/>
              </w:rPr>
              <w:t>，则研磨</w:t>
            </w:r>
            <w:r>
              <w:rPr>
                <w:sz w:val="24"/>
              </w:rPr>
              <w:t>粉尘产生量为</w:t>
            </w:r>
            <w:r>
              <w:rPr>
                <w:rFonts w:hint="eastAsia"/>
                <w:sz w:val="24"/>
              </w:rPr>
              <w:t>4.76</w:t>
            </w:r>
            <w:r>
              <w:rPr>
                <w:sz w:val="24"/>
              </w:rPr>
              <w:t>t/a。</w:t>
            </w:r>
          </w:p>
          <w:p>
            <w:pPr>
              <w:spacing w:line="480" w:lineRule="exact"/>
              <w:ind w:firstLine="480"/>
              <w:rPr>
                <w:sz w:val="24"/>
              </w:rPr>
            </w:pPr>
            <w:r>
              <w:rPr>
                <w:rFonts w:hint="eastAsia"/>
                <w:sz w:val="24"/>
              </w:rPr>
              <w:t>评价提出：研磨机呼吸口经密闭管道负压抽吸至袋式除尘器处理后经15m高排气筒排放。</w:t>
            </w:r>
            <w:r>
              <w:rPr>
                <w:sz w:val="24"/>
              </w:rPr>
              <w:t>收集效率以</w:t>
            </w:r>
            <w:r>
              <w:rPr>
                <w:rFonts w:hint="eastAsia"/>
                <w:sz w:val="24"/>
              </w:rPr>
              <w:t>100</w:t>
            </w:r>
            <w:r>
              <w:rPr>
                <w:sz w:val="24"/>
              </w:rPr>
              <w:t>%计算</w:t>
            </w:r>
            <w:r>
              <w:rPr>
                <w:rFonts w:hint="eastAsia"/>
                <w:sz w:val="24"/>
              </w:rPr>
              <w:t>，则粉尘有组织收集量为5.236</w:t>
            </w:r>
            <w:r>
              <w:rPr>
                <w:sz w:val="24"/>
              </w:rPr>
              <w:t>t/a</w:t>
            </w:r>
            <w:r>
              <w:rPr>
                <w:rFonts w:hint="eastAsia"/>
                <w:sz w:val="24"/>
              </w:rPr>
              <w:t>；本次评价风机设计风量以2000m</w:t>
            </w:r>
            <w:r>
              <w:rPr>
                <w:rFonts w:hint="eastAsia"/>
                <w:sz w:val="24"/>
                <w:vertAlign w:val="superscript"/>
              </w:rPr>
              <w:t>3</w:t>
            </w:r>
            <w:r>
              <w:rPr>
                <w:rFonts w:hint="eastAsia"/>
                <w:sz w:val="24"/>
              </w:rPr>
              <w:t>/h计；</w:t>
            </w:r>
            <w:r>
              <w:rPr>
                <w:sz w:val="24"/>
              </w:rPr>
              <w:t>年工作时间为</w:t>
            </w:r>
            <w:r>
              <w:rPr>
                <w:rFonts w:hint="eastAsia"/>
                <w:sz w:val="24"/>
              </w:rPr>
              <w:t>6</w:t>
            </w:r>
            <w:r>
              <w:rPr>
                <w:sz w:val="24"/>
              </w:rPr>
              <w:t>h/d（</w:t>
            </w:r>
            <w:r>
              <w:rPr>
                <w:rFonts w:hint="eastAsia"/>
                <w:sz w:val="24"/>
              </w:rPr>
              <w:t>2040</w:t>
            </w:r>
            <w:r>
              <w:rPr>
                <w:sz w:val="24"/>
              </w:rPr>
              <w:t>h/a）</w:t>
            </w:r>
            <w:r>
              <w:rPr>
                <w:rFonts w:hint="eastAsia"/>
                <w:sz w:val="24"/>
              </w:rPr>
              <w:t>。</w:t>
            </w:r>
          </w:p>
          <w:p>
            <w:pPr>
              <w:spacing w:line="480" w:lineRule="exact"/>
              <w:ind w:firstLine="480"/>
              <w:rPr>
                <w:sz w:val="24"/>
              </w:rPr>
            </w:pPr>
            <w:r>
              <w:rPr>
                <w:rFonts w:hint="eastAsia"/>
                <w:sz w:val="24"/>
              </w:rPr>
              <w:t>评级提出：钙粉投料废气经密闭投料间整体负压抽吸后，与研磨机呼吸口废气经密闭管道一块引至1套袋式除尘器处理后经15m高排气筒P5排放；</w:t>
            </w:r>
            <w:r>
              <w:rPr>
                <w:sz w:val="24"/>
              </w:rPr>
              <w:t>除尘器处理效率不低于99%，</w:t>
            </w:r>
            <w:r>
              <w:rPr>
                <w:rFonts w:hint="eastAsia"/>
                <w:sz w:val="24"/>
              </w:rPr>
              <w:t>按照最不利原则以钙粉投料和研磨工序同时工作进行评价，</w:t>
            </w:r>
            <w:r>
              <w:rPr>
                <w:sz w:val="24"/>
              </w:rPr>
              <w:t>则</w:t>
            </w:r>
            <w:r>
              <w:rPr>
                <w:rFonts w:hint="eastAsia"/>
                <w:sz w:val="24"/>
              </w:rPr>
              <w:t>浆钙制备工段</w:t>
            </w:r>
            <w:r>
              <w:rPr>
                <w:sz w:val="24"/>
              </w:rPr>
              <w:t>粉尘产排情况如下：</w:t>
            </w:r>
          </w:p>
          <w:p>
            <w:pPr>
              <w:widowControl/>
              <w:adjustRightInd w:val="0"/>
              <w:snapToGrid w:val="0"/>
              <w:spacing w:line="440" w:lineRule="exact"/>
              <w:ind w:firstLine="464" w:firstLineChars="200"/>
              <w:jc w:val="left"/>
              <w:rPr>
                <w:rFonts w:eastAsia="黑体"/>
                <w:spacing w:val="-4"/>
                <w:kern w:val="0"/>
                <w:sz w:val="24"/>
              </w:rPr>
            </w:pPr>
            <w:r>
              <w:rPr>
                <w:rFonts w:eastAsia="黑体"/>
                <w:spacing w:val="-4"/>
                <w:kern w:val="0"/>
                <w:sz w:val="24"/>
              </w:rPr>
              <w:t>表</w:t>
            </w:r>
            <w:r>
              <w:rPr>
                <w:rFonts w:hint="eastAsia" w:eastAsia="黑体"/>
                <w:spacing w:val="-4"/>
                <w:kern w:val="0"/>
                <w:sz w:val="24"/>
              </w:rPr>
              <w:t>2</w:t>
            </w:r>
            <w:r>
              <w:rPr>
                <w:rFonts w:eastAsia="黑体"/>
                <w:spacing w:val="-4"/>
                <w:kern w:val="0"/>
                <w:sz w:val="24"/>
              </w:rPr>
              <w:t xml:space="preserve">3         </w:t>
            </w:r>
            <w:r>
              <w:rPr>
                <w:rFonts w:hint="eastAsia" w:eastAsia="黑体"/>
                <w:spacing w:val="-4"/>
                <w:kern w:val="0"/>
                <w:sz w:val="24"/>
              </w:rPr>
              <w:t xml:space="preserve">  </w:t>
            </w:r>
            <w:r>
              <w:rPr>
                <w:rFonts w:eastAsia="黑体"/>
                <w:spacing w:val="-4"/>
                <w:kern w:val="0"/>
                <w:sz w:val="24"/>
              </w:rPr>
              <w:t xml:space="preserve">  </w:t>
            </w:r>
            <w:r>
              <w:rPr>
                <w:rFonts w:hint="eastAsia" w:eastAsia="黑体"/>
                <w:spacing w:val="-4"/>
                <w:kern w:val="0"/>
                <w:sz w:val="24"/>
              </w:rPr>
              <w:t xml:space="preserve">  浆钙制备工段</w:t>
            </w:r>
            <w:r>
              <w:rPr>
                <w:rFonts w:eastAsia="黑体"/>
                <w:spacing w:val="-4"/>
                <w:kern w:val="0"/>
                <w:sz w:val="24"/>
              </w:rPr>
              <w:t>粉尘产排情况</w:t>
            </w:r>
          </w:p>
          <w:tbl>
            <w:tblPr>
              <w:tblStyle w:val="3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9"/>
              <w:gridCol w:w="700"/>
              <w:gridCol w:w="395"/>
              <w:gridCol w:w="684"/>
              <w:gridCol w:w="820"/>
              <w:gridCol w:w="957"/>
              <w:gridCol w:w="956"/>
              <w:gridCol w:w="548"/>
              <w:gridCol w:w="624"/>
              <w:gridCol w:w="741"/>
              <w:gridCol w:w="91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vMerge w:val="restart"/>
                  <w:tcMar>
                    <w:left w:w="0" w:type="dxa"/>
                    <w:right w:w="0" w:type="dxa"/>
                  </w:tcMar>
                  <w:vAlign w:val="center"/>
                </w:tcPr>
                <w:p>
                  <w:pPr>
                    <w:pStyle w:val="268"/>
                    <w:rPr>
                      <w:rFonts w:cs="Times New Roman"/>
                    </w:rPr>
                  </w:pPr>
                  <w:r>
                    <w:rPr>
                      <w:rFonts w:cs="Times New Roman"/>
                    </w:rPr>
                    <w:t>排放源</w:t>
                  </w:r>
                </w:p>
              </w:tc>
              <w:tc>
                <w:tcPr>
                  <w:tcW w:w="725" w:type="dxa"/>
                  <w:vMerge w:val="restart"/>
                  <w:tcMar>
                    <w:left w:w="0" w:type="dxa"/>
                    <w:right w:w="0" w:type="dxa"/>
                  </w:tcMar>
                  <w:vAlign w:val="center"/>
                </w:tcPr>
                <w:p>
                  <w:pPr>
                    <w:pStyle w:val="268"/>
                    <w:rPr>
                      <w:rFonts w:cs="Times New Roman"/>
                    </w:rPr>
                  </w:pPr>
                  <w:r>
                    <w:rPr>
                      <w:rFonts w:cs="Times New Roman"/>
                    </w:rPr>
                    <w:t>污染源</w:t>
                  </w:r>
                </w:p>
              </w:tc>
              <w:tc>
                <w:tcPr>
                  <w:tcW w:w="409" w:type="dxa"/>
                  <w:vMerge w:val="restart"/>
                  <w:tcMar>
                    <w:left w:w="0" w:type="dxa"/>
                    <w:right w:w="0" w:type="dxa"/>
                  </w:tcMar>
                  <w:vAlign w:val="center"/>
                </w:tcPr>
                <w:p>
                  <w:pPr>
                    <w:pStyle w:val="268"/>
                    <w:rPr>
                      <w:rFonts w:cs="Times New Roman"/>
                    </w:rPr>
                  </w:pPr>
                  <w:r>
                    <w:rPr>
                      <w:rFonts w:cs="Times New Roman"/>
                    </w:rPr>
                    <w:t>污染物</w:t>
                  </w:r>
                </w:p>
              </w:tc>
              <w:tc>
                <w:tcPr>
                  <w:tcW w:w="2552" w:type="dxa"/>
                  <w:gridSpan w:val="3"/>
                  <w:tcMar>
                    <w:left w:w="0" w:type="dxa"/>
                    <w:right w:w="0" w:type="dxa"/>
                  </w:tcMar>
                  <w:vAlign w:val="center"/>
                </w:tcPr>
                <w:p>
                  <w:pPr>
                    <w:pStyle w:val="268"/>
                    <w:rPr>
                      <w:rFonts w:cs="Times New Roman"/>
                    </w:rPr>
                  </w:pPr>
                  <w:r>
                    <w:rPr>
                      <w:rFonts w:cs="Times New Roman"/>
                    </w:rPr>
                    <w:t>产生情况</w:t>
                  </w:r>
                </w:p>
              </w:tc>
              <w:tc>
                <w:tcPr>
                  <w:tcW w:w="992" w:type="dxa"/>
                  <w:vMerge w:val="restart"/>
                  <w:tcMar>
                    <w:left w:w="0" w:type="dxa"/>
                    <w:right w:w="0" w:type="dxa"/>
                  </w:tcMar>
                  <w:vAlign w:val="center"/>
                </w:tcPr>
                <w:p>
                  <w:pPr>
                    <w:pStyle w:val="268"/>
                    <w:rPr>
                      <w:rFonts w:cs="Times New Roman"/>
                    </w:rPr>
                  </w:pPr>
                  <w:r>
                    <w:rPr>
                      <w:rFonts w:cs="Times New Roman"/>
                    </w:rPr>
                    <w:t>风机风量（m</w:t>
                  </w:r>
                  <w:r>
                    <w:rPr>
                      <w:rFonts w:cs="Times New Roman"/>
                      <w:vertAlign w:val="superscript"/>
                    </w:rPr>
                    <w:t>3</w:t>
                  </w:r>
                  <w:r>
                    <w:rPr>
                      <w:rFonts w:cs="Times New Roman"/>
                    </w:rPr>
                    <w:t>/h）</w:t>
                  </w:r>
                </w:p>
              </w:tc>
              <w:tc>
                <w:tcPr>
                  <w:tcW w:w="568" w:type="dxa"/>
                  <w:vMerge w:val="restart"/>
                  <w:tcMar>
                    <w:left w:w="0" w:type="dxa"/>
                    <w:right w:w="0" w:type="dxa"/>
                  </w:tcMar>
                  <w:vAlign w:val="center"/>
                </w:tcPr>
                <w:p>
                  <w:pPr>
                    <w:pStyle w:val="268"/>
                    <w:rPr>
                      <w:rFonts w:cs="Times New Roman"/>
                    </w:rPr>
                  </w:pPr>
                  <w:r>
                    <w:rPr>
                      <w:rFonts w:cs="Times New Roman"/>
                    </w:rPr>
                    <w:t>处理效率</w:t>
                  </w:r>
                </w:p>
              </w:tc>
              <w:tc>
                <w:tcPr>
                  <w:tcW w:w="2363" w:type="dxa"/>
                  <w:gridSpan w:val="3"/>
                  <w:tcMar>
                    <w:left w:w="0" w:type="dxa"/>
                    <w:right w:w="0" w:type="dxa"/>
                  </w:tcMar>
                  <w:vAlign w:val="center"/>
                </w:tcPr>
                <w:p>
                  <w:pPr>
                    <w:pStyle w:val="268"/>
                    <w:rPr>
                      <w:rFonts w:cs="Times New Roman"/>
                      <w:bCs/>
                      <w:lang w:val="pt-BR"/>
                    </w:rPr>
                  </w:pPr>
                  <w:r>
                    <w:rPr>
                      <w:rFonts w:cs="Times New Roman"/>
                      <w:bCs/>
                    </w:rPr>
                    <w:t>排放情况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vMerge w:val="continue"/>
                  <w:tcMar>
                    <w:left w:w="0" w:type="dxa"/>
                    <w:right w:w="0" w:type="dxa"/>
                  </w:tcMar>
                  <w:vAlign w:val="center"/>
                </w:tcPr>
                <w:p>
                  <w:pPr>
                    <w:pStyle w:val="268"/>
                    <w:rPr>
                      <w:rFonts w:cs="Times New Roman"/>
                    </w:rPr>
                  </w:pPr>
                </w:p>
              </w:tc>
              <w:tc>
                <w:tcPr>
                  <w:tcW w:w="725" w:type="dxa"/>
                  <w:vMerge w:val="continue"/>
                  <w:tcMar>
                    <w:left w:w="0" w:type="dxa"/>
                    <w:right w:w="0" w:type="dxa"/>
                  </w:tcMar>
                  <w:vAlign w:val="center"/>
                </w:tcPr>
                <w:p>
                  <w:pPr>
                    <w:pStyle w:val="268"/>
                    <w:rPr>
                      <w:rFonts w:cs="Times New Roman"/>
                    </w:rPr>
                  </w:pPr>
                </w:p>
              </w:tc>
              <w:tc>
                <w:tcPr>
                  <w:tcW w:w="409" w:type="dxa"/>
                  <w:vMerge w:val="continue"/>
                  <w:tcMar>
                    <w:left w:w="0" w:type="dxa"/>
                    <w:right w:w="0" w:type="dxa"/>
                  </w:tcMar>
                  <w:vAlign w:val="center"/>
                </w:tcPr>
                <w:p>
                  <w:pPr>
                    <w:pStyle w:val="268"/>
                    <w:rPr>
                      <w:rFonts w:cs="Times New Roman"/>
                    </w:rPr>
                  </w:pPr>
                </w:p>
              </w:tc>
              <w:tc>
                <w:tcPr>
                  <w:tcW w:w="709" w:type="dxa"/>
                  <w:tcMar>
                    <w:left w:w="0" w:type="dxa"/>
                    <w:right w:w="0" w:type="dxa"/>
                  </w:tcMar>
                  <w:vAlign w:val="center"/>
                </w:tcPr>
                <w:p>
                  <w:pPr>
                    <w:pStyle w:val="268"/>
                    <w:rPr>
                      <w:rFonts w:cs="Times New Roman"/>
                    </w:rPr>
                  </w:pPr>
                  <w:r>
                    <w:rPr>
                      <w:rFonts w:cs="Times New Roman"/>
                    </w:rPr>
                    <w:t>产生量(t/a)</w:t>
                  </w:r>
                </w:p>
              </w:tc>
              <w:tc>
                <w:tcPr>
                  <w:tcW w:w="850" w:type="dxa"/>
                  <w:tcMar>
                    <w:left w:w="0" w:type="dxa"/>
                    <w:right w:w="0" w:type="dxa"/>
                  </w:tcMar>
                  <w:vAlign w:val="center"/>
                </w:tcPr>
                <w:p>
                  <w:pPr>
                    <w:pStyle w:val="268"/>
                    <w:rPr>
                      <w:rFonts w:cs="Times New Roman"/>
                      <w:bCs/>
                      <w:lang w:val="pt-BR"/>
                    </w:rPr>
                  </w:pPr>
                  <w:r>
                    <w:rPr>
                      <w:rFonts w:cs="Times New Roman"/>
                    </w:rPr>
                    <w:t>产生速率(kg/h)</w:t>
                  </w:r>
                </w:p>
              </w:tc>
              <w:tc>
                <w:tcPr>
                  <w:tcW w:w="993" w:type="dxa"/>
                  <w:tcMar>
                    <w:left w:w="0" w:type="dxa"/>
                    <w:right w:w="0" w:type="dxa"/>
                  </w:tcMar>
                  <w:vAlign w:val="center"/>
                </w:tcPr>
                <w:p>
                  <w:pPr>
                    <w:pStyle w:val="268"/>
                    <w:rPr>
                      <w:rFonts w:cs="Times New Roman"/>
                    </w:rPr>
                  </w:pPr>
                  <w:r>
                    <w:rPr>
                      <w:rFonts w:cs="Times New Roman"/>
                    </w:rPr>
                    <w:t>产生浓度(mg/m</w:t>
                  </w:r>
                  <w:r>
                    <w:rPr>
                      <w:rFonts w:cs="Times New Roman"/>
                      <w:vertAlign w:val="superscript"/>
                    </w:rPr>
                    <w:t>3</w:t>
                  </w:r>
                  <w:r>
                    <w:rPr>
                      <w:rFonts w:cs="Times New Roman"/>
                    </w:rPr>
                    <w:t>)</w:t>
                  </w:r>
                </w:p>
              </w:tc>
              <w:tc>
                <w:tcPr>
                  <w:tcW w:w="992" w:type="dxa"/>
                  <w:vMerge w:val="continue"/>
                  <w:tcMar>
                    <w:left w:w="0" w:type="dxa"/>
                    <w:right w:w="0" w:type="dxa"/>
                  </w:tcMar>
                  <w:vAlign w:val="center"/>
                </w:tcPr>
                <w:p>
                  <w:pPr>
                    <w:pStyle w:val="268"/>
                    <w:rPr>
                      <w:rFonts w:cs="Times New Roman"/>
                    </w:rPr>
                  </w:pPr>
                </w:p>
              </w:tc>
              <w:tc>
                <w:tcPr>
                  <w:tcW w:w="568" w:type="dxa"/>
                  <w:vMerge w:val="continue"/>
                  <w:tcMar>
                    <w:left w:w="0" w:type="dxa"/>
                    <w:right w:w="0" w:type="dxa"/>
                  </w:tcMar>
                  <w:vAlign w:val="center"/>
                </w:tcPr>
                <w:p>
                  <w:pPr>
                    <w:pStyle w:val="268"/>
                    <w:rPr>
                      <w:rFonts w:cs="Times New Roman"/>
                    </w:rPr>
                  </w:pPr>
                </w:p>
              </w:tc>
              <w:tc>
                <w:tcPr>
                  <w:tcW w:w="647" w:type="dxa"/>
                  <w:tcMar>
                    <w:left w:w="0" w:type="dxa"/>
                    <w:right w:w="0" w:type="dxa"/>
                  </w:tcMar>
                  <w:vAlign w:val="center"/>
                </w:tcPr>
                <w:p>
                  <w:pPr>
                    <w:pStyle w:val="268"/>
                    <w:rPr>
                      <w:rFonts w:cs="Times New Roman"/>
                      <w:bCs/>
                    </w:rPr>
                  </w:pPr>
                  <w:r>
                    <w:rPr>
                      <w:rFonts w:cs="Times New Roman"/>
                      <w:bCs/>
                    </w:rPr>
                    <w:t>排放量(t/a)</w:t>
                  </w:r>
                </w:p>
              </w:tc>
              <w:tc>
                <w:tcPr>
                  <w:tcW w:w="769" w:type="dxa"/>
                  <w:tcMar>
                    <w:left w:w="0" w:type="dxa"/>
                    <w:right w:w="0" w:type="dxa"/>
                  </w:tcMar>
                  <w:vAlign w:val="center"/>
                </w:tcPr>
                <w:p>
                  <w:pPr>
                    <w:pStyle w:val="268"/>
                    <w:rPr>
                      <w:rFonts w:cs="Times New Roman"/>
                    </w:rPr>
                  </w:pPr>
                  <w:r>
                    <w:rPr>
                      <w:rFonts w:cs="Times New Roman"/>
                    </w:rPr>
                    <w:t>排放速率(kg/h)</w:t>
                  </w:r>
                </w:p>
              </w:tc>
              <w:tc>
                <w:tcPr>
                  <w:tcW w:w="947" w:type="dxa"/>
                  <w:tcMar>
                    <w:left w:w="0" w:type="dxa"/>
                    <w:right w:w="0" w:type="dxa"/>
                  </w:tcMar>
                  <w:vAlign w:val="center"/>
                </w:tcPr>
                <w:p>
                  <w:pPr>
                    <w:pStyle w:val="268"/>
                    <w:rPr>
                      <w:rFonts w:cs="Times New Roman"/>
                    </w:rPr>
                  </w:pPr>
                  <w:r>
                    <w:rPr>
                      <w:rFonts w:cs="Times New Roman"/>
                    </w:rPr>
                    <w:t>排放浓度(mg/m</w:t>
                  </w:r>
                  <w:r>
                    <w:rPr>
                      <w:rFonts w:cs="Times New Roman"/>
                      <w:vertAlign w:val="superscript"/>
                    </w:rPr>
                    <w:t>3</w:t>
                  </w:r>
                  <w:r>
                    <w:rPr>
                      <w:rFonts w:cs="Times New Roma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vMerge w:val="restart"/>
                  <w:tcMar>
                    <w:left w:w="0" w:type="dxa"/>
                    <w:right w:w="0" w:type="dxa"/>
                  </w:tcMar>
                  <w:vAlign w:val="center"/>
                </w:tcPr>
                <w:p>
                  <w:pPr>
                    <w:pStyle w:val="140"/>
                  </w:pPr>
                  <w:r>
                    <w:t>排气筒P5</w:t>
                  </w:r>
                </w:p>
              </w:tc>
              <w:tc>
                <w:tcPr>
                  <w:tcW w:w="725" w:type="dxa"/>
                  <w:tcMar>
                    <w:left w:w="0" w:type="dxa"/>
                    <w:right w:w="0" w:type="dxa"/>
                  </w:tcMar>
                  <w:vAlign w:val="center"/>
                </w:tcPr>
                <w:p>
                  <w:pPr>
                    <w:pStyle w:val="140"/>
                  </w:pPr>
                  <w:r>
                    <w:rPr>
                      <w:rFonts w:hint="eastAsia"/>
                    </w:rPr>
                    <w:t>钙粉</w:t>
                  </w:r>
                </w:p>
                <w:p>
                  <w:pPr>
                    <w:pStyle w:val="140"/>
                  </w:pPr>
                  <w:r>
                    <w:rPr>
                      <w:rFonts w:hint="eastAsia"/>
                    </w:rPr>
                    <w:t>投料</w:t>
                  </w:r>
                </w:p>
              </w:tc>
              <w:tc>
                <w:tcPr>
                  <w:tcW w:w="409" w:type="dxa"/>
                  <w:vMerge w:val="restart"/>
                  <w:tcMar>
                    <w:left w:w="0" w:type="dxa"/>
                    <w:right w:w="0" w:type="dxa"/>
                  </w:tcMar>
                  <w:vAlign w:val="center"/>
                </w:tcPr>
                <w:p>
                  <w:pPr>
                    <w:pStyle w:val="140"/>
                  </w:pPr>
                  <w:r>
                    <w:rPr>
                      <w:rFonts w:hint="eastAsia"/>
                    </w:rPr>
                    <w:t>颗粒物</w:t>
                  </w:r>
                </w:p>
              </w:tc>
              <w:tc>
                <w:tcPr>
                  <w:tcW w:w="709" w:type="dxa"/>
                  <w:tcMar>
                    <w:left w:w="0" w:type="dxa"/>
                    <w:right w:w="0" w:type="dxa"/>
                  </w:tcMar>
                  <w:vAlign w:val="center"/>
                </w:tcPr>
                <w:p>
                  <w:pPr>
                    <w:pStyle w:val="140"/>
                  </w:pPr>
                  <w:r>
                    <w:rPr>
                      <w:rFonts w:hint="eastAsia"/>
                    </w:rPr>
                    <w:t>4.522</w:t>
                  </w:r>
                </w:p>
              </w:tc>
              <w:tc>
                <w:tcPr>
                  <w:tcW w:w="850" w:type="dxa"/>
                  <w:tcMar>
                    <w:left w:w="0" w:type="dxa"/>
                    <w:right w:w="0" w:type="dxa"/>
                  </w:tcMar>
                  <w:vAlign w:val="center"/>
                </w:tcPr>
                <w:p>
                  <w:pPr>
                    <w:pStyle w:val="140"/>
                  </w:pPr>
                  <w:r>
                    <w:rPr>
                      <w:rFonts w:hint="eastAsia"/>
                    </w:rPr>
                    <w:t>2.2167</w:t>
                  </w:r>
                </w:p>
              </w:tc>
              <w:tc>
                <w:tcPr>
                  <w:tcW w:w="993" w:type="dxa"/>
                  <w:tcMar>
                    <w:left w:w="0" w:type="dxa"/>
                    <w:right w:w="0" w:type="dxa"/>
                  </w:tcMar>
                  <w:vAlign w:val="center"/>
                </w:tcPr>
                <w:p>
                  <w:pPr>
                    <w:pStyle w:val="140"/>
                  </w:pPr>
                  <w:r>
                    <w:rPr>
                      <w:rFonts w:hint="eastAsia"/>
                    </w:rPr>
                    <w:t>221.67</w:t>
                  </w:r>
                </w:p>
              </w:tc>
              <w:tc>
                <w:tcPr>
                  <w:tcW w:w="992" w:type="dxa"/>
                  <w:vMerge w:val="restart"/>
                  <w:tcMar>
                    <w:left w:w="0" w:type="dxa"/>
                    <w:right w:w="0" w:type="dxa"/>
                  </w:tcMar>
                  <w:vAlign w:val="center"/>
                </w:tcPr>
                <w:p>
                  <w:pPr>
                    <w:pStyle w:val="140"/>
                  </w:pPr>
                  <w:r>
                    <w:rPr>
                      <w:rFonts w:hint="eastAsia"/>
                    </w:rPr>
                    <w:t>10000</w:t>
                  </w:r>
                </w:p>
              </w:tc>
              <w:tc>
                <w:tcPr>
                  <w:tcW w:w="568" w:type="dxa"/>
                  <w:vMerge w:val="restart"/>
                  <w:tcMar>
                    <w:left w:w="0" w:type="dxa"/>
                    <w:right w:w="0" w:type="dxa"/>
                  </w:tcMar>
                  <w:vAlign w:val="center"/>
                </w:tcPr>
                <w:p>
                  <w:pPr>
                    <w:pStyle w:val="140"/>
                  </w:pPr>
                  <w:r>
                    <w:t>99%</w:t>
                  </w:r>
                </w:p>
              </w:tc>
              <w:tc>
                <w:tcPr>
                  <w:tcW w:w="647" w:type="dxa"/>
                  <w:vMerge w:val="restart"/>
                  <w:tcMar>
                    <w:left w:w="0" w:type="dxa"/>
                    <w:right w:w="0" w:type="dxa"/>
                  </w:tcMar>
                  <w:vAlign w:val="center"/>
                </w:tcPr>
                <w:p>
                  <w:pPr>
                    <w:pStyle w:val="140"/>
                  </w:pPr>
                  <w:r>
                    <w:rPr>
                      <w:rFonts w:hint="eastAsia"/>
                    </w:rPr>
                    <w:t>0.0928</w:t>
                  </w:r>
                </w:p>
              </w:tc>
              <w:tc>
                <w:tcPr>
                  <w:tcW w:w="769" w:type="dxa"/>
                  <w:vMerge w:val="restart"/>
                  <w:tcMar>
                    <w:left w:w="0" w:type="dxa"/>
                    <w:right w:w="0" w:type="dxa"/>
                  </w:tcMar>
                  <w:vAlign w:val="center"/>
                </w:tcPr>
                <w:p>
                  <w:pPr>
                    <w:pStyle w:val="140"/>
                  </w:pPr>
                  <w:r>
                    <w:rPr>
                      <w:rFonts w:hint="eastAsia"/>
                    </w:rPr>
                    <w:t>0.0455</w:t>
                  </w:r>
                </w:p>
              </w:tc>
              <w:tc>
                <w:tcPr>
                  <w:tcW w:w="947" w:type="dxa"/>
                  <w:vMerge w:val="restart"/>
                  <w:tcMar>
                    <w:left w:w="0" w:type="dxa"/>
                    <w:right w:w="0" w:type="dxa"/>
                  </w:tcMar>
                  <w:vAlign w:val="center"/>
                </w:tcPr>
                <w:p>
                  <w:pPr>
                    <w:pStyle w:val="140"/>
                  </w:pPr>
                  <w:r>
                    <w:rPr>
                      <w:rFonts w:hint="eastAsia"/>
                    </w:rPr>
                    <w:t>4.55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vMerge w:val="continue"/>
                  <w:tcMar>
                    <w:left w:w="0" w:type="dxa"/>
                    <w:right w:w="0" w:type="dxa"/>
                  </w:tcMar>
                  <w:vAlign w:val="center"/>
                </w:tcPr>
                <w:p>
                  <w:pPr>
                    <w:pStyle w:val="140"/>
                  </w:pPr>
                </w:p>
              </w:tc>
              <w:tc>
                <w:tcPr>
                  <w:tcW w:w="725" w:type="dxa"/>
                  <w:tcMar>
                    <w:left w:w="0" w:type="dxa"/>
                    <w:right w:w="0" w:type="dxa"/>
                  </w:tcMar>
                  <w:vAlign w:val="center"/>
                </w:tcPr>
                <w:p>
                  <w:pPr>
                    <w:pStyle w:val="140"/>
                  </w:pPr>
                  <w:r>
                    <w:rPr>
                      <w:rFonts w:hint="eastAsia"/>
                    </w:rPr>
                    <w:t>钙粉</w:t>
                  </w:r>
                </w:p>
                <w:p>
                  <w:pPr>
                    <w:pStyle w:val="140"/>
                  </w:pPr>
                  <w:r>
                    <w:rPr>
                      <w:rFonts w:hint="eastAsia"/>
                    </w:rPr>
                    <w:t>研磨</w:t>
                  </w:r>
                </w:p>
              </w:tc>
              <w:tc>
                <w:tcPr>
                  <w:tcW w:w="409" w:type="dxa"/>
                  <w:vMerge w:val="continue"/>
                  <w:tcMar>
                    <w:left w:w="0" w:type="dxa"/>
                    <w:right w:w="0" w:type="dxa"/>
                  </w:tcMar>
                  <w:vAlign w:val="center"/>
                </w:tcPr>
                <w:p>
                  <w:pPr>
                    <w:pStyle w:val="140"/>
                  </w:pPr>
                </w:p>
              </w:tc>
              <w:tc>
                <w:tcPr>
                  <w:tcW w:w="709" w:type="dxa"/>
                  <w:tcMar>
                    <w:left w:w="0" w:type="dxa"/>
                    <w:right w:w="0" w:type="dxa"/>
                  </w:tcMar>
                  <w:vAlign w:val="center"/>
                </w:tcPr>
                <w:p>
                  <w:pPr>
                    <w:pStyle w:val="140"/>
                  </w:pPr>
                  <w:r>
                    <w:rPr>
                      <w:rFonts w:hint="eastAsia"/>
                    </w:rPr>
                    <w:t>4.76</w:t>
                  </w:r>
                </w:p>
              </w:tc>
              <w:tc>
                <w:tcPr>
                  <w:tcW w:w="850" w:type="dxa"/>
                  <w:tcMar>
                    <w:left w:w="0" w:type="dxa"/>
                    <w:right w:w="0" w:type="dxa"/>
                  </w:tcMar>
                  <w:vAlign w:val="center"/>
                </w:tcPr>
                <w:p>
                  <w:pPr>
                    <w:pStyle w:val="140"/>
                  </w:pPr>
                  <w:r>
                    <w:rPr>
                      <w:rFonts w:hint="eastAsia"/>
                    </w:rPr>
                    <w:t>2.3333</w:t>
                  </w:r>
                </w:p>
              </w:tc>
              <w:tc>
                <w:tcPr>
                  <w:tcW w:w="993" w:type="dxa"/>
                  <w:tcMar>
                    <w:left w:w="0" w:type="dxa"/>
                    <w:right w:w="0" w:type="dxa"/>
                  </w:tcMar>
                  <w:vAlign w:val="center"/>
                </w:tcPr>
                <w:p>
                  <w:pPr>
                    <w:pStyle w:val="140"/>
                  </w:pPr>
                  <w:r>
                    <w:rPr>
                      <w:rFonts w:hint="eastAsia"/>
                    </w:rPr>
                    <w:t>233.33</w:t>
                  </w:r>
                </w:p>
              </w:tc>
              <w:tc>
                <w:tcPr>
                  <w:tcW w:w="992" w:type="dxa"/>
                  <w:vMerge w:val="continue"/>
                  <w:tcMar>
                    <w:left w:w="0" w:type="dxa"/>
                    <w:right w:w="0" w:type="dxa"/>
                  </w:tcMar>
                  <w:vAlign w:val="center"/>
                </w:tcPr>
                <w:p>
                  <w:pPr>
                    <w:pStyle w:val="140"/>
                  </w:pPr>
                </w:p>
              </w:tc>
              <w:tc>
                <w:tcPr>
                  <w:tcW w:w="568" w:type="dxa"/>
                  <w:vMerge w:val="continue"/>
                  <w:tcMar>
                    <w:left w:w="0" w:type="dxa"/>
                    <w:right w:w="0" w:type="dxa"/>
                  </w:tcMar>
                  <w:vAlign w:val="center"/>
                </w:tcPr>
                <w:p>
                  <w:pPr>
                    <w:pStyle w:val="140"/>
                  </w:pPr>
                </w:p>
              </w:tc>
              <w:tc>
                <w:tcPr>
                  <w:tcW w:w="647" w:type="dxa"/>
                  <w:vMerge w:val="continue"/>
                  <w:tcMar>
                    <w:left w:w="0" w:type="dxa"/>
                    <w:right w:w="0" w:type="dxa"/>
                  </w:tcMar>
                  <w:vAlign w:val="center"/>
                </w:tcPr>
                <w:p>
                  <w:pPr>
                    <w:pStyle w:val="140"/>
                  </w:pPr>
                </w:p>
              </w:tc>
              <w:tc>
                <w:tcPr>
                  <w:tcW w:w="769" w:type="dxa"/>
                  <w:vMerge w:val="continue"/>
                  <w:tcMar>
                    <w:left w:w="0" w:type="dxa"/>
                    <w:right w:w="0" w:type="dxa"/>
                  </w:tcMar>
                  <w:vAlign w:val="center"/>
                </w:tcPr>
                <w:p>
                  <w:pPr>
                    <w:pStyle w:val="140"/>
                  </w:pPr>
                </w:p>
              </w:tc>
              <w:tc>
                <w:tcPr>
                  <w:tcW w:w="947" w:type="dxa"/>
                  <w:vMerge w:val="continue"/>
                  <w:tcMar>
                    <w:left w:w="0" w:type="dxa"/>
                    <w:right w:w="0" w:type="dxa"/>
                  </w:tcMar>
                  <w:vAlign w:val="center"/>
                </w:tcPr>
                <w:p>
                  <w:pPr>
                    <w:pStyle w:val="140"/>
                  </w:pPr>
                </w:p>
              </w:tc>
            </w:tr>
          </w:tbl>
          <w:p>
            <w:pPr>
              <w:spacing w:line="480" w:lineRule="exact"/>
              <w:ind w:firstLine="480"/>
              <w:rPr>
                <w:sz w:val="24"/>
              </w:rPr>
            </w:pPr>
            <w:r>
              <w:rPr>
                <w:sz w:val="24"/>
              </w:rPr>
              <w:t>由上表可知，</w:t>
            </w:r>
            <w:r>
              <w:rPr>
                <w:rFonts w:hint="eastAsia"/>
                <w:sz w:val="24"/>
              </w:rPr>
              <w:t>浆钙生产线产生的颗粒物</w:t>
            </w:r>
            <w:r>
              <w:rPr>
                <w:sz w:val="24"/>
              </w:rPr>
              <w:t>经袋式除尘器治理后，排放浓度为</w:t>
            </w:r>
            <w:r>
              <w:rPr>
                <w:rFonts w:hint="eastAsia"/>
                <w:sz w:val="24"/>
              </w:rPr>
              <w:t>4.55</w:t>
            </w:r>
            <w:r>
              <w:rPr>
                <w:sz w:val="24"/>
              </w:rPr>
              <w:t>mg/m</w:t>
            </w:r>
            <w:r>
              <w:rPr>
                <w:sz w:val="24"/>
                <w:vertAlign w:val="superscript"/>
              </w:rPr>
              <w:t>3</w:t>
            </w:r>
            <w:r>
              <w:rPr>
                <w:sz w:val="24"/>
              </w:rPr>
              <w:t>，排放速率为</w:t>
            </w:r>
            <w:r>
              <w:rPr>
                <w:rFonts w:hint="eastAsia"/>
                <w:sz w:val="24"/>
              </w:rPr>
              <w:t>0.0455</w:t>
            </w:r>
            <w:r>
              <w:rPr>
                <w:sz w:val="24"/>
              </w:rPr>
              <w:t>kg/h，能够满足《大气污染物综合排放标准》（GB16297-1996）表2颗粒物浓度120mg/m³、速率3.5kg/h（15m高排气筒）的标准要求；同时能够满足《新乡市生态环境局关于进一步规范工业企业颗粒物排放限值的通知》颗粒物浓度10mg/m³的限值要求。</w:t>
            </w:r>
          </w:p>
          <w:p>
            <w:pPr>
              <w:spacing w:line="480" w:lineRule="exact"/>
              <w:ind w:firstLine="480"/>
              <w:rPr>
                <w:sz w:val="24"/>
              </w:rPr>
            </w:pPr>
            <w:r>
              <w:rPr>
                <w:sz w:val="24"/>
              </w:rPr>
              <w:t>本项目浆钙制备依托在建工程浆钙生产线进行生产</w:t>
            </w:r>
            <w:r>
              <w:rPr>
                <w:rFonts w:hint="eastAsia"/>
                <w:sz w:val="24"/>
              </w:rPr>
              <w:t>，</w:t>
            </w:r>
            <w:r>
              <w:rPr>
                <w:sz w:val="24"/>
              </w:rPr>
              <w:t>共用一套废气治理设施</w:t>
            </w:r>
            <w:r>
              <w:rPr>
                <w:rFonts w:hint="eastAsia"/>
                <w:sz w:val="24"/>
              </w:rPr>
              <w:t>，</w:t>
            </w:r>
            <w:r>
              <w:rPr>
                <w:sz w:val="24"/>
              </w:rPr>
              <w:t>在建工程浆钙生产线的粉尘产排情况按照在建工程环评计算</w:t>
            </w:r>
            <w:r>
              <w:rPr>
                <w:rFonts w:hint="eastAsia"/>
                <w:sz w:val="24"/>
              </w:rPr>
              <w:t>，则本项目建成后，全厂浆钙制备工段粉尘的排放情况如下：</w:t>
            </w:r>
          </w:p>
          <w:p>
            <w:pPr>
              <w:widowControl/>
              <w:adjustRightInd w:val="0"/>
              <w:snapToGrid w:val="0"/>
              <w:spacing w:line="440" w:lineRule="exact"/>
              <w:ind w:firstLine="464" w:firstLineChars="200"/>
              <w:jc w:val="left"/>
              <w:rPr>
                <w:rFonts w:eastAsia="黑体"/>
                <w:spacing w:val="-4"/>
                <w:kern w:val="0"/>
                <w:sz w:val="24"/>
              </w:rPr>
            </w:pPr>
          </w:p>
          <w:p>
            <w:pPr>
              <w:widowControl/>
              <w:adjustRightInd w:val="0"/>
              <w:snapToGrid w:val="0"/>
              <w:spacing w:line="440" w:lineRule="exact"/>
              <w:ind w:firstLine="464" w:firstLineChars="200"/>
              <w:jc w:val="left"/>
              <w:rPr>
                <w:rFonts w:eastAsia="黑体"/>
                <w:spacing w:val="-4"/>
                <w:kern w:val="0"/>
                <w:sz w:val="24"/>
              </w:rPr>
            </w:pPr>
          </w:p>
          <w:p>
            <w:pPr>
              <w:widowControl/>
              <w:adjustRightInd w:val="0"/>
              <w:snapToGrid w:val="0"/>
              <w:spacing w:line="440" w:lineRule="exact"/>
              <w:ind w:firstLine="464" w:firstLineChars="200"/>
              <w:jc w:val="left"/>
              <w:rPr>
                <w:rFonts w:eastAsia="黑体"/>
                <w:spacing w:val="-4"/>
                <w:kern w:val="0"/>
                <w:sz w:val="24"/>
              </w:rPr>
            </w:pPr>
          </w:p>
          <w:p>
            <w:pPr>
              <w:widowControl/>
              <w:adjustRightInd w:val="0"/>
              <w:snapToGrid w:val="0"/>
              <w:spacing w:line="440" w:lineRule="exact"/>
              <w:ind w:firstLine="464" w:firstLineChars="200"/>
              <w:jc w:val="left"/>
              <w:rPr>
                <w:rFonts w:eastAsia="黑体"/>
                <w:spacing w:val="-4"/>
                <w:kern w:val="0"/>
                <w:sz w:val="24"/>
              </w:rPr>
            </w:pPr>
            <w:r>
              <w:rPr>
                <w:rFonts w:eastAsia="黑体"/>
                <w:spacing w:val="-4"/>
                <w:kern w:val="0"/>
                <w:sz w:val="24"/>
              </w:rPr>
              <w:t>表</w:t>
            </w:r>
            <w:r>
              <w:rPr>
                <w:rFonts w:hint="eastAsia" w:eastAsia="黑体"/>
                <w:spacing w:val="-4"/>
                <w:kern w:val="0"/>
                <w:sz w:val="24"/>
              </w:rPr>
              <w:t>2</w:t>
            </w:r>
            <w:r>
              <w:rPr>
                <w:rFonts w:eastAsia="黑体"/>
                <w:spacing w:val="-4"/>
                <w:kern w:val="0"/>
                <w:sz w:val="24"/>
              </w:rPr>
              <w:t xml:space="preserve">4         </w:t>
            </w:r>
            <w:r>
              <w:rPr>
                <w:rFonts w:hint="eastAsia" w:eastAsia="黑体"/>
                <w:spacing w:val="-4"/>
                <w:kern w:val="0"/>
                <w:sz w:val="24"/>
              </w:rPr>
              <w:t xml:space="preserve">  </w:t>
            </w:r>
            <w:r>
              <w:rPr>
                <w:rFonts w:eastAsia="黑体"/>
                <w:spacing w:val="-4"/>
                <w:kern w:val="0"/>
                <w:sz w:val="24"/>
              </w:rPr>
              <w:t xml:space="preserve">  </w:t>
            </w:r>
            <w:r>
              <w:rPr>
                <w:rFonts w:hint="eastAsia" w:eastAsia="黑体"/>
                <w:spacing w:val="-4"/>
                <w:kern w:val="0"/>
                <w:sz w:val="24"/>
              </w:rPr>
              <w:t>全厂浆钙制备工段</w:t>
            </w:r>
            <w:r>
              <w:rPr>
                <w:rFonts w:eastAsia="黑体"/>
                <w:spacing w:val="-4"/>
                <w:kern w:val="0"/>
                <w:sz w:val="24"/>
              </w:rPr>
              <w:t>粉尘产排情况</w:t>
            </w:r>
          </w:p>
          <w:tbl>
            <w:tblPr>
              <w:tblStyle w:val="31"/>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3"/>
              <w:gridCol w:w="408"/>
              <w:gridCol w:w="730"/>
              <w:gridCol w:w="364"/>
              <w:gridCol w:w="683"/>
              <w:gridCol w:w="820"/>
              <w:gridCol w:w="957"/>
              <w:gridCol w:w="956"/>
              <w:gridCol w:w="548"/>
              <w:gridCol w:w="624"/>
              <w:gridCol w:w="741"/>
              <w:gridCol w:w="91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trPr>
              <w:tc>
                <w:tcPr>
                  <w:tcW w:w="688" w:type="dxa"/>
                  <w:gridSpan w:val="2"/>
                  <w:vMerge w:val="restart"/>
                  <w:tcMar>
                    <w:left w:w="0" w:type="dxa"/>
                    <w:right w:w="0" w:type="dxa"/>
                  </w:tcMar>
                  <w:vAlign w:val="center"/>
                </w:tcPr>
                <w:p>
                  <w:pPr>
                    <w:pStyle w:val="268"/>
                    <w:rPr>
                      <w:rFonts w:cs="Times New Roman"/>
                    </w:rPr>
                  </w:pPr>
                  <w:r>
                    <w:rPr>
                      <w:rFonts w:cs="Times New Roman"/>
                    </w:rPr>
                    <w:t>排放源</w:t>
                  </w:r>
                </w:p>
              </w:tc>
              <w:tc>
                <w:tcPr>
                  <w:tcW w:w="730" w:type="dxa"/>
                  <w:vMerge w:val="restart"/>
                  <w:tcMar>
                    <w:left w:w="0" w:type="dxa"/>
                    <w:right w:w="0" w:type="dxa"/>
                  </w:tcMar>
                  <w:vAlign w:val="center"/>
                </w:tcPr>
                <w:p>
                  <w:pPr>
                    <w:pStyle w:val="268"/>
                    <w:rPr>
                      <w:rFonts w:cs="Times New Roman"/>
                    </w:rPr>
                  </w:pPr>
                  <w:r>
                    <w:rPr>
                      <w:rFonts w:cs="Times New Roman"/>
                    </w:rPr>
                    <w:t>污染源</w:t>
                  </w:r>
                </w:p>
              </w:tc>
              <w:tc>
                <w:tcPr>
                  <w:tcW w:w="364" w:type="dxa"/>
                  <w:vMerge w:val="restart"/>
                  <w:tcMar>
                    <w:left w:w="0" w:type="dxa"/>
                    <w:right w:w="0" w:type="dxa"/>
                  </w:tcMar>
                  <w:vAlign w:val="center"/>
                </w:tcPr>
                <w:p>
                  <w:pPr>
                    <w:pStyle w:val="268"/>
                    <w:rPr>
                      <w:rFonts w:cs="Times New Roman"/>
                    </w:rPr>
                  </w:pPr>
                  <w:r>
                    <w:rPr>
                      <w:rFonts w:cs="Times New Roman"/>
                    </w:rPr>
                    <w:t>污染物</w:t>
                  </w:r>
                </w:p>
              </w:tc>
              <w:tc>
                <w:tcPr>
                  <w:tcW w:w="2462" w:type="dxa"/>
                  <w:gridSpan w:val="3"/>
                  <w:tcMar>
                    <w:left w:w="0" w:type="dxa"/>
                    <w:right w:w="0" w:type="dxa"/>
                  </w:tcMar>
                  <w:vAlign w:val="center"/>
                </w:tcPr>
                <w:p>
                  <w:pPr>
                    <w:pStyle w:val="268"/>
                    <w:rPr>
                      <w:rFonts w:cs="Times New Roman"/>
                    </w:rPr>
                  </w:pPr>
                  <w:r>
                    <w:rPr>
                      <w:rFonts w:cs="Times New Roman"/>
                    </w:rPr>
                    <w:t>产生情况</w:t>
                  </w:r>
                </w:p>
              </w:tc>
              <w:tc>
                <w:tcPr>
                  <w:tcW w:w="957" w:type="dxa"/>
                  <w:vMerge w:val="restart"/>
                  <w:tcMar>
                    <w:left w:w="0" w:type="dxa"/>
                    <w:right w:w="0" w:type="dxa"/>
                  </w:tcMar>
                  <w:vAlign w:val="center"/>
                </w:tcPr>
                <w:p>
                  <w:pPr>
                    <w:pStyle w:val="268"/>
                    <w:rPr>
                      <w:rFonts w:cs="Times New Roman"/>
                    </w:rPr>
                  </w:pPr>
                  <w:r>
                    <w:rPr>
                      <w:rFonts w:cs="Times New Roman"/>
                    </w:rPr>
                    <w:t>风机风量（m</w:t>
                  </w:r>
                  <w:r>
                    <w:rPr>
                      <w:rFonts w:cs="Times New Roman"/>
                      <w:vertAlign w:val="superscript"/>
                    </w:rPr>
                    <w:t>3</w:t>
                  </w:r>
                  <w:r>
                    <w:rPr>
                      <w:rFonts w:cs="Times New Roman"/>
                    </w:rPr>
                    <w:t>/h）</w:t>
                  </w:r>
                </w:p>
              </w:tc>
              <w:tc>
                <w:tcPr>
                  <w:tcW w:w="548" w:type="dxa"/>
                  <w:vMerge w:val="restart"/>
                  <w:tcMar>
                    <w:left w:w="0" w:type="dxa"/>
                    <w:right w:w="0" w:type="dxa"/>
                  </w:tcMar>
                  <w:vAlign w:val="center"/>
                </w:tcPr>
                <w:p>
                  <w:pPr>
                    <w:pStyle w:val="268"/>
                    <w:rPr>
                      <w:rFonts w:cs="Times New Roman"/>
                    </w:rPr>
                  </w:pPr>
                  <w:r>
                    <w:rPr>
                      <w:rFonts w:cs="Times New Roman"/>
                    </w:rPr>
                    <w:t>处理效率</w:t>
                  </w:r>
                </w:p>
              </w:tc>
              <w:tc>
                <w:tcPr>
                  <w:tcW w:w="2279" w:type="dxa"/>
                  <w:gridSpan w:val="3"/>
                  <w:tcMar>
                    <w:left w:w="0" w:type="dxa"/>
                    <w:right w:w="0" w:type="dxa"/>
                  </w:tcMar>
                  <w:vAlign w:val="center"/>
                </w:tcPr>
                <w:p>
                  <w:pPr>
                    <w:pStyle w:val="268"/>
                    <w:rPr>
                      <w:rFonts w:cs="Times New Roman"/>
                      <w:bCs/>
                      <w:lang w:val="pt-BR"/>
                    </w:rPr>
                  </w:pPr>
                  <w:r>
                    <w:rPr>
                      <w:rFonts w:cs="Times New Roman"/>
                      <w:bCs/>
                    </w:rPr>
                    <w:t>排放情况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8" w:type="dxa"/>
                  <w:gridSpan w:val="2"/>
                  <w:vMerge w:val="continue"/>
                  <w:tcMar>
                    <w:left w:w="0" w:type="dxa"/>
                    <w:right w:w="0" w:type="dxa"/>
                  </w:tcMar>
                  <w:vAlign w:val="center"/>
                </w:tcPr>
                <w:p>
                  <w:pPr>
                    <w:pStyle w:val="268"/>
                    <w:rPr>
                      <w:rFonts w:cs="Times New Roman"/>
                    </w:rPr>
                  </w:pPr>
                </w:p>
              </w:tc>
              <w:tc>
                <w:tcPr>
                  <w:tcW w:w="730" w:type="dxa"/>
                  <w:vMerge w:val="continue"/>
                  <w:tcMar>
                    <w:left w:w="0" w:type="dxa"/>
                    <w:right w:w="0" w:type="dxa"/>
                  </w:tcMar>
                  <w:vAlign w:val="center"/>
                </w:tcPr>
                <w:p>
                  <w:pPr>
                    <w:pStyle w:val="268"/>
                    <w:rPr>
                      <w:rFonts w:cs="Times New Roman"/>
                    </w:rPr>
                  </w:pPr>
                </w:p>
              </w:tc>
              <w:tc>
                <w:tcPr>
                  <w:tcW w:w="364" w:type="dxa"/>
                  <w:vMerge w:val="continue"/>
                  <w:tcMar>
                    <w:left w:w="0" w:type="dxa"/>
                    <w:right w:w="0" w:type="dxa"/>
                  </w:tcMar>
                  <w:vAlign w:val="center"/>
                </w:tcPr>
                <w:p>
                  <w:pPr>
                    <w:pStyle w:val="268"/>
                    <w:rPr>
                      <w:rFonts w:cs="Times New Roman"/>
                    </w:rPr>
                  </w:pPr>
                </w:p>
              </w:tc>
              <w:tc>
                <w:tcPr>
                  <w:tcW w:w="684" w:type="dxa"/>
                  <w:tcMar>
                    <w:left w:w="0" w:type="dxa"/>
                    <w:right w:w="0" w:type="dxa"/>
                  </w:tcMar>
                  <w:vAlign w:val="center"/>
                </w:tcPr>
                <w:p>
                  <w:pPr>
                    <w:pStyle w:val="268"/>
                    <w:rPr>
                      <w:rFonts w:cs="Times New Roman"/>
                    </w:rPr>
                  </w:pPr>
                  <w:r>
                    <w:rPr>
                      <w:rFonts w:cs="Times New Roman"/>
                    </w:rPr>
                    <w:t>产生量(t/a)</w:t>
                  </w:r>
                </w:p>
              </w:tc>
              <w:tc>
                <w:tcPr>
                  <w:tcW w:w="820" w:type="dxa"/>
                  <w:tcMar>
                    <w:left w:w="0" w:type="dxa"/>
                    <w:right w:w="0" w:type="dxa"/>
                  </w:tcMar>
                  <w:vAlign w:val="center"/>
                </w:tcPr>
                <w:p>
                  <w:pPr>
                    <w:pStyle w:val="268"/>
                    <w:rPr>
                      <w:rFonts w:cs="Times New Roman"/>
                      <w:bCs/>
                      <w:lang w:val="pt-BR"/>
                    </w:rPr>
                  </w:pPr>
                  <w:r>
                    <w:rPr>
                      <w:rFonts w:cs="Times New Roman"/>
                    </w:rPr>
                    <w:t>产生速率(kg/h)</w:t>
                  </w:r>
                </w:p>
              </w:tc>
              <w:tc>
                <w:tcPr>
                  <w:tcW w:w="958" w:type="dxa"/>
                  <w:tcMar>
                    <w:left w:w="0" w:type="dxa"/>
                    <w:right w:w="0" w:type="dxa"/>
                  </w:tcMar>
                  <w:vAlign w:val="center"/>
                </w:tcPr>
                <w:p>
                  <w:pPr>
                    <w:pStyle w:val="268"/>
                    <w:rPr>
                      <w:rFonts w:cs="Times New Roman"/>
                    </w:rPr>
                  </w:pPr>
                  <w:r>
                    <w:rPr>
                      <w:rFonts w:cs="Times New Roman"/>
                    </w:rPr>
                    <w:t>产生浓度(mg/m</w:t>
                  </w:r>
                  <w:r>
                    <w:rPr>
                      <w:rFonts w:cs="Times New Roman"/>
                      <w:vertAlign w:val="superscript"/>
                    </w:rPr>
                    <w:t>3</w:t>
                  </w:r>
                  <w:r>
                    <w:rPr>
                      <w:rFonts w:cs="Times New Roman"/>
                    </w:rPr>
                    <w:t>)</w:t>
                  </w:r>
                </w:p>
              </w:tc>
              <w:tc>
                <w:tcPr>
                  <w:tcW w:w="957" w:type="dxa"/>
                  <w:vMerge w:val="continue"/>
                  <w:tcMar>
                    <w:left w:w="0" w:type="dxa"/>
                    <w:right w:w="0" w:type="dxa"/>
                  </w:tcMar>
                  <w:vAlign w:val="center"/>
                </w:tcPr>
                <w:p>
                  <w:pPr>
                    <w:pStyle w:val="268"/>
                    <w:rPr>
                      <w:rFonts w:cs="Times New Roman"/>
                    </w:rPr>
                  </w:pPr>
                </w:p>
              </w:tc>
              <w:tc>
                <w:tcPr>
                  <w:tcW w:w="548" w:type="dxa"/>
                  <w:vMerge w:val="continue"/>
                  <w:tcMar>
                    <w:left w:w="0" w:type="dxa"/>
                    <w:right w:w="0" w:type="dxa"/>
                  </w:tcMar>
                  <w:vAlign w:val="center"/>
                </w:tcPr>
                <w:p>
                  <w:pPr>
                    <w:pStyle w:val="268"/>
                    <w:rPr>
                      <w:rFonts w:cs="Times New Roman"/>
                    </w:rPr>
                  </w:pPr>
                </w:p>
              </w:tc>
              <w:tc>
                <w:tcPr>
                  <w:tcW w:w="624" w:type="dxa"/>
                  <w:tcMar>
                    <w:left w:w="0" w:type="dxa"/>
                    <w:right w:w="0" w:type="dxa"/>
                  </w:tcMar>
                  <w:vAlign w:val="center"/>
                </w:tcPr>
                <w:p>
                  <w:pPr>
                    <w:pStyle w:val="268"/>
                    <w:rPr>
                      <w:rFonts w:cs="Times New Roman"/>
                      <w:bCs/>
                    </w:rPr>
                  </w:pPr>
                  <w:r>
                    <w:rPr>
                      <w:rFonts w:cs="Times New Roman"/>
                      <w:bCs/>
                    </w:rPr>
                    <w:t>排放量(t/a)</w:t>
                  </w:r>
                </w:p>
              </w:tc>
              <w:tc>
                <w:tcPr>
                  <w:tcW w:w="742" w:type="dxa"/>
                  <w:tcMar>
                    <w:left w:w="0" w:type="dxa"/>
                    <w:right w:w="0" w:type="dxa"/>
                  </w:tcMar>
                  <w:vAlign w:val="center"/>
                </w:tcPr>
                <w:p>
                  <w:pPr>
                    <w:pStyle w:val="268"/>
                    <w:rPr>
                      <w:rFonts w:cs="Times New Roman"/>
                    </w:rPr>
                  </w:pPr>
                  <w:r>
                    <w:rPr>
                      <w:rFonts w:cs="Times New Roman"/>
                    </w:rPr>
                    <w:t>排放速率(kg/h)</w:t>
                  </w:r>
                </w:p>
              </w:tc>
              <w:tc>
                <w:tcPr>
                  <w:tcW w:w="913" w:type="dxa"/>
                  <w:tcMar>
                    <w:left w:w="0" w:type="dxa"/>
                    <w:right w:w="0" w:type="dxa"/>
                  </w:tcMar>
                  <w:vAlign w:val="center"/>
                </w:tcPr>
                <w:p>
                  <w:pPr>
                    <w:pStyle w:val="268"/>
                    <w:rPr>
                      <w:rFonts w:cs="Times New Roman"/>
                    </w:rPr>
                  </w:pPr>
                  <w:r>
                    <w:rPr>
                      <w:rFonts w:cs="Times New Roman"/>
                    </w:rPr>
                    <w:t>排放浓度(mg/m</w:t>
                  </w:r>
                  <w:r>
                    <w:rPr>
                      <w:rFonts w:cs="Times New Roman"/>
                      <w:vertAlign w:val="superscript"/>
                    </w:rPr>
                    <w:t>3</w:t>
                  </w:r>
                  <w:r>
                    <w:rPr>
                      <w:rFonts w:cs="Times New Roma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trPr>
              <w:tc>
                <w:tcPr>
                  <w:tcW w:w="284" w:type="dxa"/>
                  <w:vMerge w:val="restart"/>
                  <w:tcBorders>
                    <w:right w:val="single" w:color="auto" w:sz="8" w:space="0"/>
                  </w:tcBorders>
                  <w:tcMar>
                    <w:left w:w="0" w:type="dxa"/>
                    <w:right w:w="0" w:type="dxa"/>
                  </w:tcMar>
                  <w:vAlign w:val="center"/>
                </w:tcPr>
                <w:p>
                  <w:pPr>
                    <w:pStyle w:val="140"/>
                  </w:pPr>
                  <w:r>
                    <w:t>排气筒P5</w:t>
                  </w:r>
                </w:p>
              </w:tc>
              <w:tc>
                <w:tcPr>
                  <w:tcW w:w="404" w:type="dxa"/>
                  <w:vMerge w:val="restart"/>
                  <w:tcBorders>
                    <w:left w:val="single" w:color="auto" w:sz="8" w:space="0"/>
                  </w:tcBorders>
                  <w:vAlign w:val="center"/>
                </w:tcPr>
                <w:p>
                  <w:pPr>
                    <w:pStyle w:val="140"/>
                  </w:pPr>
                  <w:r>
                    <w:t>在建项目</w:t>
                  </w:r>
                </w:p>
              </w:tc>
              <w:tc>
                <w:tcPr>
                  <w:tcW w:w="730" w:type="dxa"/>
                  <w:tcMar>
                    <w:left w:w="0" w:type="dxa"/>
                    <w:right w:w="0" w:type="dxa"/>
                  </w:tcMar>
                  <w:vAlign w:val="center"/>
                </w:tcPr>
                <w:p>
                  <w:pPr>
                    <w:pStyle w:val="140"/>
                  </w:pPr>
                  <w:r>
                    <w:rPr>
                      <w:rFonts w:hint="eastAsia"/>
                    </w:rPr>
                    <w:t>钙粉</w:t>
                  </w:r>
                </w:p>
                <w:p>
                  <w:pPr>
                    <w:pStyle w:val="140"/>
                  </w:pPr>
                  <w:r>
                    <w:rPr>
                      <w:rFonts w:hint="eastAsia"/>
                    </w:rPr>
                    <w:t>投料</w:t>
                  </w:r>
                </w:p>
              </w:tc>
              <w:tc>
                <w:tcPr>
                  <w:tcW w:w="364" w:type="dxa"/>
                  <w:vMerge w:val="restart"/>
                  <w:tcMar>
                    <w:left w:w="0" w:type="dxa"/>
                    <w:right w:w="0" w:type="dxa"/>
                  </w:tcMar>
                  <w:vAlign w:val="center"/>
                </w:tcPr>
                <w:p>
                  <w:pPr>
                    <w:pStyle w:val="140"/>
                  </w:pPr>
                  <w:r>
                    <w:rPr>
                      <w:rFonts w:hint="eastAsia"/>
                    </w:rPr>
                    <w:t>颗粒物</w:t>
                  </w:r>
                </w:p>
              </w:tc>
              <w:tc>
                <w:tcPr>
                  <w:tcW w:w="684" w:type="dxa"/>
                  <w:tcMar>
                    <w:left w:w="0" w:type="dxa"/>
                    <w:right w:w="0" w:type="dxa"/>
                  </w:tcMar>
                  <w:vAlign w:val="center"/>
                </w:tcPr>
                <w:p>
                  <w:pPr>
                    <w:pStyle w:val="140"/>
                  </w:pPr>
                  <w:r>
                    <w:rPr>
                      <w:rFonts w:hint="eastAsia"/>
                    </w:rPr>
                    <w:t>2.5036</w:t>
                  </w:r>
                </w:p>
              </w:tc>
              <w:tc>
                <w:tcPr>
                  <w:tcW w:w="820" w:type="dxa"/>
                  <w:tcMar>
                    <w:left w:w="0" w:type="dxa"/>
                    <w:right w:w="0" w:type="dxa"/>
                  </w:tcMar>
                  <w:vAlign w:val="center"/>
                </w:tcPr>
                <w:p>
                  <w:pPr>
                    <w:pStyle w:val="140"/>
                  </w:pPr>
                  <w:r>
                    <w:rPr>
                      <w:rFonts w:hint="eastAsia"/>
                    </w:rPr>
                    <w:t>2.529</w:t>
                  </w:r>
                </w:p>
              </w:tc>
              <w:tc>
                <w:tcPr>
                  <w:tcW w:w="958" w:type="dxa"/>
                  <w:tcMar>
                    <w:left w:w="0" w:type="dxa"/>
                    <w:right w:w="0" w:type="dxa"/>
                  </w:tcMar>
                  <w:vAlign w:val="center"/>
                </w:tcPr>
                <w:p>
                  <w:pPr>
                    <w:pStyle w:val="140"/>
                  </w:pPr>
                  <w:r>
                    <w:rPr>
                      <w:rFonts w:hint="eastAsia"/>
                    </w:rPr>
                    <w:t>316.1</w:t>
                  </w:r>
                </w:p>
              </w:tc>
              <w:tc>
                <w:tcPr>
                  <w:tcW w:w="957" w:type="dxa"/>
                  <w:vMerge w:val="restart"/>
                  <w:tcMar>
                    <w:left w:w="0" w:type="dxa"/>
                    <w:right w:w="0" w:type="dxa"/>
                  </w:tcMar>
                  <w:vAlign w:val="center"/>
                </w:tcPr>
                <w:p>
                  <w:pPr>
                    <w:pStyle w:val="140"/>
                  </w:pPr>
                  <w:r>
                    <w:rPr>
                      <w:rFonts w:hint="eastAsia"/>
                    </w:rPr>
                    <w:t>10000</w:t>
                  </w:r>
                </w:p>
              </w:tc>
              <w:tc>
                <w:tcPr>
                  <w:tcW w:w="548" w:type="dxa"/>
                  <w:vMerge w:val="restart"/>
                  <w:tcMar>
                    <w:left w:w="0" w:type="dxa"/>
                    <w:right w:w="0" w:type="dxa"/>
                  </w:tcMar>
                  <w:vAlign w:val="center"/>
                </w:tcPr>
                <w:p>
                  <w:pPr>
                    <w:pStyle w:val="140"/>
                  </w:pPr>
                  <w:r>
                    <w:t>99%</w:t>
                  </w:r>
                </w:p>
              </w:tc>
              <w:tc>
                <w:tcPr>
                  <w:tcW w:w="624" w:type="dxa"/>
                  <w:vMerge w:val="restart"/>
                  <w:tcMar>
                    <w:left w:w="0" w:type="dxa"/>
                    <w:right w:w="0" w:type="dxa"/>
                  </w:tcMar>
                  <w:vAlign w:val="center"/>
                </w:tcPr>
                <w:p>
                  <w:pPr>
                    <w:pStyle w:val="140"/>
                  </w:pPr>
                  <w:r>
                    <w:rPr>
                      <w:rFonts w:hint="eastAsia"/>
                    </w:rPr>
                    <w:t>0.1442</w:t>
                  </w:r>
                </w:p>
              </w:tc>
              <w:tc>
                <w:tcPr>
                  <w:tcW w:w="742" w:type="dxa"/>
                  <w:vMerge w:val="restart"/>
                  <w:tcMar>
                    <w:left w:w="0" w:type="dxa"/>
                    <w:right w:w="0" w:type="dxa"/>
                  </w:tcMar>
                  <w:vAlign w:val="center"/>
                </w:tcPr>
                <w:p>
                  <w:pPr>
                    <w:pStyle w:val="140"/>
                  </w:pPr>
                  <w:r>
                    <w:rPr>
                      <w:rFonts w:hint="eastAsia"/>
                    </w:rPr>
                    <w:t>0.0975</w:t>
                  </w:r>
                </w:p>
              </w:tc>
              <w:tc>
                <w:tcPr>
                  <w:tcW w:w="913" w:type="dxa"/>
                  <w:vMerge w:val="restart"/>
                  <w:tcMar>
                    <w:left w:w="0" w:type="dxa"/>
                    <w:right w:w="0" w:type="dxa"/>
                  </w:tcMar>
                  <w:vAlign w:val="center"/>
                </w:tcPr>
                <w:p>
                  <w:pPr>
                    <w:pStyle w:val="140"/>
                  </w:pPr>
                  <w:r>
                    <w:rPr>
                      <w:rFonts w:hint="eastAsia"/>
                    </w:rPr>
                    <w:t>9.75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dxa"/>
                  <w:vMerge w:val="continue"/>
                  <w:tcBorders>
                    <w:right w:val="single" w:color="auto" w:sz="8" w:space="0"/>
                  </w:tcBorders>
                  <w:tcMar>
                    <w:left w:w="0" w:type="dxa"/>
                    <w:right w:w="0" w:type="dxa"/>
                  </w:tcMar>
                  <w:vAlign w:val="center"/>
                </w:tcPr>
                <w:p>
                  <w:pPr>
                    <w:pStyle w:val="140"/>
                  </w:pPr>
                </w:p>
              </w:tc>
              <w:tc>
                <w:tcPr>
                  <w:tcW w:w="404" w:type="dxa"/>
                  <w:vMerge w:val="continue"/>
                  <w:tcBorders>
                    <w:left w:val="single" w:color="auto" w:sz="8" w:space="0"/>
                    <w:bottom w:val="single" w:color="auto" w:sz="8" w:space="0"/>
                  </w:tcBorders>
                  <w:vAlign w:val="center"/>
                </w:tcPr>
                <w:p>
                  <w:pPr>
                    <w:pStyle w:val="140"/>
                  </w:pPr>
                </w:p>
              </w:tc>
              <w:tc>
                <w:tcPr>
                  <w:tcW w:w="730" w:type="dxa"/>
                  <w:tcBorders>
                    <w:bottom w:val="single" w:color="auto" w:sz="8" w:space="0"/>
                  </w:tcBorders>
                  <w:tcMar>
                    <w:left w:w="0" w:type="dxa"/>
                    <w:right w:w="0" w:type="dxa"/>
                  </w:tcMar>
                  <w:vAlign w:val="center"/>
                </w:tcPr>
                <w:p>
                  <w:pPr>
                    <w:pStyle w:val="140"/>
                  </w:pPr>
                  <w:r>
                    <w:rPr>
                      <w:rFonts w:hint="eastAsia"/>
                    </w:rPr>
                    <w:t>钙粉</w:t>
                  </w:r>
                </w:p>
                <w:p>
                  <w:pPr>
                    <w:pStyle w:val="140"/>
                  </w:pPr>
                  <w:r>
                    <w:rPr>
                      <w:rFonts w:hint="eastAsia"/>
                    </w:rPr>
                    <w:t>研磨</w:t>
                  </w:r>
                </w:p>
              </w:tc>
              <w:tc>
                <w:tcPr>
                  <w:tcW w:w="364" w:type="dxa"/>
                  <w:vMerge w:val="continue"/>
                  <w:tcMar>
                    <w:left w:w="0" w:type="dxa"/>
                    <w:right w:w="0" w:type="dxa"/>
                  </w:tcMar>
                  <w:vAlign w:val="center"/>
                </w:tcPr>
                <w:p>
                  <w:pPr>
                    <w:pStyle w:val="140"/>
                  </w:pPr>
                </w:p>
              </w:tc>
              <w:tc>
                <w:tcPr>
                  <w:tcW w:w="684" w:type="dxa"/>
                  <w:tcMar>
                    <w:left w:w="0" w:type="dxa"/>
                    <w:right w:w="0" w:type="dxa"/>
                  </w:tcMar>
                  <w:vAlign w:val="center"/>
                </w:tcPr>
                <w:p>
                  <w:pPr>
                    <w:pStyle w:val="140"/>
                  </w:pPr>
                  <w:r>
                    <w:rPr>
                      <w:rFonts w:hint="eastAsia"/>
                    </w:rPr>
                    <w:t>2.6354</w:t>
                  </w:r>
                </w:p>
              </w:tc>
              <w:tc>
                <w:tcPr>
                  <w:tcW w:w="820" w:type="dxa"/>
                  <w:tcMar>
                    <w:left w:w="0" w:type="dxa"/>
                    <w:right w:w="0" w:type="dxa"/>
                  </w:tcMar>
                  <w:vAlign w:val="center"/>
                </w:tcPr>
                <w:p>
                  <w:pPr>
                    <w:pStyle w:val="140"/>
                  </w:pPr>
                  <w:r>
                    <w:rPr>
                      <w:rFonts w:hint="eastAsia"/>
                    </w:rPr>
                    <w:t>2.662</w:t>
                  </w:r>
                </w:p>
              </w:tc>
              <w:tc>
                <w:tcPr>
                  <w:tcW w:w="958" w:type="dxa"/>
                  <w:tcMar>
                    <w:left w:w="0" w:type="dxa"/>
                    <w:right w:w="0" w:type="dxa"/>
                  </w:tcMar>
                  <w:vAlign w:val="center"/>
                </w:tcPr>
                <w:p>
                  <w:pPr>
                    <w:pStyle w:val="140"/>
                  </w:pPr>
                  <w:r>
                    <w:rPr>
                      <w:rFonts w:hint="eastAsia"/>
                    </w:rPr>
                    <w:t>1331.0</w:t>
                  </w:r>
                </w:p>
              </w:tc>
              <w:tc>
                <w:tcPr>
                  <w:tcW w:w="957" w:type="dxa"/>
                  <w:vMerge w:val="continue"/>
                  <w:tcMar>
                    <w:left w:w="0" w:type="dxa"/>
                    <w:right w:w="0" w:type="dxa"/>
                  </w:tcMar>
                  <w:vAlign w:val="center"/>
                </w:tcPr>
                <w:p>
                  <w:pPr>
                    <w:pStyle w:val="140"/>
                  </w:pPr>
                </w:p>
              </w:tc>
              <w:tc>
                <w:tcPr>
                  <w:tcW w:w="548" w:type="dxa"/>
                  <w:vMerge w:val="continue"/>
                  <w:tcMar>
                    <w:left w:w="0" w:type="dxa"/>
                    <w:right w:w="0" w:type="dxa"/>
                  </w:tcMar>
                  <w:vAlign w:val="center"/>
                </w:tcPr>
                <w:p>
                  <w:pPr>
                    <w:pStyle w:val="140"/>
                  </w:pPr>
                </w:p>
              </w:tc>
              <w:tc>
                <w:tcPr>
                  <w:tcW w:w="624" w:type="dxa"/>
                  <w:vMerge w:val="continue"/>
                  <w:tcMar>
                    <w:left w:w="0" w:type="dxa"/>
                    <w:right w:w="0" w:type="dxa"/>
                  </w:tcMar>
                  <w:vAlign w:val="center"/>
                </w:tcPr>
                <w:p>
                  <w:pPr>
                    <w:pStyle w:val="140"/>
                  </w:pPr>
                </w:p>
              </w:tc>
              <w:tc>
                <w:tcPr>
                  <w:tcW w:w="742" w:type="dxa"/>
                  <w:vMerge w:val="continue"/>
                  <w:tcMar>
                    <w:left w:w="0" w:type="dxa"/>
                    <w:right w:w="0" w:type="dxa"/>
                  </w:tcMar>
                  <w:vAlign w:val="center"/>
                </w:tcPr>
                <w:p>
                  <w:pPr>
                    <w:pStyle w:val="140"/>
                  </w:pPr>
                </w:p>
              </w:tc>
              <w:tc>
                <w:tcPr>
                  <w:tcW w:w="913" w:type="dxa"/>
                  <w:vMerge w:val="continue"/>
                  <w:tcMar>
                    <w:left w:w="0" w:type="dxa"/>
                    <w:right w:w="0" w:type="dxa"/>
                  </w:tcMar>
                  <w:vAlign w:val="center"/>
                </w:tcPr>
                <w:p>
                  <w:pPr>
                    <w:pStyle w:val="140"/>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dxa"/>
                  <w:vMerge w:val="continue"/>
                  <w:tcBorders>
                    <w:right w:val="single" w:color="auto" w:sz="8" w:space="0"/>
                  </w:tcBorders>
                  <w:tcMar>
                    <w:left w:w="0" w:type="dxa"/>
                    <w:right w:w="0" w:type="dxa"/>
                  </w:tcMar>
                  <w:vAlign w:val="center"/>
                </w:tcPr>
                <w:p>
                  <w:pPr>
                    <w:pStyle w:val="140"/>
                  </w:pPr>
                </w:p>
              </w:tc>
              <w:tc>
                <w:tcPr>
                  <w:tcW w:w="404" w:type="dxa"/>
                  <w:vMerge w:val="restart"/>
                  <w:tcBorders>
                    <w:top w:val="single" w:color="auto" w:sz="8" w:space="0"/>
                    <w:left w:val="single" w:color="auto" w:sz="8" w:space="0"/>
                  </w:tcBorders>
                  <w:vAlign w:val="center"/>
                </w:tcPr>
                <w:p>
                  <w:pPr>
                    <w:pStyle w:val="140"/>
                  </w:pPr>
                  <w:r>
                    <w:t>本项目</w:t>
                  </w:r>
                </w:p>
              </w:tc>
              <w:tc>
                <w:tcPr>
                  <w:tcW w:w="730" w:type="dxa"/>
                  <w:tcBorders>
                    <w:top w:val="single" w:color="auto" w:sz="8" w:space="0"/>
                  </w:tcBorders>
                  <w:tcMar>
                    <w:left w:w="0" w:type="dxa"/>
                    <w:right w:w="0" w:type="dxa"/>
                  </w:tcMar>
                  <w:vAlign w:val="center"/>
                </w:tcPr>
                <w:p>
                  <w:pPr>
                    <w:pStyle w:val="140"/>
                  </w:pPr>
                  <w:r>
                    <w:rPr>
                      <w:rFonts w:hint="eastAsia"/>
                    </w:rPr>
                    <w:t>钙粉</w:t>
                  </w:r>
                </w:p>
                <w:p>
                  <w:pPr>
                    <w:pStyle w:val="140"/>
                  </w:pPr>
                  <w:r>
                    <w:rPr>
                      <w:rFonts w:hint="eastAsia"/>
                    </w:rPr>
                    <w:t>投料</w:t>
                  </w:r>
                </w:p>
              </w:tc>
              <w:tc>
                <w:tcPr>
                  <w:tcW w:w="364" w:type="dxa"/>
                  <w:vMerge w:val="continue"/>
                  <w:tcMar>
                    <w:left w:w="0" w:type="dxa"/>
                    <w:right w:w="0" w:type="dxa"/>
                  </w:tcMar>
                  <w:vAlign w:val="center"/>
                </w:tcPr>
                <w:p>
                  <w:pPr>
                    <w:pStyle w:val="140"/>
                  </w:pPr>
                </w:p>
              </w:tc>
              <w:tc>
                <w:tcPr>
                  <w:tcW w:w="684" w:type="dxa"/>
                  <w:tcMar>
                    <w:left w:w="0" w:type="dxa"/>
                    <w:right w:w="0" w:type="dxa"/>
                  </w:tcMar>
                  <w:vAlign w:val="center"/>
                </w:tcPr>
                <w:p>
                  <w:pPr>
                    <w:pStyle w:val="140"/>
                  </w:pPr>
                  <w:r>
                    <w:rPr>
                      <w:rFonts w:hint="eastAsia"/>
                    </w:rPr>
                    <w:t>4.522</w:t>
                  </w:r>
                </w:p>
              </w:tc>
              <w:tc>
                <w:tcPr>
                  <w:tcW w:w="820" w:type="dxa"/>
                  <w:tcMar>
                    <w:left w:w="0" w:type="dxa"/>
                    <w:right w:w="0" w:type="dxa"/>
                  </w:tcMar>
                  <w:vAlign w:val="center"/>
                </w:tcPr>
                <w:p>
                  <w:pPr>
                    <w:pStyle w:val="140"/>
                  </w:pPr>
                  <w:r>
                    <w:rPr>
                      <w:rFonts w:hint="eastAsia"/>
                    </w:rPr>
                    <w:t>2.2167</w:t>
                  </w:r>
                </w:p>
              </w:tc>
              <w:tc>
                <w:tcPr>
                  <w:tcW w:w="958" w:type="dxa"/>
                  <w:tcMar>
                    <w:left w:w="0" w:type="dxa"/>
                    <w:right w:w="0" w:type="dxa"/>
                  </w:tcMar>
                  <w:vAlign w:val="center"/>
                </w:tcPr>
                <w:p>
                  <w:pPr>
                    <w:pStyle w:val="140"/>
                  </w:pPr>
                  <w:r>
                    <w:rPr>
                      <w:rFonts w:hint="eastAsia"/>
                    </w:rPr>
                    <w:t>221.67</w:t>
                  </w:r>
                </w:p>
              </w:tc>
              <w:tc>
                <w:tcPr>
                  <w:tcW w:w="957" w:type="dxa"/>
                  <w:vMerge w:val="continue"/>
                  <w:tcMar>
                    <w:left w:w="0" w:type="dxa"/>
                    <w:right w:w="0" w:type="dxa"/>
                  </w:tcMar>
                  <w:vAlign w:val="center"/>
                </w:tcPr>
                <w:p>
                  <w:pPr>
                    <w:pStyle w:val="140"/>
                  </w:pPr>
                </w:p>
              </w:tc>
              <w:tc>
                <w:tcPr>
                  <w:tcW w:w="548" w:type="dxa"/>
                  <w:vMerge w:val="continue"/>
                  <w:tcMar>
                    <w:left w:w="0" w:type="dxa"/>
                    <w:right w:w="0" w:type="dxa"/>
                  </w:tcMar>
                  <w:vAlign w:val="center"/>
                </w:tcPr>
                <w:p>
                  <w:pPr>
                    <w:pStyle w:val="140"/>
                  </w:pPr>
                </w:p>
              </w:tc>
              <w:tc>
                <w:tcPr>
                  <w:tcW w:w="624" w:type="dxa"/>
                  <w:vMerge w:val="continue"/>
                  <w:tcMar>
                    <w:left w:w="0" w:type="dxa"/>
                    <w:right w:w="0" w:type="dxa"/>
                  </w:tcMar>
                  <w:vAlign w:val="center"/>
                </w:tcPr>
                <w:p>
                  <w:pPr>
                    <w:pStyle w:val="140"/>
                  </w:pPr>
                </w:p>
              </w:tc>
              <w:tc>
                <w:tcPr>
                  <w:tcW w:w="742" w:type="dxa"/>
                  <w:vMerge w:val="continue"/>
                  <w:tcMar>
                    <w:left w:w="0" w:type="dxa"/>
                    <w:right w:w="0" w:type="dxa"/>
                  </w:tcMar>
                  <w:vAlign w:val="center"/>
                </w:tcPr>
                <w:p>
                  <w:pPr>
                    <w:pStyle w:val="140"/>
                  </w:pPr>
                </w:p>
              </w:tc>
              <w:tc>
                <w:tcPr>
                  <w:tcW w:w="913" w:type="dxa"/>
                  <w:vMerge w:val="continue"/>
                  <w:tcMar>
                    <w:left w:w="0" w:type="dxa"/>
                    <w:right w:w="0" w:type="dxa"/>
                  </w:tcMar>
                  <w:vAlign w:val="center"/>
                </w:tcPr>
                <w:p>
                  <w:pPr>
                    <w:pStyle w:val="140"/>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trPr>
              <w:tc>
                <w:tcPr>
                  <w:tcW w:w="284" w:type="dxa"/>
                  <w:vMerge w:val="continue"/>
                  <w:tcBorders>
                    <w:right w:val="single" w:color="auto" w:sz="8" w:space="0"/>
                  </w:tcBorders>
                  <w:tcMar>
                    <w:left w:w="0" w:type="dxa"/>
                    <w:right w:w="0" w:type="dxa"/>
                  </w:tcMar>
                  <w:vAlign w:val="center"/>
                </w:tcPr>
                <w:p>
                  <w:pPr>
                    <w:pStyle w:val="140"/>
                  </w:pPr>
                </w:p>
              </w:tc>
              <w:tc>
                <w:tcPr>
                  <w:tcW w:w="404" w:type="dxa"/>
                  <w:vMerge w:val="continue"/>
                  <w:tcBorders>
                    <w:left w:val="single" w:color="auto" w:sz="8" w:space="0"/>
                  </w:tcBorders>
                  <w:vAlign w:val="center"/>
                </w:tcPr>
                <w:p>
                  <w:pPr>
                    <w:pStyle w:val="140"/>
                  </w:pPr>
                </w:p>
              </w:tc>
              <w:tc>
                <w:tcPr>
                  <w:tcW w:w="730" w:type="dxa"/>
                  <w:tcMar>
                    <w:left w:w="0" w:type="dxa"/>
                    <w:right w:w="0" w:type="dxa"/>
                  </w:tcMar>
                  <w:vAlign w:val="center"/>
                </w:tcPr>
                <w:p>
                  <w:pPr>
                    <w:pStyle w:val="140"/>
                  </w:pPr>
                  <w:r>
                    <w:rPr>
                      <w:rFonts w:hint="eastAsia"/>
                    </w:rPr>
                    <w:t>钙粉</w:t>
                  </w:r>
                </w:p>
                <w:p>
                  <w:pPr>
                    <w:pStyle w:val="140"/>
                  </w:pPr>
                  <w:r>
                    <w:rPr>
                      <w:rFonts w:hint="eastAsia"/>
                    </w:rPr>
                    <w:t>研磨</w:t>
                  </w:r>
                </w:p>
              </w:tc>
              <w:tc>
                <w:tcPr>
                  <w:tcW w:w="364" w:type="dxa"/>
                  <w:vMerge w:val="continue"/>
                  <w:tcMar>
                    <w:left w:w="0" w:type="dxa"/>
                    <w:right w:w="0" w:type="dxa"/>
                  </w:tcMar>
                  <w:vAlign w:val="center"/>
                </w:tcPr>
                <w:p>
                  <w:pPr>
                    <w:pStyle w:val="140"/>
                  </w:pPr>
                </w:p>
              </w:tc>
              <w:tc>
                <w:tcPr>
                  <w:tcW w:w="684" w:type="dxa"/>
                  <w:tcMar>
                    <w:left w:w="0" w:type="dxa"/>
                    <w:right w:w="0" w:type="dxa"/>
                  </w:tcMar>
                  <w:vAlign w:val="center"/>
                </w:tcPr>
                <w:p>
                  <w:pPr>
                    <w:pStyle w:val="140"/>
                  </w:pPr>
                  <w:r>
                    <w:rPr>
                      <w:rFonts w:hint="eastAsia"/>
                    </w:rPr>
                    <w:t>4.76</w:t>
                  </w:r>
                </w:p>
              </w:tc>
              <w:tc>
                <w:tcPr>
                  <w:tcW w:w="820" w:type="dxa"/>
                  <w:tcMar>
                    <w:left w:w="0" w:type="dxa"/>
                    <w:right w:w="0" w:type="dxa"/>
                  </w:tcMar>
                  <w:vAlign w:val="center"/>
                </w:tcPr>
                <w:p>
                  <w:pPr>
                    <w:pStyle w:val="140"/>
                  </w:pPr>
                  <w:r>
                    <w:rPr>
                      <w:rFonts w:hint="eastAsia"/>
                    </w:rPr>
                    <w:t>2.3333</w:t>
                  </w:r>
                </w:p>
              </w:tc>
              <w:tc>
                <w:tcPr>
                  <w:tcW w:w="958" w:type="dxa"/>
                  <w:tcMar>
                    <w:left w:w="0" w:type="dxa"/>
                    <w:right w:w="0" w:type="dxa"/>
                  </w:tcMar>
                  <w:vAlign w:val="center"/>
                </w:tcPr>
                <w:p>
                  <w:pPr>
                    <w:pStyle w:val="140"/>
                  </w:pPr>
                  <w:r>
                    <w:rPr>
                      <w:rFonts w:hint="eastAsia"/>
                    </w:rPr>
                    <w:t>233.33</w:t>
                  </w:r>
                </w:p>
              </w:tc>
              <w:tc>
                <w:tcPr>
                  <w:tcW w:w="957" w:type="dxa"/>
                  <w:vMerge w:val="continue"/>
                  <w:tcMar>
                    <w:left w:w="0" w:type="dxa"/>
                    <w:right w:w="0" w:type="dxa"/>
                  </w:tcMar>
                  <w:vAlign w:val="center"/>
                </w:tcPr>
                <w:p>
                  <w:pPr>
                    <w:pStyle w:val="140"/>
                  </w:pPr>
                </w:p>
              </w:tc>
              <w:tc>
                <w:tcPr>
                  <w:tcW w:w="548" w:type="dxa"/>
                  <w:vMerge w:val="continue"/>
                  <w:tcMar>
                    <w:left w:w="0" w:type="dxa"/>
                    <w:right w:w="0" w:type="dxa"/>
                  </w:tcMar>
                  <w:vAlign w:val="center"/>
                </w:tcPr>
                <w:p>
                  <w:pPr>
                    <w:pStyle w:val="140"/>
                  </w:pPr>
                </w:p>
              </w:tc>
              <w:tc>
                <w:tcPr>
                  <w:tcW w:w="624" w:type="dxa"/>
                  <w:vMerge w:val="continue"/>
                  <w:tcMar>
                    <w:left w:w="0" w:type="dxa"/>
                    <w:right w:w="0" w:type="dxa"/>
                  </w:tcMar>
                  <w:vAlign w:val="center"/>
                </w:tcPr>
                <w:p>
                  <w:pPr>
                    <w:pStyle w:val="140"/>
                  </w:pPr>
                </w:p>
              </w:tc>
              <w:tc>
                <w:tcPr>
                  <w:tcW w:w="742" w:type="dxa"/>
                  <w:vMerge w:val="continue"/>
                  <w:tcMar>
                    <w:left w:w="0" w:type="dxa"/>
                    <w:right w:w="0" w:type="dxa"/>
                  </w:tcMar>
                  <w:vAlign w:val="center"/>
                </w:tcPr>
                <w:p>
                  <w:pPr>
                    <w:pStyle w:val="140"/>
                  </w:pPr>
                </w:p>
              </w:tc>
              <w:tc>
                <w:tcPr>
                  <w:tcW w:w="913" w:type="dxa"/>
                  <w:vMerge w:val="continue"/>
                  <w:tcMar>
                    <w:left w:w="0" w:type="dxa"/>
                    <w:right w:w="0" w:type="dxa"/>
                  </w:tcMar>
                  <w:vAlign w:val="center"/>
                </w:tcPr>
                <w:p>
                  <w:pPr>
                    <w:pStyle w:val="140"/>
                  </w:pPr>
                </w:p>
              </w:tc>
            </w:tr>
          </w:tbl>
          <w:p>
            <w:pPr>
              <w:spacing w:line="480" w:lineRule="exact"/>
              <w:ind w:firstLine="480"/>
              <w:rPr>
                <w:sz w:val="24"/>
              </w:rPr>
            </w:pPr>
            <w:r>
              <w:rPr>
                <w:sz w:val="24"/>
              </w:rPr>
              <w:t>由上表可知，本项目建成后全厂</w:t>
            </w:r>
            <w:r>
              <w:rPr>
                <w:rFonts w:hint="eastAsia"/>
                <w:sz w:val="24"/>
              </w:rPr>
              <w:t>浆钙生产线产生的颗粒物</w:t>
            </w:r>
            <w:r>
              <w:rPr>
                <w:sz w:val="24"/>
              </w:rPr>
              <w:t>经袋式除尘器治理后，排放浓度为</w:t>
            </w:r>
            <w:r>
              <w:rPr>
                <w:rFonts w:hint="eastAsia"/>
                <w:sz w:val="24"/>
              </w:rPr>
              <w:t>9.75</w:t>
            </w:r>
            <w:r>
              <w:rPr>
                <w:sz w:val="24"/>
              </w:rPr>
              <w:t>mg/m</w:t>
            </w:r>
            <w:r>
              <w:rPr>
                <w:sz w:val="24"/>
                <w:vertAlign w:val="superscript"/>
              </w:rPr>
              <w:t>3</w:t>
            </w:r>
            <w:r>
              <w:rPr>
                <w:sz w:val="24"/>
              </w:rPr>
              <w:t>，排放速率为</w:t>
            </w:r>
            <w:r>
              <w:rPr>
                <w:rFonts w:hint="eastAsia"/>
                <w:sz w:val="24"/>
              </w:rPr>
              <w:t>0.0975</w:t>
            </w:r>
            <w:r>
              <w:rPr>
                <w:sz w:val="24"/>
              </w:rPr>
              <w:t>kg/h，能够满足《大气污染物综合排放标准》（GB16297-1996）表2颗粒物浓度120mg/m³、速率3.5kg/h（15m高排气筒）的标准要求；同时能够满足《新乡市生态环境局关于进一步规范工业企业颗粒物排放限值的通知》颗粒物浓度10mg/m³的限值要求。因此本项目浆钙制备工段依托在建项目浆钙生产线可行</w:t>
            </w:r>
            <w:r>
              <w:rPr>
                <w:rFonts w:hint="eastAsia"/>
                <w:sz w:val="24"/>
              </w:rPr>
              <w:t>。</w:t>
            </w:r>
          </w:p>
          <w:p>
            <w:pPr>
              <w:spacing w:line="480" w:lineRule="exact"/>
              <w:ind w:firstLine="480"/>
              <w:rPr>
                <w:sz w:val="24"/>
              </w:rPr>
            </w:pPr>
            <w:r>
              <w:rPr>
                <w:rFonts w:hint="eastAsia"/>
                <w:sz w:val="24"/>
              </w:rPr>
              <w:t>（3）涂布工段投料粉尘</w:t>
            </w:r>
          </w:p>
          <w:p>
            <w:pPr>
              <w:spacing w:line="480" w:lineRule="exact"/>
              <w:ind w:firstLine="480"/>
              <w:rPr>
                <w:sz w:val="24"/>
              </w:rPr>
            </w:pPr>
            <w:r>
              <w:rPr>
                <w:sz w:val="24"/>
              </w:rPr>
              <w:t>本项目</w:t>
            </w:r>
            <w:r>
              <w:rPr>
                <w:rFonts w:hint="eastAsia"/>
                <w:sz w:val="24"/>
              </w:rPr>
              <w:t>涂布</w:t>
            </w:r>
            <w:r>
              <w:rPr>
                <w:sz w:val="24"/>
              </w:rPr>
              <w:t>工段的投料过程中</w:t>
            </w:r>
            <w:r>
              <w:rPr>
                <w:rFonts w:hint="eastAsia"/>
                <w:sz w:val="24"/>
              </w:rPr>
              <w:t>，块状物料</w:t>
            </w:r>
            <w:r>
              <w:rPr>
                <w:sz w:val="24"/>
                <w:szCs w:val="32"/>
              </w:rPr>
              <w:t>羟甲基纤维素钠通过人工拆袋倒入料斗</w:t>
            </w:r>
            <w:r>
              <w:rPr>
                <w:rFonts w:hint="eastAsia"/>
                <w:sz w:val="24"/>
                <w:szCs w:val="32"/>
              </w:rPr>
              <w:t>，</w:t>
            </w:r>
            <w:r>
              <w:rPr>
                <w:sz w:val="24"/>
                <w:szCs w:val="32"/>
              </w:rPr>
              <w:t>粉状物料瓷土</w:t>
            </w:r>
            <w:r>
              <w:rPr>
                <w:rFonts w:hint="eastAsia"/>
                <w:sz w:val="24"/>
                <w:szCs w:val="32"/>
              </w:rPr>
              <w:t>、</w:t>
            </w:r>
            <w:r>
              <w:rPr>
                <w:sz w:val="24"/>
                <w:szCs w:val="32"/>
              </w:rPr>
              <w:t>玉米淀粉均通过吨包自动上料进入料斗内。依据现有项目</w:t>
            </w:r>
            <w:r>
              <w:rPr>
                <w:rFonts w:hint="eastAsia"/>
                <w:sz w:val="24"/>
                <w:szCs w:val="32"/>
              </w:rPr>
              <w:t>“河南兴泰纸业有限公司年加工6万吨涂布白卡纸项目”竣工环境保护验收监测报告监测数据，</w:t>
            </w:r>
            <w:r>
              <w:rPr>
                <w:rFonts w:hint="eastAsia"/>
                <w:sz w:val="24"/>
              </w:rPr>
              <w:t>羟甲基纤维素钠</w:t>
            </w:r>
            <w:r>
              <w:rPr>
                <w:sz w:val="24"/>
              </w:rPr>
              <w:t>投料过程中粉尘产生量为</w:t>
            </w:r>
            <w:r>
              <w:rPr>
                <w:rFonts w:hint="eastAsia"/>
                <w:sz w:val="24"/>
              </w:rPr>
              <w:t>0.5</w:t>
            </w:r>
            <w:r>
              <w:rPr>
                <w:sz w:val="24"/>
              </w:rPr>
              <w:t>kg</w:t>
            </w:r>
            <w:r>
              <w:rPr>
                <w:rFonts w:hint="eastAsia"/>
                <w:sz w:val="24"/>
              </w:rPr>
              <w:t>/t（以原料计），本项目羟甲基纤维素钠用量为1000t，则投料过程粉尘产生量为0.5t/a；瓷土</w:t>
            </w:r>
            <w:r>
              <w:rPr>
                <w:sz w:val="24"/>
              </w:rPr>
              <w:t>投料过程中粉尘产生量为</w:t>
            </w:r>
            <w:r>
              <w:rPr>
                <w:rFonts w:hint="eastAsia"/>
                <w:sz w:val="24"/>
              </w:rPr>
              <w:t>0.8</w:t>
            </w:r>
            <w:r>
              <w:rPr>
                <w:sz w:val="24"/>
              </w:rPr>
              <w:t>kg</w:t>
            </w:r>
            <w:r>
              <w:rPr>
                <w:rFonts w:hint="eastAsia"/>
                <w:sz w:val="24"/>
              </w:rPr>
              <w:t>/t（以原料计），本项目瓷土用量为600t，则投料过程粉尘产生量为0.48t/a；玉米淀粉</w:t>
            </w:r>
            <w:r>
              <w:rPr>
                <w:sz w:val="24"/>
              </w:rPr>
              <w:t>投料过程中粉尘产生量为</w:t>
            </w:r>
            <w:r>
              <w:rPr>
                <w:rFonts w:hint="eastAsia"/>
                <w:sz w:val="24"/>
              </w:rPr>
              <w:t>1.844</w:t>
            </w:r>
            <w:r>
              <w:rPr>
                <w:sz w:val="24"/>
              </w:rPr>
              <w:t>kg</w:t>
            </w:r>
            <w:r>
              <w:rPr>
                <w:rFonts w:hint="eastAsia"/>
                <w:sz w:val="24"/>
              </w:rPr>
              <w:t>/t（以原料计），本项目玉米淀粉用量为2400t，则投料过程粉尘产生量为4.4256t/a</w:t>
            </w:r>
            <w:r>
              <w:rPr>
                <w:sz w:val="24"/>
              </w:rPr>
              <w:t>。</w:t>
            </w:r>
          </w:p>
          <w:p>
            <w:pPr>
              <w:spacing w:line="480" w:lineRule="exact"/>
              <w:ind w:firstLine="480"/>
              <w:rPr>
                <w:sz w:val="24"/>
                <w:szCs w:val="32"/>
              </w:rPr>
            </w:pPr>
            <w:r>
              <w:rPr>
                <w:sz w:val="24"/>
              </w:rPr>
              <w:t>评价提出</w:t>
            </w:r>
            <w:r>
              <w:rPr>
                <w:rFonts w:hint="eastAsia"/>
                <w:sz w:val="24"/>
              </w:rPr>
              <w:t>：</w:t>
            </w:r>
            <w:r>
              <w:rPr>
                <w:sz w:val="24"/>
              </w:rPr>
              <w:t>企业需设置密闭投料操作间</w:t>
            </w:r>
            <w:r>
              <w:rPr>
                <w:rFonts w:hint="eastAsia"/>
                <w:sz w:val="24"/>
              </w:rPr>
              <w:t>，</w:t>
            </w:r>
            <w:r>
              <w:rPr>
                <w:sz w:val="24"/>
              </w:rPr>
              <w:t>同时在投料口上方配置集气罩进行负压收集，粉尘由集气罩收集后引入袋式除尘器进行治理，治理后废气经15m高排气筒有组织排放。收集效率以</w:t>
            </w:r>
            <w:r>
              <w:rPr>
                <w:rFonts w:hint="eastAsia"/>
                <w:sz w:val="24"/>
              </w:rPr>
              <w:t>95%计，则粉尘有组织收集量为5.1353t/a；</w:t>
            </w:r>
            <w:r>
              <w:rPr>
                <w:sz w:val="24"/>
              </w:rPr>
              <w:t>密闭投料间设计尺寸为</w:t>
            </w:r>
            <w:r>
              <w:rPr>
                <w:rFonts w:hint="eastAsia"/>
                <w:sz w:val="24"/>
              </w:rPr>
              <w:t>：3m×3m×3.5m，按照每小时换气次数不小于60次进行考虑，则所需最小风量为1890m</w:t>
            </w:r>
            <w:r>
              <w:rPr>
                <w:rFonts w:hint="eastAsia"/>
                <w:sz w:val="24"/>
                <w:vertAlign w:val="superscript"/>
              </w:rPr>
              <w:t>3</w:t>
            </w:r>
            <w:r>
              <w:rPr>
                <w:rFonts w:hint="eastAsia"/>
                <w:sz w:val="24"/>
              </w:rPr>
              <w:t>/h，则本次评价风机设计风量取2000m</w:t>
            </w:r>
            <w:r>
              <w:rPr>
                <w:rFonts w:hint="eastAsia"/>
                <w:sz w:val="24"/>
                <w:vertAlign w:val="superscript"/>
              </w:rPr>
              <w:t>3</w:t>
            </w:r>
            <w:r>
              <w:rPr>
                <w:rFonts w:hint="eastAsia"/>
                <w:sz w:val="24"/>
              </w:rPr>
              <w:t>/h</w:t>
            </w:r>
            <w:r>
              <w:rPr>
                <w:sz w:val="24"/>
              </w:rPr>
              <w:t>。</w:t>
            </w:r>
            <w:r>
              <w:rPr>
                <w:rFonts w:hint="eastAsia"/>
                <w:sz w:val="24"/>
              </w:rPr>
              <w:t>羟甲基</w:t>
            </w:r>
            <w:r>
              <w:rPr>
                <w:sz w:val="24"/>
              </w:rPr>
              <w:t>纤维素钠</w:t>
            </w:r>
            <w:r>
              <w:rPr>
                <w:rFonts w:hint="eastAsia"/>
                <w:sz w:val="24"/>
              </w:rPr>
              <w:t>、</w:t>
            </w:r>
            <w:r>
              <w:rPr>
                <w:sz w:val="24"/>
              </w:rPr>
              <w:t>瓷土的投料时间均</w:t>
            </w:r>
            <w:r>
              <w:rPr>
                <w:rFonts w:hint="eastAsia"/>
                <w:sz w:val="24"/>
              </w:rPr>
              <w:t>为4h/d（1360h/a），玉米淀粉的投料时间为12h/d（4080h/d）。</w:t>
            </w:r>
          </w:p>
          <w:p>
            <w:pPr>
              <w:widowControl/>
              <w:spacing w:line="460" w:lineRule="exact"/>
              <w:ind w:firstLine="480"/>
              <w:jc w:val="left"/>
              <w:rPr>
                <w:sz w:val="24"/>
              </w:rPr>
            </w:pPr>
            <w:r>
              <w:rPr>
                <w:rFonts w:hint="eastAsia"/>
                <w:sz w:val="24"/>
              </w:rPr>
              <w:t>（4）涂布工段分散搅拌粉尘</w:t>
            </w:r>
          </w:p>
          <w:p>
            <w:pPr>
              <w:widowControl/>
              <w:spacing w:line="460" w:lineRule="exact"/>
              <w:ind w:firstLine="480"/>
              <w:jc w:val="left"/>
              <w:rPr>
                <w:sz w:val="24"/>
              </w:rPr>
            </w:pPr>
            <w:r>
              <w:rPr>
                <w:rFonts w:hint="eastAsia"/>
                <w:sz w:val="24"/>
              </w:rPr>
              <w:t>本项目瓷土和羟甲基纤维素钠输送至分散罐内下落过程会有粉尘产生，分散罐为密闭式分散罐，粉尘经分散罐呼吸口排放。</w:t>
            </w:r>
            <w:r>
              <w:rPr>
                <w:sz w:val="24"/>
                <w:szCs w:val="32"/>
              </w:rPr>
              <w:t>依据现有项目</w:t>
            </w:r>
            <w:r>
              <w:rPr>
                <w:rFonts w:hint="eastAsia"/>
                <w:sz w:val="24"/>
                <w:szCs w:val="32"/>
              </w:rPr>
              <w:t>“河南兴泰纸业有限公司年加工6万吨涂布白卡纸项目”竣工环境保护验收监测报告监测数据，</w:t>
            </w:r>
            <w:r>
              <w:rPr>
                <w:rFonts w:hint="eastAsia"/>
                <w:sz w:val="24"/>
              </w:rPr>
              <w:t>本次评价的产尘系数与涂布工段的投料粉尘一致，则羟甲基纤维素钠分散搅拌过程粉尘产生量为0.5t/a；瓷土分散搅拌过程粉尘产生量为0.48t/a。</w:t>
            </w:r>
          </w:p>
          <w:p>
            <w:pPr>
              <w:widowControl/>
              <w:spacing w:line="460" w:lineRule="exact"/>
              <w:ind w:firstLine="480"/>
              <w:jc w:val="left"/>
              <w:rPr>
                <w:sz w:val="24"/>
              </w:rPr>
            </w:pPr>
            <w:r>
              <w:rPr>
                <w:rFonts w:hint="eastAsia"/>
                <w:sz w:val="24"/>
              </w:rPr>
              <w:t>评价提出：分散罐呼吸口经密闭管道负压抽吸至袋式除尘器处理后经15m高排气筒排放。</w:t>
            </w:r>
            <w:r>
              <w:rPr>
                <w:sz w:val="24"/>
              </w:rPr>
              <w:t>收集效率以</w:t>
            </w:r>
            <w:r>
              <w:rPr>
                <w:rFonts w:hint="eastAsia"/>
                <w:sz w:val="24"/>
              </w:rPr>
              <w:t>100</w:t>
            </w:r>
            <w:r>
              <w:rPr>
                <w:sz w:val="24"/>
              </w:rPr>
              <w:t>%计算</w:t>
            </w:r>
            <w:r>
              <w:rPr>
                <w:rFonts w:hint="eastAsia"/>
                <w:sz w:val="24"/>
              </w:rPr>
              <w:t>，则粉尘有组织收集量为0.98</w:t>
            </w:r>
            <w:r>
              <w:rPr>
                <w:sz w:val="24"/>
              </w:rPr>
              <w:t>t/a</w:t>
            </w:r>
            <w:r>
              <w:rPr>
                <w:rFonts w:hint="eastAsia"/>
                <w:sz w:val="24"/>
              </w:rPr>
              <w:t>；本次评价风机设计风量以2000m</w:t>
            </w:r>
            <w:r>
              <w:rPr>
                <w:rFonts w:hint="eastAsia"/>
                <w:sz w:val="24"/>
                <w:vertAlign w:val="superscript"/>
              </w:rPr>
              <w:t>3</w:t>
            </w:r>
            <w:r>
              <w:rPr>
                <w:rFonts w:hint="eastAsia"/>
                <w:sz w:val="24"/>
              </w:rPr>
              <w:t>/h计；</w:t>
            </w:r>
            <w:r>
              <w:rPr>
                <w:sz w:val="24"/>
              </w:rPr>
              <w:t>年工作时间为</w:t>
            </w:r>
            <w:r>
              <w:rPr>
                <w:rFonts w:hint="eastAsia"/>
                <w:sz w:val="24"/>
              </w:rPr>
              <w:t>4</w:t>
            </w:r>
            <w:r>
              <w:rPr>
                <w:sz w:val="24"/>
              </w:rPr>
              <w:t>h/d（</w:t>
            </w:r>
            <w:r>
              <w:rPr>
                <w:rFonts w:hint="eastAsia"/>
                <w:sz w:val="24"/>
              </w:rPr>
              <w:t>1360</w:t>
            </w:r>
            <w:r>
              <w:rPr>
                <w:sz w:val="24"/>
              </w:rPr>
              <w:t>h/a）</w:t>
            </w:r>
            <w:r>
              <w:rPr>
                <w:rFonts w:hint="eastAsia"/>
                <w:sz w:val="24"/>
              </w:rPr>
              <w:t>。</w:t>
            </w:r>
          </w:p>
          <w:p>
            <w:pPr>
              <w:widowControl/>
              <w:spacing w:line="460" w:lineRule="exact"/>
              <w:ind w:firstLine="480"/>
              <w:jc w:val="left"/>
              <w:rPr>
                <w:sz w:val="24"/>
              </w:rPr>
            </w:pPr>
            <w:r>
              <w:rPr>
                <w:rFonts w:hint="eastAsia"/>
                <w:sz w:val="24"/>
              </w:rPr>
              <w:t>（5）涂布工段面涂配料粉尘</w:t>
            </w:r>
          </w:p>
          <w:p>
            <w:pPr>
              <w:widowControl/>
              <w:spacing w:line="460" w:lineRule="exact"/>
              <w:ind w:firstLine="480"/>
              <w:jc w:val="left"/>
              <w:rPr>
                <w:sz w:val="24"/>
              </w:rPr>
            </w:pPr>
            <w:r>
              <w:rPr>
                <w:rFonts w:hint="eastAsia"/>
                <w:sz w:val="24"/>
              </w:rPr>
              <w:t>本项目玉米淀粉经螺旋上料机输送至面涂配料罐内下落过程会有粉尘产生，面涂配料罐为密闭式配料罐，粉尘经配料罐呼吸口排放。</w:t>
            </w:r>
            <w:r>
              <w:rPr>
                <w:sz w:val="24"/>
                <w:szCs w:val="32"/>
              </w:rPr>
              <w:t>依据现有项目</w:t>
            </w:r>
            <w:r>
              <w:rPr>
                <w:rFonts w:hint="eastAsia"/>
                <w:sz w:val="24"/>
                <w:szCs w:val="32"/>
              </w:rPr>
              <w:t>“河南兴泰纸业有限公司年加工6万吨涂布白卡纸项目”竣工环境保护验收监测报告监测数据，本次评价玉米淀粉的产尘系数与涂布工段的投料粉尘一致，则玉米淀粉面涂配料过程粉尘产生量为</w:t>
            </w:r>
            <w:r>
              <w:rPr>
                <w:rFonts w:hint="eastAsia"/>
                <w:sz w:val="24"/>
              </w:rPr>
              <w:t>4.4256t/a。</w:t>
            </w:r>
          </w:p>
          <w:p>
            <w:pPr>
              <w:widowControl/>
              <w:spacing w:line="460" w:lineRule="exact"/>
              <w:ind w:firstLine="480"/>
              <w:jc w:val="left"/>
              <w:rPr>
                <w:sz w:val="24"/>
              </w:rPr>
            </w:pPr>
            <w:r>
              <w:rPr>
                <w:rFonts w:hint="eastAsia"/>
                <w:sz w:val="24"/>
              </w:rPr>
              <w:t>评价提出：面涂配料罐呼吸口经密闭管道负压抽吸至袋式除尘器处理后经15m高排气筒排放。</w:t>
            </w:r>
            <w:r>
              <w:rPr>
                <w:sz w:val="24"/>
              </w:rPr>
              <w:t>收集效率以</w:t>
            </w:r>
            <w:r>
              <w:rPr>
                <w:rFonts w:hint="eastAsia"/>
                <w:sz w:val="24"/>
              </w:rPr>
              <w:t>100</w:t>
            </w:r>
            <w:r>
              <w:rPr>
                <w:sz w:val="24"/>
              </w:rPr>
              <w:t>%计算</w:t>
            </w:r>
            <w:r>
              <w:rPr>
                <w:rFonts w:hint="eastAsia"/>
                <w:sz w:val="24"/>
              </w:rPr>
              <w:t>，则粉尘有组织收集量为4.4256</w:t>
            </w:r>
            <w:r>
              <w:rPr>
                <w:sz w:val="24"/>
              </w:rPr>
              <w:t>t/a</w:t>
            </w:r>
            <w:r>
              <w:rPr>
                <w:rFonts w:hint="eastAsia"/>
                <w:sz w:val="24"/>
              </w:rPr>
              <w:t>；本次评价风机设计风量以2000m</w:t>
            </w:r>
            <w:r>
              <w:rPr>
                <w:rFonts w:hint="eastAsia"/>
                <w:sz w:val="24"/>
                <w:vertAlign w:val="superscript"/>
              </w:rPr>
              <w:t>3</w:t>
            </w:r>
            <w:r>
              <w:rPr>
                <w:rFonts w:hint="eastAsia"/>
                <w:sz w:val="24"/>
              </w:rPr>
              <w:t>/h计；</w:t>
            </w:r>
            <w:r>
              <w:rPr>
                <w:sz w:val="24"/>
              </w:rPr>
              <w:t>年工作时间为</w:t>
            </w:r>
            <w:r>
              <w:rPr>
                <w:rFonts w:hint="eastAsia"/>
                <w:sz w:val="24"/>
              </w:rPr>
              <w:t>12</w:t>
            </w:r>
            <w:r>
              <w:rPr>
                <w:sz w:val="24"/>
              </w:rPr>
              <w:t>h/d（</w:t>
            </w:r>
            <w:r>
              <w:rPr>
                <w:rFonts w:hint="eastAsia"/>
                <w:sz w:val="24"/>
              </w:rPr>
              <w:t>4080</w:t>
            </w:r>
            <w:r>
              <w:rPr>
                <w:sz w:val="24"/>
              </w:rPr>
              <w:t>h/a）</w:t>
            </w:r>
            <w:r>
              <w:rPr>
                <w:rFonts w:hint="eastAsia"/>
                <w:sz w:val="24"/>
              </w:rPr>
              <w:t>。</w:t>
            </w:r>
          </w:p>
          <w:p>
            <w:pPr>
              <w:widowControl/>
              <w:spacing w:line="460" w:lineRule="exact"/>
              <w:ind w:firstLine="480"/>
              <w:jc w:val="left"/>
              <w:rPr>
                <w:sz w:val="24"/>
              </w:rPr>
            </w:pPr>
            <w:r>
              <w:rPr>
                <w:rFonts w:hint="eastAsia"/>
                <w:sz w:val="24"/>
              </w:rPr>
              <w:t>评价提出：涂布工段投料粉尘经密闭投料间整体负压抽吸后，与分散罐呼吸口粉尘、面涂配料罐呼吸口粉尘分别经密闭管道一块引至1套袋式除尘器处理后经15m高排气筒排放；除尘器</w:t>
            </w:r>
            <w:r>
              <w:rPr>
                <w:sz w:val="24"/>
              </w:rPr>
              <w:t>处理效率不低于99%，</w:t>
            </w:r>
            <w:r>
              <w:rPr>
                <w:rFonts w:hint="eastAsia"/>
                <w:sz w:val="24"/>
              </w:rPr>
              <w:t>按照最不利原则以涂布工段投料和配料同时工作进行评价，</w:t>
            </w:r>
            <w:r>
              <w:rPr>
                <w:sz w:val="24"/>
              </w:rPr>
              <w:t>则</w:t>
            </w:r>
            <w:r>
              <w:rPr>
                <w:rFonts w:hint="eastAsia"/>
                <w:sz w:val="24"/>
              </w:rPr>
              <w:t>涂布工段</w:t>
            </w:r>
            <w:r>
              <w:rPr>
                <w:sz w:val="24"/>
              </w:rPr>
              <w:t>粉尘产排情况如下：</w:t>
            </w:r>
          </w:p>
          <w:p>
            <w:pPr>
              <w:widowControl/>
              <w:adjustRightInd w:val="0"/>
              <w:snapToGrid w:val="0"/>
              <w:spacing w:line="440" w:lineRule="exact"/>
              <w:ind w:firstLine="464" w:firstLineChars="200"/>
              <w:jc w:val="left"/>
              <w:rPr>
                <w:rFonts w:eastAsia="黑体"/>
                <w:spacing w:val="-4"/>
                <w:kern w:val="0"/>
                <w:sz w:val="24"/>
              </w:rPr>
            </w:pPr>
            <w:r>
              <w:rPr>
                <w:rFonts w:eastAsia="黑体"/>
                <w:spacing w:val="-4"/>
                <w:kern w:val="0"/>
                <w:sz w:val="24"/>
              </w:rPr>
              <w:t>表</w:t>
            </w:r>
            <w:r>
              <w:rPr>
                <w:rFonts w:hint="eastAsia" w:eastAsia="黑体"/>
                <w:spacing w:val="-4"/>
                <w:kern w:val="0"/>
                <w:sz w:val="24"/>
              </w:rPr>
              <w:t>2</w:t>
            </w:r>
            <w:r>
              <w:rPr>
                <w:rFonts w:eastAsia="黑体"/>
                <w:spacing w:val="-4"/>
                <w:kern w:val="0"/>
                <w:sz w:val="24"/>
              </w:rPr>
              <w:t xml:space="preserve">5         </w:t>
            </w:r>
            <w:r>
              <w:rPr>
                <w:rFonts w:hint="eastAsia" w:eastAsia="黑体"/>
                <w:spacing w:val="-4"/>
                <w:kern w:val="0"/>
                <w:sz w:val="24"/>
              </w:rPr>
              <w:t xml:space="preserve">  </w:t>
            </w:r>
            <w:r>
              <w:rPr>
                <w:rFonts w:eastAsia="黑体"/>
                <w:spacing w:val="-4"/>
                <w:kern w:val="0"/>
                <w:sz w:val="24"/>
              </w:rPr>
              <w:t xml:space="preserve">  </w:t>
            </w:r>
            <w:r>
              <w:rPr>
                <w:rFonts w:hint="eastAsia" w:eastAsia="黑体"/>
                <w:spacing w:val="-4"/>
                <w:kern w:val="0"/>
                <w:sz w:val="24"/>
              </w:rPr>
              <w:t xml:space="preserve">  涂布工段</w:t>
            </w:r>
            <w:r>
              <w:rPr>
                <w:rFonts w:eastAsia="黑体"/>
                <w:spacing w:val="-4"/>
                <w:kern w:val="0"/>
                <w:sz w:val="24"/>
              </w:rPr>
              <w:t>粉尘产排情况</w:t>
            </w:r>
          </w:p>
          <w:tbl>
            <w:tblPr>
              <w:tblStyle w:val="3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99"/>
              <w:gridCol w:w="395"/>
              <w:gridCol w:w="684"/>
              <w:gridCol w:w="820"/>
              <w:gridCol w:w="958"/>
              <w:gridCol w:w="957"/>
              <w:gridCol w:w="548"/>
              <w:gridCol w:w="624"/>
              <w:gridCol w:w="742"/>
              <w:gridCol w:w="91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688" w:type="dxa"/>
                  <w:vMerge w:val="restart"/>
                  <w:tcMar>
                    <w:left w:w="0" w:type="dxa"/>
                    <w:right w:w="0" w:type="dxa"/>
                  </w:tcMar>
                  <w:vAlign w:val="center"/>
                </w:tcPr>
                <w:p>
                  <w:pPr>
                    <w:pStyle w:val="268"/>
                    <w:rPr>
                      <w:rFonts w:cs="Times New Roman"/>
                    </w:rPr>
                  </w:pPr>
                  <w:r>
                    <w:rPr>
                      <w:rFonts w:cs="Times New Roman"/>
                    </w:rPr>
                    <w:t>排放源</w:t>
                  </w:r>
                </w:p>
              </w:tc>
              <w:tc>
                <w:tcPr>
                  <w:tcW w:w="699" w:type="dxa"/>
                  <w:vMerge w:val="restart"/>
                  <w:tcMar>
                    <w:left w:w="0" w:type="dxa"/>
                    <w:right w:w="0" w:type="dxa"/>
                  </w:tcMar>
                  <w:vAlign w:val="center"/>
                </w:tcPr>
                <w:p>
                  <w:pPr>
                    <w:pStyle w:val="268"/>
                    <w:rPr>
                      <w:rFonts w:cs="Times New Roman"/>
                    </w:rPr>
                  </w:pPr>
                  <w:r>
                    <w:rPr>
                      <w:rFonts w:cs="Times New Roman"/>
                    </w:rPr>
                    <w:t>污染源</w:t>
                  </w:r>
                </w:p>
              </w:tc>
              <w:tc>
                <w:tcPr>
                  <w:tcW w:w="395" w:type="dxa"/>
                  <w:vMerge w:val="restart"/>
                  <w:tcMar>
                    <w:left w:w="0" w:type="dxa"/>
                    <w:right w:w="0" w:type="dxa"/>
                  </w:tcMar>
                  <w:vAlign w:val="center"/>
                </w:tcPr>
                <w:p>
                  <w:pPr>
                    <w:pStyle w:val="268"/>
                    <w:rPr>
                      <w:rFonts w:cs="Times New Roman"/>
                    </w:rPr>
                  </w:pPr>
                  <w:r>
                    <w:rPr>
                      <w:rFonts w:cs="Times New Roman"/>
                    </w:rPr>
                    <w:t>污染物</w:t>
                  </w:r>
                </w:p>
              </w:tc>
              <w:tc>
                <w:tcPr>
                  <w:tcW w:w="2462" w:type="dxa"/>
                  <w:gridSpan w:val="3"/>
                  <w:tcMar>
                    <w:left w:w="0" w:type="dxa"/>
                    <w:right w:w="0" w:type="dxa"/>
                  </w:tcMar>
                  <w:vAlign w:val="center"/>
                </w:tcPr>
                <w:p>
                  <w:pPr>
                    <w:pStyle w:val="268"/>
                    <w:rPr>
                      <w:rFonts w:cs="Times New Roman"/>
                    </w:rPr>
                  </w:pPr>
                  <w:r>
                    <w:rPr>
                      <w:rFonts w:cs="Times New Roman"/>
                    </w:rPr>
                    <w:t>产生情况</w:t>
                  </w:r>
                </w:p>
              </w:tc>
              <w:tc>
                <w:tcPr>
                  <w:tcW w:w="957" w:type="dxa"/>
                  <w:vMerge w:val="restart"/>
                  <w:tcMar>
                    <w:left w:w="0" w:type="dxa"/>
                    <w:right w:w="0" w:type="dxa"/>
                  </w:tcMar>
                  <w:vAlign w:val="center"/>
                </w:tcPr>
                <w:p>
                  <w:pPr>
                    <w:pStyle w:val="268"/>
                    <w:rPr>
                      <w:rFonts w:cs="Times New Roman"/>
                    </w:rPr>
                  </w:pPr>
                  <w:r>
                    <w:rPr>
                      <w:rFonts w:cs="Times New Roman"/>
                    </w:rPr>
                    <w:t>风机风量（m</w:t>
                  </w:r>
                  <w:r>
                    <w:rPr>
                      <w:rFonts w:cs="Times New Roman"/>
                      <w:vertAlign w:val="superscript"/>
                    </w:rPr>
                    <w:t>3</w:t>
                  </w:r>
                  <w:r>
                    <w:rPr>
                      <w:rFonts w:cs="Times New Roman"/>
                    </w:rPr>
                    <w:t>/h）</w:t>
                  </w:r>
                </w:p>
              </w:tc>
              <w:tc>
                <w:tcPr>
                  <w:tcW w:w="548" w:type="dxa"/>
                  <w:vMerge w:val="restart"/>
                  <w:tcMar>
                    <w:left w:w="0" w:type="dxa"/>
                    <w:right w:w="0" w:type="dxa"/>
                  </w:tcMar>
                  <w:vAlign w:val="center"/>
                </w:tcPr>
                <w:p>
                  <w:pPr>
                    <w:pStyle w:val="268"/>
                    <w:rPr>
                      <w:rFonts w:cs="Times New Roman"/>
                    </w:rPr>
                  </w:pPr>
                  <w:r>
                    <w:rPr>
                      <w:rFonts w:cs="Times New Roman"/>
                    </w:rPr>
                    <w:t>处理效率</w:t>
                  </w:r>
                </w:p>
              </w:tc>
              <w:tc>
                <w:tcPr>
                  <w:tcW w:w="2279" w:type="dxa"/>
                  <w:gridSpan w:val="3"/>
                  <w:tcMar>
                    <w:left w:w="0" w:type="dxa"/>
                    <w:right w:w="0" w:type="dxa"/>
                  </w:tcMar>
                  <w:vAlign w:val="center"/>
                </w:tcPr>
                <w:p>
                  <w:pPr>
                    <w:pStyle w:val="268"/>
                    <w:rPr>
                      <w:rFonts w:cs="Times New Roman"/>
                      <w:bCs/>
                      <w:lang w:val="pt-BR"/>
                    </w:rPr>
                  </w:pPr>
                  <w:r>
                    <w:rPr>
                      <w:rFonts w:cs="Times New Roman"/>
                      <w:bCs/>
                    </w:rPr>
                    <w:t>排放情况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Mar>
                    <w:left w:w="0" w:type="dxa"/>
                    <w:right w:w="0" w:type="dxa"/>
                  </w:tcMar>
                  <w:vAlign w:val="center"/>
                </w:tcPr>
                <w:p>
                  <w:pPr>
                    <w:pStyle w:val="268"/>
                    <w:rPr>
                      <w:rFonts w:cs="Times New Roman"/>
                    </w:rPr>
                  </w:pPr>
                </w:p>
              </w:tc>
              <w:tc>
                <w:tcPr>
                  <w:tcW w:w="699" w:type="dxa"/>
                  <w:vMerge w:val="continue"/>
                  <w:tcMar>
                    <w:left w:w="0" w:type="dxa"/>
                    <w:right w:w="0" w:type="dxa"/>
                  </w:tcMar>
                  <w:vAlign w:val="center"/>
                </w:tcPr>
                <w:p>
                  <w:pPr>
                    <w:pStyle w:val="268"/>
                    <w:rPr>
                      <w:rFonts w:cs="Times New Roman"/>
                    </w:rPr>
                  </w:pPr>
                </w:p>
              </w:tc>
              <w:tc>
                <w:tcPr>
                  <w:tcW w:w="395" w:type="dxa"/>
                  <w:vMerge w:val="continue"/>
                  <w:tcMar>
                    <w:left w:w="0" w:type="dxa"/>
                    <w:right w:w="0" w:type="dxa"/>
                  </w:tcMar>
                  <w:vAlign w:val="center"/>
                </w:tcPr>
                <w:p>
                  <w:pPr>
                    <w:pStyle w:val="268"/>
                    <w:rPr>
                      <w:rFonts w:cs="Times New Roman"/>
                    </w:rPr>
                  </w:pPr>
                </w:p>
              </w:tc>
              <w:tc>
                <w:tcPr>
                  <w:tcW w:w="684" w:type="dxa"/>
                  <w:tcMar>
                    <w:left w:w="0" w:type="dxa"/>
                    <w:right w:w="0" w:type="dxa"/>
                  </w:tcMar>
                  <w:vAlign w:val="center"/>
                </w:tcPr>
                <w:p>
                  <w:pPr>
                    <w:pStyle w:val="268"/>
                    <w:rPr>
                      <w:rFonts w:cs="Times New Roman"/>
                    </w:rPr>
                  </w:pPr>
                  <w:r>
                    <w:rPr>
                      <w:rFonts w:cs="Times New Roman"/>
                    </w:rPr>
                    <w:t>产生量(t/a)</w:t>
                  </w:r>
                </w:p>
              </w:tc>
              <w:tc>
                <w:tcPr>
                  <w:tcW w:w="820" w:type="dxa"/>
                  <w:tcMar>
                    <w:left w:w="0" w:type="dxa"/>
                    <w:right w:w="0" w:type="dxa"/>
                  </w:tcMar>
                  <w:vAlign w:val="center"/>
                </w:tcPr>
                <w:p>
                  <w:pPr>
                    <w:pStyle w:val="268"/>
                    <w:rPr>
                      <w:rFonts w:cs="Times New Roman"/>
                      <w:bCs/>
                      <w:lang w:val="pt-BR"/>
                    </w:rPr>
                  </w:pPr>
                  <w:r>
                    <w:rPr>
                      <w:rFonts w:cs="Times New Roman"/>
                    </w:rPr>
                    <w:t>产生速率(kg/h)</w:t>
                  </w:r>
                </w:p>
              </w:tc>
              <w:tc>
                <w:tcPr>
                  <w:tcW w:w="958" w:type="dxa"/>
                  <w:tcMar>
                    <w:left w:w="0" w:type="dxa"/>
                    <w:right w:w="0" w:type="dxa"/>
                  </w:tcMar>
                  <w:vAlign w:val="center"/>
                </w:tcPr>
                <w:p>
                  <w:pPr>
                    <w:pStyle w:val="268"/>
                    <w:rPr>
                      <w:rFonts w:cs="Times New Roman"/>
                    </w:rPr>
                  </w:pPr>
                  <w:r>
                    <w:rPr>
                      <w:rFonts w:cs="Times New Roman"/>
                    </w:rPr>
                    <w:t>产生浓度(mg/m</w:t>
                  </w:r>
                  <w:r>
                    <w:rPr>
                      <w:rFonts w:cs="Times New Roman"/>
                      <w:vertAlign w:val="superscript"/>
                    </w:rPr>
                    <w:t>3</w:t>
                  </w:r>
                  <w:r>
                    <w:rPr>
                      <w:rFonts w:cs="Times New Roman"/>
                    </w:rPr>
                    <w:t>)</w:t>
                  </w:r>
                </w:p>
              </w:tc>
              <w:tc>
                <w:tcPr>
                  <w:tcW w:w="957" w:type="dxa"/>
                  <w:vMerge w:val="continue"/>
                  <w:tcMar>
                    <w:left w:w="0" w:type="dxa"/>
                    <w:right w:w="0" w:type="dxa"/>
                  </w:tcMar>
                  <w:vAlign w:val="center"/>
                </w:tcPr>
                <w:p>
                  <w:pPr>
                    <w:pStyle w:val="268"/>
                    <w:rPr>
                      <w:rFonts w:cs="Times New Roman"/>
                    </w:rPr>
                  </w:pPr>
                </w:p>
              </w:tc>
              <w:tc>
                <w:tcPr>
                  <w:tcW w:w="548" w:type="dxa"/>
                  <w:vMerge w:val="continue"/>
                  <w:tcMar>
                    <w:left w:w="0" w:type="dxa"/>
                    <w:right w:w="0" w:type="dxa"/>
                  </w:tcMar>
                  <w:vAlign w:val="center"/>
                </w:tcPr>
                <w:p>
                  <w:pPr>
                    <w:pStyle w:val="268"/>
                    <w:rPr>
                      <w:rFonts w:cs="Times New Roman"/>
                    </w:rPr>
                  </w:pPr>
                </w:p>
              </w:tc>
              <w:tc>
                <w:tcPr>
                  <w:tcW w:w="624" w:type="dxa"/>
                  <w:tcMar>
                    <w:left w:w="0" w:type="dxa"/>
                    <w:right w:w="0" w:type="dxa"/>
                  </w:tcMar>
                  <w:vAlign w:val="center"/>
                </w:tcPr>
                <w:p>
                  <w:pPr>
                    <w:pStyle w:val="268"/>
                    <w:rPr>
                      <w:rFonts w:cs="Times New Roman"/>
                      <w:bCs/>
                    </w:rPr>
                  </w:pPr>
                  <w:r>
                    <w:rPr>
                      <w:rFonts w:cs="Times New Roman"/>
                      <w:bCs/>
                    </w:rPr>
                    <w:t>排放量(t/a)</w:t>
                  </w:r>
                </w:p>
              </w:tc>
              <w:tc>
                <w:tcPr>
                  <w:tcW w:w="742" w:type="dxa"/>
                  <w:tcMar>
                    <w:left w:w="0" w:type="dxa"/>
                    <w:right w:w="0" w:type="dxa"/>
                  </w:tcMar>
                  <w:vAlign w:val="center"/>
                </w:tcPr>
                <w:p>
                  <w:pPr>
                    <w:pStyle w:val="268"/>
                    <w:rPr>
                      <w:rFonts w:cs="Times New Roman"/>
                    </w:rPr>
                  </w:pPr>
                  <w:r>
                    <w:rPr>
                      <w:rFonts w:cs="Times New Roman"/>
                    </w:rPr>
                    <w:t>排放速率(kg/h)</w:t>
                  </w:r>
                </w:p>
              </w:tc>
              <w:tc>
                <w:tcPr>
                  <w:tcW w:w="913" w:type="dxa"/>
                  <w:tcMar>
                    <w:left w:w="0" w:type="dxa"/>
                    <w:right w:w="0" w:type="dxa"/>
                  </w:tcMar>
                  <w:vAlign w:val="center"/>
                </w:tcPr>
                <w:p>
                  <w:pPr>
                    <w:pStyle w:val="268"/>
                    <w:rPr>
                      <w:rFonts w:cs="Times New Roman"/>
                    </w:rPr>
                  </w:pPr>
                  <w:r>
                    <w:rPr>
                      <w:rFonts w:cs="Times New Roman"/>
                    </w:rPr>
                    <w:t>排放浓度(mg/m</w:t>
                  </w:r>
                  <w:r>
                    <w:rPr>
                      <w:rFonts w:cs="Times New Roman"/>
                      <w:vertAlign w:val="superscript"/>
                    </w:rPr>
                    <w:t>3</w:t>
                  </w:r>
                  <w:r>
                    <w:rPr>
                      <w:rFonts w:cs="Times New Roma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restart"/>
                  <w:tcMar>
                    <w:left w:w="0" w:type="dxa"/>
                    <w:right w:w="0" w:type="dxa"/>
                  </w:tcMar>
                  <w:vAlign w:val="center"/>
                </w:tcPr>
                <w:p>
                  <w:pPr>
                    <w:pStyle w:val="140"/>
                  </w:pPr>
                  <w:r>
                    <w:t>排气筒</w:t>
                  </w:r>
                </w:p>
              </w:tc>
              <w:tc>
                <w:tcPr>
                  <w:tcW w:w="699" w:type="dxa"/>
                  <w:vMerge w:val="restart"/>
                  <w:tcMar>
                    <w:left w:w="0" w:type="dxa"/>
                    <w:right w:w="0" w:type="dxa"/>
                  </w:tcMar>
                  <w:vAlign w:val="center"/>
                </w:tcPr>
                <w:p>
                  <w:pPr>
                    <w:pStyle w:val="140"/>
                  </w:pPr>
                  <w:r>
                    <w:rPr>
                      <w:rFonts w:hint="eastAsia"/>
                    </w:rPr>
                    <w:t>投料</w:t>
                  </w:r>
                </w:p>
              </w:tc>
              <w:tc>
                <w:tcPr>
                  <w:tcW w:w="395" w:type="dxa"/>
                  <w:vMerge w:val="restart"/>
                  <w:tcMar>
                    <w:left w:w="0" w:type="dxa"/>
                    <w:right w:w="0" w:type="dxa"/>
                  </w:tcMar>
                  <w:vAlign w:val="center"/>
                </w:tcPr>
                <w:p>
                  <w:pPr>
                    <w:pStyle w:val="140"/>
                  </w:pPr>
                  <w:r>
                    <w:rPr>
                      <w:rFonts w:hint="eastAsia"/>
                    </w:rPr>
                    <w:t>颗粒物</w:t>
                  </w:r>
                </w:p>
              </w:tc>
              <w:tc>
                <w:tcPr>
                  <w:tcW w:w="684" w:type="dxa"/>
                  <w:tcMar>
                    <w:left w:w="0" w:type="dxa"/>
                    <w:right w:w="0" w:type="dxa"/>
                  </w:tcMar>
                  <w:vAlign w:val="center"/>
                </w:tcPr>
                <w:p>
                  <w:pPr>
                    <w:pStyle w:val="140"/>
                  </w:pPr>
                  <w:r>
                    <w:rPr>
                      <w:rFonts w:hint="eastAsia"/>
                    </w:rPr>
                    <w:t>0.475</w:t>
                  </w:r>
                </w:p>
              </w:tc>
              <w:tc>
                <w:tcPr>
                  <w:tcW w:w="820" w:type="dxa"/>
                  <w:tcMar>
                    <w:left w:w="0" w:type="dxa"/>
                    <w:right w:w="0" w:type="dxa"/>
                  </w:tcMar>
                  <w:vAlign w:val="center"/>
                </w:tcPr>
                <w:p>
                  <w:pPr>
                    <w:pStyle w:val="140"/>
                  </w:pPr>
                  <w:r>
                    <w:rPr>
                      <w:rFonts w:hint="eastAsia"/>
                    </w:rPr>
                    <w:t>0.3492</w:t>
                  </w:r>
                </w:p>
              </w:tc>
              <w:tc>
                <w:tcPr>
                  <w:tcW w:w="958" w:type="dxa"/>
                  <w:vMerge w:val="restart"/>
                  <w:tcMar>
                    <w:left w:w="0" w:type="dxa"/>
                    <w:right w:w="0" w:type="dxa"/>
                  </w:tcMar>
                  <w:vAlign w:val="center"/>
                </w:tcPr>
                <w:p>
                  <w:pPr>
                    <w:pStyle w:val="140"/>
                  </w:pPr>
                  <w:r>
                    <w:rPr>
                      <w:rFonts w:hint="eastAsia"/>
                    </w:rPr>
                    <w:t>285.83</w:t>
                  </w:r>
                </w:p>
              </w:tc>
              <w:tc>
                <w:tcPr>
                  <w:tcW w:w="957" w:type="dxa"/>
                  <w:vMerge w:val="restart"/>
                  <w:tcMar>
                    <w:left w:w="0" w:type="dxa"/>
                    <w:right w:w="0" w:type="dxa"/>
                  </w:tcMar>
                  <w:vAlign w:val="center"/>
                </w:tcPr>
                <w:p>
                  <w:pPr>
                    <w:pStyle w:val="140"/>
                  </w:pPr>
                  <w:r>
                    <w:rPr>
                      <w:rFonts w:hint="eastAsia"/>
                    </w:rPr>
                    <w:t>6000</w:t>
                  </w:r>
                </w:p>
              </w:tc>
              <w:tc>
                <w:tcPr>
                  <w:tcW w:w="548" w:type="dxa"/>
                  <w:vMerge w:val="restart"/>
                  <w:tcMar>
                    <w:left w:w="0" w:type="dxa"/>
                    <w:right w:w="0" w:type="dxa"/>
                  </w:tcMar>
                  <w:vAlign w:val="center"/>
                </w:tcPr>
                <w:p>
                  <w:pPr>
                    <w:pStyle w:val="140"/>
                  </w:pPr>
                  <w:r>
                    <w:t>99%</w:t>
                  </w:r>
                </w:p>
              </w:tc>
              <w:tc>
                <w:tcPr>
                  <w:tcW w:w="624" w:type="dxa"/>
                  <w:vMerge w:val="restart"/>
                  <w:tcMar>
                    <w:left w:w="0" w:type="dxa"/>
                    <w:right w:w="0" w:type="dxa"/>
                  </w:tcMar>
                  <w:vAlign w:val="center"/>
                </w:tcPr>
                <w:p>
                  <w:pPr>
                    <w:pStyle w:val="140"/>
                  </w:pPr>
                  <w:r>
                    <w:rPr>
                      <w:rFonts w:hint="eastAsia"/>
                    </w:rPr>
                    <w:t>0.1054</w:t>
                  </w:r>
                </w:p>
              </w:tc>
              <w:tc>
                <w:tcPr>
                  <w:tcW w:w="742" w:type="dxa"/>
                  <w:vMerge w:val="restart"/>
                  <w:tcMar>
                    <w:left w:w="0" w:type="dxa"/>
                    <w:right w:w="0" w:type="dxa"/>
                  </w:tcMar>
                  <w:vAlign w:val="center"/>
                </w:tcPr>
                <w:p>
                  <w:pPr>
                    <w:pStyle w:val="140"/>
                  </w:pPr>
                  <w:r>
                    <w:rPr>
                      <w:rFonts w:hint="eastAsia"/>
                    </w:rPr>
                    <w:t>0.0352</w:t>
                  </w:r>
                </w:p>
              </w:tc>
              <w:tc>
                <w:tcPr>
                  <w:tcW w:w="913" w:type="dxa"/>
                  <w:vMerge w:val="restart"/>
                  <w:tcMar>
                    <w:left w:w="0" w:type="dxa"/>
                    <w:right w:w="0" w:type="dxa"/>
                  </w:tcMar>
                  <w:vAlign w:val="center"/>
                </w:tcPr>
                <w:p>
                  <w:pPr>
                    <w:pStyle w:val="140"/>
                  </w:pPr>
                  <w:r>
                    <w:rPr>
                      <w:rFonts w:hint="eastAsia"/>
                    </w:rPr>
                    <w:t>5.87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Mar>
                    <w:left w:w="0" w:type="dxa"/>
                    <w:right w:w="0" w:type="dxa"/>
                  </w:tcMar>
                  <w:vAlign w:val="center"/>
                </w:tcPr>
                <w:p>
                  <w:pPr>
                    <w:pStyle w:val="140"/>
                  </w:pPr>
                </w:p>
              </w:tc>
              <w:tc>
                <w:tcPr>
                  <w:tcW w:w="699" w:type="dxa"/>
                  <w:vMerge w:val="continue"/>
                  <w:tcMar>
                    <w:left w:w="0" w:type="dxa"/>
                    <w:right w:w="0" w:type="dxa"/>
                  </w:tcMar>
                  <w:vAlign w:val="center"/>
                </w:tcPr>
                <w:p>
                  <w:pPr>
                    <w:pStyle w:val="140"/>
                  </w:pPr>
                </w:p>
              </w:tc>
              <w:tc>
                <w:tcPr>
                  <w:tcW w:w="395" w:type="dxa"/>
                  <w:vMerge w:val="continue"/>
                  <w:tcMar>
                    <w:left w:w="0" w:type="dxa"/>
                    <w:right w:w="0" w:type="dxa"/>
                  </w:tcMar>
                  <w:vAlign w:val="center"/>
                </w:tcPr>
                <w:p>
                  <w:pPr>
                    <w:pStyle w:val="140"/>
                  </w:pPr>
                </w:p>
              </w:tc>
              <w:tc>
                <w:tcPr>
                  <w:tcW w:w="684" w:type="dxa"/>
                  <w:tcMar>
                    <w:left w:w="0" w:type="dxa"/>
                    <w:right w:w="0" w:type="dxa"/>
                  </w:tcMar>
                  <w:vAlign w:val="center"/>
                </w:tcPr>
                <w:p>
                  <w:pPr>
                    <w:pStyle w:val="140"/>
                  </w:pPr>
                  <w:r>
                    <w:rPr>
                      <w:rFonts w:hint="eastAsia"/>
                    </w:rPr>
                    <w:t>0.456</w:t>
                  </w:r>
                </w:p>
              </w:tc>
              <w:tc>
                <w:tcPr>
                  <w:tcW w:w="820" w:type="dxa"/>
                  <w:tcMar>
                    <w:left w:w="0" w:type="dxa"/>
                    <w:right w:w="0" w:type="dxa"/>
                  </w:tcMar>
                  <w:vAlign w:val="center"/>
                </w:tcPr>
                <w:p>
                  <w:pPr>
                    <w:pStyle w:val="140"/>
                  </w:pPr>
                  <w:r>
                    <w:rPr>
                      <w:rFonts w:hint="eastAsia"/>
                    </w:rPr>
                    <w:t>0.3353</w:t>
                  </w:r>
                </w:p>
              </w:tc>
              <w:tc>
                <w:tcPr>
                  <w:tcW w:w="958" w:type="dxa"/>
                  <w:vMerge w:val="continue"/>
                  <w:tcMar>
                    <w:left w:w="0" w:type="dxa"/>
                    <w:right w:w="0" w:type="dxa"/>
                  </w:tcMar>
                  <w:vAlign w:val="center"/>
                </w:tcPr>
                <w:p>
                  <w:pPr>
                    <w:pStyle w:val="140"/>
                  </w:pPr>
                </w:p>
              </w:tc>
              <w:tc>
                <w:tcPr>
                  <w:tcW w:w="957" w:type="dxa"/>
                  <w:vMerge w:val="continue"/>
                  <w:tcMar>
                    <w:left w:w="0" w:type="dxa"/>
                    <w:right w:w="0" w:type="dxa"/>
                  </w:tcMar>
                  <w:vAlign w:val="center"/>
                </w:tcPr>
                <w:p>
                  <w:pPr>
                    <w:pStyle w:val="140"/>
                  </w:pPr>
                </w:p>
              </w:tc>
              <w:tc>
                <w:tcPr>
                  <w:tcW w:w="548" w:type="dxa"/>
                  <w:vMerge w:val="continue"/>
                  <w:tcMar>
                    <w:left w:w="0" w:type="dxa"/>
                    <w:right w:w="0" w:type="dxa"/>
                  </w:tcMar>
                  <w:vAlign w:val="center"/>
                </w:tcPr>
                <w:p>
                  <w:pPr>
                    <w:pStyle w:val="140"/>
                  </w:pPr>
                </w:p>
              </w:tc>
              <w:tc>
                <w:tcPr>
                  <w:tcW w:w="624" w:type="dxa"/>
                  <w:vMerge w:val="continue"/>
                  <w:tcMar>
                    <w:left w:w="0" w:type="dxa"/>
                    <w:right w:w="0" w:type="dxa"/>
                  </w:tcMar>
                  <w:vAlign w:val="center"/>
                </w:tcPr>
                <w:p>
                  <w:pPr>
                    <w:pStyle w:val="140"/>
                  </w:pPr>
                </w:p>
              </w:tc>
              <w:tc>
                <w:tcPr>
                  <w:tcW w:w="742" w:type="dxa"/>
                  <w:vMerge w:val="continue"/>
                  <w:tcMar>
                    <w:left w:w="0" w:type="dxa"/>
                    <w:right w:w="0" w:type="dxa"/>
                  </w:tcMar>
                  <w:vAlign w:val="center"/>
                </w:tcPr>
                <w:p>
                  <w:pPr>
                    <w:pStyle w:val="140"/>
                  </w:pPr>
                </w:p>
              </w:tc>
              <w:tc>
                <w:tcPr>
                  <w:tcW w:w="913" w:type="dxa"/>
                  <w:vMerge w:val="continue"/>
                  <w:tcMar>
                    <w:left w:w="0" w:type="dxa"/>
                    <w:right w:w="0" w:type="dxa"/>
                  </w:tcMar>
                  <w:vAlign w:val="center"/>
                </w:tcPr>
                <w:p>
                  <w:pPr>
                    <w:pStyle w:val="140"/>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688" w:type="dxa"/>
                  <w:vMerge w:val="continue"/>
                  <w:tcMar>
                    <w:left w:w="0" w:type="dxa"/>
                    <w:right w:w="0" w:type="dxa"/>
                  </w:tcMar>
                  <w:vAlign w:val="center"/>
                </w:tcPr>
                <w:p>
                  <w:pPr>
                    <w:pStyle w:val="140"/>
                  </w:pPr>
                </w:p>
              </w:tc>
              <w:tc>
                <w:tcPr>
                  <w:tcW w:w="699" w:type="dxa"/>
                  <w:vMerge w:val="continue"/>
                  <w:tcMar>
                    <w:left w:w="0" w:type="dxa"/>
                    <w:right w:w="0" w:type="dxa"/>
                  </w:tcMar>
                  <w:vAlign w:val="center"/>
                </w:tcPr>
                <w:p>
                  <w:pPr>
                    <w:pStyle w:val="140"/>
                  </w:pPr>
                </w:p>
              </w:tc>
              <w:tc>
                <w:tcPr>
                  <w:tcW w:w="395" w:type="dxa"/>
                  <w:vMerge w:val="continue"/>
                  <w:tcMar>
                    <w:left w:w="0" w:type="dxa"/>
                    <w:right w:w="0" w:type="dxa"/>
                  </w:tcMar>
                  <w:vAlign w:val="center"/>
                </w:tcPr>
                <w:p>
                  <w:pPr>
                    <w:pStyle w:val="140"/>
                  </w:pPr>
                </w:p>
              </w:tc>
              <w:tc>
                <w:tcPr>
                  <w:tcW w:w="684" w:type="dxa"/>
                  <w:tcMar>
                    <w:left w:w="0" w:type="dxa"/>
                    <w:right w:w="0" w:type="dxa"/>
                  </w:tcMar>
                  <w:vAlign w:val="center"/>
                </w:tcPr>
                <w:p>
                  <w:pPr>
                    <w:pStyle w:val="140"/>
                  </w:pPr>
                  <w:r>
                    <w:rPr>
                      <w:rFonts w:hint="eastAsia"/>
                    </w:rPr>
                    <w:t>4.2043</w:t>
                  </w:r>
                </w:p>
              </w:tc>
              <w:tc>
                <w:tcPr>
                  <w:tcW w:w="820" w:type="dxa"/>
                  <w:tcMar>
                    <w:left w:w="0" w:type="dxa"/>
                    <w:right w:w="0" w:type="dxa"/>
                  </w:tcMar>
                  <w:vAlign w:val="center"/>
                </w:tcPr>
                <w:p>
                  <w:pPr>
                    <w:pStyle w:val="140"/>
                  </w:pPr>
                  <w:r>
                    <w:rPr>
                      <w:rFonts w:hint="eastAsia"/>
                    </w:rPr>
                    <w:t>1.0305</w:t>
                  </w:r>
                </w:p>
              </w:tc>
              <w:tc>
                <w:tcPr>
                  <w:tcW w:w="958" w:type="dxa"/>
                  <w:vMerge w:val="continue"/>
                  <w:tcMar>
                    <w:left w:w="0" w:type="dxa"/>
                    <w:right w:w="0" w:type="dxa"/>
                  </w:tcMar>
                  <w:vAlign w:val="center"/>
                </w:tcPr>
                <w:p>
                  <w:pPr>
                    <w:pStyle w:val="140"/>
                  </w:pPr>
                </w:p>
              </w:tc>
              <w:tc>
                <w:tcPr>
                  <w:tcW w:w="957" w:type="dxa"/>
                  <w:vMerge w:val="continue"/>
                  <w:tcMar>
                    <w:left w:w="0" w:type="dxa"/>
                    <w:right w:w="0" w:type="dxa"/>
                  </w:tcMar>
                  <w:vAlign w:val="center"/>
                </w:tcPr>
                <w:p>
                  <w:pPr>
                    <w:pStyle w:val="140"/>
                  </w:pPr>
                </w:p>
              </w:tc>
              <w:tc>
                <w:tcPr>
                  <w:tcW w:w="548" w:type="dxa"/>
                  <w:vMerge w:val="continue"/>
                  <w:tcMar>
                    <w:left w:w="0" w:type="dxa"/>
                    <w:right w:w="0" w:type="dxa"/>
                  </w:tcMar>
                  <w:vAlign w:val="center"/>
                </w:tcPr>
                <w:p>
                  <w:pPr>
                    <w:pStyle w:val="140"/>
                  </w:pPr>
                </w:p>
              </w:tc>
              <w:tc>
                <w:tcPr>
                  <w:tcW w:w="624" w:type="dxa"/>
                  <w:vMerge w:val="continue"/>
                  <w:tcMar>
                    <w:left w:w="0" w:type="dxa"/>
                    <w:right w:w="0" w:type="dxa"/>
                  </w:tcMar>
                  <w:vAlign w:val="center"/>
                </w:tcPr>
                <w:p>
                  <w:pPr>
                    <w:pStyle w:val="140"/>
                  </w:pPr>
                </w:p>
              </w:tc>
              <w:tc>
                <w:tcPr>
                  <w:tcW w:w="742" w:type="dxa"/>
                  <w:vMerge w:val="continue"/>
                  <w:tcMar>
                    <w:left w:w="0" w:type="dxa"/>
                    <w:right w:w="0" w:type="dxa"/>
                  </w:tcMar>
                  <w:vAlign w:val="center"/>
                </w:tcPr>
                <w:p>
                  <w:pPr>
                    <w:pStyle w:val="140"/>
                  </w:pPr>
                </w:p>
              </w:tc>
              <w:tc>
                <w:tcPr>
                  <w:tcW w:w="913" w:type="dxa"/>
                  <w:vMerge w:val="continue"/>
                  <w:tcMar>
                    <w:left w:w="0" w:type="dxa"/>
                    <w:right w:w="0" w:type="dxa"/>
                  </w:tcMar>
                  <w:vAlign w:val="center"/>
                </w:tcPr>
                <w:p>
                  <w:pPr>
                    <w:pStyle w:val="140"/>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Mar>
                    <w:left w:w="0" w:type="dxa"/>
                    <w:right w:w="0" w:type="dxa"/>
                  </w:tcMar>
                  <w:vAlign w:val="center"/>
                </w:tcPr>
                <w:p>
                  <w:pPr>
                    <w:pStyle w:val="140"/>
                  </w:pPr>
                </w:p>
              </w:tc>
              <w:tc>
                <w:tcPr>
                  <w:tcW w:w="699" w:type="dxa"/>
                  <w:vMerge w:val="restart"/>
                  <w:tcMar>
                    <w:left w:w="0" w:type="dxa"/>
                    <w:right w:w="0" w:type="dxa"/>
                  </w:tcMar>
                  <w:vAlign w:val="center"/>
                </w:tcPr>
                <w:p>
                  <w:pPr>
                    <w:pStyle w:val="140"/>
                  </w:pPr>
                  <w:r>
                    <w:rPr>
                      <w:rFonts w:hint="eastAsia"/>
                    </w:rPr>
                    <w:t>分散</w:t>
                  </w:r>
                </w:p>
                <w:p>
                  <w:pPr>
                    <w:pStyle w:val="140"/>
                  </w:pPr>
                  <w:r>
                    <w:rPr>
                      <w:rFonts w:hint="eastAsia"/>
                    </w:rPr>
                    <w:t>搅拌</w:t>
                  </w:r>
                </w:p>
              </w:tc>
              <w:tc>
                <w:tcPr>
                  <w:tcW w:w="395" w:type="dxa"/>
                  <w:vMerge w:val="continue"/>
                  <w:tcMar>
                    <w:left w:w="0" w:type="dxa"/>
                    <w:right w:w="0" w:type="dxa"/>
                  </w:tcMar>
                  <w:vAlign w:val="center"/>
                </w:tcPr>
                <w:p>
                  <w:pPr>
                    <w:pStyle w:val="140"/>
                  </w:pPr>
                </w:p>
              </w:tc>
              <w:tc>
                <w:tcPr>
                  <w:tcW w:w="684" w:type="dxa"/>
                  <w:tcMar>
                    <w:left w:w="0" w:type="dxa"/>
                    <w:right w:w="0" w:type="dxa"/>
                  </w:tcMar>
                  <w:vAlign w:val="center"/>
                </w:tcPr>
                <w:p>
                  <w:pPr>
                    <w:pStyle w:val="140"/>
                  </w:pPr>
                  <w:r>
                    <w:rPr>
                      <w:rFonts w:hint="eastAsia"/>
                    </w:rPr>
                    <w:t>0.5</w:t>
                  </w:r>
                </w:p>
              </w:tc>
              <w:tc>
                <w:tcPr>
                  <w:tcW w:w="820" w:type="dxa"/>
                  <w:tcMar>
                    <w:left w:w="0" w:type="dxa"/>
                    <w:right w:w="0" w:type="dxa"/>
                  </w:tcMar>
                  <w:vAlign w:val="center"/>
                </w:tcPr>
                <w:p>
                  <w:pPr>
                    <w:pStyle w:val="140"/>
                  </w:pPr>
                  <w:r>
                    <w:rPr>
                      <w:rFonts w:hint="eastAsia"/>
                    </w:rPr>
                    <w:t>0.3676</w:t>
                  </w:r>
                </w:p>
              </w:tc>
              <w:tc>
                <w:tcPr>
                  <w:tcW w:w="958" w:type="dxa"/>
                  <w:vMerge w:val="restart"/>
                  <w:tcMar>
                    <w:left w:w="0" w:type="dxa"/>
                    <w:right w:w="0" w:type="dxa"/>
                  </w:tcMar>
                  <w:vAlign w:val="center"/>
                </w:tcPr>
                <w:p>
                  <w:pPr>
                    <w:pStyle w:val="140"/>
                  </w:pPr>
                  <w:r>
                    <w:rPr>
                      <w:rFonts w:hint="eastAsia"/>
                    </w:rPr>
                    <w:t>120.08</w:t>
                  </w:r>
                </w:p>
              </w:tc>
              <w:tc>
                <w:tcPr>
                  <w:tcW w:w="957" w:type="dxa"/>
                  <w:vMerge w:val="continue"/>
                  <w:tcMar>
                    <w:left w:w="0" w:type="dxa"/>
                    <w:right w:w="0" w:type="dxa"/>
                  </w:tcMar>
                  <w:vAlign w:val="center"/>
                </w:tcPr>
                <w:p>
                  <w:pPr>
                    <w:pStyle w:val="140"/>
                  </w:pPr>
                </w:p>
              </w:tc>
              <w:tc>
                <w:tcPr>
                  <w:tcW w:w="548" w:type="dxa"/>
                  <w:vMerge w:val="continue"/>
                  <w:tcMar>
                    <w:left w:w="0" w:type="dxa"/>
                    <w:right w:w="0" w:type="dxa"/>
                  </w:tcMar>
                  <w:vAlign w:val="center"/>
                </w:tcPr>
                <w:p>
                  <w:pPr>
                    <w:pStyle w:val="140"/>
                  </w:pPr>
                </w:p>
              </w:tc>
              <w:tc>
                <w:tcPr>
                  <w:tcW w:w="624" w:type="dxa"/>
                  <w:vMerge w:val="continue"/>
                  <w:tcMar>
                    <w:left w:w="0" w:type="dxa"/>
                    <w:right w:w="0" w:type="dxa"/>
                  </w:tcMar>
                  <w:vAlign w:val="center"/>
                </w:tcPr>
                <w:p>
                  <w:pPr>
                    <w:pStyle w:val="140"/>
                  </w:pPr>
                </w:p>
              </w:tc>
              <w:tc>
                <w:tcPr>
                  <w:tcW w:w="742" w:type="dxa"/>
                  <w:vMerge w:val="continue"/>
                  <w:tcMar>
                    <w:left w:w="0" w:type="dxa"/>
                    <w:right w:w="0" w:type="dxa"/>
                  </w:tcMar>
                  <w:vAlign w:val="center"/>
                </w:tcPr>
                <w:p>
                  <w:pPr>
                    <w:pStyle w:val="140"/>
                  </w:pPr>
                </w:p>
              </w:tc>
              <w:tc>
                <w:tcPr>
                  <w:tcW w:w="913" w:type="dxa"/>
                  <w:vMerge w:val="continue"/>
                  <w:tcMar>
                    <w:left w:w="0" w:type="dxa"/>
                    <w:right w:w="0" w:type="dxa"/>
                  </w:tcMar>
                  <w:vAlign w:val="center"/>
                </w:tcPr>
                <w:p>
                  <w:pPr>
                    <w:pStyle w:val="140"/>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Mar>
                    <w:left w:w="0" w:type="dxa"/>
                    <w:right w:w="0" w:type="dxa"/>
                  </w:tcMar>
                  <w:vAlign w:val="center"/>
                </w:tcPr>
                <w:p>
                  <w:pPr>
                    <w:pStyle w:val="140"/>
                  </w:pPr>
                </w:p>
              </w:tc>
              <w:tc>
                <w:tcPr>
                  <w:tcW w:w="699" w:type="dxa"/>
                  <w:vMerge w:val="continue"/>
                  <w:tcMar>
                    <w:left w:w="0" w:type="dxa"/>
                    <w:right w:w="0" w:type="dxa"/>
                  </w:tcMar>
                  <w:vAlign w:val="center"/>
                </w:tcPr>
                <w:p>
                  <w:pPr>
                    <w:pStyle w:val="140"/>
                  </w:pPr>
                </w:p>
              </w:tc>
              <w:tc>
                <w:tcPr>
                  <w:tcW w:w="395" w:type="dxa"/>
                  <w:vMerge w:val="continue"/>
                  <w:tcMar>
                    <w:left w:w="0" w:type="dxa"/>
                    <w:right w:w="0" w:type="dxa"/>
                  </w:tcMar>
                  <w:vAlign w:val="center"/>
                </w:tcPr>
                <w:p>
                  <w:pPr>
                    <w:pStyle w:val="140"/>
                  </w:pPr>
                </w:p>
              </w:tc>
              <w:tc>
                <w:tcPr>
                  <w:tcW w:w="684" w:type="dxa"/>
                  <w:tcMar>
                    <w:left w:w="0" w:type="dxa"/>
                    <w:right w:w="0" w:type="dxa"/>
                  </w:tcMar>
                  <w:vAlign w:val="center"/>
                </w:tcPr>
                <w:p>
                  <w:pPr>
                    <w:pStyle w:val="140"/>
                  </w:pPr>
                  <w:r>
                    <w:rPr>
                      <w:rFonts w:hint="eastAsia"/>
                    </w:rPr>
                    <w:t>0.48</w:t>
                  </w:r>
                </w:p>
              </w:tc>
              <w:tc>
                <w:tcPr>
                  <w:tcW w:w="820" w:type="dxa"/>
                  <w:tcMar>
                    <w:left w:w="0" w:type="dxa"/>
                    <w:right w:w="0" w:type="dxa"/>
                  </w:tcMar>
                  <w:vAlign w:val="center"/>
                </w:tcPr>
                <w:p>
                  <w:pPr>
                    <w:pStyle w:val="140"/>
                  </w:pPr>
                  <w:r>
                    <w:rPr>
                      <w:rFonts w:hint="eastAsia"/>
                    </w:rPr>
                    <w:t>0.3529</w:t>
                  </w:r>
                </w:p>
              </w:tc>
              <w:tc>
                <w:tcPr>
                  <w:tcW w:w="958" w:type="dxa"/>
                  <w:vMerge w:val="continue"/>
                  <w:tcMar>
                    <w:left w:w="0" w:type="dxa"/>
                    <w:right w:w="0" w:type="dxa"/>
                  </w:tcMar>
                  <w:vAlign w:val="center"/>
                </w:tcPr>
                <w:p>
                  <w:pPr>
                    <w:pStyle w:val="140"/>
                  </w:pPr>
                </w:p>
              </w:tc>
              <w:tc>
                <w:tcPr>
                  <w:tcW w:w="957" w:type="dxa"/>
                  <w:vMerge w:val="continue"/>
                  <w:tcMar>
                    <w:left w:w="0" w:type="dxa"/>
                    <w:right w:w="0" w:type="dxa"/>
                  </w:tcMar>
                  <w:vAlign w:val="center"/>
                </w:tcPr>
                <w:p>
                  <w:pPr>
                    <w:pStyle w:val="140"/>
                  </w:pPr>
                </w:p>
              </w:tc>
              <w:tc>
                <w:tcPr>
                  <w:tcW w:w="548" w:type="dxa"/>
                  <w:vMerge w:val="continue"/>
                  <w:tcMar>
                    <w:left w:w="0" w:type="dxa"/>
                    <w:right w:w="0" w:type="dxa"/>
                  </w:tcMar>
                  <w:vAlign w:val="center"/>
                </w:tcPr>
                <w:p>
                  <w:pPr>
                    <w:pStyle w:val="140"/>
                  </w:pPr>
                </w:p>
              </w:tc>
              <w:tc>
                <w:tcPr>
                  <w:tcW w:w="624" w:type="dxa"/>
                  <w:vMerge w:val="continue"/>
                  <w:tcMar>
                    <w:left w:w="0" w:type="dxa"/>
                    <w:right w:w="0" w:type="dxa"/>
                  </w:tcMar>
                  <w:vAlign w:val="center"/>
                </w:tcPr>
                <w:p>
                  <w:pPr>
                    <w:pStyle w:val="140"/>
                  </w:pPr>
                </w:p>
              </w:tc>
              <w:tc>
                <w:tcPr>
                  <w:tcW w:w="742" w:type="dxa"/>
                  <w:vMerge w:val="continue"/>
                  <w:tcMar>
                    <w:left w:w="0" w:type="dxa"/>
                    <w:right w:w="0" w:type="dxa"/>
                  </w:tcMar>
                  <w:vAlign w:val="center"/>
                </w:tcPr>
                <w:p>
                  <w:pPr>
                    <w:pStyle w:val="140"/>
                  </w:pPr>
                </w:p>
              </w:tc>
              <w:tc>
                <w:tcPr>
                  <w:tcW w:w="913" w:type="dxa"/>
                  <w:vMerge w:val="continue"/>
                  <w:tcMar>
                    <w:left w:w="0" w:type="dxa"/>
                    <w:right w:w="0" w:type="dxa"/>
                  </w:tcMar>
                  <w:vAlign w:val="center"/>
                </w:tcPr>
                <w:p>
                  <w:pPr>
                    <w:pStyle w:val="140"/>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Mar>
                    <w:left w:w="0" w:type="dxa"/>
                    <w:right w:w="0" w:type="dxa"/>
                  </w:tcMar>
                  <w:vAlign w:val="center"/>
                </w:tcPr>
                <w:p>
                  <w:pPr>
                    <w:pStyle w:val="140"/>
                  </w:pPr>
                </w:p>
              </w:tc>
              <w:tc>
                <w:tcPr>
                  <w:tcW w:w="699" w:type="dxa"/>
                  <w:tcMar>
                    <w:left w:w="0" w:type="dxa"/>
                    <w:right w:w="0" w:type="dxa"/>
                  </w:tcMar>
                  <w:vAlign w:val="center"/>
                </w:tcPr>
                <w:p>
                  <w:pPr>
                    <w:pStyle w:val="140"/>
                  </w:pPr>
                  <w:r>
                    <w:rPr>
                      <w:rFonts w:hint="eastAsia"/>
                    </w:rPr>
                    <w:t>面涂</w:t>
                  </w:r>
                </w:p>
                <w:p>
                  <w:pPr>
                    <w:pStyle w:val="140"/>
                  </w:pPr>
                  <w:r>
                    <w:rPr>
                      <w:rFonts w:hint="eastAsia"/>
                    </w:rPr>
                    <w:t>配料</w:t>
                  </w:r>
                </w:p>
              </w:tc>
              <w:tc>
                <w:tcPr>
                  <w:tcW w:w="395" w:type="dxa"/>
                  <w:vMerge w:val="continue"/>
                  <w:tcMar>
                    <w:left w:w="0" w:type="dxa"/>
                    <w:right w:w="0" w:type="dxa"/>
                  </w:tcMar>
                  <w:vAlign w:val="center"/>
                </w:tcPr>
                <w:p>
                  <w:pPr>
                    <w:pStyle w:val="140"/>
                  </w:pPr>
                </w:p>
              </w:tc>
              <w:tc>
                <w:tcPr>
                  <w:tcW w:w="684" w:type="dxa"/>
                  <w:tcMar>
                    <w:left w:w="0" w:type="dxa"/>
                    <w:right w:w="0" w:type="dxa"/>
                  </w:tcMar>
                  <w:vAlign w:val="center"/>
                </w:tcPr>
                <w:p>
                  <w:pPr>
                    <w:pStyle w:val="140"/>
                  </w:pPr>
                  <w:r>
                    <w:rPr>
                      <w:rFonts w:hint="eastAsia"/>
                    </w:rPr>
                    <w:t>4.4256</w:t>
                  </w:r>
                </w:p>
              </w:tc>
              <w:tc>
                <w:tcPr>
                  <w:tcW w:w="820" w:type="dxa"/>
                  <w:tcMar>
                    <w:left w:w="0" w:type="dxa"/>
                    <w:right w:w="0" w:type="dxa"/>
                  </w:tcMar>
                  <w:vAlign w:val="center"/>
                </w:tcPr>
                <w:p>
                  <w:pPr>
                    <w:pStyle w:val="140"/>
                  </w:pPr>
                  <w:r>
                    <w:rPr>
                      <w:rFonts w:hint="eastAsia"/>
                    </w:rPr>
                    <w:t>1.0847</w:t>
                  </w:r>
                </w:p>
              </w:tc>
              <w:tc>
                <w:tcPr>
                  <w:tcW w:w="958" w:type="dxa"/>
                  <w:tcMar>
                    <w:left w:w="0" w:type="dxa"/>
                    <w:right w:w="0" w:type="dxa"/>
                  </w:tcMar>
                  <w:vAlign w:val="center"/>
                </w:tcPr>
                <w:p>
                  <w:pPr>
                    <w:pStyle w:val="140"/>
                  </w:pPr>
                  <w:r>
                    <w:rPr>
                      <w:rFonts w:hint="eastAsia"/>
                    </w:rPr>
                    <w:t>180.78</w:t>
                  </w:r>
                </w:p>
              </w:tc>
              <w:tc>
                <w:tcPr>
                  <w:tcW w:w="957" w:type="dxa"/>
                  <w:vMerge w:val="continue"/>
                  <w:tcMar>
                    <w:left w:w="0" w:type="dxa"/>
                    <w:right w:w="0" w:type="dxa"/>
                  </w:tcMar>
                  <w:vAlign w:val="center"/>
                </w:tcPr>
                <w:p>
                  <w:pPr>
                    <w:pStyle w:val="140"/>
                  </w:pPr>
                </w:p>
              </w:tc>
              <w:tc>
                <w:tcPr>
                  <w:tcW w:w="548" w:type="dxa"/>
                  <w:vMerge w:val="continue"/>
                  <w:tcMar>
                    <w:left w:w="0" w:type="dxa"/>
                    <w:right w:w="0" w:type="dxa"/>
                  </w:tcMar>
                  <w:vAlign w:val="center"/>
                </w:tcPr>
                <w:p>
                  <w:pPr>
                    <w:pStyle w:val="140"/>
                  </w:pPr>
                </w:p>
              </w:tc>
              <w:tc>
                <w:tcPr>
                  <w:tcW w:w="624" w:type="dxa"/>
                  <w:vMerge w:val="continue"/>
                  <w:tcMar>
                    <w:left w:w="0" w:type="dxa"/>
                    <w:right w:w="0" w:type="dxa"/>
                  </w:tcMar>
                  <w:vAlign w:val="center"/>
                </w:tcPr>
                <w:p>
                  <w:pPr>
                    <w:pStyle w:val="140"/>
                  </w:pPr>
                </w:p>
              </w:tc>
              <w:tc>
                <w:tcPr>
                  <w:tcW w:w="742" w:type="dxa"/>
                  <w:vMerge w:val="continue"/>
                  <w:tcMar>
                    <w:left w:w="0" w:type="dxa"/>
                    <w:right w:w="0" w:type="dxa"/>
                  </w:tcMar>
                  <w:vAlign w:val="center"/>
                </w:tcPr>
                <w:p>
                  <w:pPr>
                    <w:pStyle w:val="140"/>
                  </w:pPr>
                </w:p>
              </w:tc>
              <w:tc>
                <w:tcPr>
                  <w:tcW w:w="913" w:type="dxa"/>
                  <w:vMerge w:val="continue"/>
                  <w:tcMar>
                    <w:left w:w="0" w:type="dxa"/>
                    <w:right w:w="0" w:type="dxa"/>
                  </w:tcMar>
                  <w:vAlign w:val="center"/>
                </w:tcPr>
                <w:p>
                  <w:pPr>
                    <w:pStyle w:val="140"/>
                  </w:pPr>
                </w:p>
              </w:tc>
            </w:tr>
          </w:tbl>
          <w:p>
            <w:pPr>
              <w:spacing w:line="480" w:lineRule="exact"/>
              <w:ind w:firstLine="480"/>
              <w:rPr>
                <w:sz w:val="24"/>
              </w:rPr>
            </w:pPr>
            <w:r>
              <w:rPr>
                <w:sz w:val="24"/>
              </w:rPr>
              <w:t>由上表可知，</w:t>
            </w:r>
            <w:r>
              <w:rPr>
                <w:rFonts w:hint="eastAsia"/>
                <w:sz w:val="24"/>
              </w:rPr>
              <w:t>涂布工段产生的颗粒物</w:t>
            </w:r>
            <w:r>
              <w:rPr>
                <w:sz w:val="24"/>
              </w:rPr>
              <w:t>经袋式除尘器治理后，排放浓度为</w:t>
            </w:r>
            <w:r>
              <w:rPr>
                <w:rFonts w:hint="eastAsia"/>
                <w:sz w:val="24"/>
              </w:rPr>
              <w:t>5.87</w:t>
            </w:r>
            <w:r>
              <w:rPr>
                <w:sz w:val="24"/>
              </w:rPr>
              <w:t>mg/m</w:t>
            </w:r>
            <w:r>
              <w:rPr>
                <w:sz w:val="24"/>
                <w:vertAlign w:val="superscript"/>
              </w:rPr>
              <w:t>3</w:t>
            </w:r>
            <w:r>
              <w:rPr>
                <w:sz w:val="24"/>
              </w:rPr>
              <w:t>，排放速率为</w:t>
            </w:r>
            <w:r>
              <w:rPr>
                <w:rFonts w:hint="eastAsia"/>
                <w:sz w:val="24"/>
              </w:rPr>
              <w:t>0.0352</w:t>
            </w:r>
            <w:r>
              <w:rPr>
                <w:sz w:val="24"/>
              </w:rPr>
              <w:t>kg/h，能够满足《大气污染物综合排放标准》（GB16297-1996）表2颗粒物浓度120mg/m³、速率3.5kg/h（15m高排气筒）的标准要求；同时能够满足《新乡市生态环境局关于进一步规范工业企业颗粒物排放限值的通知》颗粒物浓度10mg/m³的限值要求。</w:t>
            </w:r>
          </w:p>
          <w:p>
            <w:pPr>
              <w:numPr>
                <w:ilvl w:val="0"/>
                <w:numId w:val="5"/>
              </w:numPr>
              <w:spacing w:line="460" w:lineRule="exact"/>
              <w:jc w:val="left"/>
              <w:rPr>
                <w:b/>
                <w:bCs/>
                <w:color w:val="000000"/>
                <w:sz w:val="24"/>
                <w:szCs w:val="20"/>
              </w:rPr>
            </w:pPr>
            <w:r>
              <w:rPr>
                <w:rFonts w:hint="eastAsia"/>
                <w:b/>
                <w:bCs/>
                <w:color w:val="000000"/>
                <w:sz w:val="24"/>
                <w:szCs w:val="20"/>
              </w:rPr>
              <w:t>无组织废气</w:t>
            </w:r>
          </w:p>
          <w:p>
            <w:pPr>
              <w:spacing w:line="460" w:lineRule="exact"/>
              <w:ind w:firstLine="480" w:firstLineChars="200"/>
              <w:rPr>
                <w:bCs/>
                <w:sz w:val="24"/>
              </w:rPr>
            </w:pPr>
            <w:r>
              <w:rPr>
                <w:rFonts w:hint="eastAsia"/>
                <w:bCs/>
                <w:sz w:val="24"/>
              </w:rPr>
              <w:t>本项目无组织排放源主要为投料过程未被收集的粉尘、原料卸料粉尘。</w:t>
            </w:r>
          </w:p>
          <w:p>
            <w:pPr>
              <w:spacing w:line="460" w:lineRule="exact"/>
              <w:ind w:firstLine="480" w:firstLineChars="200"/>
              <w:rPr>
                <w:bCs/>
                <w:sz w:val="24"/>
              </w:rPr>
            </w:pPr>
            <w:r>
              <w:rPr>
                <w:rFonts w:hint="eastAsia"/>
                <w:bCs/>
                <w:sz w:val="24"/>
              </w:rPr>
              <w:t>（1）投料过程未被收集的粉尘</w:t>
            </w:r>
          </w:p>
          <w:p>
            <w:pPr>
              <w:spacing w:line="460" w:lineRule="exact"/>
              <w:ind w:firstLine="480" w:firstLineChars="200"/>
              <w:rPr>
                <w:bCs/>
                <w:sz w:val="24"/>
              </w:rPr>
            </w:pPr>
            <w:r>
              <w:rPr>
                <w:rFonts w:hint="eastAsia"/>
                <w:bCs/>
                <w:sz w:val="24"/>
              </w:rPr>
              <w:t>本项目投料过程在负压密闭投料间进行投料，粉尘逸散量较小，未被收集的粉尘量为投料时粉尘产生量的5%，则投料过程未被收集的粉尘产生量为0.5083t/a。</w:t>
            </w:r>
          </w:p>
          <w:p>
            <w:pPr>
              <w:spacing w:line="460" w:lineRule="exact"/>
              <w:ind w:left="480"/>
              <w:rPr>
                <w:bCs/>
                <w:sz w:val="24"/>
              </w:rPr>
            </w:pPr>
            <w:r>
              <w:rPr>
                <w:rFonts w:hint="eastAsia"/>
                <w:bCs/>
                <w:sz w:val="24"/>
              </w:rPr>
              <w:t>（2）原料卸料粉尘</w:t>
            </w:r>
          </w:p>
          <w:p>
            <w:pPr>
              <w:spacing w:line="460" w:lineRule="exact"/>
              <w:ind w:firstLine="480" w:firstLineChars="200"/>
              <w:rPr>
                <w:kern w:val="0"/>
                <w:sz w:val="24"/>
              </w:rPr>
            </w:pPr>
            <w:r>
              <w:rPr>
                <w:rFonts w:hint="eastAsia"/>
                <w:bCs/>
                <w:sz w:val="24"/>
              </w:rPr>
              <w:t>本项目原料卸料时会有卸料粉尘产生，</w:t>
            </w:r>
            <w:r>
              <w:rPr>
                <w:kern w:val="0"/>
                <w:sz w:val="24"/>
              </w:rPr>
              <w:t>根据《逸散性工业粉尘控制技术》（中国环境科学出版社），</w:t>
            </w:r>
            <w:r>
              <w:rPr>
                <w:rFonts w:hint="eastAsia"/>
                <w:kern w:val="0"/>
                <w:sz w:val="24"/>
              </w:rPr>
              <w:t>原料库卸料</w:t>
            </w:r>
            <w:r>
              <w:rPr>
                <w:kern w:val="0"/>
                <w:sz w:val="24"/>
              </w:rPr>
              <w:t>无组织粉尘产生量为</w:t>
            </w:r>
            <w:r>
              <w:rPr>
                <w:sz w:val="24"/>
              </w:rPr>
              <w:t>0.0022</w:t>
            </w:r>
            <w:r>
              <w:rPr>
                <w:kern w:val="0"/>
                <w:sz w:val="24"/>
              </w:rPr>
              <w:t>kg/t原料</w:t>
            </w:r>
            <w:r>
              <w:rPr>
                <w:rFonts w:hint="eastAsia"/>
                <w:kern w:val="0"/>
                <w:sz w:val="24"/>
              </w:rPr>
              <w:t>。本项目钙粉、羟甲基纤维素钠、瓷土及玉米淀粉使用量共计8000t/a，则无组织粉尘产生量为0.0176t/a。</w:t>
            </w:r>
          </w:p>
          <w:p>
            <w:pPr>
              <w:spacing w:line="460" w:lineRule="exact"/>
              <w:ind w:firstLine="480" w:firstLineChars="200"/>
              <w:rPr>
                <w:kern w:val="0"/>
                <w:sz w:val="24"/>
              </w:rPr>
            </w:pPr>
            <w:r>
              <w:rPr>
                <w:rFonts w:hint="eastAsia"/>
                <w:kern w:val="0"/>
                <w:sz w:val="24"/>
              </w:rPr>
              <w:t>原料投料、卸料过程均在车间内进行，本次评价按照车间无组织沉降系数90%进行考虑，项目无组织粉尘排放量汇总如下：</w:t>
            </w:r>
          </w:p>
          <w:p>
            <w:pPr>
              <w:adjustRightInd w:val="0"/>
              <w:snapToGrid w:val="0"/>
              <w:spacing w:line="440" w:lineRule="exact"/>
              <w:ind w:firstLine="480" w:firstLineChars="200"/>
              <w:rPr>
                <w:rFonts w:eastAsia="黑体"/>
                <w:sz w:val="24"/>
              </w:rPr>
            </w:pPr>
            <w:r>
              <w:rPr>
                <w:rFonts w:eastAsia="黑体"/>
                <w:sz w:val="24"/>
              </w:rPr>
              <w:t xml:space="preserve">表26           </w:t>
            </w:r>
            <w:r>
              <w:rPr>
                <w:rFonts w:hint="eastAsia" w:eastAsia="黑体"/>
                <w:sz w:val="24"/>
              </w:rPr>
              <w:t xml:space="preserve">  </w:t>
            </w:r>
            <w:r>
              <w:rPr>
                <w:rFonts w:eastAsia="黑体"/>
                <w:sz w:val="24"/>
              </w:rPr>
              <w:t xml:space="preserve">  无组织粉尘排放量汇总</w:t>
            </w:r>
          </w:p>
          <w:tbl>
            <w:tblPr>
              <w:tblStyle w:val="31"/>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277"/>
              <w:gridCol w:w="3171"/>
              <w:gridCol w:w="1029"/>
              <w:gridCol w:w="113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8" w:type="dxa"/>
                  <w:vAlign w:val="center"/>
                </w:tcPr>
                <w:p>
                  <w:pPr>
                    <w:adjustRightInd w:val="0"/>
                    <w:snapToGrid w:val="0"/>
                    <w:jc w:val="center"/>
                    <w:rPr>
                      <w:b/>
                      <w:szCs w:val="21"/>
                    </w:rPr>
                  </w:pPr>
                  <w:r>
                    <w:rPr>
                      <w:b/>
                      <w:szCs w:val="21"/>
                    </w:rPr>
                    <w:t>污染源</w:t>
                  </w:r>
                </w:p>
              </w:tc>
              <w:tc>
                <w:tcPr>
                  <w:tcW w:w="1276" w:type="dxa"/>
                  <w:vAlign w:val="center"/>
                </w:tcPr>
                <w:p>
                  <w:pPr>
                    <w:adjustRightInd w:val="0"/>
                    <w:snapToGrid w:val="0"/>
                    <w:jc w:val="center"/>
                    <w:rPr>
                      <w:b/>
                      <w:szCs w:val="21"/>
                    </w:rPr>
                  </w:pPr>
                  <w:r>
                    <w:rPr>
                      <w:b/>
                      <w:szCs w:val="21"/>
                    </w:rPr>
                    <w:t>无组织粉尘产生量（t/a）</w:t>
                  </w:r>
                </w:p>
              </w:tc>
              <w:tc>
                <w:tcPr>
                  <w:tcW w:w="3177" w:type="dxa"/>
                  <w:vAlign w:val="center"/>
                </w:tcPr>
                <w:p>
                  <w:pPr>
                    <w:adjustRightInd w:val="0"/>
                    <w:snapToGrid w:val="0"/>
                    <w:jc w:val="center"/>
                    <w:rPr>
                      <w:b/>
                      <w:szCs w:val="21"/>
                    </w:rPr>
                  </w:pPr>
                  <w:r>
                    <w:rPr>
                      <w:b/>
                      <w:szCs w:val="21"/>
                    </w:rPr>
                    <w:t>采取的抑尘措施</w:t>
                  </w:r>
                </w:p>
              </w:tc>
              <w:tc>
                <w:tcPr>
                  <w:tcW w:w="1028" w:type="dxa"/>
                  <w:vAlign w:val="center"/>
                </w:tcPr>
                <w:p>
                  <w:pPr>
                    <w:adjustRightInd w:val="0"/>
                    <w:snapToGrid w:val="0"/>
                    <w:jc w:val="center"/>
                    <w:rPr>
                      <w:b/>
                      <w:szCs w:val="21"/>
                    </w:rPr>
                  </w:pPr>
                  <w:r>
                    <w:rPr>
                      <w:b/>
                      <w:szCs w:val="21"/>
                    </w:rPr>
                    <w:t>无组织粉尘除尘效率</w:t>
                  </w:r>
                </w:p>
              </w:tc>
              <w:tc>
                <w:tcPr>
                  <w:tcW w:w="1129" w:type="dxa"/>
                  <w:vAlign w:val="center"/>
                </w:tcPr>
                <w:p>
                  <w:pPr>
                    <w:adjustRightInd w:val="0"/>
                    <w:snapToGrid w:val="0"/>
                    <w:jc w:val="center"/>
                    <w:rPr>
                      <w:b/>
                      <w:szCs w:val="21"/>
                    </w:rPr>
                  </w:pPr>
                  <w:r>
                    <w:rPr>
                      <w:b/>
                      <w:szCs w:val="21"/>
                    </w:rPr>
                    <w:t>无组织粉尘排放量（t/a）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8" w:type="dxa"/>
                  <w:vAlign w:val="center"/>
                </w:tcPr>
                <w:p>
                  <w:pPr>
                    <w:adjustRightInd w:val="0"/>
                    <w:snapToGrid w:val="0"/>
                    <w:jc w:val="center"/>
                    <w:rPr>
                      <w:szCs w:val="21"/>
                    </w:rPr>
                  </w:pPr>
                  <w:r>
                    <w:rPr>
                      <w:rFonts w:hint="eastAsia"/>
                      <w:szCs w:val="21"/>
                    </w:rPr>
                    <w:t>投料过程中未被收集的粉尘</w:t>
                  </w:r>
                </w:p>
              </w:tc>
              <w:tc>
                <w:tcPr>
                  <w:tcW w:w="1276" w:type="dxa"/>
                  <w:vAlign w:val="center"/>
                </w:tcPr>
                <w:p>
                  <w:pPr>
                    <w:adjustRightInd w:val="0"/>
                    <w:snapToGrid w:val="0"/>
                    <w:jc w:val="center"/>
                    <w:rPr>
                      <w:szCs w:val="21"/>
                    </w:rPr>
                  </w:pPr>
                  <w:r>
                    <w:rPr>
                      <w:rFonts w:hint="eastAsia"/>
                      <w:szCs w:val="21"/>
                    </w:rPr>
                    <w:t>0.5083</w:t>
                  </w:r>
                </w:p>
              </w:tc>
              <w:tc>
                <w:tcPr>
                  <w:tcW w:w="3177" w:type="dxa"/>
                  <w:vMerge w:val="restart"/>
                  <w:vAlign w:val="center"/>
                </w:tcPr>
                <w:p>
                  <w:pPr>
                    <w:adjustRightInd w:val="0"/>
                    <w:snapToGrid w:val="0"/>
                    <w:rPr>
                      <w:szCs w:val="21"/>
                    </w:rPr>
                  </w:pPr>
                  <w:r>
                    <w:t>所有物料/生产设备均位在密闭料库/车间内，物料装卸均在密闭料库内进行；原料库和车间通道口均安装卷帘门或推拉门等封闭性良好且便于开关的硬质门，在无车辆出入时将门关闭；保持厂区地面整洁，配专人负责清扫和洒水保湿，加强厂区厂界绿化等措施。</w:t>
                  </w:r>
                </w:p>
              </w:tc>
              <w:tc>
                <w:tcPr>
                  <w:tcW w:w="1028" w:type="dxa"/>
                  <w:vAlign w:val="center"/>
                </w:tcPr>
                <w:p>
                  <w:pPr>
                    <w:adjustRightInd w:val="0"/>
                    <w:snapToGrid w:val="0"/>
                    <w:jc w:val="center"/>
                    <w:rPr>
                      <w:szCs w:val="21"/>
                    </w:rPr>
                  </w:pPr>
                  <w:r>
                    <w:rPr>
                      <w:rFonts w:hint="eastAsia"/>
                      <w:szCs w:val="21"/>
                    </w:rPr>
                    <w:t>95%</w:t>
                  </w:r>
                </w:p>
              </w:tc>
              <w:tc>
                <w:tcPr>
                  <w:tcW w:w="1129" w:type="dxa"/>
                  <w:vAlign w:val="center"/>
                </w:tcPr>
                <w:p>
                  <w:pPr>
                    <w:adjustRightInd w:val="0"/>
                    <w:snapToGrid w:val="0"/>
                    <w:jc w:val="center"/>
                    <w:rPr>
                      <w:szCs w:val="21"/>
                    </w:rPr>
                  </w:pPr>
                  <w:r>
                    <w:rPr>
                      <w:rFonts w:hint="eastAsia"/>
                      <w:szCs w:val="21"/>
                    </w:rPr>
                    <w:t>0.0254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8" w:type="dxa"/>
                  <w:vAlign w:val="center"/>
                </w:tcPr>
                <w:p>
                  <w:pPr>
                    <w:adjustRightInd w:val="0"/>
                    <w:snapToGrid w:val="0"/>
                    <w:jc w:val="center"/>
                    <w:rPr>
                      <w:szCs w:val="21"/>
                    </w:rPr>
                  </w:pPr>
                  <w:r>
                    <w:rPr>
                      <w:szCs w:val="21"/>
                    </w:rPr>
                    <w:t>原料卸料粉尘</w:t>
                  </w:r>
                </w:p>
              </w:tc>
              <w:tc>
                <w:tcPr>
                  <w:tcW w:w="1276" w:type="dxa"/>
                  <w:vAlign w:val="center"/>
                </w:tcPr>
                <w:p>
                  <w:pPr>
                    <w:adjustRightInd w:val="0"/>
                    <w:snapToGrid w:val="0"/>
                    <w:jc w:val="center"/>
                    <w:rPr>
                      <w:szCs w:val="21"/>
                    </w:rPr>
                  </w:pPr>
                  <w:r>
                    <w:rPr>
                      <w:rFonts w:hint="eastAsia"/>
                      <w:szCs w:val="21"/>
                    </w:rPr>
                    <w:t>0.0176</w:t>
                  </w:r>
                </w:p>
              </w:tc>
              <w:tc>
                <w:tcPr>
                  <w:tcW w:w="3177" w:type="dxa"/>
                  <w:vMerge w:val="continue"/>
                  <w:vAlign w:val="center"/>
                </w:tcPr>
                <w:p>
                  <w:pPr>
                    <w:adjustRightInd w:val="0"/>
                    <w:snapToGrid w:val="0"/>
                    <w:rPr>
                      <w:szCs w:val="21"/>
                    </w:rPr>
                  </w:pPr>
                </w:p>
              </w:tc>
              <w:tc>
                <w:tcPr>
                  <w:tcW w:w="1028" w:type="dxa"/>
                  <w:vAlign w:val="center"/>
                </w:tcPr>
                <w:p>
                  <w:pPr>
                    <w:adjustRightInd w:val="0"/>
                    <w:snapToGrid w:val="0"/>
                    <w:jc w:val="center"/>
                    <w:rPr>
                      <w:szCs w:val="21"/>
                    </w:rPr>
                  </w:pPr>
                  <w:r>
                    <w:rPr>
                      <w:rFonts w:hint="eastAsia"/>
                      <w:szCs w:val="21"/>
                    </w:rPr>
                    <w:t>95</w:t>
                  </w:r>
                  <w:r>
                    <w:rPr>
                      <w:szCs w:val="21"/>
                    </w:rPr>
                    <w:t>%</w:t>
                  </w:r>
                </w:p>
              </w:tc>
              <w:tc>
                <w:tcPr>
                  <w:tcW w:w="1129" w:type="dxa"/>
                  <w:vAlign w:val="center"/>
                </w:tcPr>
                <w:p>
                  <w:pPr>
                    <w:adjustRightInd w:val="0"/>
                    <w:snapToGrid w:val="0"/>
                    <w:jc w:val="center"/>
                    <w:rPr>
                      <w:szCs w:val="21"/>
                    </w:rPr>
                  </w:pPr>
                  <w:r>
                    <w:rPr>
                      <w:rFonts w:hint="eastAsia"/>
                      <w:szCs w:val="21"/>
                    </w:rPr>
                    <w:t>0.0009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8" w:type="dxa"/>
                  <w:tcBorders>
                    <w:top w:val="single" w:color="auto" w:sz="4" w:space="0"/>
                    <w:bottom w:val="single" w:color="auto" w:sz="8" w:space="0"/>
                  </w:tcBorders>
                  <w:vAlign w:val="center"/>
                </w:tcPr>
                <w:p>
                  <w:pPr>
                    <w:adjustRightInd w:val="0"/>
                    <w:snapToGrid w:val="0"/>
                    <w:jc w:val="center"/>
                    <w:rPr>
                      <w:szCs w:val="21"/>
                    </w:rPr>
                  </w:pPr>
                  <w:r>
                    <w:rPr>
                      <w:szCs w:val="21"/>
                    </w:rPr>
                    <w:t>合计</w:t>
                  </w:r>
                </w:p>
              </w:tc>
              <w:tc>
                <w:tcPr>
                  <w:tcW w:w="1276" w:type="dxa"/>
                  <w:tcBorders>
                    <w:top w:val="single" w:color="auto" w:sz="4" w:space="0"/>
                    <w:bottom w:val="single" w:color="auto" w:sz="8" w:space="0"/>
                  </w:tcBorders>
                  <w:vAlign w:val="center"/>
                </w:tcPr>
                <w:p>
                  <w:pPr>
                    <w:adjustRightInd w:val="0"/>
                    <w:snapToGrid w:val="0"/>
                    <w:jc w:val="center"/>
                    <w:rPr>
                      <w:szCs w:val="21"/>
                    </w:rPr>
                  </w:pPr>
                  <w:r>
                    <w:rPr>
                      <w:rFonts w:hint="eastAsia"/>
                      <w:szCs w:val="21"/>
                    </w:rPr>
                    <w:t>0.5259</w:t>
                  </w:r>
                </w:p>
              </w:tc>
              <w:tc>
                <w:tcPr>
                  <w:tcW w:w="3177" w:type="dxa"/>
                  <w:tcBorders>
                    <w:top w:val="single" w:color="auto" w:sz="4" w:space="0"/>
                    <w:bottom w:val="single" w:color="auto" w:sz="8" w:space="0"/>
                  </w:tcBorders>
                  <w:vAlign w:val="center"/>
                </w:tcPr>
                <w:p>
                  <w:pPr>
                    <w:adjustRightInd w:val="0"/>
                    <w:snapToGrid w:val="0"/>
                    <w:jc w:val="center"/>
                    <w:rPr>
                      <w:szCs w:val="21"/>
                    </w:rPr>
                  </w:pPr>
                  <w:r>
                    <w:rPr>
                      <w:szCs w:val="21"/>
                    </w:rPr>
                    <w:t>/</w:t>
                  </w:r>
                </w:p>
              </w:tc>
              <w:tc>
                <w:tcPr>
                  <w:tcW w:w="1028" w:type="dxa"/>
                  <w:tcBorders>
                    <w:top w:val="single" w:color="auto" w:sz="4" w:space="0"/>
                    <w:bottom w:val="single" w:color="auto" w:sz="8" w:space="0"/>
                  </w:tcBorders>
                  <w:vAlign w:val="center"/>
                </w:tcPr>
                <w:p>
                  <w:pPr>
                    <w:adjustRightInd w:val="0"/>
                    <w:snapToGrid w:val="0"/>
                    <w:jc w:val="center"/>
                    <w:rPr>
                      <w:szCs w:val="21"/>
                    </w:rPr>
                  </w:pPr>
                  <w:r>
                    <w:rPr>
                      <w:szCs w:val="21"/>
                    </w:rPr>
                    <w:t>/</w:t>
                  </w:r>
                </w:p>
              </w:tc>
              <w:tc>
                <w:tcPr>
                  <w:tcW w:w="1129" w:type="dxa"/>
                  <w:tcBorders>
                    <w:top w:val="single" w:color="auto" w:sz="4" w:space="0"/>
                    <w:bottom w:val="single" w:color="auto" w:sz="8" w:space="0"/>
                  </w:tcBorders>
                  <w:vAlign w:val="center"/>
                </w:tcPr>
                <w:p>
                  <w:pPr>
                    <w:adjustRightInd w:val="0"/>
                    <w:snapToGrid w:val="0"/>
                    <w:jc w:val="center"/>
                    <w:rPr>
                      <w:szCs w:val="21"/>
                    </w:rPr>
                  </w:pPr>
                  <w:r>
                    <w:rPr>
                      <w:rFonts w:hint="eastAsia"/>
                      <w:szCs w:val="21"/>
                    </w:rPr>
                    <w:t>0.0263</w:t>
                  </w:r>
                </w:p>
              </w:tc>
            </w:tr>
          </w:tbl>
          <w:p>
            <w:pPr>
              <w:widowControl/>
              <w:adjustRightInd w:val="0"/>
              <w:spacing w:line="460" w:lineRule="exact"/>
              <w:ind w:firstLine="480" w:firstLineChars="200"/>
              <w:jc w:val="left"/>
              <w:rPr>
                <w:sz w:val="24"/>
              </w:rPr>
            </w:pPr>
            <w:r>
              <w:rPr>
                <w:bCs/>
                <w:sz w:val="24"/>
              </w:rPr>
              <w:t>综合以上分析，预计厂区颗粒物无组织排放量共计为</w:t>
            </w:r>
            <w:r>
              <w:rPr>
                <w:rFonts w:hint="eastAsia"/>
                <w:bCs/>
                <w:sz w:val="24"/>
              </w:rPr>
              <w:t>0.0263</w:t>
            </w:r>
            <w:r>
              <w:rPr>
                <w:bCs/>
                <w:sz w:val="24"/>
              </w:rPr>
              <w:t>t/a</w:t>
            </w:r>
            <w:r>
              <w:rPr>
                <w:rFonts w:hint="eastAsia"/>
                <w:sz w:val="24"/>
              </w:rPr>
              <w:t>，</w:t>
            </w:r>
            <w:r>
              <w:rPr>
                <w:sz w:val="24"/>
              </w:rPr>
              <w:t>排放浓度能够满足</w:t>
            </w:r>
            <w:r>
              <w:rPr>
                <w:rFonts w:hint="eastAsia"/>
                <w:bCs/>
                <w:sz w:val="24"/>
              </w:rPr>
              <w:t>《新乡市生态环境局关于进一步规范工业企业颗粒物排放限值的通知》</w:t>
            </w:r>
            <w:r>
              <w:rPr>
                <w:rFonts w:hint="eastAsia"/>
                <w:sz w:val="24"/>
              </w:rPr>
              <w:t>无组织颗粒物0.5mg/m</w:t>
            </w:r>
            <w:r>
              <w:rPr>
                <w:rFonts w:hint="eastAsia"/>
                <w:sz w:val="24"/>
                <w:vertAlign w:val="superscript"/>
              </w:rPr>
              <w:t>3</w:t>
            </w:r>
            <w:r>
              <w:rPr>
                <w:rFonts w:hint="eastAsia"/>
                <w:sz w:val="24"/>
              </w:rPr>
              <w:t>的标准限值。</w:t>
            </w:r>
          </w:p>
          <w:p>
            <w:pPr>
              <w:pStyle w:val="160"/>
              <w:numPr>
                <w:ilvl w:val="0"/>
                <w:numId w:val="5"/>
              </w:numPr>
              <w:spacing w:line="420" w:lineRule="exact"/>
              <w:rPr>
                <w:b/>
                <w:bCs/>
                <w:sz w:val="24"/>
              </w:rPr>
            </w:pPr>
            <w:r>
              <w:rPr>
                <w:rFonts w:hint="eastAsia"/>
                <w:b/>
                <w:bCs/>
                <w:sz w:val="24"/>
              </w:rPr>
              <w:t>非正常排放分析</w:t>
            </w:r>
          </w:p>
          <w:p>
            <w:pPr>
              <w:spacing w:line="460" w:lineRule="exact"/>
              <w:ind w:firstLine="480" w:firstLineChars="200"/>
              <w:jc w:val="left"/>
              <w:textAlignment w:val="baseline"/>
              <w:rPr>
                <w:bCs/>
                <w:sz w:val="24"/>
              </w:rPr>
            </w:pPr>
            <w:r>
              <w:rPr>
                <w:bCs/>
                <w:sz w:val="24"/>
              </w:rPr>
              <w:t>项目生产过程中产生的非正常排放主要是污染物排放控制措施达不到应有效率时引起的污染物超标排放，评价以最不利原则按照污染物治理措施（袋式除尘器）处理效率为0时的情况进行分析。</w:t>
            </w:r>
            <w:r>
              <w:rPr>
                <w:rFonts w:hint="eastAsia"/>
                <w:bCs/>
                <w:sz w:val="24"/>
              </w:rPr>
              <w:t>经过分析，</w:t>
            </w:r>
            <w:r>
              <w:rPr>
                <w:bCs/>
                <w:sz w:val="24"/>
              </w:rPr>
              <w:t>非正常排放废气源强为</w:t>
            </w:r>
            <w:r>
              <w:rPr>
                <w:rFonts w:hint="eastAsia"/>
                <w:bCs/>
                <w:sz w:val="24"/>
              </w:rPr>
              <w:t>：</w:t>
            </w:r>
            <w:r>
              <w:rPr>
                <w:bCs/>
                <w:sz w:val="24"/>
              </w:rPr>
              <w:t>颗粒物</w:t>
            </w:r>
            <w:r>
              <w:rPr>
                <w:rFonts w:hint="eastAsia"/>
                <w:bCs/>
                <w:sz w:val="24"/>
              </w:rPr>
              <w:t>速率3.52kg/h</w:t>
            </w:r>
            <w:r>
              <w:rPr>
                <w:bCs/>
                <w:sz w:val="24"/>
              </w:rPr>
              <w:t>。事故排放时间最大为15分钟。非正常排放具体参数见下表。</w:t>
            </w:r>
          </w:p>
          <w:p>
            <w:pPr>
              <w:spacing w:line="460" w:lineRule="exact"/>
              <w:ind w:firstLine="480" w:firstLineChars="200"/>
              <w:rPr>
                <w:rFonts w:eastAsia="黑体"/>
                <w:sz w:val="24"/>
              </w:rPr>
            </w:pPr>
            <w:r>
              <w:rPr>
                <w:rFonts w:hint="eastAsia" w:eastAsia="黑体"/>
                <w:sz w:val="24"/>
              </w:rPr>
              <w:t>表</w:t>
            </w:r>
            <w:r>
              <w:rPr>
                <w:rFonts w:eastAsia="黑体"/>
                <w:sz w:val="24"/>
              </w:rPr>
              <w:t>27</w:t>
            </w:r>
            <w:r>
              <w:rPr>
                <w:rFonts w:hint="eastAsia" w:eastAsia="黑体"/>
                <w:sz w:val="24"/>
              </w:rPr>
              <w:t xml:space="preserve">                  非正常排放参数表</w:t>
            </w:r>
          </w:p>
          <w:tbl>
            <w:tblPr>
              <w:tblStyle w:val="31"/>
              <w:tblpPr w:leftFromText="180" w:rightFromText="180" w:vertAnchor="text" w:tblpXSpec="center" w:tblpY="1"/>
              <w:tblOverlap w:val="never"/>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10"/>
              <w:gridCol w:w="1582"/>
              <w:gridCol w:w="718"/>
              <w:gridCol w:w="1274"/>
              <w:gridCol w:w="852"/>
              <w:gridCol w:w="779"/>
              <w:gridCol w:w="1167"/>
              <w:gridCol w:w="94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9" w:type="dxa"/>
                  <w:vAlign w:val="center"/>
                </w:tcPr>
                <w:p>
                  <w:pPr>
                    <w:jc w:val="center"/>
                    <w:rPr>
                      <w:b/>
                      <w:szCs w:val="21"/>
                    </w:rPr>
                  </w:pPr>
                  <w:r>
                    <w:rPr>
                      <w:b/>
                      <w:szCs w:val="21"/>
                    </w:rPr>
                    <w:t>非正常排放源</w:t>
                  </w:r>
                </w:p>
              </w:tc>
              <w:tc>
                <w:tcPr>
                  <w:tcW w:w="1583" w:type="dxa"/>
                  <w:vAlign w:val="center"/>
                </w:tcPr>
                <w:p>
                  <w:pPr>
                    <w:jc w:val="center"/>
                    <w:rPr>
                      <w:b/>
                      <w:szCs w:val="21"/>
                    </w:rPr>
                  </w:pPr>
                  <w:r>
                    <w:rPr>
                      <w:b/>
                      <w:szCs w:val="21"/>
                    </w:rPr>
                    <w:t>非正常排放原因</w:t>
                  </w:r>
                </w:p>
              </w:tc>
              <w:tc>
                <w:tcPr>
                  <w:tcW w:w="718" w:type="dxa"/>
                  <w:vAlign w:val="center"/>
                </w:tcPr>
                <w:p>
                  <w:pPr>
                    <w:jc w:val="center"/>
                    <w:rPr>
                      <w:b/>
                      <w:szCs w:val="21"/>
                    </w:rPr>
                  </w:pPr>
                  <w:r>
                    <w:rPr>
                      <w:b/>
                      <w:szCs w:val="21"/>
                    </w:rPr>
                    <w:t>污染物</w:t>
                  </w:r>
                </w:p>
              </w:tc>
              <w:tc>
                <w:tcPr>
                  <w:tcW w:w="1274" w:type="dxa"/>
                  <w:vAlign w:val="center"/>
                </w:tcPr>
                <w:p>
                  <w:pPr>
                    <w:jc w:val="center"/>
                    <w:rPr>
                      <w:b/>
                      <w:szCs w:val="21"/>
                    </w:rPr>
                  </w:pPr>
                  <w:r>
                    <w:rPr>
                      <w:b/>
                      <w:szCs w:val="21"/>
                    </w:rPr>
                    <w:t>非正常排放速率/（kg/h）</w:t>
                  </w:r>
                </w:p>
              </w:tc>
              <w:tc>
                <w:tcPr>
                  <w:tcW w:w="852" w:type="dxa"/>
                  <w:vAlign w:val="center"/>
                </w:tcPr>
                <w:p>
                  <w:pPr>
                    <w:jc w:val="center"/>
                    <w:rPr>
                      <w:b/>
                      <w:szCs w:val="21"/>
                    </w:rPr>
                  </w:pPr>
                  <w:r>
                    <w:rPr>
                      <w:b/>
                      <w:szCs w:val="21"/>
                    </w:rPr>
                    <w:t>单次持续时间/h</w:t>
                  </w:r>
                </w:p>
              </w:tc>
              <w:tc>
                <w:tcPr>
                  <w:tcW w:w="779" w:type="dxa"/>
                  <w:vAlign w:val="center"/>
                </w:tcPr>
                <w:p>
                  <w:pPr>
                    <w:jc w:val="center"/>
                    <w:rPr>
                      <w:b/>
                      <w:szCs w:val="21"/>
                    </w:rPr>
                  </w:pPr>
                  <w:r>
                    <w:rPr>
                      <w:b/>
                      <w:szCs w:val="21"/>
                    </w:rPr>
                    <w:t>年发生频次/次</w:t>
                  </w:r>
                </w:p>
              </w:tc>
              <w:tc>
                <w:tcPr>
                  <w:tcW w:w="1167" w:type="dxa"/>
                  <w:vAlign w:val="center"/>
                </w:tcPr>
                <w:p>
                  <w:pPr>
                    <w:jc w:val="center"/>
                    <w:rPr>
                      <w:b/>
                      <w:szCs w:val="21"/>
                    </w:rPr>
                  </w:pPr>
                  <w:r>
                    <w:rPr>
                      <w:b/>
                      <w:szCs w:val="21"/>
                    </w:rPr>
                    <w:t>非正常排放量/（kg/a）</w:t>
                  </w:r>
                </w:p>
              </w:tc>
              <w:tc>
                <w:tcPr>
                  <w:tcW w:w="946" w:type="dxa"/>
                  <w:vAlign w:val="center"/>
                </w:tcPr>
                <w:p>
                  <w:pPr>
                    <w:jc w:val="center"/>
                    <w:rPr>
                      <w:b/>
                      <w:szCs w:val="21"/>
                    </w:rPr>
                  </w:pPr>
                  <w:r>
                    <w:rPr>
                      <w:b/>
                      <w:szCs w:val="21"/>
                    </w:rPr>
                    <w:t>采取措施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2" w:hRule="atLeast"/>
                <w:jc w:val="center"/>
              </w:trPr>
              <w:tc>
                <w:tcPr>
                  <w:tcW w:w="709" w:type="dxa"/>
                  <w:vAlign w:val="center"/>
                </w:tcPr>
                <w:p>
                  <w:pPr>
                    <w:jc w:val="center"/>
                    <w:rPr>
                      <w:szCs w:val="21"/>
                    </w:rPr>
                  </w:pPr>
                  <w:r>
                    <w:rPr>
                      <w:rFonts w:hint="eastAsia"/>
                    </w:rPr>
                    <w:t>15m高排气筒</w:t>
                  </w:r>
                </w:p>
              </w:tc>
              <w:tc>
                <w:tcPr>
                  <w:tcW w:w="1583" w:type="dxa"/>
                  <w:vAlign w:val="center"/>
                </w:tcPr>
                <w:p>
                  <w:pPr>
                    <w:jc w:val="center"/>
                    <w:rPr>
                      <w:szCs w:val="21"/>
                    </w:rPr>
                  </w:pPr>
                  <w:r>
                    <w:rPr>
                      <w:szCs w:val="21"/>
                    </w:rPr>
                    <w:t>污染物排放控制措施达不到应有效率，处理效率为0</w:t>
                  </w:r>
                </w:p>
              </w:tc>
              <w:tc>
                <w:tcPr>
                  <w:tcW w:w="718" w:type="dxa"/>
                  <w:vAlign w:val="center"/>
                </w:tcPr>
                <w:p>
                  <w:pPr>
                    <w:jc w:val="center"/>
                    <w:rPr>
                      <w:szCs w:val="21"/>
                      <w:lang w:val="pt-BR"/>
                    </w:rPr>
                  </w:pPr>
                  <w:r>
                    <w:rPr>
                      <w:szCs w:val="21"/>
                      <w:lang w:val="pt-BR"/>
                    </w:rPr>
                    <w:t>颗粒物</w:t>
                  </w:r>
                </w:p>
              </w:tc>
              <w:tc>
                <w:tcPr>
                  <w:tcW w:w="1274" w:type="dxa"/>
                  <w:vAlign w:val="center"/>
                </w:tcPr>
                <w:p>
                  <w:pPr>
                    <w:jc w:val="center"/>
                    <w:rPr>
                      <w:szCs w:val="21"/>
                    </w:rPr>
                  </w:pPr>
                  <w:r>
                    <w:rPr>
                      <w:rFonts w:hint="eastAsia"/>
                      <w:szCs w:val="21"/>
                    </w:rPr>
                    <w:t>3.52</w:t>
                  </w:r>
                </w:p>
              </w:tc>
              <w:tc>
                <w:tcPr>
                  <w:tcW w:w="852" w:type="dxa"/>
                  <w:vAlign w:val="center"/>
                </w:tcPr>
                <w:p>
                  <w:pPr>
                    <w:jc w:val="center"/>
                    <w:rPr>
                      <w:szCs w:val="21"/>
                    </w:rPr>
                  </w:pPr>
                  <w:r>
                    <w:rPr>
                      <w:szCs w:val="21"/>
                    </w:rPr>
                    <w:t>0.25</w:t>
                  </w:r>
                </w:p>
              </w:tc>
              <w:tc>
                <w:tcPr>
                  <w:tcW w:w="779" w:type="dxa"/>
                  <w:vAlign w:val="center"/>
                </w:tcPr>
                <w:p>
                  <w:pPr>
                    <w:jc w:val="center"/>
                    <w:rPr>
                      <w:szCs w:val="21"/>
                    </w:rPr>
                  </w:pPr>
                  <w:r>
                    <w:rPr>
                      <w:szCs w:val="21"/>
                    </w:rPr>
                    <w:t>1</w:t>
                  </w:r>
                </w:p>
              </w:tc>
              <w:tc>
                <w:tcPr>
                  <w:tcW w:w="1167" w:type="dxa"/>
                  <w:vAlign w:val="center"/>
                </w:tcPr>
                <w:p>
                  <w:pPr>
                    <w:jc w:val="center"/>
                    <w:rPr>
                      <w:szCs w:val="21"/>
                    </w:rPr>
                  </w:pPr>
                  <w:r>
                    <w:rPr>
                      <w:rFonts w:hint="eastAsia"/>
                      <w:szCs w:val="21"/>
                    </w:rPr>
                    <w:t>0.88</w:t>
                  </w:r>
                </w:p>
              </w:tc>
              <w:tc>
                <w:tcPr>
                  <w:tcW w:w="946" w:type="dxa"/>
                  <w:vAlign w:val="center"/>
                </w:tcPr>
                <w:p>
                  <w:pPr>
                    <w:jc w:val="center"/>
                    <w:rPr>
                      <w:szCs w:val="21"/>
                    </w:rPr>
                  </w:pPr>
                  <w:r>
                    <w:rPr>
                      <w:szCs w:val="21"/>
                    </w:rPr>
                    <w:t>产生废气的工序及时停止运行</w:t>
                  </w:r>
                </w:p>
              </w:tc>
            </w:tr>
          </w:tbl>
          <w:p>
            <w:pPr>
              <w:pStyle w:val="160"/>
              <w:numPr>
                <w:ilvl w:val="0"/>
                <w:numId w:val="5"/>
              </w:numPr>
              <w:spacing w:line="420" w:lineRule="exact"/>
              <w:rPr>
                <w:b/>
                <w:bCs/>
                <w:sz w:val="24"/>
              </w:rPr>
            </w:pPr>
            <w:r>
              <w:rPr>
                <w:rFonts w:hint="eastAsia"/>
                <w:b/>
                <w:bCs/>
                <w:sz w:val="24"/>
              </w:rPr>
              <w:t>废气污染治理设施可行性分析</w:t>
            </w:r>
          </w:p>
          <w:p>
            <w:pPr>
              <w:spacing w:line="460" w:lineRule="exact"/>
              <w:ind w:firstLine="480" w:firstLineChars="200"/>
              <w:jc w:val="left"/>
              <w:textAlignment w:val="baseline"/>
              <w:rPr>
                <w:sz w:val="24"/>
              </w:rPr>
            </w:pPr>
            <w:r>
              <w:rPr>
                <w:rFonts w:hint="eastAsia"/>
                <w:bCs/>
                <w:sz w:val="24"/>
              </w:rPr>
              <w:t>本项目为纸制品制造项目，属于造纸和纸制品业。经查阅</w:t>
            </w:r>
            <w:r>
              <w:rPr>
                <w:bCs/>
                <w:sz w:val="24"/>
              </w:rPr>
              <w:t>《河南省重污染天气重点行业应急减排措施制定技术指南（2021年修订</w:t>
            </w:r>
            <w:r>
              <w:rPr>
                <w:rFonts w:hint="eastAsia"/>
                <w:bCs/>
                <w:sz w:val="24"/>
              </w:rPr>
              <w:t>）</w:t>
            </w:r>
            <w:r>
              <w:rPr>
                <w:bCs/>
                <w:sz w:val="24"/>
              </w:rPr>
              <w:t>》中</w:t>
            </w:r>
            <w:r>
              <w:rPr>
                <w:rFonts w:hint="eastAsia"/>
                <w:bCs/>
                <w:sz w:val="24"/>
              </w:rPr>
              <w:t>通用行业</w:t>
            </w:r>
            <w:r>
              <w:rPr>
                <w:bCs/>
                <w:sz w:val="24"/>
              </w:rPr>
              <w:t>的要求</w:t>
            </w:r>
            <w:r>
              <w:rPr>
                <w:rFonts w:hint="eastAsia"/>
                <w:bCs/>
                <w:sz w:val="24"/>
              </w:rPr>
              <w:t>，</w:t>
            </w:r>
            <w:r>
              <w:rPr>
                <w:bCs/>
                <w:sz w:val="24"/>
              </w:rPr>
              <w:t>各种物料破碎、筛分、配料、混料等过程应在封闭厂房内进行，并采取局部收尘/抑尘措施</w:t>
            </w:r>
            <w:r>
              <w:rPr>
                <w:rFonts w:hint="eastAsia"/>
                <w:bCs/>
                <w:sz w:val="24"/>
              </w:rPr>
              <w:t>；</w:t>
            </w:r>
            <w:r>
              <w:rPr>
                <w:bCs/>
                <w:sz w:val="24"/>
              </w:rPr>
              <w:t>破碎筛分设备在进、出料口和配料混料过程等产尘点应设置集气除尘设施。本项目投料工序</w:t>
            </w:r>
            <w:r>
              <w:rPr>
                <w:sz w:val="24"/>
              </w:rPr>
              <w:t>设置密闭投料操作间</w:t>
            </w:r>
            <w:r>
              <w:rPr>
                <w:rFonts w:hint="eastAsia"/>
                <w:sz w:val="24"/>
              </w:rPr>
              <w:t>，</w:t>
            </w:r>
            <w:r>
              <w:rPr>
                <w:sz w:val="24"/>
              </w:rPr>
              <w:t>同时在投料口上方配置集气罩进行负压收集，粉尘由集气罩收集后引入袋式除尘器进行治理，治理后废气经15m高排气筒有组织排放</w:t>
            </w:r>
            <w:r>
              <w:rPr>
                <w:rFonts w:hint="eastAsia"/>
                <w:sz w:val="24"/>
              </w:rPr>
              <w:t>，经除尘器处理后的颗粒物能够达到排放标准</w:t>
            </w:r>
            <w:r>
              <w:rPr>
                <w:sz w:val="24"/>
              </w:rPr>
              <w:t>。因此</w:t>
            </w:r>
            <w:r>
              <w:rPr>
                <w:rFonts w:hint="eastAsia"/>
                <w:sz w:val="24"/>
              </w:rPr>
              <w:t>，</w:t>
            </w:r>
            <w:r>
              <w:rPr>
                <w:sz w:val="24"/>
              </w:rPr>
              <w:t>本项目采用袋式除尘器的废气治理措施可行</w:t>
            </w:r>
            <w:r>
              <w:rPr>
                <w:rFonts w:hint="eastAsia"/>
                <w:sz w:val="24"/>
              </w:rPr>
              <w:t>。</w:t>
            </w:r>
          </w:p>
          <w:p>
            <w:pPr>
              <w:pStyle w:val="160"/>
              <w:spacing w:line="460" w:lineRule="exact"/>
              <w:ind w:left="482" w:firstLine="0"/>
              <w:rPr>
                <w:b/>
                <w:bCs/>
                <w:sz w:val="24"/>
              </w:rPr>
            </w:pPr>
            <w:r>
              <w:rPr>
                <w:rFonts w:hint="eastAsia"/>
                <w:b/>
                <w:bCs/>
                <w:sz w:val="24"/>
              </w:rPr>
              <w:t>5、大气污染防治措施分析</w:t>
            </w:r>
          </w:p>
          <w:p>
            <w:pPr>
              <w:spacing w:line="460" w:lineRule="exact"/>
              <w:ind w:firstLine="480" w:firstLineChars="200"/>
              <w:jc w:val="left"/>
              <w:textAlignment w:val="baseline"/>
              <w:rPr>
                <w:bCs/>
                <w:sz w:val="24"/>
              </w:rPr>
            </w:pPr>
            <w:r>
              <w:rPr>
                <w:rFonts w:hint="eastAsia"/>
                <w:bCs/>
                <w:sz w:val="24"/>
              </w:rPr>
              <w:t>项目所在区域属于空气环境质量未达标区，项目产生的大气污染物通过削减区域内其他项目的排放量进行倍量替代。项目厂界外</w:t>
            </w:r>
            <w:r>
              <w:rPr>
                <w:bCs/>
                <w:sz w:val="24"/>
              </w:rPr>
              <w:t>500m</w:t>
            </w:r>
            <w:r>
              <w:rPr>
                <w:rFonts w:hint="eastAsia"/>
                <w:bCs/>
                <w:sz w:val="24"/>
              </w:rPr>
              <w:t>范围内无空气环境保护目标，且项目大气污染物能够满足《新乡市生态环境局关于进一步规范工业企业颗粒物排放限值的通知》</w:t>
            </w:r>
            <w:r>
              <w:rPr>
                <w:sz w:val="24"/>
              </w:rPr>
              <w:t>排放限值有组织颗粒物10mg/m</w:t>
            </w:r>
            <w:r>
              <w:rPr>
                <w:sz w:val="24"/>
                <w:vertAlign w:val="superscript"/>
              </w:rPr>
              <w:t>3</w:t>
            </w:r>
            <w:r>
              <w:rPr>
                <w:rFonts w:hint="eastAsia"/>
                <w:sz w:val="24"/>
              </w:rPr>
              <w:t>、无组织颗粒物0.5</w:t>
            </w:r>
            <w:r>
              <w:rPr>
                <w:sz w:val="24"/>
              </w:rPr>
              <w:t>mg/m</w:t>
            </w:r>
            <w:r>
              <w:rPr>
                <w:sz w:val="24"/>
                <w:vertAlign w:val="superscript"/>
              </w:rPr>
              <w:t>3</w:t>
            </w:r>
            <w:r>
              <w:rPr>
                <w:sz w:val="24"/>
              </w:rPr>
              <w:t>的要求</w:t>
            </w:r>
            <w:r>
              <w:rPr>
                <w:rFonts w:hint="eastAsia"/>
                <w:bCs/>
                <w:sz w:val="24"/>
              </w:rPr>
              <w:t>。项目废气污染物均能达标排放，无需划定大气环境防护距离。环境保护目标不在项目大气环境防护距离内。</w:t>
            </w:r>
          </w:p>
          <w:p>
            <w:pPr>
              <w:spacing w:line="460" w:lineRule="exact"/>
              <w:ind w:firstLine="480" w:firstLineChars="200"/>
              <w:jc w:val="left"/>
              <w:textAlignment w:val="baseline"/>
              <w:rPr>
                <w:lang w:val="pt-BR"/>
              </w:rPr>
            </w:pPr>
            <w:r>
              <w:rPr>
                <w:rFonts w:hint="eastAsia"/>
                <w:bCs/>
                <w:sz w:val="24"/>
              </w:rPr>
              <w:t>综上所述，项目建成运行过程中对周围大气环境影响可以接受。</w:t>
            </w:r>
          </w:p>
          <w:p>
            <w:pPr>
              <w:pStyle w:val="160"/>
              <w:spacing w:line="460" w:lineRule="exact"/>
              <w:ind w:left="482" w:firstLine="0"/>
              <w:rPr>
                <w:b/>
                <w:bCs/>
                <w:sz w:val="24"/>
              </w:rPr>
            </w:pPr>
            <w:r>
              <w:rPr>
                <w:rFonts w:hint="eastAsia"/>
                <w:b/>
                <w:bCs/>
                <w:sz w:val="24"/>
              </w:rPr>
              <w:t>6、废气污染物排放核算量</w:t>
            </w:r>
          </w:p>
          <w:p>
            <w:pPr>
              <w:spacing w:line="460" w:lineRule="exact"/>
              <w:ind w:firstLine="480" w:firstLineChars="200"/>
              <w:jc w:val="left"/>
              <w:textAlignment w:val="baseline"/>
              <w:rPr>
                <w:bCs/>
                <w:sz w:val="24"/>
              </w:rPr>
            </w:pPr>
            <w:r>
              <w:rPr>
                <w:rFonts w:hint="eastAsia"/>
                <w:bCs/>
                <w:sz w:val="24"/>
              </w:rPr>
              <w:t>6</w:t>
            </w:r>
            <w:r>
              <w:rPr>
                <w:bCs/>
                <w:sz w:val="24"/>
              </w:rPr>
              <w:t>.1大气污染物有组织排放核算</w:t>
            </w:r>
          </w:p>
          <w:p>
            <w:pPr>
              <w:spacing w:line="460" w:lineRule="exact"/>
              <w:ind w:firstLine="480" w:firstLineChars="200"/>
              <w:rPr>
                <w:rFonts w:eastAsia="黑体"/>
                <w:sz w:val="24"/>
              </w:rPr>
            </w:pPr>
            <w:r>
              <w:rPr>
                <w:rFonts w:hint="eastAsia" w:eastAsia="黑体"/>
                <w:sz w:val="24"/>
              </w:rPr>
              <w:t>表</w:t>
            </w:r>
            <w:r>
              <w:rPr>
                <w:rFonts w:eastAsia="黑体"/>
                <w:sz w:val="24"/>
              </w:rPr>
              <w:t>28</w:t>
            </w:r>
            <w:r>
              <w:rPr>
                <w:rFonts w:hint="eastAsia" w:eastAsia="黑体"/>
                <w:sz w:val="24"/>
              </w:rPr>
              <w:t xml:space="preserve">           大气污染物有组织排放量核算表</w:t>
            </w:r>
          </w:p>
          <w:tbl>
            <w:tblPr>
              <w:tblStyle w:val="31"/>
              <w:tblpPr w:leftFromText="180" w:rightFromText="180" w:vertAnchor="text" w:tblpXSpec="center" w:tblpY="1"/>
              <w:tblOverlap w:val="never"/>
              <w:tblW w:w="7892"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985"/>
              <w:gridCol w:w="783"/>
              <w:gridCol w:w="1773"/>
              <w:gridCol w:w="1702"/>
              <w:gridCol w:w="164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258" w:type="pct"/>
                  <w:vAlign w:val="center"/>
                </w:tcPr>
                <w:p>
                  <w:pPr>
                    <w:autoSpaceDE w:val="0"/>
                    <w:autoSpaceDN w:val="0"/>
                    <w:adjustRightInd w:val="0"/>
                    <w:snapToGrid w:val="0"/>
                    <w:jc w:val="center"/>
                    <w:rPr>
                      <w:b/>
                      <w:szCs w:val="21"/>
                    </w:rPr>
                  </w:pPr>
                  <w:r>
                    <w:rPr>
                      <w:b/>
                      <w:szCs w:val="21"/>
                    </w:rPr>
                    <w:t>排放口编号</w:t>
                  </w:r>
                </w:p>
              </w:tc>
              <w:tc>
                <w:tcPr>
                  <w:tcW w:w="496" w:type="pct"/>
                  <w:vAlign w:val="center"/>
                </w:tcPr>
                <w:p>
                  <w:pPr>
                    <w:autoSpaceDE w:val="0"/>
                    <w:autoSpaceDN w:val="0"/>
                    <w:adjustRightInd w:val="0"/>
                    <w:snapToGrid w:val="0"/>
                    <w:jc w:val="center"/>
                    <w:rPr>
                      <w:b/>
                      <w:szCs w:val="21"/>
                    </w:rPr>
                  </w:pPr>
                  <w:r>
                    <w:rPr>
                      <w:b/>
                      <w:szCs w:val="21"/>
                    </w:rPr>
                    <w:t>污染物</w:t>
                  </w:r>
                </w:p>
              </w:tc>
              <w:tc>
                <w:tcPr>
                  <w:tcW w:w="1123" w:type="pct"/>
                  <w:vAlign w:val="center"/>
                </w:tcPr>
                <w:p>
                  <w:pPr>
                    <w:autoSpaceDE w:val="0"/>
                    <w:autoSpaceDN w:val="0"/>
                    <w:adjustRightInd w:val="0"/>
                    <w:snapToGrid w:val="0"/>
                    <w:jc w:val="center"/>
                    <w:rPr>
                      <w:b/>
                      <w:szCs w:val="21"/>
                    </w:rPr>
                  </w:pPr>
                  <w:r>
                    <w:rPr>
                      <w:b/>
                      <w:szCs w:val="21"/>
                    </w:rPr>
                    <w:t>核算排放浓度/</w:t>
                  </w:r>
                </w:p>
                <w:p>
                  <w:pPr>
                    <w:autoSpaceDE w:val="0"/>
                    <w:autoSpaceDN w:val="0"/>
                    <w:adjustRightInd w:val="0"/>
                    <w:snapToGrid w:val="0"/>
                    <w:jc w:val="center"/>
                    <w:rPr>
                      <w:b/>
                      <w:szCs w:val="21"/>
                    </w:rPr>
                  </w:pPr>
                  <w:r>
                    <w:rPr>
                      <w:b/>
                      <w:szCs w:val="21"/>
                    </w:rPr>
                    <w:t>（mg/m</w:t>
                  </w:r>
                  <w:r>
                    <w:rPr>
                      <w:b/>
                      <w:szCs w:val="21"/>
                      <w:vertAlign w:val="superscript"/>
                    </w:rPr>
                    <w:t>3</w:t>
                  </w:r>
                  <w:r>
                    <w:rPr>
                      <w:b/>
                      <w:szCs w:val="21"/>
                    </w:rPr>
                    <w:t>）</w:t>
                  </w:r>
                </w:p>
              </w:tc>
              <w:tc>
                <w:tcPr>
                  <w:tcW w:w="1078" w:type="pct"/>
                  <w:vAlign w:val="center"/>
                </w:tcPr>
                <w:p>
                  <w:pPr>
                    <w:autoSpaceDE w:val="0"/>
                    <w:autoSpaceDN w:val="0"/>
                    <w:adjustRightInd w:val="0"/>
                    <w:snapToGrid w:val="0"/>
                    <w:jc w:val="center"/>
                    <w:rPr>
                      <w:b/>
                      <w:szCs w:val="21"/>
                    </w:rPr>
                  </w:pPr>
                  <w:r>
                    <w:rPr>
                      <w:b/>
                      <w:szCs w:val="21"/>
                    </w:rPr>
                    <w:t>核算排放速率/</w:t>
                  </w:r>
                </w:p>
                <w:p>
                  <w:pPr>
                    <w:autoSpaceDE w:val="0"/>
                    <w:autoSpaceDN w:val="0"/>
                    <w:adjustRightInd w:val="0"/>
                    <w:snapToGrid w:val="0"/>
                    <w:jc w:val="center"/>
                    <w:rPr>
                      <w:b/>
                      <w:szCs w:val="21"/>
                    </w:rPr>
                  </w:pPr>
                  <w:r>
                    <w:rPr>
                      <w:b/>
                      <w:szCs w:val="21"/>
                    </w:rPr>
                    <w:t>（kg/h）</w:t>
                  </w:r>
                </w:p>
              </w:tc>
              <w:tc>
                <w:tcPr>
                  <w:tcW w:w="1045" w:type="pct"/>
                  <w:vAlign w:val="center"/>
                </w:tcPr>
                <w:p>
                  <w:pPr>
                    <w:autoSpaceDE w:val="0"/>
                    <w:autoSpaceDN w:val="0"/>
                    <w:adjustRightInd w:val="0"/>
                    <w:snapToGrid w:val="0"/>
                    <w:jc w:val="center"/>
                    <w:rPr>
                      <w:b/>
                      <w:szCs w:val="21"/>
                    </w:rPr>
                  </w:pPr>
                  <w:r>
                    <w:rPr>
                      <w:b/>
                      <w:szCs w:val="21"/>
                    </w:rPr>
                    <w:t>核算年排放量/</w:t>
                  </w:r>
                </w:p>
                <w:p>
                  <w:pPr>
                    <w:autoSpaceDE w:val="0"/>
                    <w:autoSpaceDN w:val="0"/>
                    <w:adjustRightInd w:val="0"/>
                    <w:snapToGrid w:val="0"/>
                    <w:jc w:val="center"/>
                    <w:rPr>
                      <w:b/>
                      <w:szCs w:val="21"/>
                    </w:rPr>
                  </w:pPr>
                  <w:r>
                    <w:rPr>
                      <w:b/>
                      <w:szCs w:val="21"/>
                    </w:rPr>
                    <w:t>（t/a）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258" w:type="pct"/>
                  <w:vAlign w:val="center"/>
                </w:tcPr>
                <w:p>
                  <w:pPr>
                    <w:jc w:val="center"/>
                  </w:pPr>
                  <w:r>
                    <w:rPr>
                      <w:rFonts w:hint="eastAsia"/>
                    </w:rPr>
                    <w:t>浆钙制备车间排气筒</w:t>
                  </w:r>
                </w:p>
              </w:tc>
              <w:tc>
                <w:tcPr>
                  <w:tcW w:w="496" w:type="pct"/>
                  <w:vMerge w:val="restart"/>
                  <w:vAlign w:val="center"/>
                </w:tcPr>
                <w:p>
                  <w:pPr>
                    <w:jc w:val="center"/>
                    <w:rPr>
                      <w:szCs w:val="21"/>
                    </w:rPr>
                  </w:pPr>
                  <w:r>
                    <w:rPr>
                      <w:szCs w:val="21"/>
                    </w:rPr>
                    <w:t>颗粒物</w:t>
                  </w:r>
                </w:p>
              </w:tc>
              <w:tc>
                <w:tcPr>
                  <w:tcW w:w="1123" w:type="pct"/>
                  <w:vAlign w:val="center"/>
                </w:tcPr>
                <w:p>
                  <w:pPr>
                    <w:adjustRightInd w:val="0"/>
                    <w:snapToGrid w:val="0"/>
                    <w:jc w:val="center"/>
                    <w:textAlignment w:val="baseline"/>
                    <w:rPr>
                      <w:szCs w:val="21"/>
                    </w:rPr>
                  </w:pPr>
                  <w:r>
                    <w:rPr>
                      <w:rFonts w:hint="eastAsia"/>
                      <w:szCs w:val="21"/>
                    </w:rPr>
                    <w:t>4.55</w:t>
                  </w:r>
                </w:p>
              </w:tc>
              <w:tc>
                <w:tcPr>
                  <w:tcW w:w="1078" w:type="pct"/>
                  <w:vAlign w:val="center"/>
                </w:tcPr>
                <w:p>
                  <w:pPr>
                    <w:adjustRightInd w:val="0"/>
                    <w:snapToGrid w:val="0"/>
                    <w:jc w:val="center"/>
                    <w:textAlignment w:val="baseline"/>
                    <w:rPr>
                      <w:szCs w:val="21"/>
                    </w:rPr>
                  </w:pPr>
                  <w:r>
                    <w:rPr>
                      <w:rFonts w:hint="eastAsia"/>
                      <w:szCs w:val="21"/>
                    </w:rPr>
                    <w:t>0.0455</w:t>
                  </w:r>
                </w:p>
              </w:tc>
              <w:tc>
                <w:tcPr>
                  <w:tcW w:w="1045" w:type="pct"/>
                  <w:vAlign w:val="center"/>
                </w:tcPr>
                <w:p>
                  <w:pPr>
                    <w:adjustRightInd w:val="0"/>
                    <w:snapToGrid w:val="0"/>
                    <w:jc w:val="center"/>
                    <w:textAlignment w:val="baseline"/>
                    <w:rPr>
                      <w:szCs w:val="21"/>
                    </w:rPr>
                  </w:pPr>
                  <w:r>
                    <w:rPr>
                      <w:rFonts w:hint="eastAsia"/>
                      <w:szCs w:val="21"/>
                    </w:rPr>
                    <w:t>0.0928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258" w:type="pct"/>
                  <w:vAlign w:val="center"/>
                </w:tcPr>
                <w:p>
                  <w:pPr>
                    <w:jc w:val="center"/>
                    <w:rPr>
                      <w:szCs w:val="21"/>
                    </w:rPr>
                  </w:pPr>
                  <w:r>
                    <w:rPr>
                      <w:rFonts w:hint="eastAsia"/>
                    </w:rPr>
                    <w:t>涂布车间排气筒</w:t>
                  </w:r>
                </w:p>
              </w:tc>
              <w:tc>
                <w:tcPr>
                  <w:tcW w:w="496" w:type="pct"/>
                  <w:vMerge w:val="continue"/>
                  <w:vAlign w:val="center"/>
                </w:tcPr>
                <w:p>
                  <w:pPr>
                    <w:jc w:val="center"/>
                    <w:rPr>
                      <w:szCs w:val="21"/>
                    </w:rPr>
                  </w:pPr>
                </w:p>
              </w:tc>
              <w:tc>
                <w:tcPr>
                  <w:tcW w:w="1123" w:type="pct"/>
                  <w:vAlign w:val="center"/>
                </w:tcPr>
                <w:p>
                  <w:pPr>
                    <w:adjustRightInd w:val="0"/>
                    <w:snapToGrid w:val="0"/>
                    <w:jc w:val="center"/>
                    <w:textAlignment w:val="baseline"/>
                    <w:rPr>
                      <w:szCs w:val="21"/>
                    </w:rPr>
                  </w:pPr>
                  <w:r>
                    <w:rPr>
                      <w:rFonts w:hint="eastAsia"/>
                      <w:szCs w:val="21"/>
                    </w:rPr>
                    <w:t>5.87</w:t>
                  </w:r>
                </w:p>
              </w:tc>
              <w:tc>
                <w:tcPr>
                  <w:tcW w:w="1078" w:type="pct"/>
                  <w:vAlign w:val="center"/>
                </w:tcPr>
                <w:p>
                  <w:pPr>
                    <w:adjustRightInd w:val="0"/>
                    <w:snapToGrid w:val="0"/>
                    <w:jc w:val="center"/>
                    <w:textAlignment w:val="baseline"/>
                    <w:rPr>
                      <w:szCs w:val="21"/>
                    </w:rPr>
                  </w:pPr>
                  <w:r>
                    <w:rPr>
                      <w:rFonts w:hint="eastAsia"/>
                      <w:szCs w:val="21"/>
                    </w:rPr>
                    <w:t>0.0352</w:t>
                  </w:r>
                </w:p>
              </w:tc>
              <w:tc>
                <w:tcPr>
                  <w:tcW w:w="1045" w:type="pct"/>
                  <w:vAlign w:val="center"/>
                </w:tcPr>
                <w:p>
                  <w:pPr>
                    <w:adjustRightInd w:val="0"/>
                    <w:snapToGrid w:val="0"/>
                    <w:jc w:val="center"/>
                    <w:textAlignment w:val="baseline"/>
                    <w:rPr>
                      <w:szCs w:val="21"/>
                    </w:rPr>
                  </w:pPr>
                  <w:r>
                    <w:rPr>
                      <w:rFonts w:hint="eastAsia"/>
                      <w:szCs w:val="21"/>
                    </w:rPr>
                    <w:t>0.1054</w:t>
                  </w:r>
                </w:p>
              </w:tc>
            </w:tr>
          </w:tbl>
          <w:p>
            <w:pPr>
              <w:spacing w:line="460" w:lineRule="exact"/>
              <w:ind w:firstLine="480" w:firstLineChars="200"/>
              <w:jc w:val="left"/>
              <w:textAlignment w:val="baseline"/>
              <w:rPr>
                <w:bCs/>
                <w:sz w:val="24"/>
              </w:rPr>
            </w:pPr>
            <w:r>
              <w:rPr>
                <w:rFonts w:hint="eastAsia"/>
                <w:bCs/>
                <w:sz w:val="24"/>
              </w:rPr>
              <w:t>6</w:t>
            </w:r>
            <w:r>
              <w:rPr>
                <w:bCs/>
                <w:sz w:val="24"/>
              </w:rPr>
              <w:t>.2大气污染物无组织排放量核算</w:t>
            </w:r>
          </w:p>
          <w:p>
            <w:pPr>
              <w:spacing w:line="460" w:lineRule="exact"/>
              <w:ind w:firstLine="480" w:firstLineChars="200"/>
              <w:rPr>
                <w:rFonts w:eastAsia="黑体"/>
                <w:sz w:val="24"/>
              </w:rPr>
            </w:pPr>
            <w:r>
              <w:rPr>
                <w:rFonts w:hint="eastAsia" w:eastAsia="黑体"/>
                <w:sz w:val="24"/>
              </w:rPr>
              <w:t>表</w:t>
            </w:r>
            <w:r>
              <w:rPr>
                <w:rFonts w:eastAsia="黑体"/>
                <w:sz w:val="24"/>
              </w:rPr>
              <w:t>29</w:t>
            </w:r>
            <w:r>
              <w:rPr>
                <w:rFonts w:hint="eastAsia" w:eastAsia="黑体"/>
                <w:sz w:val="24"/>
              </w:rPr>
              <w:t xml:space="preserve">          大气污染物无组织排放量核算表</w:t>
            </w:r>
          </w:p>
          <w:tbl>
            <w:tblPr>
              <w:tblStyle w:val="31"/>
              <w:tblW w:w="7970"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06"/>
              <w:gridCol w:w="600"/>
              <w:gridCol w:w="442"/>
              <w:gridCol w:w="3533"/>
              <w:gridCol w:w="988"/>
              <w:gridCol w:w="969"/>
              <w:gridCol w:w="83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06" w:type="dxa"/>
                  <w:vMerge w:val="restart"/>
                  <w:tcBorders>
                    <w:top w:val="single" w:color="auto" w:sz="8" w:space="0"/>
                  </w:tcBorders>
                  <w:vAlign w:val="center"/>
                </w:tcPr>
                <w:p>
                  <w:pPr>
                    <w:autoSpaceDE w:val="0"/>
                    <w:autoSpaceDN w:val="0"/>
                    <w:adjustRightInd w:val="0"/>
                    <w:snapToGrid w:val="0"/>
                    <w:jc w:val="center"/>
                    <w:rPr>
                      <w:b/>
                      <w:szCs w:val="21"/>
                    </w:rPr>
                  </w:pPr>
                  <w:r>
                    <w:rPr>
                      <w:b/>
                      <w:szCs w:val="21"/>
                    </w:rPr>
                    <w:t>排放口编号</w:t>
                  </w:r>
                </w:p>
              </w:tc>
              <w:tc>
                <w:tcPr>
                  <w:tcW w:w="600" w:type="dxa"/>
                  <w:vMerge w:val="restart"/>
                  <w:tcBorders>
                    <w:top w:val="single" w:color="auto" w:sz="8" w:space="0"/>
                  </w:tcBorders>
                  <w:vAlign w:val="center"/>
                </w:tcPr>
                <w:p>
                  <w:pPr>
                    <w:autoSpaceDE w:val="0"/>
                    <w:autoSpaceDN w:val="0"/>
                    <w:adjustRightInd w:val="0"/>
                    <w:snapToGrid w:val="0"/>
                    <w:jc w:val="center"/>
                    <w:rPr>
                      <w:b/>
                      <w:szCs w:val="21"/>
                    </w:rPr>
                  </w:pPr>
                  <w:r>
                    <w:rPr>
                      <w:b/>
                      <w:szCs w:val="21"/>
                    </w:rPr>
                    <w:t>产污环节</w:t>
                  </w:r>
                </w:p>
              </w:tc>
              <w:tc>
                <w:tcPr>
                  <w:tcW w:w="442" w:type="dxa"/>
                  <w:vMerge w:val="restart"/>
                  <w:tcBorders>
                    <w:top w:val="single" w:color="auto" w:sz="8" w:space="0"/>
                  </w:tcBorders>
                  <w:vAlign w:val="center"/>
                </w:tcPr>
                <w:p>
                  <w:pPr>
                    <w:autoSpaceDE w:val="0"/>
                    <w:autoSpaceDN w:val="0"/>
                    <w:adjustRightInd w:val="0"/>
                    <w:snapToGrid w:val="0"/>
                    <w:jc w:val="center"/>
                    <w:rPr>
                      <w:b/>
                      <w:szCs w:val="21"/>
                    </w:rPr>
                  </w:pPr>
                  <w:r>
                    <w:rPr>
                      <w:b/>
                      <w:szCs w:val="21"/>
                    </w:rPr>
                    <w:t>污染物</w:t>
                  </w:r>
                </w:p>
              </w:tc>
              <w:tc>
                <w:tcPr>
                  <w:tcW w:w="3533" w:type="dxa"/>
                  <w:vMerge w:val="restart"/>
                  <w:tcBorders>
                    <w:top w:val="single" w:color="auto" w:sz="8" w:space="0"/>
                  </w:tcBorders>
                  <w:vAlign w:val="center"/>
                </w:tcPr>
                <w:p>
                  <w:pPr>
                    <w:autoSpaceDE w:val="0"/>
                    <w:autoSpaceDN w:val="0"/>
                    <w:adjustRightInd w:val="0"/>
                    <w:snapToGrid w:val="0"/>
                    <w:jc w:val="center"/>
                    <w:rPr>
                      <w:b/>
                      <w:szCs w:val="21"/>
                    </w:rPr>
                  </w:pPr>
                  <w:r>
                    <w:rPr>
                      <w:b/>
                      <w:szCs w:val="21"/>
                    </w:rPr>
                    <w:t>主要污染防治措施</w:t>
                  </w:r>
                </w:p>
              </w:tc>
              <w:tc>
                <w:tcPr>
                  <w:tcW w:w="1957" w:type="dxa"/>
                  <w:gridSpan w:val="2"/>
                  <w:tcBorders>
                    <w:top w:val="single" w:color="auto" w:sz="8" w:space="0"/>
                  </w:tcBorders>
                  <w:vAlign w:val="center"/>
                </w:tcPr>
                <w:p>
                  <w:pPr>
                    <w:autoSpaceDE w:val="0"/>
                    <w:autoSpaceDN w:val="0"/>
                    <w:adjustRightInd w:val="0"/>
                    <w:snapToGrid w:val="0"/>
                    <w:jc w:val="center"/>
                    <w:rPr>
                      <w:b/>
                      <w:szCs w:val="21"/>
                    </w:rPr>
                  </w:pPr>
                  <w:r>
                    <w:rPr>
                      <w:b/>
                      <w:szCs w:val="21"/>
                    </w:rPr>
                    <w:t>排放标准</w:t>
                  </w:r>
                </w:p>
              </w:tc>
              <w:tc>
                <w:tcPr>
                  <w:tcW w:w="832" w:type="dxa"/>
                  <w:vMerge w:val="restart"/>
                  <w:tcBorders>
                    <w:top w:val="single" w:color="auto" w:sz="8" w:space="0"/>
                    <w:right w:val="nil"/>
                  </w:tcBorders>
                  <w:vAlign w:val="center"/>
                </w:tcPr>
                <w:p>
                  <w:pPr>
                    <w:autoSpaceDE w:val="0"/>
                    <w:autoSpaceDN w:val="0"/>
                    <w:adjustRightInd w:val="0"/>
                    <w:snapToGrid w:val="0"/>
                    <w:jc w:val="center"/>
                    <w:rPr>
                      <w:b/>
                      <w:szCs w:val="21"/>
                      <w:highlight w:val="yellow"/>
                    </w:rPr>
                  </w:pPr>
                  <w:r>
                    <w:rPr>
                      <w:b/>
                      <w:szCs w:val="21"/>
                    </w:rPr>
                    <w:t>年排放量/(t/a)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06" w:type="dxa"/>
                  <w:vMerge w:val="continue"/>
                  <w:tcBorders>
                    <w:top w:val="single" w:color="auto" w:sz="8" w:space="0"/>
                    <w:bottom w:val="single" w:color="auto" w:sz="4" w:space="0"/>
                  </w:tcBorders>
                  <w:vAlign w:val="center"/>
                </w:tcPr>
                <w:p>
                  <w:pPr>
                    <w:jc w:val="center"/>
                    <w:rPr>
                      <w:b/>
                      <w:szCs w:val="21"/>
                    </w:rPr>
                  </w:pPr>
                </w:p>
              </w:tc>
              <w:tc>
                <w:tcPr>
                  <w:tcW w:w="600" w:type="dxa"/>
                  <w:vMerge w:val="continue"/>
                  <w:tcBorders>
                    <w:top w:val="single" w:color="auto" w:sz="8" w:space="0"/>
                    <w:bottom w:val="single" w:color="auto" w:sz="4" w:space="0"/>
                  </w:tcBorders>
                  <w:vAlign w:val="center"/>
                </w:tcPr>
                <w:p>
                  <w:pPr>
                    <w:jc w:val="center"/>
                    <w:rPr>
                      <w:b/>
                      <w:szCs w:val="21"/>
                    </w:rPr>
                  </w:pPr>
                </w:p>
              </w:tc>
              <w:tc>
                <w:tcPr>
                  <w:tcW w:w="442" w:type="dxa"/>
                  <w:vMerge w:val="continue"/>
                  <w:tcBorders>
                    <w:top w:val="single" w:color="auto" w:sz="8" w:space="0"/>
                    <w:bottom w:val="single" w:color="auto" w:sz="4" w:space="0"/>
                  </w:tcBorders>
                  <w:vAlign w:val="center"/>
                </w:tcPr>
                <w:p>
                  <w:pPr>
                    <w:jc w:val="center"/>
                    <w:rPr>
                      <w:b/>
                      <w:szCs w:val="21"/>
                    </w:rPr>
                  </w:pPr>
                </w:p>
              </w:tc>
              <w:tc>
                <w:tcPr>
                  <w:tcW w:w="3533" w:type="dxa"/>
                  <w:vMerge w:val="continue"/>
                  <w:tcBorders>
                    <w:top w:val="single" w:color="auto" w:sz="8" w:space="0"/>
                    <w:bottom w:val="single" w:color="auto" w:sz="4" w:space="0"/>
                  </w:tcBorders>
                  <w:vAlign w:val="center"/>
                </w:tcPr>
                <w:p>
                  <w:pPr>
                    <w:jc w:val="center"/>
                    <w:rPr>
                      <w:b/>
                      <w:szCs w:val="21"/>
                    </w:rPr>
                  </w:pPr>
                </w:p>
              </w:tc>
              <w:tc>
                <w:tcPr>
                  <w:tcW w:w="988" w:type="dxa"/>
                  <w:tcBorders>
                    <w:bottom w:val="single" w:color="auto" w:sz="4" w:space="0"/>
                  </w:tcBorders>
                  <w:vAlign w:val="center"/>
                </w:tcPr>
                <w:p>
                  <w:pPr>
                    <w:autoSpaceDE w:val="0"/>
                    <w:autoSpaceDN w:val="0"/>
                    <w:adjustRightInd w:val="0"/>
                    <w:snapToGrid w:val="0"/>
                    <w:jc w:val="center"/>
                    <w:rPr>
                      <w:b/>
                      <w:szCs w:val="21"/>
                    </w:rPr>
                  </w:pPr>
                  <w:r>
                    <w:rPr>
                      <w:b/>
                      <w:szCs w:val="21"/>
                    </w:rPr>
                    <w:t>标准名称</w:t>
                  </w:r>
                </w:p>
              </w:tc>
              <w:tc>
                <w:tcPr>
                  <w:tcW w:w="969" w:type="dxa"/>
                  <w:tcBorders>
                    <w:bottom w:val="single" w:color="auto" w:sz="4" w:space="0"/>
                  </w:tcBorders>
                  <w:vAlign w:val="center"/>
                </w:tcPr>
                <w:p>
                  <w:pPr>
                    <w:autoSpaceDE w:val="0"/>
                    <w:autoSpaceDN w:val="0"/>
                    <w:adjustRightInd w:val="0"/>
                    <w:snapToGrid w:val="0"/>
                    <w:jc w:val="center"/>
                    <w:rPr>
                      <w:b/>
                      <w:szCs w:val="21"/>
                    </w:rPr>
                  </w:pPr>
                  <w:r>
                    <w:rPr>
                      <w:b/>
                      <w:szCs w:val="21"/>
                    </w:rPr>
                    <w:t>浓度限值/（mg/m</w:t>
                  </w:r>
                  <w:r>
                    <w:rPr>
                      <w:b/>
                      <w:szCs w:val="21"/>
                      <w:vertAlign w:val="superscript"/>
                    </w:rPr>
                    <w:t>3</w:t>
                  </w:r>
                  <w:r>
                    <w:rPr>
                      <w:b/>
                      <w:szCs w:val="21"/>
                    </w:rPr>
                    <w:t>）</w:t>
                  </w:r>
                </w:p>
              </w:tc>
              <w:tc>
                <w:tcPr>
                  <w:tcW w:w="832" w:type="dxa"/>
                  <w:vMerge w:val="continue"/>
                  <w:tcBorders>
                    <w:top w:val="single" w:color="auto" w:sz="8" w:space="0"/>
                    <w:bottom w:val="single" w:color="auto" w:sz="4" w:space="0"/>
                    <w:right w:val="nil"/>
                  </w:tcBorders>
                  <w:vAlign w:val="center"/>
                </w:tcPr>
                <w:p>
                  <w:pPr>
                    <w:jc w:val="center"/>
                    <w:rPr>
                      <w:szCs w:val="21"/>
                      <w:highlight w:val="yellow"/>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06" w:type="dxa"/>
                  <w:tcBorders>
                    <w:top w:val="single" w:color="auto" w:sz="4" w:space="0"/>
                    <w:bottom w:val="single" w:color="auto" w:sz="4" w:space="0"/>
                  </w:tcBorders>
                  <w:vAlign w:val="center"/>
                </w:tcPr>
                <w:p>
                  <w:pPr>
                    <w:pStyle w:val="140"/>
                  </w:pPr>
                  <w:r>
                    <w:rPr>
                      <w:rFonts w:hint="eastAsia" w:cs="宋体"/>
                      <w:szCs w:val="20"/>
                    </w:rPr>
                    <w:t>原料库、投料间</w:t>
                  </w:r>
                </w:p>
              </w:tc>
              <w:tc>
                <w:tcPr>
                  <w:tcW w:w="600" w:type="dxa"/>
                  <w:tcBorders>
                    <w:top w:val="single" w:color="auto" w:sz="4" w:space="0"/>
                    <w:bottom w:val="single" w:color="auto" w:sz="4" w:space="0"/>
                  </w:tcBorders>
                  <w:vAlign w:val="center"/>
                </w:tcPr>
                <w:p>
                  <w:pPr>
                    <w:autoSpaceDE w:val="0"/>
                    <w:autoSpaceDN w:val="0"/>
                    <w:adjustRightInd w:val="0"/>
                    <w:snapToGrid w:val="0"/>
                    <w:jc w:val="center"/>
                    <w:rPr>
                      <w:szCs w:val="21"/>
                    </w:rPr>
                  </w:pPr>
                  <w:r>
                    <w:rPr>
                      <w:rFonts w:hint="eastAsia"/>
                      <w:szCs w:val="21"/>
                    </w:rPr>
                    <w:t>投料过程中未被收集的粉尘、</w:t>
                  </w:r>
                  <w:r>
                    <w:rPr>
                      <w:szCs w:val="21"/>
                    </w:rPr>
                    <w:t>原料卸料粉尘</w:t>
                  </w:r>
                </w:p>
              </w:tc>
              <w:tc>
                <w:tcPr>
                  <w:tcW w:w="442" w:type="dxa"/>
                  <w:tcBorders>
                    <w:top w:val="single" w:color="auto" w:sz="4" w:space="0"/>
                    <w:bottom w:val="single" w:color="auto" w:sz="4" w:space="0"/>
                  </w:tcBorders>
                  <w:vAlign w:val="center"/>
                </w:tcPr>
                <w:p>
                  <w:pPr>
                    <w:autoSpaceDE w:val="0"/>
                    <w:autoSpaceDN w:val="0"/>
                    <w:adjustRightInd w:val="0"/>
                    <w:snapToGrid w:val="0"/>
                    <w:jc w:val="center"/>
                    <w:rPr>
                      <w:szCs w:val="21"/>
                    </w:rPr>
                  </w:pPr>
                  <w:r>
                    <w:rPr>
                      <w:rFonts w:hint="eastAsia"/>
                      <w:szCs w:val="21"/>
                    </w:rPr>
                    <w:t>颗粒物</w:t>
                  </w:r>
                </w:p>
              </w:tc>
              <w:tc>
                <w:tcPr>
                  <w:tcW w:w="3533" w:type="dxa"/>
                  <w:tcBorders>
                    <w:top w:val="single" w:color="auto" w:sz="4" w:space="0"/>
                  </w:tcBorders>
                  <w:vAlign w:val="center"/>
                </w:tcPr>
                <w:p>
                  <w:pPr>
                    <w:rPr>
                      <w:szCs w:val="21"/>
                      <w:highlight w:val="yellow"/>
                    </w:rPr>
                  </w:pPr>
                  <w:r>
                    <w:t>所有物料/生产设备均位在密闭料库/车间内，物料装卸均在密闭料库内进行；原料库和车间通道口均安装卷帘门或推拉门等封闭性良好且便于开关的硬质门，在无车辆出入时将门关闭；保持厂区地面整洁，配专人负责清扫和洒水保湿，加强厂区厂界绿化等措施。</w:t>
                  </w:r>
                </w:p>
              </w:tc>
              <w:tc>
                <w:tcPr>
                  <w:tcW w:w="988" w:type="dxa"/>
                  <w:tcBorders>
                    <w:top w:val="single" w:color="auto" w:sz="4" w:space="0"/>
                    <w:bottom w:val="single" w:color="auto" w:sz="4" w:space="0"/>
                  </w:tcBorders>
                  <w:vAlign w:val="center"/>
                </w:tcPr>
                <w:p>
                  <w:pPr>
                    <w:autoSpaceDE w:val="0"/>
                    <w:autoSpaceDN w:val="0"/>
                    <w:adjustRightInd w:val="0"/>
                    <w:snapToGrid w:val="0"/>
                    <w:jc w:val="center"/>
                    <w:rPr>
                      <w:szCs w:val="21"/>
                      <w:lang w:val="fr-FR"/>
                    </w:rPr>
                  </w:pPr>
                  <w:r>
                    <w:rPr>
                      <w:rFonts w:hint="eastAsia"/>
                      <w:szCs w:val="21"/>
                    </w:rPr>
                    <w:t>《新乡市生态环境局关于进一步规范工业企业颗粒物排放限值的通知》无组织颗粒物</w:t>
                  </w:r>
                </w:p>
              </w:tc>
              <w:tc>
                <w:tcPr>
                  <w:tcW w:w="969" w:type="dxa"/>
                  <w:tcBorders>
                    <w:top w:val="single" w:color="auto" w:sz="4" w:space="0"/>
                    <w:bottom w:val="single" w:color="auto" w:sz="4" w:space="0"/>
                  </w:tcBorders>
                  <w:vAlign w:val="center"/>
                </w:tcPr>
                <w:p>
                  <w:pPr>
                    <w:autoSpaceDE w:val="0"/>
                    <w:autoSpaceDN w:val="0"/>
                    <w:adjustRightInd w:val="0"/>
                    <w:snapToGrid w:val="0"/>
                    <w:jc w:val="center"/>
                    <w:rPr>
                      <w:szCs w:val="21"/>
                      <w:lang w:val="fr-FR"/>
                    </w:rPr>
                  </w:pPr>
                  <w:r>
                    <w:rPr>
                      <w:rFonts w:hint="eastAsia"/>
                      <w:szCs w:val="21"/>
                      <w:lang w:val="fr-FR"/>
                    </w:rPr>
                    <w:t>0.5</w:t>
                  </w:r>
                </w:p>
              </w:tc>
              <w:tc>
                <w:tcPr>
                  <w:tcW w:w="832" w:type="dxa"/>
                  <w:tcBorders>
                    <w:top w:val="single" w:color="auto" w:sz="4" w:space="0"/>
                    <w:bottom w:val="single" w:color="auto" w:sz="4" w:space="0"/>
                    <w:right w:val="nil"/>
                  </w:tcBorders>
                  <w:vAlign w:val="center"/>
                </w:tcPr>
                <w:p>
                  <w:pPr>
                    <w:jc w:val="center"/>
                    <w:rPr>
                      <w:szCs w:val="21"/>
                      <w:highlight w:val="yellow"/>
                      <w:lang w:val="fr-FR"/>
                    </w:rPr>
                  </w:pPr>
                  <w:r>
                    <w:rPr>
                      <w:rFonts w:hint="eastAsia"/>
                      <w:szCs w:val="21"/>
                      <w:lang w:val="fr-FR"/>
                    </w:rPr>
                    <w:t>0.0263</w:t>
                  </w:r>
                </w:p>
              </w:tc>
            </w:tr>
          </w:tbl>
          <w:p>
            <w:pPr>
              <w:spacing w:line="460" w:lineRule="exact"/>
              <w:ind w:firstLine="480" w:firstLineChars="200"/>
              <w:jc w:val="left"/>
              <w:textAlignment w:val="baseline"/>
              <w:rPr>
                <w:bCs/>
                <w:sz w:val="24"/>
                <w:lang w:val="fr-FR"/>
              </w:rPr>
            </w:pPr>
            <w:r>
              <w:rPr>
                <w:rFonts w:hint="eastAsia"/>
                <w:bCs/>
                <w:sz w:val="24"/>
                <w:lang w:val="fr-FR"/>
              </w:rPr>
              <w:t>6.3</w:t>
            </w:r>
            <w:r>
              <w:rPr>
                <w:rFonts w:hint="eastAsia"/>
                <w:bCs/>
                <w:sz w:val="24"/>
              </w:rPr>
              <w:t>大气污染物年排放量核算</w:t>
            </w:r>
          </w:p>
          <w:p>
            <w:pPr>
              <w:spacing w:line="460" w:lineRule="exact"/>
              <w:ind w:firstLine="480" w:firstLineChars="200"/>
              <w:rPr>
                <w:rFonts w:eastAsia="黑体"/>
                <w:sz w:val="24"/>
                <w:lang w:val="fr-FR"/>
              </w:rPr>
            </w:pPr>
            <w:r>
              <w:rPr>
                <w:rFonts w:hint="eastAsia" w:eastAsia="黑体"/>
                <w:sz w:val="24"/>
              </w:rPr>
              <w:t>表</w:t>
            </w:r>
            <w:r>
              <w:rPr>
                <w:rFonts w:hint="eastAsia" w:eastAsia="黑体"/>
                <w:sz w:val="24"/>
                <w:lang w:val="fr-FR"/>
              </w:rPr>
              <w:t>3</w:t>
            </w:r>
            <w:r>
              <w:rPr>
                <w:rFonts w:eastAsia="黑体"/>
                <w:sz w:val="24"/>
                <w:lang w:val="fr-FR"/>
              </w:rPr>
              <w:t>0</w:t>
            </w:r>
            <w:r>
              <w:rPr>
                <w:rFonts w:hint="eastAsia" w:eastAsia="黑体"/>
                <w:sz w:val="24"/>
                <w:lang w:val="fr-FR"/>
              </w:rPr>
              <w:t xml:space="preserve">            </w:t>
            </w:r>
            <w:r>
              <w:rPr>
                <w:rFonts w:hint="eastAsia" w:eastAsia="黑体"/>
                <w:sz w:val="24"/>
              </w:rPr>
              <w:t>大气污染物年排放量核算表</w:t>
            </w:r>
          </w:p>
          <w:tbl>
            <w:tblPr>
              <w:tblStyle w:val="3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624"/>
              <w:gridCol w:w="3321"/>
              <w:gridCol w:w="308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1" w:type="pct"/>
                  <w:vAlign w:val="center"/>
                </w:tcPr>
                <w:p>
                  <w:pPr>
                    <w:autoSpaceDE w:val="0"/>
                    <w:autoSpaceDN w:val="0"/>
                    <w:adjustRightInd w:val="0"/>
                    <w:snapToGrid w:val="0"/>
                    <w:jc w:val="center"/>
                    <w:rPr>
                      <w:b/>
                      <w:szCs w:val="21"/>
                      <w:lang w:val="fr-FR"/>
                    </w:rPr>
                  </w:pPr>
                  <w:r>
                    <w:rPr>
                      <w:b/>
                      <w:szCs w:val="21"/>
                    </w:rPr>
                    <w:t>序号</w:t>
                  </w:r>
                </w:p>
              </w:tc>
              <w:tc>
                <w:tcPr>
                  <w:tcW w:w="2068" w:type="pct"/>
                  <w:vAlign w:val="center"/>
                </w:tcPr>
                <w:p>
                  <w:pPr>
                    <w:autoSpaceDE w:val="0"/>
                    <w:autoSpaceDN w:val="0"/>
                    <w:adjustRightInd w:val="0"/>
                    <w:snapToGrid w:val="0"/>
                    <w:jc w:val="center"/>
                    <w:rPr>
                      <w:b/>
                      <w:szCs w:val="21"/>
                      <w:lang w:val="fr-FR"/>
                    </w:rPr>
                  </w:pPr>
                  <w:r>
                    <w:rPr>
                      <w:b/>
                      <w:szCs w:val="21"/>
                    </w:rPr>
                    <w:t>污染物</w:t>
                  </w:r>
                </w:p>
              </w:tc>
              <w:tc>
                <w:tcPr>
                  <w:tcW w:w="1919" w:type="pct"/>
                  <w:vAlign w:val="center"/>
                </w:tcPr>
                <w:p>
                  <w:pPr>
                    <w:autoSpaceDE w:val="0"/>
                    <w:autoSpaceDN w:val="0"/>
                    <w:adjustRightInd w:val="0"/>
                    <w:snapToGrid w:val="0"/>
                    <w:jc w:val="center"/>
                    <w:rPr>
                      <w:b/>
                      <w:szCs w:val="21"/>
                      <w:lang w:val="fr-FR"/>
                    </w:rPr>
                  </w:pPr>
                  <w:r>
                    <w:rPr>
                      <w:b/>
                      <w:szCs w:val="21"/>
                    </w:rPr>
                    <w:t>年排放量</w:t>
                  </w:r>
                  <w:r>
                    <w:rPr>
                      <w:b/>
                      <w:szCs w:val="21"/>
                      <w:lang w:val="fr-FR"/>
                    </w:rPr>
                    <w:t>/（t/a）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1" w:type="pct"/>
                  <w:vAlign w:val="center"/>
                </w:tcPr>
                <w:p>
                  <w:pPr>
                    <w:autoSpaceDE w:val="0"/>
                    <w:autoSpaceDN w:val="0"/>
                    <w:adjustRightInd w:val="0"/>
                    <w:snapToGrid w:val="0"/>
                    <w:jc w:val="center"/>
                    <w:rPr>
                      <w:szCs w:val="21"/>
                      <w:lang w:val="fr-FR"/>
                    </w:rPr>
                  </w:pPr>
                  <w:r>
                    <w:rPr>
                      <w:szCs w:val="21"/>
                      <w:lang w:val="fr-FR"/>
                    </w:rPr>
                    <w:t>1</w:t>
                  </w:r>
                </w:p>
              </w:tc>
              <w:tc>
                <w:tcPr>
                  <w:tcW w:w="2068" w:type="pct"/>
                  <w:vAlign w:val="center"/>
                </w:tcPr>
                <w:p>
                  <w:pPr>
                    <w:jc w:val="center"/>
                    <w:rPr>
                      <w:szCs w:val="21"/>
                    </w:rPr>
                  </w:pPr>
                  <w:r>
                    <w:rPr>
                      <w:szCs w:val="21"/>
                    </w:rPr>
                    <w:t>颗粒物</w:t>
                  </w:r>
                </w:p>
              </w:tc>
              <w:tc>
                <w:tcPr>
                  <w:tcW w:w="1919" w:type="pct"/>
                  <w:vAlign w:val="center"/>
                </w:tcPr>
                <w:p>
                  <w:pPr>
                    <w:jc w:val="center"/>
                    <w:rPr>
                      <w:szCs w:val="21"/>
                    </w:rPr>
                  </w:pPr>
                  <w:r>
                    <w:rPr>
                      <w:rFonts w:hint="eastAsia"/>
                      <w:szCs w:val="21"/>
                    </w:rPr>
                    <w:t>0.2245</w:t>
                  </w:r>
                </w:p>
              </w:tc>
            </w:tr>
          </w:tbl>
          <w:p>
            <w:pPr>
              <w:pStyle w:val="160"/>
              <w:spacing w:line="460" w:lineRule="exact"/>
              <w:ind w:left="482" w:firstLine="0"/>
              <w:rPr>
                <w:b/>
                <w:bCs/>
                <w:sz w:val="24"/>
              </w:rPr>
            </w:pPr>
            <w:r>
              <w:rPr>
                <w:rFonts w:hint="eastAsia"/>
                <w:b/>
                <w:bCs/>
                <w:sz w:val="24"/>
              </w:rPr>
              <w:t>7、污染物排放口基本情况</w:t>
            </w:r>
          </w:p>
          <w:p>
            <w:pPr>
              <w:spacing w:line="460" w:lineRule="exact"/>
              <w:ind w:firstLine="480" w:firstLineChars="200"/>
              <w:rPr>
                <w:rFonts w:eastAsia="黑体"/>
                <w:sz w:val="24"/>
              </w:rPr>
            </w:pPr>
            <w:r>
              <w:rPr>
                <w:rFonts w:hint="eastAsia" w:eastAsia="黑体"/>
                <w:sz w:val="24"/>
              </w:rPr>
              <w:t>表3</w:t>
            </w:r>
            <w:r>
              <w:rPr>
                <w:rFonts w:eastAsia="黑体"/>
                <w:sz w:val="24"/>
              </w:rPr>
              <w:t>1</w:t>
            </w:r>
            <w:r>
              <w:rPr>
                <w:rFonts w:hint="eastAsia" w:eastAsia="黑体"/>
                <w:sz w:val="24"/>
              </w:rPr>
              <w:t xml:space="preserve">               项目污染物排放口基本情况</w:t>
            </w:r>
          </w:p>
          <w:tbl>
            <w:tblPr>
              <w:tblStyle w:val="31"/>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84"/>
              <w:gridCol w:w="1066"/>
              <w:gridCol w:w="1002"/>
              <w:gridCol w:w="890"/>
              <w:gridCol w:w="654"/>
              <w:gridCol w:w="671"/>
              <w:gridCol w:w="690"/>
              <w:gridCol w:w="708"/>
              <w:gridCol w:w="492"/>
              <w:gridCol w:w="509"/>
              <w:gridCol w:w="66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7" w:type="pct"/>
                  <w:vMerge w:val="restart"/>
                  <w:vAlign w:val="center"/>
                </w:tcPr>
                <w:p>
                  <w:pPr>
                    <w:jc w:val="center"/>
                    <w:rPr>
                      <w:b/>
                      <w:szCs w:val="21"/>
                    </w:rPr>
                  </w:pPr>
                  <w:r>
                    <w:rPr>
                      <w:b/>
                      <w:szCs w:val="21"/>
                    </w:rPr>
                    <w:t>点源</w:t>
                  </w:r>
                </w:p>
                <w:p>
                  <w:pPr>
                    <w:jc w:val="center"/>
                    <w:rPr>
                      <w:b/>
                      <w:szCs w:val="21"/>
                    </w:rPr>
                  </w:pPr>
                  <w:r>
                    <w:rPr>
                      <w:b/>
                      <w:szCs w:val="21"/>
                    </w:rPr>
                    <w:t>名称</w:t>
                  </w:r>
                </w:p>
              </w:tc>
              <w:tc>
                <w:tcPr>
                  <w:tcW w:w="1288" w:type="pct"/>
                  <w:gridSpan w:val="2"/>
                  <w:vAlign w:val="center"/>
                </w:tcPr>
                <w:p>
                  <w:pPr>
                    <w:jc w:val="center"/>
                    <w:rPr>
                      <w:b/>
                      <w:szCs w:val="21"/>
                    </w:rPr>
                  </w:pPr>
                  <w:r>
                    <w:rPr>
                      <w:b/>
                      <w:szCs w:val="21"/>
                    </w:rPr>
                    <w:t>地理坐标</w:t>
                  </w:r>
                </w:p>
              </w:tc>
              <w:tc>
                <w:tcPr>
                  <w:tcW w:w="554" w:type="pct"/>
                  <w:vMerge w:val="restart"/>
                  <w:vAlign w:val="center"/>
                </w:tcPr>
                <w:p>
                  <w:pPr>
                    <w:jc w:val="center"/>
                    <w:rPr>
                      <w:b/>
                      <w:szCs w:val="21"/>
                    </w:rPr>
                  </w:pPr>
                  <w:r>
                    <w:rPr>
                      <w:b/>
                      <w:szCs w:val="21"/>
                    </w:rPr>
                    <w:t>排气筒底部海拔</w:t>
                  </w:r>
                </w:p>
              </w:tc>
              <w:tc>
                <w:tcPr>
                  <w:tcW w:w="407" w:type="pct"/>
                  <w:vMerge w:val="restart"/>
                  <w:vAlign w:val="center"/>
                </w:tcPr>
                <w:p>
                  <w:pPr>
                    <w:jc w:val="center"/>
                    <w:rPr>
                      <w:b/>
                      <w:szCs w:val="21"/>
                    </w:rPr>
                  </w:pPr>
                  <w:r>
                    <w:rPr>
                      <w:b/>
                      <w:szCs w:val="21"/>
                    </w:rPr>
                    <w:t>排气筒高度</w:t>
                  </w:r>
                </w:p>
              </w:tc>
              <w:tc>
                <w:tcPr>
                  <w:tcW w:w="418" w:type="pct"/>
                  <w:vMerge w:val="restart"/>
                  <w:vAlign w:val="center"/>
                </w:tcPr>
                <w:p>
                  <w:pPr>
                    <w:jc w:val="center"/>
                    <w:rPr>
                      <w:b/>
                      <w:szCs w:val="21"/>
                    </w:rPr>
                  </w:pPr>
                  <w:r>
                    <w:rPr>
                      <w:b/>
                      <w:szCs w:val="21"/>
                    </w:rPr>
                    <w:t>排气筒内径</w:t>
                  </w:r>
                </w:p>
              </w:tc>
              <w:tc>
                <w:tcPr>
                  <w:tcW w:w="430" w:type="pct"/>
                  <w:vMerge w:val="restart"/>
                  <w:vAlign w:val="center"/>
                </w:tcPr>
                <w:p>
                  <w:pPr>
                    <w:jc w:val="center"/>
                    <w:rPr>
                      <w:b/>
                      <w:szCs w:val="21"/>
                    </w:rPr>
                  </w:pPr>
                  <w:r>
                    <w:rPr>
                      <w:b/>
                      <w:szCs w:val="21"/>
                    </w:rPr>
                    <w:t>废气出口温度</w:t>
                  </w:r>
                </w:p>
              </w:tc>
              <w:tc>
                <w:tcPr>
                  <w:tcW w:w="441" w:type="pct"/>
                  <w:vMerge w:val="restart"/>
                  <w:vAlign w:val="center"/>
                </w:tcPr>
                <w:p>
                  <w:pPr>
                    <w:jc w:val="center"/>
                    <w:rPr>
                      <w:b/>
                      <w:szCs w:val="21"/>
                    </w:rPr>
                  </w:pPr>
                  <w:r>
                    <w:rPr>
                      <w:b/>
                      <w:szCs w:val="21"/>
                    </w:rPr>
                    <w:t>年排放小时数</w:t>
                  </w:r>
                </w:p>
              </w:tc>
              <w:tc>
                <w:tcPr>
                  <w:tcW w:w="306" w:type="pct"/>
                  <w:vMerge w:val="restart"/>
                  <w:vAlign w:val="center"/>
                </w:tcPr>
                <w:p>
                  <w:pPr>
                    <w:jc w:val="center"/>
                    <w:rPr>
                      <w:b/>
                      <w:szCs w:val="21"/>
                    </w:rPr>
                  </w:pPr>
                  <w:r>
                    <w:rPr>
                      <w:b/>
                      <w:szCs w:val="21"/>
                    </w:rPr>
                    <w:t>排放</w:t>
                  </w:r>
                </w:p>
                <w:p>
                  <w:pPr>
                    <w:jc w:val="center"/>
                    <w:rPr>
                      <w:b/>
                      <w:szCs w:val="21"/>
                    </w:rPr>
                  </w:pPr>
                  <w:r>
                    <w:rPr>
                      <w:b/>
                      <w:szCs w:val="21"/>
                    </w:rPr>
                    <w:t>工况</w:t>
                  </w:r>
                </w:p>
              </w:tc>
              <w:tc>
                <w:tcPr>
                  <w:tcW w:w="317" w:type="pct"/>
                  <w:vMerge w:val="restart"/>
                  <w:vAlign w:val="center"/>
                </w:tcPr>
                <w:p>
                  <w:pPr>
                    <w:jc w:val="center"/>
                    <w:rPr>
                      <w:b/>
                      <w:szCs w:val="21"/>
                    </w:rPr>
                  </w:pPr>
                  <w:r>
                    <w:rPr>
                      <w:b/>
                      <w:szCs w:val="21"/>
                    </w:rPr>
                    <w:t>污染物</w:t>
                  </w:r>
                </w:p>
              </w:tc>
              <w:tc>
                <w:tcPr>
                  <w:tcW w:w="412" w:type="pct"/>
                  <w:vMerge w:val="restart"/>
                  <w:vAlign w:val="center"/>
                </w:tcPr>
                <w:p>
                  <w:pPr>
                    <w:jc w:val="center"/>
                    <w:rPr>
                      <w:b/>
                      <w:szCs w:val="21"/>
                    </w:rPr>
                  </w:pPr>
                  <w:r>
                    <w:rPr>
                      <w:b/>
                      <w:szCs w:val="21"/>
                    </w:rPr>
                    <w:t>源强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7" w:type="pct"/>
                  <w:vMerge w:val="continue"/>
                  <w:vAlign w:val="center"/>
                </w:tcPr>
                <w:p>
                  <w:pPr>
                    <w:jc w:val="center"/>
                    <w:rPr>
                      <w:b/>
                      <w:szCs w:val="21"/>
                    </w:rPr>
                  </w:pPr>
                </w:p>
              </w:tc>
              <w:tc>
                <w:tcPr>
                  <w:tcW w:w="664" w:type="pct"/>
                  <w:vAlign w:val="center"/>
                </w:tcPr>
                <w:p>
                  <w:pPr>
                    <w:jc w:val="center"/>
                    <w:rPr>
                      <w:b/>
                      <w:szCs w:val="21"/>
                    </w:rPr>
                  </w:pPr>
                  <w:r>
                    <w:rPr>
                      <w:b/>
                      <w:szCs w:val="21"/>
                    </w:rPr>
                    <w:t>经度</w:t>
                  </w:r>
                </w:p>
              </w:tc>
              <w:tc>
                <w:tcPr>
                  <w:tcW w:w="624" w:type="pct"/>
                  <w:vAlign w:val="center"/>
                </w:tcPr>
                <w:p>
                  <w:pPr>
                    <w:jc w:val="center"/>
                    <w:rPr>
                      <w:b/>
                      <w:szCs w:val="21"/>
                    </w:rPr>
                  </w:pPr>
                  <w:r>
                    <w:rPr>
                      <w:b/>
                      <w:szCs w:val="21"/>
                    </w:rPr>
                    <w:t>纬度</w:t>
                  </w:r>
                </w:p>
              </w:tc>
              <w:tc>
                <w:tcPr>
                  <w:tcW w:w="554" w:type="pct"/>
                  <w:vMerge w:val="continue"/>
                  <w:vAlign w:val="center"/>
                </w:tcPr>
                <w:p>
                  <w:pPr>
                    <w:jc w:val="center"/>
                    <w:rPr>
                      <w:b/>
                      <w:szCs w:val="21"/>
                    </w:rPr>
                  </w:pPr>
                </w:p>
              </w:tc>
              <w:tc>
                <w:tcPr>
                  <w:tcW w:w="407" w:type="pct"/>
                  <w:vMerge w:val="continue"/>
                  <w:vAlign w:val="center"/>
                </w:tcPr>
                <w:p>
                  <w:pPr>
                    <w:jc w:val="center"/>
                    <w:rPr>
                      <w:b/>
                      <w:szCs w:val="21"/>
                    </w:rPr>
                  </w:pPr>
                </w:p>
              </w:tc>
              <w:tc>
                <w:tcPr>
                  <w:tcW w:w="418" w:type="pct"/>
                  <w:vMerge w:val="continue"/>
                  <w:vAlign w:val="center"/>
                </w:tcPr>
                <w:p>
                  <w:pPr>
                    <w:jc w:val="center"/>
                    <w:rPr>
                      <w:b/>
                      <w:szCs w:val="21"/>
                    </w:rPr>
                  </w:pPr>
                </w:p>
              </w:tc>
              <w:tc>
                <w:tcPr>
                  <w:tcW w:w="430" w:type="pct"/>
                  <w:vMerge w:val="continue"/>
                  <w:vAlign w:val="center"/>
                </w:tcPr>
                <w:p>
                  <w:pPr>
                    <w:jc w:val="center"/>
                    <w:rPr>
                      <w:b/>
                      <w:szCs w:val="21"/>
                    </w:rPr>
                  </w:pPr>
                </w:p>
              </w:tc>
              <w:tc>
                <w:tcPr>
                  <w:tcW w:w="441" w:type="pct"/>
                  <w:vMerge w:val="continue"/>
                  <w:vAlign w:val="center"/>
                </w:tcPr>
                <w:p>
                  <w:pPr>
                    <w:jc w:val="center"/>
                    <w:rPr>
                      <w:b/>
                      <w:szCs w:val="21"/>
                    </w:rPr>
                  </w:pPr>
                </w:p>
              </w:tc>
              <w:tc>
                <w:tcPr>
                  <w:tcW w:w="306" w:type="pct"/>
                  <w:vMerge w:val="continue"/>
                  <w:vAlign w:val="center"/>
                </w:tcPr>
                <w:p>
                  <w:pPr>
                    <w:jc w:val="center"/>
                    <w:rPr>
                      <w:b/>
                      <w:szCs w:val="21"/>
                    </w:rPr>
                  </w:pPr>
                </w:p>
              </w:tc>
              <w:tc>
                <w:tcPr>
                  <w:tcW w:w="317" w:type="pct"/>
                  <w:vMerge w:val="continue"/>
                  <w:vAlign w:val="center"/>
                </w:tcPr>
                <w:p>
                  <w:pPr>
                    <w:jc w:val="center"/>
                    <w:rPr>
                      <w:b/>
                      <w:szCs w:val="21"/>
                    </w:rPr>
                  </w:pPr>
                </w:p>
              </w:tc>
              <w:tc>
                <w:tcPr>
                  <w:tcW w:w="412" w:type="pct"/>
                  <w:vMerge w:val="continue"/>
                  <w:vAlign w:val="center"/>
                </w:tcPr>
                <w:p>
                  <w:pPr>
                    <w:jc w:val="center"/>
                    <w:rPr>
                      <w:b/>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rPr>
              <w:tc>
                <w:tcPr>
                  <w:tcW w:w="427" w:type="pct"/>
                  <w:vAlign w:val="center"/>
                </w:tcPr>
                <w:p>
                  <w:pPr>
                    <w:jc w:val="center"/>
                    <w:rPr>
                      <w:b/>
                      <w:szCs w:val="21"/>
                    </w:rPr>
                  </w:pPr>
                  <w:r>
                    <w:rPr>
                      <w:b/>
                      <w:szCs w:val="21"/>
                    </w:rPr>
                    <w:t>单位</w:t>
                  </w:r>
                </w:p>
              </w:tc>
              <w:tc>
                <w:tcPr>
                  <w:tcW w:w="664" w:type="pct"/>
                  <w:vAlign w:val="center"/>
                </w:tcPr>
                <w:p>
                  <w:pPr>
                    <w:jc w:val="center"/>
                    <w:rPr>
                      <w:b/>
                      <w:szCs w:val="21"/>
                    </w:rPr>
                  </w:pPr>
                  <w:r>
                    <w:rPr>
                      <w:b/>
                      <w:szCs w:val="21"/>
                    </w:rPr>
                    <w:t>°</w:t>
                  </w:r>
                </w:p>
              </w:tc>
              <w:tc>
                <w:tcPr>
                  <w:tcW w:w="624" w:type="pct"/>
                  <w:vAlign w:val="center"/>
                </w:tcPr>
                <w:p>
                  <w:pPr>
                    <w:jc w:val="center"/>
                    <w:rPr>
                      <w:b/>
                      <w:szCs w:val="21"/>
                    </w:rPr>
                  </w:pPr>
                  <w:r>
                    <w:rPr>
                      <w:b/>
                      <w:szCs w:val="21"/>
                    </w:rPr>
                    <w:t>°</w:t>
                  </w:r>
                </w:p>
              </w:tc>
              <w:tc>
                <w:tcPr>
                  <w:tcW w:w="554" w:type="pct"/>
                  <w:vAlign w:val="center"/>
                </w:tcPr>
                <w:p>
                  <w:pPr>
                    <w:jc w:val="center"/>
                    <w:rPr>
                      <w:b/>
                      <w:szCs w:val="21"/>
                    </w:rPr>
                  </w:pPr>
                  <w:r>
                    <w:rPr>
                      <w:b/>
                      <w:szCs w:val="21"/>
                    </w:rPr>
                    <w:t>m</w:t>
                  </w:r>
                </w:p>
              </w:tc>
              <w:tc>
                <w:tcPr>
                  <w:tcW w:w="407" w:type="pct"/>
                  <w:vAlign w:val="center"/>
                </w:tcPr>
                <w:p>
                  <w:pPr>
                    <w:jc w:val="center"/>
                    <w:rPr>
                      <w:b/>
                      <w:szCs w:val="21"/>
                    </w:rPr>
                  </w:pPr>
                  <w:r>
                    <w:rPr>
                      <w:b/>
                      <w:szCs w:val="21"/>
                    </w:rPr>
                    <w:t>m</w:t>
                  </w:r>
                </w:p>
              </w:tc>
              <w:tc>
                <w:tcPr>
                  <w:tcW w:w="418" w:type="pct"/>
                  <w:vAlign w:val="center"/>
                </w:tcPr>
                <w:p>
                  <w:pPr>
                    <w:jc w:val="center"/>
                    <w:rPr>
                      <w:b/>
                      <w:szCs w:val="21"/>
                    </w:rPr>
                  </w:pPr>
                  <w:r>
                    <w:rPr>
                      <w:b/>
                      <w:szCs w:val="21"/>
                    </w:rPr>
                    <w:t>m</w:t>
                  </w:r>
                </w:p>
              </w:tc>
              <w:tc>
                <w:tcPr>
                  <w:tcW w:w="430" w:type="pct"/>
                  <w:vAlign w:val="center"/>
                </w:tcPr>
                <w:p>
                  <w:pPr>
                    <w:jc w:val="center"/>
                    <w:rPr>
                      <w:b/>
                      <w:szCs w:val="21"/>
                    </w:rPr>
                  </w:pPr>
                  <w:r>
                    <w:rPr>
                      <w:b/>
                      <w:szCs w:val="21"/>
                    </w:rPr>
                    <w:t>K</w:t>
                  </w:r>
                </w:p>
              </w:tc>
              <w:tc>
                <w:tcPr>
                  <w:tcW w:w="441" w:type="pct"/>
                  <w:vAlign w:val="center"/>
                </w:tcPr>
                <w:p>
                  <w:pPr>
                    <w:jc w:val="center"/>
                    <w:rPr>
                      <w:b/>
                      <w:szCs w:val="21"/>
                    </w:rPr>
                  </w:pPr>
                  <w:r>
                    <w:rPr>
                      <w:b/>
                      <w:szCs w:val="21"/>
                    </w:rPr>
                    <w:t>h</w:t>
                  </w:r>
                </w:p>
              </w:tc>
              <w:tc>
                <w:tcPr>
                  <w:tcW w:w="306" w:type="pct"/>
                  <w:vAlign w:val="center"/>
                </w:tcPr>
                <w:p>
                  <w:pPr>
                    <w:jc w:val="center"/>
                    <w:rPr>
                      <w:b/>
                      <w:szCs w:val="21"/>
                    </w:rPr>
                  </w:pPr>
                  <w:r>
                    <w:rPr>
                      <w:b/>
                      <w:szCs w:val="21"/>
                    </w:rPr>
                    <w:t>/</w:t>
                  </w:r>
                </w:p>
              </w:tc>
              <w:tc>
                <w:tcPr>
                  <w:tcW w:w="317" w:type="pct"/>
                  <w:vAlign w:val="center"/>
                </w:tcPr>
                <w:p>
                  <w:pPr>
                    <w:jc w:val="center"/>
                    <w:rPr>
                      <w:b/>
                      <w:szCs w:val="21"/>
                    </w:rPr>
                  </w:pPr>
                  <w:r>
                    <w:rPr>
                      <w:rStyle w:val="39"/>
                      <w:szCs w:val="21"/>
                    </w:rPr>
                    <w:t>/</w:t>
                  </w:r>
                </w:p>
              </w:tc>
              <w:tc>
                <w:tcPr>
                  <w:tcW w:w="412" w:type="pct"/>
                  <w:vAlign w:val="center"/>
                </w:tcPr>
                <w:p>
                  <w:pPr>
                    <w:jc w:val="center"/>
                    <w:rPr>
                      <w:b/>
                      <w:szCs w:val="21"/>
                    </w:rPr>
                  </w:pPr>
                  <w:r>
                    <w:rPr>
                      <w:b/>
                      <w:szCs w:val="21"/>
                    </w:rPr>
                    <w:t>kg/h</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rPr>
              <w:tc>
                <w:tcPr>
                  <w:tcW w:w="427" w:type="pct"/>
                  <w:vAlign w:val="center"/>
                </w:tcPr>
                <w:p>
                  <w:pPr>
                    <w:jc w:val="center"/>
                    <w:rPr>
                      <w:szCs w:val="21"/>
                    </w:rPr>
                  </w:pPr>
                  <w:r>
                    <w:rPr>
                      <w:rFonts w:hint="eastAsia"/>
                    </w:rPr>
                    <w:t>浆钙制备车间排气筒</w:t>
                  </w:r>
                </w:p>
              </w:tc>
              <w:tc>
                <w:tcPr>
                  <w:tcW w:w="664" w:type="pct"/>
                  <w:vAlign w:val="center"/>
                </w:tcPr>
                <w:p>
                  <w:pPr>
                    <w:jc w:val="center"/>
                    <w:rPr>
                      <w:szCs w:val="21"/>
                    </w:rPr>
                  </w:pPr>
                  <w:r>
                    <w:rPr>
                      <w:rFonts w:hint="eastAsia"/>
                      <w:szCs w:val="21"/>
                    </w:rPr>
                    <w:t>113.808463</w:t>
                  </w:r>
                </w:p>
              </w:tc>
              <w:tc>
                <w:tcPr>
                  <w:tcW w:w="624" w:type="pct"/>
                  <w:vAlign w:val="center"/>
                </w:tcPr>
                <w:p>
                  <w:pPr>
                    <w:jc w:val="center"/>
                    <w:rPr>
                      <w:szCs w:val="21"/>
                    </w:rPr>
                  </w:pPr>
                  <w:r>
                    <w:rPr>
                      <w:rFonts w:hint="eastAsia"/>
                      <w:szCs w:val="21"/>
                    </w:rPr>
                    <w:t>35.06383</w:t>
                  </w:r>
                </w:p>
              </w:tc>
              <w:tc>
                <w:tcPr>
                  <w:tcW w:w="554" w:type="pct"/>
                  <w:vAlign w:val="center"/>
                </w:tcPr>
                <w:p>
                  <w:pPr>
                    <w:jc w:val="center"/>
                    <w:rPr>
                      <w:szCs w:val="21"/>
                    </w:rPr>
                  </w:pPr>
                  <w:r>
                    <w:rPr>
                      <w:rFonts w:hint="eastAsia"/>
                      <w:szCs w:val="21"/>
                    </w:rPr>
                    <w:t>80.141</w:t>
                  </w:r>
                </w:p>
              </w:tc>
              <w:tc>
                <w:tcPr>
                  <w:tcW w:w="407" w:type="pct"/>
                  <w:vAlign w:val="center"/>
                </w:tcPr>
                <w:p>
                  <w:pPr>
                    <w:jc w:val="center"/>
                    <w:rPr>
                      <w:szCs w:val="21"/>
                    </w:rPr>
                  </w:pPr>
                  <w:r>
                    <w:rPr>
                      <w:rFonts w:hint="eastAsia"/>
                      <w:szCs w:val="21"/>
                    </w:rPr>
                    <w:t>15</w:t>
                  </w:r>
                </w:p>
              </w:tc>
              <w:tc>
                <w:tcPr>
                  <w:tcW w:w="418" w:type="pct"/>
                  <w:vAlign w:val="center"/>
                </w:tcPr>
                <w:p>
                  <w:pPr>
                    <w:jc w:val="center"/>
                    <w:rPr>
                      <w:szCs w:val="21"/>
                    </w:rPr>
                  </w:pPr>
                  <w:r>
                    <w:rPr>
                      <w:rFonts w:hint="eastAsia"/>
                      <w:szCs w:val="21"/>
                    </w:rPr>
                    <w:t>0.3</w:t>
                  </w:r>
                </w:p>
              </w:tc>
              <w:tc>
                <w:tcPr>
                  <w:tcW w:w="430" w:type="pct"/>
                  <w:vAlign w:val="center"/>
                </w:tcPr>
                <w:p>
                  <w:pPr>
                    <w:jc w:val="center"/>
                    <w:rPr>
                      <w:szCs w:val="21"/>
                    </w:rPr>
                  </w:pPr>
                  <w:r>
                    <w:rPr>
                      <w:rFonts w:hint="eastAsia"/>
                      <w:szCs w:val="21"/>
                    </w:rPr>
                    <w:t>298</w:t>
                  </w:r>
                </w:p>
              </w:tc>
              <w:tc>
                <w:tcPr>
                  <w:tcW w:w="441" w:type="pct"/>
                  <w:vAlign w:val="center"/>
                </w:tcPr>
                <w:p>
                  <w:pPr>
                    <w:jc w:val="center"/>
                    <w:rPr>
                      <w:szCs w:val="21"/>
                    </w:rPr>
                  </w:pPr>
                  <w:r>
                    <w:rPr>
                      <w:rFonts w:hint="eastAsia"/>
                      <w:szCs w:val="21"/>
                    </w:rPr>
                    <w:t>2040</w:t>
                  </w:r>
                </w:p>
              </w:tc>
              <w:tc>
                <w:tcPr>
                  <w:tcW w:w="306" w:type="pct"/>
                  <w:vAlign w:val="center"/>
                </w:tcPr>
                <w:p>
                  <w:pPr>
                    <w:jc w:val="center"/>
                    <w:rPr>
                      <w:szCs w:val="21"/>
                    </w:rPr>
                  </w:pPr>
                  <w:r>
                    <w:rPr>
                      <w:rFonts w:hint="eastAsia"/>
                      <w:szCs w:val="21"/>
                    </w:rPr>
                    <w:t>正常</w:t>
                  </w:r>
                </w:p>
              </w:tc>
              <w:tc>
                <w:tcPr>
                  <w:tcW w:w="317" w:type="pct"/>
                  <w:vAlign w:val="center"/>
                </w:tcPr>
                <w:p>
                  <w:pPr>
                    <w:jc w:val="center"/>
                    <w:rPr>
                      <w:szCs w:val="21"/>
                    </w:rPr>
                  </w:pPr>
                  <w:r>
                    <w:rPr>
                      <w:rFonts w:hint="eastAsia"/>
                      <w:szCs w:val="21"/>
                    </w:rPr>
                    <w:t>颗粒物</w:t>
                  </w:r>
                </w:p>
              </w:tc>
              <w:tc>
                <w:tcPr>
                  <w:tcW w:w="412" w:type="pct"/>
                  <w:vAlign w:val="center"/>
                </w:tcPr>
                <w:p>
                  <w:pPr>
                    <w:adjustRightInd w:val="0"/>
                    <w:snapToGrid w:val="0"/>
                    <w:jc w:val="center"/>
                    <w:textAlignment w:val="baseline"/>
                    <w:rPr>
                      <w:szCs w:val="21"/>
                    </w:rPr>
                  </w:pPr>
                  <w:r>
                    <w:rPr>
                      <w:rFonts w:hint="eastAsia"/>
                      <w:szCs w:val="21"/>
                    </w:rPr>
                    <w:t>0.</w:t>
                  </w:r>
                  <w:r>
                    <w:rPr>
                      <w:rStyle w:val="39"/>
                      <w:rFonts w:hint="eastAsia"/>
                      <w:kern w:val="0"/>
                      <w:szCs w:val="20"/>
                    </w:rPr>
                    <w:t>0455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7" w:type="pct"/>
                  <w:vAlign w:val="center"/>
                </w:tcPr>
                <w:p>
                  <w:pPr>
                    <w:jc w:val="center"/>
                  </w:pPr>
                  <w:r>
                    <w:rPr>
                      <w:rFonts w:hint="eastAsia"/>
                    </w:rPr>
                    <w:t>涂布车间排气筒</w:t>
                  </w:r>
                </w:p>
              </w:tc>
              <w:tc>
                <w:tcPr>
                  <w:tcW w:w="664" w:type="pct"/>
                  <w:vAlign w:val="center"/>
                </w:tcPr>
                <w:p>
                  <w:pPr>
                    <w:jc w:val="center"/>
                    <w:rPr>
                      <w:szCs w:val="21"/>
                    </w:rPr>
                  </w:pPr>
                  <w:r>
                    <w:rPr>
                      <w:rFonts w:hint="eastAsia"/>
                      <w:szCs w:val="21"/>
                    </w:rPr>
                    <w:t>113.810350</w:t>
                  </w:r>
                </w:p>
              </w:tc>
              <w:tc>
                <w:tcPr>
                  <w:tcW w:w="624" w:type="pct"/>
                  <w:vAlign w:val="center"/>
                </w:tcPr>
                <w:p>
                  <w:pPr>
                    <w:jc w:val="center"/>
                    <w:rPr>
                      <w:szCs w:val="21"/>
                    </w:rPr>
                  </w:pPr>
                  <w:r>
                    <w:rPr>
                      <w:rFonts w:hint="eastAsia"/>
                      <w:szCs w:val="21"/>
                    </w:rPr>
                    <w:t>35.206054</w:t>
                  </w:r>
                </w:p>
              </w:tc>
              <w:tc>
                <w:tcPr>
                  <w:tcW w:w="554" w:type="pct"/>
                  <w:vAlign w:val="center"/>
                </w:tcPr>
                <w:p>
                  <w:pPr>
                    <w:jc w:val="center"/>
                    <w:rPr>
                      <w:szCs w:val="21"/>
                    </w:rPr>
                  </w:pPr>
                  <w:r>
                    <w:rPr>
                      <w:rFonts w:hint="eastAsia"/>
                      <w:szCs w:val="21"/>
                    </w:rPr>
                    <w:t>82.422</w:t>
                  </w:r>
                </w:p>
              </w:tc>
              <w:tc>
                <w:tcPr>
                  <w:tcW w:w="407" w:type="pct"/>
                  <w:vAlign w:val="center"/>
                </w:tcPr>
                <w:p>
                  <w:pPr>
                    <w:jc w:val="center"/>
                    <w:rPr>
                      <w:szCs w:val="21"/>
                    </w:rPr>
                  </w:pPr>
                  <w:r>
                    <w:rPr>
                      <w:rFonts w:hint="eastAsia"/>
                      <w:szCs w:val="21"/>
                    </w:rPr>
                    <w:t>15</w:t>
                  </w:r>
                </w:p>
              </w:tc>
              <w:tc>
                <w:tcPr>
                  <w:tcW w:w="418" w:type="pct"/>
                  <w:vAlign w:val="center"/>
                </w:tcPr>
                <w:p>
                  <w:pPr>
                    <w:jc w:val="center"/>
                    <w:rPr>
                      <w:szCs w:val="21"/>
                    </w:rPr>
                  </w:pPr>
                  <w:r>
                    <w:rPr>
                      <w:rFonts w:hint="eastAsia"/>
                      <w:szCs w:val="21"/>
                    </w:rPr>
                    <w:t>0.3</w:t>
                  </w:r>
                </w:p>
              </w:tc>
              <w:tc>
                <w:tcPr>
                  <w:tcW w:w="430" w:type="pct"/>
                  <w:vAlign w:val="center"/>
                </w:tcPr>
                <w:p>
                  <w:pPr>
                    <w:jc w:val="center"/>
                    <w:rPr>
                      <w:szCs w:val="21"/>
                    </w:rPr>
                  </w:pPr>
                  <w:r>
                    <w:rPr>
                      <w:rFonts w:hint="eastAsia"/>
                      <w:szCs w:val="21"/>
                    </w:rPr>
                    <w:t>298</w:t>
                  </w:r>
                </w:p>
              </w:tc>
              <w:tc>
                <w:tcPr>
                  <w:tcW w:w="441" w:type="pct"/>
                  <w:vAlign w:val="center"/>
                </w:tcPr>
                <w:p>
                  <w:pPr>
                    <w:jc w:val="center"/>
                    <w:rPr>
                      <w:szCs w:val="21"/>
                    </w:rPr>
                  </w:pPr>
                  <w:r>
                    <w:rPr>
                      <w:rFonts w:hint="eastAsia"/>
                      <w:szCs w:val="21"/>
                    </w:rPr>
                    <w:t>4080</w:t>
                  </w:r>
                </w:p>
              </w:tc>
              <w:tc>
                <w:tcPr>
                  <w:tcW w:w="306" w:type="pct"/>
                  <w:vAlign w:val="center"/>
                </w:tcPr>
                <w:p>
                  <w:pPr>
                    <w:jc w:val="center"/>
                    <w:rPr>
                      <w:szCs w:val="21"/>
                    </w:rPr>
                  </w:pPr>
                  <w:r>
                    <w:rPr>
                      <w:rFonts w:hint="eastAsia"/>
                      <w:szCs w:val="21"/>
                    </w:rPr>
                    <w:t>正常</w:t>
                  </w:r>
                </w:p>
              </w:tc>
              <w:tc>
                <w:tcPr>
                  <w:tcW w:w="317" w:type="pct"/>
                  <w:vAlign w:val="center"/>
                </w:tcPr>
                <w:p>
                  <w:pPr>
                    <w:jc w:val="center"/>
                    <w:rPr>
                      <w:szCs w:val="21"/>
                    </w:rPr>
                  </w:pPr>
                  <w:r>
                    <w:rPr>
                      <w:rFonts w:hint="eastAsia"/>
                      <w:szCs w:val="21"/>
                    </w:rPr>
                    <w:t>颗粒物</w:t>
                  </w:r>
                </w:p>
              </w:tc>
              <w:tc>
                <w:tcPr>
                  <w:tcW w:w="412" w:type="pct"/>
                  <w:vAlign w:val="center"/>
                </w:tcPr>
                <w:p>
                  <w:pPr>
                    <w:adjustRightInd w:val="0"/>
                    <w:snapToGrid w:val="0"/>
                    <w:jc w:val="center"/>
                    <w:textAlignment w:val="baseline"/>
                    <w:rPr>
                      <w:szCs w:val="21"/>
                    </w:rPr>
                  </w:pPr>
                  <w:r>
                    <w:rPr>
                      <w:rFonts w:hint="eastAsia"/>
                      <w:szCs w:val="21"/>
                    </w:rPr>
                    <w:t>0.</w:t>
                  </w:r>
                  <w:r>
                    <w:rPr>
                      <w:rStyle w:val="39"/>
                      <w:rFonts w:hint="eastAsia"/>
                      <w:kern w:val="0"/>
                      <w:szCs w:val="20"/>
                    </w:rPr>
                    <w:t>0352</w:t>
                  </w:r>
                </w:p>
              </w:tc>
            </w:tr>
          </w:tbl>
          <w:p>
            <w:pPr>
              <w:pStyle w:val="160"/>
              <w:spacing w:line="460" w:lineRule="exact"/>
              <w:ind w:left="482" w:firstLine="0"/>
              <w:rPr>
                <w:b/>
                <w:bCs/>
                <w:sz w:val="24"/>
              </w:rPr>
            </w:pPr>
            <w:r>
              <w:rPr>
                <w:rFonts w:hint="eastAsia"/>
                <w:b/>
                <w:bCs/>
                <w:sz w:val="24"/>
              </w:rPr>
              <w:t>8、监测要求</w:t>
            </w:r>
          </w:p>
          <w:p>
            <w:pPr>
              <w:spacing w:line="460" w:lineRule="exact"/>
              <w:ind w:firstLine="480" w:firstLineChars="200"/>
              <w:jc w:val="left"/>
              <w:textAlignment w:val="baseline"/>
              <w:rPr>
                <w:bCs/>
                <w:sz w:val="24"/>
              </w:rPr>
            </w:pPr>
            <w:r>
              <w:rPr>
                <w:bCs/>
                <w:sz w:val="24"/>
              </w:rPr>
              <w:t>结合《排污单位自行监测技术指南  总则》（HJ819-2017）和《排污单位自行监测技术指南  造纸工业》（HJ821-2017）的规定，评价提出项目在生产运行阶段的污染源监测计划，具体监测计划见下表</w:t>
            </w:r>
            <w:r>
              <w:rPr>
                <w:rFonts w:hint="eastAsia"/>
                <w:bCs/>
                <w:sz w:val="24"/>
              </w:rPr>
              <w:t>。</w:t>
            </w:r>
          </w:p>
          <w:p>
            <w:pPr>
              <w:spacing w:line="460" w:lineRule="exact"/>
              <w:ind w:firstLine="480" w:firstLineChars="200"/>
              <w:rPr>
                <w:rFonts w:eastAsia="黑体"/>
                <w:sz w:val="24"/>
              </w:rPr>
            </w:pPr>
            <w:r>
              <w:rPr>
                <w:rFonts w:hint="eastAsia" w:eastAsia="黑体"/>
                <w:sz w:val="24"/>
              </w:rPr>
              <w:t>表3</w:t>
            </w:r>
            <w:r>
              <w:rPr>
                <w:rFonts w:eastAsia="黑体"/>
                <w:sz w:val="24"/>
              </w:rPr>
              <w:t>2</w:t>
            </w:r>
            <w:r>
              <w:rPr>
                <w:rFonts w:hint="eastAsia" w:eastAsia="黑体"/>
                <w:sz w:val="24"/>
              </w:rPr>
              <w:t xml:space="preserve">                 污染源自行监测计划表</w:t>
            </w:r>
          </w:p>
          <w:tbl>
            <w:tblPr>
              <w:tblStyle w:val="31"/>
              <w:tblW w:w="785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1116"/>
              <w:gridCol w:w="1038"/>
              <w:gridCol w:w="1077"/>
              <w:gridCol w:w="1077"/>
              <w:gridCol w:w="354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154" w:type="dxa"/>
                  <w:gridSpan w:val="2"/>
                  <w:tcMar>
                    <w:top w:w="0" w:type="dxa"/>
                    <w:left w:w="28" w:type="dxa"/>
                    <w:bottom w:w="0" w:type="dxa"/>
                    <w:right w:w="28" w:type="dxa"/>
                  </w:tcMar>
                  <w:vAlign w:val="center"/>
                </w:tcPr>
                <w:p>
                  <w:pPr>
                    <w:autoSpaceDE w:val="0"/>
                    <w:autoSpaceDN w:val="0"/>
                    <w:adjustRightInd w:val="0"/>
                    <w:snapToGrid w:val="0"/>
                    <w:jc w:val="center"/>
                    <w:rPr>
                      <w:b/>
                      <w:bCs/>
                      <w:szCs w:val="21"/>
                    </w:rPr>
                  </w:pPr>
                  <w:r>
                    <w:rPr>
                      <w:b/>
                      <w:bCs/>
                      <w:szCs w:val="21"/>
                    </w:rPr>
                    <w:t>监测指标</w:t>
                  </w:r>
                </w:p>
              </w:tc>
              <w:tc>
                <w:tcPr>
                  <w:tcW w:w="1077" w:type="dxa"/>
                  <w:tcMar>
                    <w:top w:w="0" w:type="dxa"/>
                    <w:left w:w="28" w:type="dxa"/>
                    <w:bottom w:w="0" w:type="dxa"/>
                    <w:right w:w="28" w:type="dxa"/>
                  </w:tcMar>
                  <w:vAlign w:val="center"/>
                </w:tcPr>
                <w:p>
                  <w:pPr>
                    <w:autoSpaceDE w:val="0"/>
                    <w:autoSpaceDN w:val="0"/>
                    <w:adjustRightInd w:val="0"/>
                    <w:snapToGrid w:val="0"/>
                    <w:jc w:val="center"/>
                    <w:rPr>
                      <w:b/>
                      <w:bCs/>
                      <w:szCs w:val="21"/>
                    </w:rPr>
                  </w:pPr>
                  <w:r>
                    <w:rPr>
                      <w:b/>
                      <w:bCs/>
                      <w:szCs w:val="21"/>
                    </w:rPr>
                    <w:t>监测点位</w:t>
                  </w:r>
                </w:p>
              </w:tc>
              <w:tc>
                <w:tcPr>
                  <w:tcW w:w="1077" w:type="dxa"/>
                  <w:tcMar>
                    <w:top w:w="0" w:type="dxa"/>
                    <w:left w:w="28" w:type="dxa"/>
                    <w:bottom w:w="0" w:type="dxa"/>
                    <w:right w:w="28" w:type="dxa"/>
                  </w:tcMar>
                  <w:vAlign w:val="center"/>
                </w:tcPr>
                <w:p>
                  <w:pPr>
                    <w:autoSpaceDE w:val="0"/>
                    <w:autoSpaceDN w:val="0"/>
                    <w:adjustRightInd w:val="0"/>
                    <w:snapToGrid w:val="0"/>
                    <w:jc w:val="center"/>
                    <w:rPr>
                      <w:b/>
                      <w:bCs/>
                      <w:szCs w:val="21"/>
                    </w:rPr>
                  </w:pPr>
                  <w:r>
                    <w:rPr>
                      <w:b/>
                      <w:bCs/>
                      <w:szCs w:val="21"/>
                    </w:rPr>
                    <w:t>监测频次</w:t>
                  </w:r>
                </w:p>
              </w:tc>
              <w:tc>
                <w:tcPr>
                  <w:tcW w:w="3544" w:type="dxa"/>
                  <w:tcMar>
                    <w:top w:w="0" w:type="dxa"/>
                    <w:left w:w="28" w:type="dxa"/>
                    <w:bottom w:w="0" w:type="dxa"/>
                    <w:right w:w="28" w:type="dxa"/>
                  </w:tcMar>
                  <w:vAlign w:val="center"/>
                </w:tcPr>
                <w:p>
                  <w:pPr>
                    <w:autoSpaceDE w:val="0"/>
                    <w:autoSpaceDN w:val="0"/>
                    <w:adjustRightInd w:val="0"/>
                    <w:snapToGrid w:val="0"/>
                    <w:jc w:val="center"/>
                    <w:rPr>
                      <w:b/>
                      <w:bCs/>
                      <w:szCs w:val="21"/>
                    </w:rPr>
                  </w:pPr>
                  <w:r>
                    <w:rPr>
                      <w:b/>
                      <w:bCs/>
                      <w:szCs w:val="21"/>
                    </w:rPr>
                    <w:t>执行排放标准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7852" w:type="dxa"/>
                  <w:gridSpan w:val="5"/>
                  <w:tcMar>
                    <w:top w:w="0" w:type="dxa"/>
                    <w:left w:w="28" w:type="dxa"/>
                    <w:bottom w:w="0" w:type="dxa"/>
                    <w:right w:w="28" w:type="dxa"/>
                  </w:tcMar>
                  <w:vAlign w:val="center"/>
                </w:tcPr>
                <w:p>
                  <w:pPr>
                    <w:autoSpaceDE w:val="0"/>
                    <w:autoSpaceDN w:val="0"/>
                    <w:adjustRightInd w:val="0"/>
                    <w:snapToGrid w:val="0"/>
                    <w:jc w:val="center"/>
                    <w:rPr>
                      <w:b/>
                      <w:bCs/>
                      <w:szCs w:val="21"/>
                    </w:rPr>
                  </w:pPr>
                  <w:r>
                    <w:rPr>
                      <w:b/>
                      <w:szCs w:val="21"/>
                    </w:rPr>
                    <w:t>有组织废气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52" w:hRule="atLeast"/>
                <w:jc w:val="center"/>
              </w:trPr>
              <w:tc>
                <w:tcPr>
                  <w:tcW w:w="1116"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颗粒物</w:t>
                  </w:r>
                </w:p>
              </w:tc>
              <w:tc>
                <w:tcPr>
                  <w:tcW w:w="1038"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浓度、速率、废气量</w:t>
                  </w:r>
                </w:p>
              </w:tc>
              <w:tc>
                <w:tcPr>
                  <w:tcW w:w="1077" w:type="dxa"/>
                  <w:tcMar>
                    <w:top w:w="0" w:type="dxa"/>
                    <w:left w:w="28" w:type="dxa"/>
                    <w:bottom w:w="0" w:type="dxa"/>
                    <w:right w:w="28" w:type="dxa"/>
                  </w:tcMar>
                  <w:vAlign w:val="center"/>
                </w:tcPr>
                <w:p>
                  <w:pPr>
                    <w:autoSpaceDE w:val="0"/>
                    <w:autoSpaceDN w:val="0"/>
                    <w:adjustRightInd w:val="0"/>
                    <w:snapToGrid w:val="0"/>
                    <w:jc w:val="center"/>
                    <w:rPr>
                      <w:szCs w:val="21"/>
                    </w:rPr>
                  </w:pPr>
                  <w:r>
                    <w:rPr>
                      <w:rFonts w:hint="eastAsia"/>
                      <w:szCs w:val="21"/>
                    </w:rPr>
                    <w:t>15m高</w:t>
                  </w:r>
                  <w:r>
                    <w:rPr>
                      <w:szCs w:val="21"/>
                    </w:rPr>
                    <w:t>排气筒</w:t>
                  </w:r>
                </w:p>
              </w:tc>
              <w:tc>
                <w:tcPr>
                  <w:tcW w:w="1077"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1次/</w:t>
                  </w:r>
                  <w:r>
                    <w:rPr>
                      <w:rFonts w:hint="eastAsia"/>
                      <w:szCs w:val="21"/>
                    </w:rPr>
                    <w:t>两</w:t>
                  </w:r>
                  <w:r>
                    <w:rPr>
                      <w:szCs w:val="21"/>
                    </w:rPr>
                    <w:t>年</w:t>
                  </w:r>
                </w:p>
                <w:p>
                  <w:pPr>
                    <w:autoSpaceDE w:val="0"/>
                    <w:autoSpaceDN w:val="0"/>
                    <w:adjustRightInd w:val="0"/>
                    <w:snapToGrid w:val="0"/>
                    <w:jc w:val="center"/>
                  </w:pPr>
                  <w:r>
                    <w:rPr>
                      <w:rFonts w:hint="eastAsia"/>
                      <w:szCs w:val="21"/>
                    </w:rPr>
                    <w:t>每次两天</w:t>
                  </w:r>
                </w:p>
              </w:tc>
              <w:tc>
                <w:tcPr>
                  <w:tcW w:w="3544" w:type="dxa"/>
                  <w:tcMar>
                    <w:top w:w="0" w:type="dxa"/>
                    <w:left w:w="28" w:type="dxa"/>
                    <w:bottom w:w="0" w:type="dxa"/>
                    <w:right w:w="28" w:type="dxa"/>
                  </w:tcMar>
                  <w:vAlign w:val="center"/>
                </w:tcPr>
                <w:p>
                  <w:pPr>
                    <w:autoSpaceDE w:val="0"/>
                    <w:autoSpaceDN w:val="0"/>
                    <w:adjustRightInd w:val="0"/>
                    <w:snapToGrid w:val="0"/>
                    <w:jc w:val="center"/>
                    <w:rPr>
                      <w:szCs w:val="21"/>
                    </w:rPr>
                  </w:pPr>
                  <w:r>
                    <w:rPr>
                      <w:color w:val="000000"/>
                      <w:szCs w:val="21"/>
                    </w:rPr>
                    <w:t>《新乡市生态环境局关于进一步规范工业企业颗粒物排放限值的通知》有组织颗粒物</w:t>
                  </w:r>
                  <w:r>
                    <w:rPr>
                      <w:rFonts w:hint="eastAsia"/>
                      <w:color w:val="000000"/>
                      <w:szCs w:val="21"/>
                    </w:rPr>
                    <w:t>：</w:t>
                  </w:r>
                  <w:r>
                    <w:rPr>
                      <w:color w:val="000000"/>
                      <w:szCs w:val="21"/>
                    </w:rPr>
                    <w:t>10mg/m</w:t>
                  </w:r>
                  <w:r>
                    <w:rPr>
                      <w:color w:val="000000"/>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7852" w:type="dxa"/>
                  <w:gridSpan w:val="5"/>
                  <w:tcMar>
                    <w:top w:w="0" w:type="dxa"/>
                    <w:left w:w="28" w:type="dxa"/>
                    <w:bottom w:w="0" w:type="dxa"/>
                    <w:right w:w="28" w:type="dxa"/>
                  </w:tcMar>
                  <w:vAlign w:val="center"/>
                </w:tcPr>
                <w:p>
                  <w:pPr>
                    <w:autoSpaceDE w:val="0"/>
                    <w:autoSpaceDN w:val="0"/>
                    <w:adjustRightInd w:val="0"/>
                    <w:snapToGrid w:val="0"/>
                    <w:jc w:val="center"/>
                    <w:rPr>
                      <w:szCs w:val="21"/>
                    </w:rPr>
                  </w:pPr>
                  <w:r>
                    <w:rPr>
                      <w:b/>
                      <w:szCs w:val="21"/>
                    </w:rPr>
                    <w:t>无组织废气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116"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颗粒物</w:t>
                  </w:r>
                </w:p>
              </w:tc>
              <w:tc>
                <w:tcPr>
                  <w:tcW w:w="1038"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排放浓度</w:t>
                  </w:r>
                </w:p>
              </w:tc>
              <w:tc>
                <w:tcPr>
                  <w:tcW w:w="1077"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四周厂界</w:t>
                  </w:r>
                </w:p>
              </w:tc>
              <w:tc>
                <w:tcPr>
                  <w:tcW w:w="1077"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1次/</w:t>
                  </w:r>
                  <w:r>
                    <w:rPr>
                      <w:rFonts w:hint="eastAsia"/>
                      <w:szCs w:val="21"/>
                    </w:rPr>
                    <w:t>季度</w:t>
                  </w:r>
                </w:p>
                <w:p>
                  <w:pPr>
                    <w:autoSpaceDE w:val="0"/>
                    <w:autoSpaceDN w:val="0"/>
                    <w:adjustRightInd w:val="0"/>
                    <w:snapToGrid w:val="0"/>
                    <w:jc w:val="center"/>
                  </w:pPr>
                  <w:r>
                    <w:rPr>
                      <w:rFonts w:hint="eastAsia"/>
                      <w:szCs w:val="21"/>
                    </w:rPr>
                    <w:t>每次两天</w:t>
                  </w:r>
                </w:p>
              </w:tc>
              <w:tc>
                <w:tcPr>
                  <w:tcW w:w="3544" w:type="dxa"/>
                  <w:tcMar>
                    <w:top w:w="0" w:type="dxa"/>
                    <w:left w:w="28" w:type="dxa"/>
                    <w:bottom w:w="0" w:type="dxa"/>
                    <w:right w:w="28" w:type="dxa"/>
                  </w:tcMar>
                  <w:vAlign w:val="center"/>
                </w:tcPr>
                <w:p>
                  <w:pPr>
                    <w:autoSpaceDE w:val="0"/>
                    <w:autoSpaceDN w:val="0"/>
                    <w:adjustRightInd w:val="0"/>
                    <w:snapToGrid w:val="0"/>
                    <w:jc w:val="center"/>
                    <w:rPr>
                      <w:b/>
                      <w:szCs w:val="21"/>
                      <w:u w:val="single"/>
                    </w:rPr>
                  </w:pPr>
                  <w:r>
                    <w:rPr>
                      <w:color w:val="000000"/>
                      <w:szCs w:val="21"/>
                    </w:rPr>
                    <w:t>《新乡市生态环境局关于进一步规范工业企业颗粒物排放限值的通知》</w:t>
                  </w:r>
                  <w:r>
                    <w:rPr>
                      <w:rFonts w:hint="eastAsia"/>
                      <w:color w:val="000000"/>
                      <w:szCs w:val="21"/>
                    </w:rPr>
                    <w:t>无组织</w:t>
                  </w:r>
                  <w:r>
                    <w:rPr>
                      <w:color w:val="000000"/>
                      <w:szCs w:val="21"/>
                    </w:rPr>
                    <w:t>颗粒物</w:t>
                  </w:r>
                  <w:r>
                    <w:rPr>
                      <w:rFonts w:hint="eastAsia"/>
                      <w:color w:val="000000"/>
                      <w:szCs w:val="21"/>
                    </w:rPr>
                    <w:t>：</w:t>
                  </w:r>
                  <w:r>
                    <w:rPr>
                      <w:color w:val="000000"/>
                      <w:szCs w:val="21"/>
                    </w:rPr>
                    <w:t>0.5mg/m</w:t>
                  </w:r>
                  <w:r>
                    <w:rPr>
                      <w:color w:val="000000"/>
                      <w:szCs w:val="21"/>
                      <w:vertAlign w:val="superscript"/>
                    </w:rPr>
                    <w:t>3</w:t>
                  </w:r>
                </w:p>
              </w:tc>
            </w:tr>
          </w:tbl>
          <w:p>
            <w:pPr>
              <w:widowControl/>
              <w:adjustRightInd w:val="0"/>
              <w:spacing w:line="460" w:lineRule="exact"/>
              <w:ind w:firstLine="480" w:firstLineChars="200"/>
              <w:jc w:val="left"/>
              <w:rPr>
                <w:kern w:val="0"/>
                <w:sz w:val="24"/>
              </w:rPr>
            </w:pPr>
            <w:r>
              <w:rPr>
                <w:rFonts w:hint="eastAsia"/>
                <w:kern w:val="0"/>
                <w:sz w:val="24"/>
              </w:rPr>
              <w:t>综上所述，</w:t>
            </w:r>
            <w:r>
              <w:rPr>
                <w:rFonts w:hint="eastAsia"/>
                <w:sz w:val="24"/>
              </w:rPr>
              <w:t>经治理后的废气能够</w:t>
            </w:r>
            <w:r>
              <w:rPr>
                <w:sz w:val="24"/>
              </w:rPr>
              <w:t>能够满足</w:t>
            </w:r>
            <w:r>
              <w:rPr>
                <w:rFonts w:hint="eastAsia"/>
                <w:bCs/>
                <w:sz w:val="24"/>
              </w:rPr>
              <w:t>《新乡市生态环境局关于进一步规范工业企业颗粒物排放限值的通知》</w:t>
            </w:r>
            <w:r>
              <w:rPr>
                <w:sz w:val="24"/>
              </w:rPr>
              <w:t>排放限值有组织颗粒物10mg/m</w:t>
            </w:r>
            <w:r>
              <w:rPr>
                <w:sz w:val="24"/>
                <w:vertAlign w:val="superscript"/>
              </w:rPr>
              <w:t>3</w:t>
            </w:r>
            <w:r>
              <w:rPr>
                <w:rFonts w:hint="eastAsia"/>
                <w:sz w:val="24"/>
              </w:rPr>
              <w:t>、无组织颗粒物0.5</w:t>
            </w:r>
            <w:r>
              <w:rPr>
                <w:sz w:val="24"/>
              </w:rPr>
              <w:t>mg/m</w:t>
            </w:r>
            <w:r>
              <w:rPr>
                <w:sz w:val="24"/>
                <w:vertAlign w:val="superscript"/>
              </w:rPr>
              <w:t>3</w:t>
            </w:r>
            <w:r>
              <w:rPr>
                <w:sz w:val="24"/>
              </w:rPr>
              <w:t>的要求</w:t>
            </w:r>
            <w:r>
              <w:rPr>
                <w:rFonts w:hint="eastAsia"/>
                <w:bCs/>
                <w:sz w:val="24"/>
              </w:rPr>
              <w:t>。</w:t>
            </w:r>
            <w:r>
              <w:rPr>
                <w:rFonts w:hint="eastAsia" w:ascii="宋体" w:hAnsi="宋体"/>
                <w:sz w:val="24"/>
              </w:rPr>
              <w:t>本项目营运期废气经治理后对厂界外</w:t>
            </w:r>
            <w:r>
              <w:rPr>
                <w:sz w:val="24"/>
              </w:rPr>
              <w:t>500米范围内的环境保护目标影响较小</w:t>
            </w:r>
            <w:r>
              <w:rPr>
                <w:rFonts w:hint="eastAsia"/>
                <w:sz w:val="24"/>
              </w:rPr>
              <w:t>。</w:t>
            </w:r>
          </w:p>
          <w:p>
            <w:pPr>
              <w:spacing w:line="460" w:lineRule="exact"/>
              <w:ind w:firstLine="482" w:firstLineChars="200"/>
              <w:jc w:val="left"/>
              <w:rPr>
                <w:b/>
                <w:sz w:val="24"/>
              </w:rPr>
            </w:pPr>
            <w:r>
              <w:rPr>
                <w:rFonts w:hint="eastAsia"/>
                <w:b/>
                <w:sz w:val="24"/>
              </w:rPr>
              <w:t>二、废水</w:t>
            </w:r>
          </w:p>
          <w:p>
            <w:pPr>
              <w:spacing w:line="460" w:lineRule="exact"/>
              <w:ind w:firstLine="480" w:firstLineChars="200"/>
              <w:jc w:val="left"/>
              <w:rPr>
                <w:sz w:val="24"/>
              </w:rPr>
            </w:pPr>
            <w:r>
              <w:rPr>
                <w:rFonts w:hint="eastAsia"/>
                <w:sz w:val="24"/>
              </w:rPr>
              <w:t>项目废水主要为配料罐、分散罐清洗废水，直接回用于瓷土配料工序，不外排。</w:t>
            </w:r>
          </w:p>
          <w:p>
            <w:pPr>
              <w:spacing w:line="460" w:lineRule="exact"/>
              <w:ind w:firstLine="480" w:firstLineChars="200"/>
              <w:jc w:val="left"/>
              <w:rPr>
                <w:sz w:val="24"/>
              </w:rPr>
            </w:pPr>
            <w:r>
              <w:rPr>
                <w:rFonts w:hint="eastAsia"/>
                <w:sz w:val="24"/>
              </w:rPr>
              <w:t>1、生活污水</w:t>
            </w:r>
          </w:p>
          <w:p>
            <w:pPr>
              <w:spacing w:line="460" w:lineRule="exact"/>
              <w:ind w:firstLine="480" w:firstLineChars="200"/>
              <w:jc w:val="left"/>
              <w:rPr>
                <w:rFonts w:cs="Calibri"/>
                <w:sz w:val="24"/>
              </w:rPr>
            </w:pPr>
            <w:r>
              <w:rPr>
                <w:rFonts w:hint="eastAsia"/>
                <w:sz w:val="24"/>
              </w:rPr>
              <w:t>本项目员工从现有项目中调剂20人，不新增员工，因此生活污水不发生变化</w:t>
            </w:r>
            <w:r>
              <w:rPr>
                <w:rFonts w:hint="eastAsia" w:cs="Calibri"/>
                <w:sz w:val="24"/>
              </w:rPr>
              <w:t>。</w:t>
            </w:r>
          </w:p>
          <w:p>
            <w:pPr>
              <w:numPr>
                <w:ilvl w:val="0"/>
                <w:numId w:val="4"/>
              </w:numPr>
              <w:spacing w:line="460" w:lineRule="exact"/>
              <w:jc w:val="left"/>
              <w:rPr>
                <w:sz w:val="24"/>
              </w:rPr>
            </w:pPr>
            <w:r>
              <w:rPr>
                <w:rFonts w:hint="eastAsia"/>
                <w:sz w:val="24"/>
              </w:rPr>
              <w:t>配料罐、分散罐清洗废水</w:t>
            </w:r>
          </w:p>
          <w:p>
            <w:pPr>
              <w:spacing w:line="480" w:lineRule="exact"/>
              <w:ind w:firstLine="480" w:firstLineChars="200"/>
              <w:rPr>
                <w:sz w:val="24"/>
                <w:szCs w:val="32"/>
              </w:rPr>
            </w:pPr>
            <w:r>
              <w:rPr>
                <w:rFonts w:hint="eastAsia"/>
                <w:sz w:val="24"/>
                <w:szCs w:val="32"/>
              </w:rPr>
              <w:t>本项目储存罐不需要清洗，配料罐（2个）及分散罐（2个）在每月停机检修时需要清洗，每次清洗用水量为50L/个•次，故该部分废水产生量为2.4t/a。该部分清洗水含有较多原料，可回用于瓷土配料中。瓷土配料时用水比例为瓷土：水=10:1，故配料用水量为30.2t/a。清洗水量远小于瓷土配料所需水量，故清洗水回用于瓷土配料措施可行。</w:t>
            </w:r>
          </w:p>
          <w:p>
            <w:pPr>
              <w:spacing w:line="460" w:lineRule="exact"/>
              <w:ind w:firstLine="482" w:firstLineChars="200"/>
              <w:jc w:val="left"/>
              <w:rPr>
                <w:b/>
                <w:sz w:val="24"/>
              </w:rPr>
            </w:pPr>
            <w:r>
              <w:rPr>
                <w:rFonts w:ascii="宋体" w:hAnsi="宋体"/>
                <w:b/>
                <w:sz w:val="24"/>
              </w:rPr>
              <w:t>三、噪声</w:t>
            </w:r>
          </w:p>
          <w:p>
            <w:pPr>
              <w:spacing w:line="440" w:lineRule="exact"/>
              <w:ind w:firstLine="482" w:firstLineChars="200"/>
              <w:rPr>
                <w:b/>
                <w:sz w:val="24"/>
              </w:rPr>
            </w:pPr>
            <w:r>
              <w:rPr>
                <w:b/>
                <w:sz w:val="24"/>
              </w:rPr>
              <w:t>1</w:t>
            </w:r>
            <w:r>
              <w:rPr>
                <w:rFonts w:ascii="宋体" w:hAnsi="宋体"/>
                <w:b/>
                <w:sz w:val="24"/>
              </w:rPr>
              <w:t>、噪声源强</w:t>
            </w:r>
          </w:p>
          <w:p>
            <w:pPr>
              <w:spacing w:line="440" w:lineRule="exact"/>
              <w:ind w:firstLine="480" w:firstLineChars="200"/>
              <w:rPr>
                <w:sz w:val="24"/>
              </w:rPr>
            </w:pPr>
            <w:r>
              <w:rPr>
                <w:rFonts w:ascii="宋体" w:hAnsi="宋体"/>
                <w:sz w:val="24"/>
              </w:rPr>
              <w:t>本项目营运期噪声主要来源于涂布车间</w:t>
            </w:r>
            <w:r>
              <w:rPr>
                <w:rFonts w:hint="eastAsia" w:ascii="宋体" w:hAnsi="宋体"/>
                <w:sz w:val="24"/>
              </w:rPr>
              <w:t>涂布机的</w:t>
            </w:r>
            <w:r>
              <w:rPr>
                <w:rFonts w:ascii="宋体" w:hAnsi="宋体"/>
                <w:sz w:val="24"/>
              </w:rPr>
              <w:t>设备噪声，浆钙制备车间研磨机</w:t>
            </w:r>
            <w:r>
              <w:rPr>
                <w:rFonts w:hint="eastAsia" w:ascii="宋体" w:hAnsi="宋体"/>
                <w:sz w:val="24"/>
              </w:rPr>
              <w:t>、</w:t>
            </w:r>
            <w:r>
              <w:rPr>
                <w:rFonts w:ascii="宋体" w:hAnsi="宋体"/>
                <w:sz w:val="24"/>
              </w:rPr>
              <w:t>输送泵</w:t>
            </w:r>
            <w:r>
              <w:rPr>
                <w:rFonts w:hint="eastAsia" w:ascii="宋体" w:hAnsi="宋体"/>
                <w:sz w:val="24"/>
              </w:rPr>
              <w:t>、</w:t>
            </w:r>
            <w:r>
              <w:rPr>
                <w:rFonts w:ascii="宋体" w:hAnsi="宋体"/>
                <w:sz w:val="24"/>
              </w:rPr>
              <w:t>振动筛的设备噪声</w:t>
            </w:r>
            <w:r>
              <w:rPr>
                <w:rFonts w:hint="eastAsia" w:ascii="宋体" w:hAnsi="宋体"/>
                <w:sz w:val="24"/>
              </w:rPr>
              <w:t>。</w:t>
            </w:r>
            <w:r>
              <w:rPr>
                <w:rFonts w:ascii="宋体" w:hAnsi="宋体"/>
                <w:sz w:val="24"/>
              </w:rPr>
              <w:t>噪声源强一般在</w:t>
            </w:r>
            <w:r>
              <w:rPr>
                <w:rFonts w:hint="eastAsia"/>
                <w:sz w:val="24"/>
              </w:rPr>
              <w:t>80</w:t>
            </w:r>
            <w:r>
              <w:rPr>
                <w:sz w:val="24"/>
              </w:rPr>
              <w:t>~</w:t>
            </w:r>
            <w:r>
              <w:rPr>
                <w:rFonts w:hint="eastAsia"/>
                <w:sz w:val="24"/>
              </w:rPr>
              <w:t>95</w:t>
            </w:r>
            <w:r>
              <w:rPr>
                <w:sz w:val="24"/>
              </w:rPr>
              <w:t>dB</w:t>
            </w:r>
            <w:r>
              <w:rPr>
                <w:rFonts w:hint="eastAsia"/>
                <w:sz w:val="24"/>
              </w:rPr>
              <w:t>(</w:t>
            </w:r>
            <w:r>
              <w:rPr>
                <w:sz w:val="24"/>
              </w:rPr>
              <w:t>A</w:t>
            </w:r>
            <w:r>
              <w:rPr>
                <w:rFonts w:hint="eastAsia"/>
                <w:sz w:val="24"/>
              </w:rPr>
              <w:t>)</w:t>
            </w:r>
            <w:r>
              <w:rPr>
                <w:rFonts w:ascii="宋体" w:hAnsi="宋体"/>
                <w:sz w:val="24"/>
              </w:rPr>
              <w:t>之间，本项目主要噪声源的等效声级及治理情况见下表。</w:t>
            </w:r>
          </w:p>
          <w:p>
            <w:pPr>
              <w:spacing w:line="440" w:lineRule="exact"/>
              <w:ind w:firstLine="480" w:firstLineChars="200"/>
              <w:rPr>
                <w:rFonts w:eastAsia="黑体"/>
                <w:sz w:val="24"/>
              </w:rPr>
            </w:pPr>
            <w:r>
              <w:rPr>
                <w:rFonts w:ascii="黑体" w:hAnsi="黑体" w:eastAsia="黑体"/>
                <w:sz w:val="24"/>
              </w:rPr>
              <w:t>表</w:t>
            </w:r>
            <w:r>
              <w:rPr>
                <w:rFonts w:hint="eastAsia" w:eastAsia="黑体"/>
                <w:sz w:val="24"/>
              </w:rPr>
              <w:t>3</w:t>
            </w:r>
            <w:r>
              <w:rPr>
                <w:rFonts w:eastAsia="黑体"/>
                <w:sz w:val="24"/>
              </w:rPr>
              <w:t xml:space="preserve">3          </w:t>
            </w:r>
            <w:r>
              <w:rPr>
                <w:rFonts w:hint="eastAsia" w:eastAsia="黑体"/>
                <w:sz w:val="24"/>
              </w:rPr>
              <w:t xml:space="preserve"> </w:t>
            </w:r>
            <w:r>
              <w:rPr>
                <w:rFonts w:ascii="黑体" w:hAnsi="黑体" w:eastAsia="黑体"/>
                <w:sz w:val="24"/>
              </w:rPr>
              <w:t>项目主要噪声源强及治理效果一览表</w:t>
            </w:r>
          </w:p>
          <w:tbl>
            <w:tblPr>
              <w:tblStyle w:val="3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4"/>
              <w:gridCol w:w="1286"/>
              <w:gridCol w:w="1039"/>
              <w:gridCol w:w="1137"/>
              <w:gridCol w:w="1177"/>
              <w:gridCol w:w="850"/>
              <w:gridCol w:w="1212"/>
              <w:gridCol w:w="75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2" w:type="dxa"/>
                  <w:tcBorders>
                    <w:top w:val="single" w:color="auto" w:sz="8" w:space="0"/>
                    <w:left w:val="nil"/>
                    <w:bottom w:val="single" w:color="auto" w:sz="4" w:space="0"/>
                    <w:right w:val="single" w:color="auto" w:sz="4" w:space="0"/>
                  </w:tcBorders>
                  <w:vAlign w:val="center"/>
                </w:tcPr>
                <w:p>
                  <w:pPr>
                    <w:jc w:val="center"/>
                    <w:rPr>
                      <w:b/>
                      <w:bCs/>
                      <w:szCs w:val="21"/>
                    </w:rPr>
                  </w:pPr>
                  <w:r>
                    <w:rPr>
                      <w:b/>
                      <w:bCs/>
                    </w:rPr>
                    <w:t>序号</w:t>
                  </w:r>
                </w:p>
              </w:tc>
              <w:tc>
                <w:tcPr>
                  <w:tcW w:w="1288" w:type="dxa"/>
                  <w:tcBorders>
                    <w:top w:val="single" w:color="auto" w:sz="8" w:space="0"/>
                    <w:left w:val="single" w:color="auto" w:sz="4" w:space="0"/>
                    <w:bottom w:val="single" w:color="auto" w:sz="4" w:space="0"/>
                    <w:right w:val="single" w:color="auto" w:sz="4" w:space="0"/>
                  </w:tcBorders>
                  <w:vAlign w:val="center"/>
                </w:tcPr>
                <w:p>
                  <w:pPr>
                    <w:jc w:val="center"/>
                    <w:rPr>
                      <w:b/>
                      <w:bCs/>
                      <w:szCs w:val="21"/>
                    </w:rPr>
                  </w:pPr>
                  <w:r>
                    <w:rPr>
                      <w:b/>
                      <w:bCs/>
                    </w:rPr>
                    <w:t>高噪声设备</w:t>
                  </w:r>
                </w:p>
              </w:tc>
              <w:tc>
                <w:tcPr>
                  <w:tcW w:w="1039" w:type="dxa"/>
                  <w:tcBorders>
                    <w:top w:val="single" w:color="auto" w:sz="8" w:space="0"/>
                    <w:left w:val="single" w:color="auto" w:sz="4" w:space="0"/>
                    <w:bottom w:val="single" w:color="auto" w:sz="4" w:space="0"/>
                    <w:right w:val="single" w:color="auto" w:sz="4" w:space="0"/>
                  </w:tcBorders>
                  <w:vAlign w:val="center"/>
                </w:tcPr>
                <w:p>
                  <w:pPr>
                    <w:jc w:val="center"/>
                    <w:rPr>
                      <w:b/>
                      <w:bCs/>
                      <w:szCs w:val="21"/>
                    </w:rPr>
                  </w:pPr>
                  <w:r>
                    <w:rPr>
                      <w:b/>
                      <w:bCs/>
                    </w:rPr>
                    <w:t>设备源强dB(A)</w:t>
                  </w:r>
                </w:p>
              </w:tc>
              <w:tc>
                <w:tcPr>
                  <w:tcW w:w="1138" w:type="dxa"/>
                  <w:tcBorders>
                    <w:top w:val="single" w:color="auto" w:sz="8" w:space="0"/>
                    <w:left w:val="single" w:color="auto" w:sz="4" w:space="0"/>
                    <w:bottom w:val="single" w:color="auto" w:sz="4" w:space="0"/>
                    <w:right w:val="single" w:color="auto" w:sz="4" w:space="0"/>
                  </w:tcBorders>
                  <w:vAlign w:val="center"/>
                </w:tcPr>
                <w:p>
                  <w:pPr>
                    <w:jc w:val="center"/>
                    <w:rPr>
                      <w:b/>
                      <w:bCs/>
                      <w:szCs w:val="21"/>
                    </w:rPr>
                  </w:pPr>
                  <w:r>
                    <w:rPr>
                      <w:b/>
                      <w:bCs/>
                    </w:rPr>
                    <w:t>治理措施</w:t>
                  </w:r>
                </w:p>
              </w:tc>
              <w:tc>
                <w:tcPr>
                  <w:tcW w:w="1178" w:type="dxa"/>
                  <w:tcBorders>
                    <w:top w:val="single" w:color="auto" w:sz="8" w:space="0"/>
                    <w:left w:val="single" w:color="auto" w:sz="4" w:space="0"/>
                    <w:bottom w:val="single" w:color="auto" w:sz="4" w:space="0"/>
                    <w:right w:val="single" w:color="auto" w:sz="4" w:space="0"/>
                  </w:tcBorders>
                  <w:vAlign w:val="center"/>
                </w:tcPr>
                <w:p>
                  <w:pPr>
                    <w:jc w:val="center"/>
                    <w:rPr>
                      <w:b/>
                      <w:bCs/>
                      <w:szCs w:val="21"/>
                    </w:rPr>
                  </w:pPr>
                  <w:r>
                    <w:rPr>
                      <w:b/>
                      <w:bCs/>
                    </w:rPr>
                    <w:t>声压级</w:t>
                  </w:r>
                </w:p>
                <w:p>
                  <w:pPr>
                    <w:jc w:val="center"/>
                    <w:rPr>
                      <w:b/>
                      <w:bCs/>
                      <w:szCs w:val="21"/>
                    </w:rPr>
                  </w:pPr>
                  <w:r>
                    <w:rPr>
                      <w:b/>
                      <w:bCs/>
                    </w:rPr>
                    <w:t>治理前</w:t>
                  </w:r>
                </w:p>
              </w:tc>
              <w:tc>
                <w:tcPr>
                  <w:tcW w:w="849" w:type="dxa"/>
                  <w:tcBorders>
                    <w:top w:val="single" w:color="auto" w:sz="8" w:space="0"/>
                    <w:left w:val="single" w:color="auto" w:sz="4" w:space="0"/>
                    <w:bottom w:val="single" w:color="auto" w:sz="4" w:space="0"/>
                    <w:right w:val="single" w:color="auto" w:sz="4" w:space="0"/>
                  </w:tcBorders>
                  <w:vAlign w:val="center"/>
                </w:tcPr>
                <w:p>
                  <w:pPr>
                    <w:jc w:val="center"/>
                    <w:rPr>
                      <w:b/>
                      <w:bCs/>
                      <w:szCs w:val="21"/>
                    </w:rPr>
                  </w:pPr>
                  <w:r>
                    <w:rPr>
                      <w:b/>
                      <w:bCs/>
                    </w:rPr>
                    <w:t>数量（台）</w:t>
                  </w:r>
                </w:p>
              </w:tc>
              <w:tc>
                <w:tcPr>
                  <w:tcW w:w="1213" w:type="dxa"/>
                  <w:tcBorders>
                    <w:top w:val="single" w:color="auto" w:sz="8" w:space="0"/>
                    <w:left w:val="single" w:color="auto" w:sz="4" w:space="0"/>
                    <w:bottom w:val="single" w:color="auto" w:sz="4" w:space="0"/>
                    <w:right w:val="single" w:color="auto" w:sz="4" w:space="0"/>
                  </w:tcBorders>
                  <w:vAlign w:val="center"/>
                </w:tcPr>
                <w:p>
                  <w:pPr>
                    <w:jc w:val="center"/>
                    <w:rPr>
                      <w:b/>
                      <w:bCs/>
                      <w:szCs w:val="21"/>
                    </w:rPr>
                  </w:pPr>
                  <w:r>
                    <w:rPr>
                      <w:b/>
                      <w:bCs/>
                    </w:rPr>
                    <w:t>设备源强叠加值dB(A)</w:t>
                  </w:r>
                </w:p>
              </w:tc>
              <w:tc>
                <w:tcPr>
                  <w:tcW w:w="751" w:type="dxa"/>
                  <w:tcBorders>
                    <w:top w:val="single" w:color="auto" w:sz="8" w:space="0"/>
                    <w:left w:val="single" w:color="auto" w:sz="4" w:space="0"/>
                    <w:bottom w:val="single" w:color="auto" w:sz="4" w:space="0"/>
                    <w:right w:val="nil"/>
                  </w:tcBorders>
                  <w:vAlign w:val="center"/>
                </w:tcPr>
                <w:p>
                  <w:pPr>
                    <w:jc w:val="center"/>
                    <w:rPr>
                      <w:b/>
                      <w:bCs/>
                      <w:szCs w:val="21"/>
                    </w:rPr>
                  </w:pPr>
                  <w:r>
                    <w:rPr>
                      <w:b/>
                      <w:bCs/>
                    </w:rPr>
                    <w:t>位置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2" w:type="dxa"/>
                  <w:tcBorders>
                    <w:top w:val="single" w:color="auto" w:sz="4" w:space="0"/>
                    <w:left w:val="nil"/>
                    <w:bottom w:val="single" w:color="auto" w:sz="4" w:space="0"/>
                    <w:right w:val="single" w:color="auto" w:sz="4" w:space="0"/>
                  </w:tcBorders>
                  <w:vAlign w:val="center"/>
                </w:tcPr>
                <w:p>
                  <w:pPr>
                    <w:jc w:val="center"/>
                    <w:rPr>
                      <w:rFonts w:eastAsia="黑体"/>
                      <w:szCs w:val="21"/>
                    </w:rPr>
                  </w:pPr>
                  <w:r>
                    <w:rPr>
                      <w:rFonts w:eastAsia="黑体"/>
                    </w:rPr>
                    <w:t>1</w:t>
                  </w:r>
                </w:p>
              </w:tc>
              <w:tc>
                <w:tcPr>
                  <w:tcW w:w="128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rPr>
                    <w:t>涂布机</w:t>
                  </w:r>
                </w:p>
              </w:tc>
              <w:tc>
                <w:tcPr>
                  <w:tcW w:w="1039" w:type="dxa"/>
                  <w:tcBorders>
                    <w:top w:val="single" w:color="auto" w:sz="4" w:space="0"/>
                    <w:left w:val="single" w:color="auto" w:sz="4" w:space="0"/>
                    <w:bottom w:val="single" w:color="auto" w:sz="4" w:space="0"/>
                    <w:right w:val="single" w:color="auto" w:sz="4" w:space="0"/>
                  </w:tcBorders>
                  <w:vAlign w:val="center"/>
                </w:tcPr>
                <w:p>
                  <w:pPr>
                    <w:jc w:val="center"/>
                    <w:rPr>
                      <w:rFonts w:eastAsia="黑体"/>
                      <w:szCs w:val="21"/>
                    </w:rPr>
                  </w:pPr>
                  <w:r>
                    <w:rPr>
                      <w:rFonts w:hint="eastAsia" w:eastAsia="黑体"/>
                    </w:rPr>
                    <w:t>80</w:t>
                  </w:r>
                </w:p>
              </w:tc>
              <w:tc>
                <w:tcPr>
                  <w:tcW w:w="1138" w:type="dxa"/>
                  <w:vMerge w:val="restart"/>
                  <w:tcBorders>
                    <w:top w:val="single" w:color="auto" w:sz="4" w:space="0"/>
                    <w:left w:val="single" w:color="auto" w:sz="4" w:space="0"/>
                    <w:right w:val="single" w:color="auto" w:sz="4" w:space="0"/>
                  </w:tcBorders>
                  <w:vAlign w:val="center"/>
                </w:tcPr>
                <w:p>
                  <w:pPr>
                    <w:jc w:val="center"/>
                    <w:rPr>
                      <w:rFonts w:eastAsia="黑体"/>
                      <w:szCs w:val="21"/>
                    </w:rPr>
                  </w:pPr>
                  <w:r>
                    <w:t>基础减振、厂房隔音</w:t>
                  </w:r>
                </w:p>
              </w:tc>
              <w:tc>
                <w:tcPr>
                  <w:tcW w:w="1178" w:type="dxa"/>
                  <w:tcBorders>
                    <w:top w:val="single" w:color="auto" w:sz="4" w:space="0"/>
                    <w:left w:val="single" w:color="auto" w:sz="4" w:space="0"/>
                    <w:bottom w:val="single" w:color="auto" w:sz="4" w:space="0"/>
                    <w:right w:val="single" w:color="auto" w:sz="4" w:space="0"/>
                  </w:tcBorders>
                  <w:vAlign w:val="center"/>
                </w:tcPr>
                <w:p>
                  <w:pPr>
                    <w:jc w:val="center"/>
                    <w:rPr>
                      <w:rFonts w:eastAsia="黑体"/>
                      <w:szCs w:val="21"/>
                    </w:rPr>
                  </w:pPr>
                  <w:r>
                    <w:rPr>
                      <w:rFonts w:hint="eastAsia" w:eastAsia="黑体"/>
                    </w:rPr>
                    <w:t>60</w:t>
                  </w:r>
                </w:p>
              </w:tc>
              <w:tc>
                <w:tcPr>
                  <w:tcW w:w="849" w:type="dxa"/>
                  <w:tcBorders>
                    <w:top w:val="single" w:color="auto" w:sz="4" w:space="0"/>
                    <w:left w:val="single" w:color="auto" w:sz="4" w:space="0"/>
                    <w:bottom w:val="single" w:color="auto" w:sz="4" w:space="0"/>
                    <w:right w:val="single" w:color="auto" w:sz="4" w:space="0"/>
                  </w:tcBorders>
                  <w:vAlign w:val="center"/>
                </w:tcPr>
                <w:p>
                  <w:pPr>
                    <w:jc w:val="center"/>
                    <w:rPr>
                      <w:rFonts w:eastAsia="黑体"/>
                      <w:szCs w:val="21"/>
                      <w:highlight w:val="yellow"/>
                    </w:rPr>
                  </w:pPr>
                  <w:r>
                    <w:rPr>
                      <w:rFonts w:hint="eastAsia" w:eastAsia="黑体"/>
                    </w:rPr>
                    <w:t>1</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eastAsia="黑体"/>
                      <w:szCs w:val="21"/>
                    </w:rPr>
                  </w:pPr>
                  <w:r>
                    <w:rPr>
                      <w:rFonts w:hint="eastAsia" w:eastAsia="黑体"/>
                    </w:rPr>
                    <w:t>60</w:t>
                  </w:r>
                </w:p>
              </w:tc>
              <w:tc>
                <w:tcPr>
                  <w:tcW w:w="751" w:type="dxa"/>
                  <w:tcBorders>
                    <w:top w:val="single" w:color="auto" w:sz="4" w:space="0"/>
                    <w:left w:val="single" w:color="auto" w:sz="4" w:space="0"/>
                    <w:bottom w:val="single" w:color="auto" w:sz="4" w:space="0"/>
                    <w:right w:val="nil"/>
                  </w:tcBorders>
                  <w:vAlign w:val="center"/>
                </w:tcPr>
                <w:p>
                  <w:pPr>
                    <w:jc w:val="center"/>
                    <w:rPr>
                      <w:szCs w:val="21"/>
                    </w:rPr>
                  </w:pPr>
                  <w:r>
                    <w:t>涂布</w:t>
                  </w:r>
                </w:p>
                <w:p>
                  <w:pPr>
                    <w:jc w:val="center"/>
                    <w:rPr>
                      <w:rFonts w:eastAsia="黑体"/>
                      <w:szCs w:val="21"/>
                    </w:rPr>
                  </w:pPr>
                  <w:r>
                    <w:t>车间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2" w:type="dxa"/>
                  <w:tcBorders>
                    <w:top w:val="single" w:color="auto" w:sz="4" w:space="0"/>
                    <w:left w:val="nil"/>
                    <w:bottom w:val="single" w:color="auto" w:sz="4" w:space="0"/>
                    <w:right w:val="single" w:color="auto" w:sz="4" w:space="0"/>
                  </w:tcBorders>
                  <w:vAlign w:val="center"/>
                </w:tcPr>
                <w:p>
                  <w:pPr>
                    <w:jc w:val="center"/>
                    <w:rPr>
                      <w:rFonts w:eastAsia="黑体"/>
                    </w:rPr>
                  </w:pPr>
                  <w:r>
                    <w:rPr>
                      <w:rFonts w:hint="eastAsia" w:eastAsia="黑体"/>
                    </w:rPr>
                    <w:t>2</w:t>
                  </w:r>
                </w:p>
              </w:tc>
              <w:tc>
                <w:tcPr>
                  <w:tcW w:w="1288"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研磨机</w:t>
                  </w:r>
                </w:p>
              </w:tc>
              <w:tc>
                <w:tcPr>
                  <w:tcW w:w="1039" w:type="dxa"/>
                  <w:tcBorders>
                    <w:top w:val="single" w:color="auto" w:sz="4" w:space="0"/>
                    <w:left w:val="single" w:color="auto" w:sz="4" w:space="0"/>
                    <w:bottom w:val="single" w:color="auto" w:sz="4" w:space="0"/>
                    <w:right w:val="single" w:color="auto" w:sz="4" w:space="0"/>
                  </w:tcBorders>
                  <w:vAlign w:val="center"/>
                </w:tcPr>
                <w:p>
                  <w:pPr>
                    <w:jc w:val="center"/>
                    <w:rPr>
                      <w:rFonts w:eastAsia="黑体"/>
                    </w:rPr>
                  </w:pPr>
                  <w:r>
                    <w:rPr>
                      <w:rFonts w:hint="eastAsia" w:eastAsia="黑体"/>
                    </w:rPr>
                    <w:t>82</w:t>
                  </w:r>
                </w:p>
              </w:tc>
              <w:tc>
                <w:tcPr>
                  <w:tcW w:w="1138" w:type="dxa"/>
                  <w:vMerge w:val="continue"/>
                  <w:tcBorders>
                    <w:left w:val="single" w:color="auto" w:sz="4" w:space="0"/>
                    <w:right w:val="single" w:color="auto" w:sz="4" w:space="0"/>
                  </w:tcBorders>
                  <w:vAlign w:val="center"/>
                </w:tcPr>
                <w:p>
                  <w:pPr>
                    <w:jc w:val="center"/>
                  </w:pPr>
                </w:p>
              </w:tc>
              <w:tc>
                <w:tcPr>
                  <w:tcW w:w="1178" w:type="dxa"/>
                  <w:tcBorders>
                    <w:top w:val="single" w:color="auto" w:sz="4" w:space="0"/>
                    <w:left w:val="single" w:color="auto" w:sz="4" w:space="0"/>
                    <w:bottom w:val="single" w:color="auto" w:sz="4" w:space="0"/>
                    <w:right w:val="single" w:color="auto" w:sz="4" w:space="0"/>
                  </w:tcBorders>
                  <w:vAlign w:val="center"/>
                </w:tcPr>
                <w:p>
                  <w:pPr>
                    <w:pStyle w:val="140"/>
                    <w:rPr>
                      <w:kern w:val="2"/>
                    </w:rPr>
                  </w:pPr>
                  <w:r>
                    <w:rPr>
                      <w:rFonts w:hint="eastAsia"/>
                      <w:kern w:val="2"/>
                    </w:rPr>
                    <w:t>6</w:t>
                  </w:r>
                  <w:r>
                    <w:rPr>
                      <w:kern w:val="2"/>
                    </w:rPr>
                    <w:t>2</w:t>
                  </w:r>
                </w:p>
              </w:tc>
              <w:tc>
                <w:tcPr>
                  <w:tcW w:w="849" w:type="dxa"/>
                  <w:tcBorders>
                    <w:top w:val="single" w:color="auto" w:sz="4" w:space="0"/>
                    <w:left w:val="single" w:color="auto" w:sz="4" w:space="0"/>
                    <w:bottom w:val="single" w:color="auto" w:sz="4" w:space="0"/>
                    <w:right w:val="single" w:color="auto" w:sz="4" w:space="0"/>
                  </w:tcBorders>
                  <w:vAlign w:val="center"/>
                </w:tcPr>
                <w:p>
                  <w:pPr>
                    <w:pStyle w:val="140"/>
                    <w:rPr>
                      <w:kern w:val="2"/>
                    </w:rPr>
                  </w:pPr>
                  <w:r>
                    <w:rPr>
                      <w:kern w:val="2"/>
                    </w:rPr>
                    <w:t>2</w:t>
                  </w:r>
                </w:p>
              </w:tc>
              <w:tc>
                <w:tcPr>
                  <w:tcW w:w="1213" w:type="dxa"/>
                  <w:tcBorders>
                    <w:top w:val="single" w:color="auto" w:sz="4" w:space="0"/>
                    <w:left w:val="single" w:color="auto" w:sz="4" w:space="0"/>
                    <w:bottom w:val="single" w:color="auto" w:sz="4" w:space="0"/>
                    <w:right w:val="single" w:color="auto" w:sz="4" w:space="0"/>
                  </w:tcBorders>
                  <w:vAlign w:val="center"/>
                </w:tcPr>
                <w:p>
                  <w:pPr>
                    <w:pStyle w:val="140"/>
                    <w:rPr>
                      <w:kern w:val="2"/>
                    </w:rPr>
                  </w:pPr>
                  <w:r>
                    <w:rPr>
                      <w:rFonts w:hint="eastAsia"/>
                      <w:kern w:val="2"/>
                    </w:rPr>
                    <w:t>65</w:t>
                  </w:r>
                </w:p>
              </w:tc>
              <w:tc>
                <w:tcPr>
                  <w:tcW w:w="751" w:type="dxa"/>
                  <w:vMerge w:val="restart"/>
                  <w:tcBorders>
                    <w:top w:val="single" w:color="auto" w:sz="4" w:space="0"/>
                    <w:left w:val="single" w:color="auto" w:sz="4" w:space="0"/>
                    <w:right w:val="nil"/>
                  </w:tcBorders>
                  <w:vAlign w:val="center"/>
                </w:tcPr>
                <w:p>
                  <w:pPr>
                    <w:jc w:val="center"/>
                  </w:pPr>
                  <w:r>
                    <w:t>浆钙制备车间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2" w:type="dxa"/>
                  <w:tcBorders>
                    <w:top w:val="single" w:color="auto" w:sz="4" w:space="0"/>
                    <w:left w:val="nil"/>
                    <w:bottom w:val="single" w:color="auto" w:sz="4" w:space="0"/>
                    <w:right w:val="single" w:color="auto" w:sz="4" w:space="0"/>
                  </w:tcBorders>
                  <w:vAlign w:val="center"/>
                </w:tcPr>
                <w:p>
                  <w:pPr>
                    <w:jc w:val="center"/>
                    <w:rPr>
                      <w:rFonts w:eastAsia="黑体"/>
                    </w:rPr>
                  </w:pPr>
                  <w:r>
                    <w:rPr>
                      <w:rFonts w:hint="eastAsia" w:eastAsia="黑体"/>
                    </w:rPr>
                    <w:t>3</w:t>
                  </w:r>
                </w:p>
              </w:tc>
              <w:tc>
                <w:tcPr>
                  <w:tcW w:w="1288"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输送泵</w:t>
                  </w:r>
                </w:p>
              </w:tc>
              <w:tc>
                <w:tcPr>
                  <w:tcW w:w="1039" w:type="dxa"/>
                  <w:tcBorders>
                    <w:top w:val="single" w:color="auto" w:sz="4" w:space="0"/>
                    <w:left w:val="single" w:color="auto" w:sz="4" w:space="0"/>
                    <w:bottom w:val="single" w:color="auto" w:sz="4" w:space="0"/>
                    <w:right w:val="single" w:color="auto" w:sz="4" w:space="0"/>
                  </w:tcBorders>
                  <w:vAlign w:val="center"/>
                </w:tcPr>
                <w:p>
                  <w:pPr>
                    <w:jc w:val="center"/>
                    <w:rPr>
                      <w:rFonts w:eastAsia="黑体"/>
                    </w:rPr>
                  </w:pPr>
                  <w:r>
                    <w:rPr>
                      <w:rFonts w:hint="eastAsia" w:eastAsia="黑体"/>
                    </w:rPr>
                    <w:t>85</w:t>
                  </w:r>
                </w:p>
              </w:tc>
              <w:tc>
                <w:tcPr>
                  <w:tcW w:w="1138" w:type="dxa"/>
                  <w:vMerge w:val="continue"/>
                  <w:tcBorders>
                    <w:left w:val="single" w:color="auto" w:sz="4" w:space="0"/>
                    <w:right w:val="single" w:color="auto" w:sz="4" w:space="0"/>
                  </w:tcBorders>
                  <w:vAlign w:val="center"/>
                </w:tcPr>
                <w:p>
                  <w:pPr>
                    <w:jc w:val="center"/>
                  </w:pPr>
                </w:p>
              </w:tc>
              <w:tc>
                <w:tcPr>
                  <w:tcW w:w="1178" w:type="dxa"/>
                  <w:tcBorders>
                    <w:top w:val="single" w:color="auto" w:sz="4" w:space="0"/>
                    <w:left w:val="single" w:color="auto" w:sz="4" w:space="0"/>
                    <w:bottom w:val="single" w:color="auto" w:sz="4" w:space="0"/>
                    <w:right w:val="single" w:color="auto" w:sz="4" w:space="0"/>
                  </w:tcBorders>
                  <w:vAlign w:val="center"/>
                </w:tcPr>
                <w:p>
                  <w:pPr>
                    <w:pStyle w:val="140"/>
                    <w:rPr>
                      <w:kern w:val="2"/>
                    </w:rPr>
                  </w:pPr>
                  <w:r>
                    <w:rPr>
                      <w:rFonts w:hint="eastAsia"/>
                      <w:kern w:val="2"/>
                    </w:rPr>
                    <w:t>65</w:t>
                  </w:r>
                </w:p>
              </w:tc>
              <w:tc>
                <w:tcPr>
                  <w:tcW w:w="849" w:type="dxa"/>
                  <w:tcBorders>
                    <w:top w:val="single" w:color="auto" w:sz="4" w:space="0"/>
                    <w:left w:val="single" w:color="auto" w:sz="4" w:space="0"/>
                    <w:bottom w:val="single" w:color="auto" w:sz="4" w:space="0"/>
                    <w:right w:val="single" w:color="auto" w:sz="4" w:space="0"/>
                  </w:tcBorders>
                  <w:vAlign w:val="center"/>
                </w:tcPr>
                <w:p>
                  <w:pPr>
                    <w:pStyle w:val="140"/>
                    <w:rPr>
                      <w:kern w:val="2"/>
                    </w:rPr>
                  </w:pPr>
                  <w:r>
                    <w:rPr>
                      <w:kern w:val="2"/>
                    </w:rPr>
                    <w:t>6</w:t>
                  </w:r>
                </w:p>
              </w:tc>
              <w:tc>
                <w:tcPr>
                  <w:tcW w:w="1213" w:type="dxa"/>
                  <w:tcBorders>
                    <w:top w:val="single" w:color="auto" w:sz="4" w:space="0"/>
                    <w:left w:val="single" w:color="auto" w:sz="4" w:space="0"/>
                    <w:bottom w:val="single" w:color="auto" w:sz="4" w:space="0"/>
                    <w:right w:val="single" w:color="auto" w:sz="4" w:space="0"/>
                  </w:tcBorders>
                  <w:vAlign w:val="center"/>
                </w:tcPr>
                <w:p>
                  <w:pPr>
                    <w:pStyle w:val="140"/>
                    <w:rPr>
                      <w:kern w:val="2"/>
                    </w:rPr>
                  </w:pPr>
                  <w:r>
                    <w:rPr>
                      <w:rFonts w:hint="eastAsia"/>
                      <w:kern w:val="2"/>
                    </w:rPr>
                    <w:t>73</w:t>
                  </w:r>
                </w:p>
              </w:tc>
              <w:tc>
                <w:tcPr>
                  <w:tcW w:w="751" w:type="dxa"/>
                  <w:vMerge w:val="continue"/>
                  <w:tcBorders>
                    <w:left w:val="single" w:color="auto" w:sz="4" w:space="0"/>
                    <w:right w:val="nil"/>
                  </w:tcBorders>
                  <w:vAlign w:val="center"/>
                </w:tcPr>
                <w:p>
                  <w:pPr>
                    <w:jc w:val="cente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2" w:type="dxa"/>
                  <w:tcBorders>
                    <w:top w:val="single" w:color="auto" w:sz="4" w:space="0"/>
                    <w:left w:val="nil"/>
                    <w:bottom w:val="single" w:color="auto" w:sz="4" w:space="0"/>
                    <w:right w:val="single" w:color="auto" w:sz="4" w:space="0"/>
                  </w:tcBorders>
                  <w:vAlign w:val="center"/>
                </w:tcPr>
                <w:p>
                  <w:pPr>
                    <w:jc w:val="center"/>
                    <w:rPr>
                      <w:rFonts w:eastAsia="黑体"/>
                    </w:rPr>
                  </w:pPr>
                  <w:r>
                    <w:rPr>
                      <w:rFonts w:hint="eastAsia" w:eastAsia="黑体"/>
                    </w:rPr>
                    <w:t>4</w:t>
                  </w:r>
                </w:p>
              </w:tc>
              <w:tc>
                <w:tcPr>
                  <w:tcW w:w="1288"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振动筛</w:t>
                  </w:r>
                </w:p>
              </w:tc>
              <w:tc>
                <w:tcPr>
                  <w:tcW w:w="1039" w:type="dxa"/>
                  <w:tcBorders>
                    <w:top w:val="single" w:color="auto" w:sz="4" w:space="0"/>
                    <w:left w:val="single" w:color="auto" w:sz="4" w:space="0"/>
                    <w:bottom w:val="single" w:color="auto" w:sz="4" w:space="0"/>
                    <w:right w:val="single" w:color="auto" w:sz="4" w:space="0"/>
                  </w:tcBorders>
                  <w:vAlign w:val="center"/>
                </w:tcPr>
                <w:p>
                  <w:pPr>
                    <w:jc w:val="center"/>
                    <w:rPr>
                      <w:rFonts w:eastAsia="黑体"/>
                    </w:rPr>
                  </w:pPr>
                  <w:r>
                    <w:rPr>
                      <w:rFonts w:hint="eastAsia" w:eastAsia="黑体"/>
                    </w:rPr>
                    <w:t>85</w:t>
                  </w:r>
                </w:p>
              </w:tc>
              <w:tc>
                <w:tcPr>
                  <w:tcW w:w="1138" w:type="dxa"/>
                  <w:vMerge w:val="continue"/>
                  <w:tcBorders>
                    <w:left w:val="single" w:color="auto" w:sz="4" w:space="0"/>
                    <w:bottom w:val="single" w:color="auto" w:sz="4" w:space="0"/>
                    <w:right w:val="single" w:color="auto" w:sz="4" w:space="0"/>
                  </w:tcBorders>
                  <w:vAlign w:val="center"/>
                </w:tcPr>
                <w:p>
                  <w:pPr>
                    <w:jc w:val="center"/>
                  </w:pPr>
                </w:p>
              </w:tc>
              <w:tc>
                <w:tcPr>
                  <w:tcW w:w="1178" w:type="dxa"/>
                  <w:tcBorders>
                    <w:top w:val="single" w:color="auto" w:sz="4" w:space="0"/>
                    <w:left w:val="single" w:color="auto" w:sz="4" w:space="0"/>
                    <w:bottom w:val="single" w:color="auto" w:sz="4" w:space="0"/>
                    <w:right w:val="single" w:color="auto" w:sz="4" w:space="0"/>
                  </w:tcBorders>
                  <w:vAlign w:val="center"/>
                </w:tcPr>
                <w:p>
                  <w:pPr>
                    <w:pStyle w:val="140"/>
                    <w:rPr>
                      <w:kern w:val="2"/>
                    </w:rPr>
                  </w:pPr>
                  <w:r>
                    <w:rPr>
                      <w:kern w:val="2"/>
                    </w:rPr>
                    <w:t>6</w:t>
                  </w:r>
                  <w:r>
                    <w:rPr>
                      <w:rFonts w:hint="eastAsia"/>
                      <w:kern w:val="2"/>
                    </w:rPr>
                    <w:t>5</w:t>
                  </w:r>
                </w:p>
              </w:tc>
              <w:tc>
                <w:tcPr>
                  <w:tcW w:w="849" w:type="dxa"/>
                  <w:tcBorders>
                    <w:top w:val="single" w:color="auto" w:sz="4" w:space="0"/>
                    <w:left w:val="single" w:color="auto" w:sz="4" w:space="0"/>
                    <w:bottom w:val="single" w:color="auto" w:sz="4" w:space="0"/>
                    <w:right w:val="single" w:color="auto" w:sz="4" w:space="0"/>
                  </w:tcBorders>
                  <w:vAlign w:val="center"/>
                </w:tcPr>
                <w:p>
                  <w:pPr>
                    <w:pStyle w:val="140"/>
                    <w:rPr>
                      <w:kern w:val="2"/>
                    </w:rPr>
                  </w:pPr>
                  <w:r>
                    <w:rPr>
                      <w:kern w:val="2"/>
                    </w:rPr>
                    <w:t>2</w:t>
                  </w:r>
                </w:p>
              </w:tc>
              <w:tc>
                <w:tcPr>
                  <w:tcW w:w="1213" w:type="dxa"/>
                  <w:tcBorders>
                    <w:top w:val="single" w:color="auto" w:sz="4" w:space="0"/>
                    <w:left w:val="single" w:color="auto" w:sz="4" w:space="0"/>
                    <w:bottom w:val="single" w:color="auto" w:sz="4" w:space="0"/>
                    <w:right w:val="single" w:color="auto" w:sz="4" w:space="0"/>
                  </w:tcBorders>
                  <w:vAlign w:val="center"/>
                </w:tcPr>
                <w:p>
                  <w:pPr>
                    <w:pStyle w:val="140"/>
                    <w:rPr>
                      <w:kern w:val="2"/>
                    </w:rPr>
                  </w:pPr>
                  <w:r>
                    <w:rPr>
                      <w:rFonts w:hint="eastAsia"/>
                      <w:kern w:val="2"/>
                    </w:rPr>
                    <w:t>68</w:t>
                  </w:r>
                </w:p>
              </w:tc>
              <w:tc>
                <w:tcPr>
                  <w:tcW w:w="751" w:type="dxa"/>
                  <w:vMerge w:val="continue"/>
                  <w:tcBorders>
                    <w:left w:val="single" w:color="auto" w:sz="4" w:space="0"/>
                    <w:bottom w:val="single" w:color="auto" w:sz="4" w:space="0"/>
                    <w:right w:val="nil"/>
                  </w:tcBorders>
                  <w:vAlign w:val="center"/>
                </w:tcPr>
                <w:p>
                  <w:pPr>
                    <w:jc w:val="center"/>
                  </w:pPr>
                </w:p>
              </w:tc>
            </w:tr>
          </w:tbl>
          <w:p>
            <w:pPr>
              <w:spacing w:line="440" w:lineRule="exact"/>
              <w:ind w:firstLine="482" w:firstLineChars="200"/>
              <w:jc w:val="left"/>
              <w:rPr>
                <w:b/>
                <w:sz w:val="24"/>
              </w:rPr>
            </w:pPr>
            <w:r>
              <w:rPr>
                <w:b/>
                <w:sz w:val="24"/>
              </w:rPr>
              <w:t>2</w:t>
            </w:r>
            <w:r>
              <w:rPr>
                <w:rFonts w:ascii="宋体" w:hAnsi="宋体"/>
                <w:b/>
                <w:sz w:val="24"/>
              </w:rPr>
              <w:t>、预测范围</w:t>
            </w:r>
          </w:p>
          <w:p>
            <w:pPr>
              <w:spacing w:line="440" w:lineRule="exact"/>
              <w:ind w:firstLine="480" w:firstLineChars="200"/>
              <w:jc w:val="left"/>
              <w:rPr>
                <w:sz w:val="24"/>
              </w:rPr>
            </w:pPr>
            <w:r>
              <w:rPr>
                <w:rFonts w:ascii="宋体" w:hAnsi="宋体"/>
                <w:sz w:val="24"/>
              </w:rPr>
              <w:t>厂区声环境评价预测范围为项目东、南、西、北车间外</w:t>
            </w:r>
            <w:r>
              <w:rPr>
                <w:sz w:val="24"/>
              </w:rPr>
              <w:t>1m</w:t>
            </w:r>
            <w:r>
              <w:rPr>
                <w:rFonts w:ascii="宋体" w:hAnsi="宋体"/>
                <w:sz w:val="24"/>
              </w:rPr>
              <w:t>处。</w:t>
            </w:r>
          </w:p>
          <w:p>
            <w:pPr>
              <w:spacing w:line="440" w:lineRule="exact"/>
              <w:ind w:firstLine="482" w:firstLineChars="200"/>
              <w:jc w:val="left"/>
              <w:rPr>
                <w:b/>
                <w:sz w:val="24"/>
              </w:rPr>
            </w:pPr>
            <w:r>
              <w:rPr>
                <w:b/>
                <w:sz w:val="24"/>
              </w:rPr>
              <w:t>3</w:t>
            </w:r>
            <w:r>
              <w:rPr>
                <w:rFonts w:ascii="宋体" w:hAnsi="宋体"/>
                <w:b/>
                <w:sz w:val="24"/>
              </w:rPr>
              <w:t>、预测模式</w:t>
            </w:r>
          </w:p>
          <w:p>
            <w:pPr>
              <w:spacing w:line="440" w:lineRule="exact"/>
              <w:ind w:firstLine="480" w:firstLineChars="200"/>
              <w:jc w:val="left"/>
              <w:rPr>
                <w:sz w:val="24"/>
              </w:rPr>
            </w:pPr>
            <w:r>
              <w:rPr>
                <w:rFonts w:hint="eastAsia"/>
                <w:sz w:val="24"/>
              </w:rPr>
              <w:t>（</w:t>
            </w:r>
            <w:r>
              <w:rPr>
                <w:sz w:val="24"/>
              </w:rPr>
              <w:t>1</w:t>
            </w:r>
            <w:r>
              <w:rPr>
                <w:rFonts w:ascii="宋体" w:hAnsi="宋体"/>
                <w:sz w:val="24"/>
              </w:rPr>
              <w:t>）声源衰减公式</w:t>
            </w:r>
          </w:p>
          <w:p>
            <w:pPr>
              <w:spacing w:line="440" w:lineRule="exact"/>
              <w:ind w:firstLine="578"/>
              <w:rPr>
                <w:sz w:val="24"/>
              </w:rPr>
            </w:pPr>
            <w:r>
              <w:rPr>
                <w:rFonts w:ascii="宋体" w:hAnsi="宋体"/>
                <w:sz w:val="24"/>
              </w:rPr>
              <w:t>因本项目同类设备分布较为集中且尺寸相对设备距厂界距离较小，因此本次评价预测时将同类设备近似作为一个点声源进行预测，在声源传播过程中，噪声受到厂房的吸收和屏蔽，经过距离衰减和空气吸收后，到达受声点。其预测模式如下：</w:t>
            </w:r>
          </w:p>
          <w:p>
            <w:pPr>
              <w:spacing w:line="440" w:lineRule="exact"/>
              <w:ind w:firstLine="480" w:firstLineChars="200"/>
              <w:jc w:val="center"/>
              <w:rPr>
                <w:sz w:val="24"/>
              </w:rPr>
            </w:pPr>
            <w:r>
              <w:rPr>
                <w:sz w:val="24"/>
              </w:rPr>
              <w:t>L</w:t>
            </w:r>
            <w:r>
              <w:rPr>
                <w:sz w:val="24"/>
                <w:vertAlign w:val="subscript"/>
              </w:rPr>
              <w:t>2</w:t>
            </w:r>
            <w:r>
              <w:rPr>
                <w:sz w:val="24"/>
              </w:rPr>
              <w:t>=L</w:t>
            </w:r>
            <w:r>
              <w:rPr>
                <w:sz w:val="24"/>
                <w:vertAlign w:val="subscript"/>
              </w:rPr>
              <w:t>1</w:t>
            </w:r>
            <w:r>
              <w:rPr>
                <w:sz w:val="24"/>
              </w:rPr>
              <w:t>–20lg</w:t>
            </w:r>
            <w:r>
              <w:rPr>
                <w:rFonts w:ascii="宋体" w:hAnsi="宋体"/>
                <w:sz w:val="24"/>
              </w:rPr>
              <w:t>（</w:t>
            </w:r>
            <w:r>
              <w:rPr>
                <w:sz w:val="24"/>
              </w:rPr>
              <w:t>r</w:t>
            </w:r>
            <w:r>
              <w:rPr>
                <w:sz w:val="24"/>
                <w:vertAlign w:val="subscript"/>
              </w:rPr>
              <w:t>2</w:t>
            </w:r>
            <w:r>
              <w:rPr>
                <w:sz w:val="24"/>
              </w:rPr>
              <w:t>/r</w:t>
            </w:r>
            <w:r>
              <w:rPr>
                <w:sz w:val="24"/>
                <w:vertAlign w:val="subscript"/>
              </w:rPr>
              <w:t>1</w:t>
            </w:r>
            <w:r>
              <w:rPr>
                <w:rFonts w:ascii="宋体" w:hAnsi="宋体"/>
                <w:sz w:val="24"/>
              </w:rPr>
              <w:t>）</w:t>
            </w:r>
          </w:p>
          <w:p>
            <w:pPr>
              <w:spacing w:line="440" w:lineRule="exact"/>
              <w:ind w:firstLine="480" w:firstLineChars="200"/>
              <w:jc w:val="left"/>
              <w:rPr>
                <w:sz w:val="24"/>
              </w:rPr>
            </w:pPr>
            <w:r>
              <w:rPr>
                <w:rFonts w:ascii="宋体" w:hAnsi="宋体"/>
                <w:sz w:val="24"/>
              </w:rPr>
              <w:t>式中：</w:t>
            </w:r>
            <w:r>
              <w:rPr>
                <w:sz w:val="24"/>
              </w:rPr>
              <w:t>r</w:t>
            </w:r>
            <w:r>
              <w:rPr>
                <w:sz w:val="24"/>
                <w:vertAlign w:val="subscript"/>
              </w:rPr>
              <w:t>1</w:t>
            </w:r>
            <w:r>
              <w:rPr>
                <w:rFonts w:ascii="宋体" w:hAnsi="宋体"/>
                <w:sz w:val="24"/>
              </w:rPr>
              <w:t>、</w:t>
            </w:r>
            <w:r>
              <w:rPr>
                <w:sz w:val="24"/>
              </w:rPr>
              <w:t>r</w:t>
            </w:r>
            <w:r>
              <w:rPr>
                <w:sz w:val="24"/>
                <w:vertAlign w:val="subscript"/>
              </w:rPr>
              <w:t>2</w:t>
            </w:r>
            <w:r>
              <w:rPr>
                <w:sz w:val="24"/>
              </w:rPr>
              <w:t>—</w:t>
            </w:r>
            <w:r>
              <w:rPr>
                <w:rFonts w:ascii="宋体" w:hAnsi="宋体"/>
                <w:sz w:val="24"/>
              </w:rPr>
              <w:t>距声源距离（</w:t>
            </w:r>
            <w:r>
              <w:rPr>
                <w:sz w:val="24"/>
              </w:rPr>
              <w:t>m</w:t>
            </w:r>
            <w:r>
              <w:rPr>
                <w:rFonts w:ascii="宋体" w:hAnsi="宋体"/>
                <w:sz w:val="24"/>
              </w:rPr>
              <w:t>），</w:t>
            </w:r>
          </w:p>
          <w:p>
            <w:pPr>
              <w:spacing w:line="440" w:lineRule="exact"/>
              <w:ind w:firstLine="480" w:firstLineChars="200"/>
              <w:jc w:val="left"/>
              <w:rPr>
                <w:sz w:val="24"/>
              </w:rPr>
            </w:pPr>
            <w:r>
              <w:rPr>
                <w:sz w:val="24"/>
              </w:rPr>
              <w:t>L</w:t>
            </w:r>
            <w:r>
              <w:rPr>
                <w:sz w:val="24"/>
                <w:vertAlign w:val="subscript"/>
              </w:rPr>
              <w:t>2</w:t>
            </w:r>
            <w:r>
              <w:rPr>
                <w:rFonts w:ascii="宋体" w:hAnsi="宋体"/>
                <w:sz w:val="24"/>
              </w:rPr>
              <w:t>、</w:t>
            </w:r>
            <w:r>
              <w:rPr>
                <w:sz w:val="24"/>
              </w:rPr>
              <w:t>L</w:t>
            </w:r>
            <w:r>
              <w:rPr>
                <w:sz w:val="24"/>
                <w:vertAlign w:val="subscript"/>
              </w:rPr>
              <w:t>1</w:t>
            </w:r>
            <w:r>
              <w:rPr>
                <w:sz w:val="24"/>
              </w:rPr>
              <w:t>—r</w:t>
            </w:r>
            <w:r>
              <w:rPr>
                <w:sz w:val="24"/>
                <w:vertAlign w:val="subscript"/>
              </w:rPr>
              <w:t>2</w:t>
            </w:r>
            <w:r>
              <w:rPr>
                <w:rFonts w:ascii="宋体" w:hAnsi="宋体"/>
                <w:sz w:val="24"/>
              </w:rPr>
              <w:t>、</w:t>
            </w:r>
            <w:r>
              <w:rPr>
                <w:sz w:val="24"/>
              </w:rPr>
              <w:t>r</w:t>
            </w:r>
            <w:r>
              <w:rPr>
                <w:sz w:val="24"/>
                <w:vertAlign w:val="subscript"/>
              </w:rPr>
              <w:t>1</w:t>
            </w:r>
            <w:r>
              <w:rPr>
                <w:rFonts w:ascii="宋体" w:hAnsi="宋体"/>
                <w:sz w:val="24"/>
              </w:rPr>
              <w:t>处的声级强度。</w:t>
            </w:r>
          </w:p>
          <w:p>
            <w:pPr>
              <w:spacing w:line="440" w:lineRule="exact"/>
              <w:ind w:firstLine="480" w:firstLineChars="200"/>
              <w:jc w:val="left"/>
              <w:rPr>
                <w:sz w:val="24"/>
              </w:rPr>
            </w:pPr>
            <w:r>
              <w:rPr>
                <w:rFonts w:hint="eastAsia"/>
                <w:sz w:val="24"/>
              </w:rPr>
              <w:t>（</w:t>
            </w:r>
            <w:r>
              <w:rPr>
                <w:sz w:val="24"/>
              </w:rPr>
              <w:t>2</w:t>
            </w:r>
            <w:r>
              <w:rPr>
                <w:rFonts w:ascii="宋体" w:hAnsi="宋体"/>
                <w:sz w:val="24"/>
              </w:rPr>
              <w:t>）噪声源叠加公式</w:t>
            </w:r>
          </w:p>
          <w:p>
            <w:pPr>
              <w:spacing w:line="440" w:lineRule="exact"/>
              <w:ind w:firstLine="480" w:firstLineChars="200"/>
              <w:jc w:val="left"/>
              <w:rPr>
                <w:sz w:val="24"/>
              </w:rPr>
            </w:pPr>
            <w:r>
              <w:rPr>
                <w:rFonts w:ascii="宋体" w:hAnsi="宋体"/>
                <w:sz w:val="24"/>
              </w:rPr>
              <w:t>两个以上多声源同时存在时，总声压级用下式计算：</w:t>
            </w:r>
          </w:p>
          <w:tbl>
            <w:tblPr>
              <w:tblStyle w:val="31"/>
              <w:tblW w:w="0" w:type="auto"/>
              <w:tblCellSpacing w:w="0" w:type="dxa"/>
              <w:tblInd w:w="0" w:type="dxa"/>
              <w:tblLayout w:type="fixed"/>
              <w:tblCellMar>
                <w:top w:w="0" w:type="dxa"/>
                <w:left w:w="0" w:type="dxa"/>
                <w:bottom w:w="0" w:type="dxa"/>
                <w:right w:w="0" w:type="dxa"/>
              </w:tblCellMar>
            </w:tblPr>
            <w:tblGrid>
              <w:gridCol w:w="3135"/>
              <w:gridCol w:w="2294"/>
            </w:tblGrid>
            <w:tr>
              <w:tblPrEx>
                <w:tblCellMar>
                  <w:top w:w="0" w:type="dxa"/>
                  <w:left w:w="0" w:type="dxa"/>
                  <w:bottom w:w="0" w:type="dxa"/>
                  <w:right w:w="0" w:type="dxa"/>
                </w:tblCellMar>
              </w:tblPrEx>
              <w:trPr>
                <w:gridAfter w:val="1"/>
                <w:wAfter w:w="2294" w:type="dxa"/>
                <w:tblCellSpacing w:w="0" w:type="dxa"/>
              </w:trPr>
              <w:tc>
                <w:tcPr>
                  <w:tcW w:w="3135" w:type="dxa"/>
                  <w:vAlign w:val="center"/>
                </w:tcPr>
                <w:p>
                  <w:pPr>
                    <w:widowControl/>
                    <w:jc w:val="left"/>
                    <w:rPr>
                      <w:rFonts w:ascii="宋体" w:hAnsi="宋体" w:cs="宋体"/>
                      <w:kern w:val="0"/>
                      <w:sz w:val="24"/>
                    </w:rPr>
                  </w:pPr>
                </w:p>
              </w:tc>
            </w:tr>
            <w:tr>
              <w:tblPrEx>
                <w:tblCellMar>
                  <w:top w:w="0" w:type="dxa"/>
                  <w:left w:w="0" w:type="dxa"/>
                  <w:bottom w:w="0" w:type="dxa"/>
                  <w:right w:w="0" w:type="dxa"/>
                </w:tblCellMar>
              </w:tblPrEx>
              <w:trPr>
                <w:tblCellSpacing w:w="0" w:type="dxa"/>
              </w:trPr>
              <w:tc>
                <w:tcPr>
                  <w:tcW w:w="3135" w:type="dxa"/>
                  <w:vAlign w:val="center"/>
                </w:tcPr>
                <w:p>
                  <w:pPr>
                    <w:widowControl/>
                    <w:jc w:val="left"/>
                    <w:rPr>
                      <w:rFonts w:ascii="宋体" w:hAnsi="宋体" w:cs="宋体"/>
                      <w:kern w:val="0"/>
                      <w:sz w:val="24"/>
                    </w:rPr>
                  </w:pPr>
                </w:p>
              </w:tc>
              <w:tc>
                <w:tcPr>
                  <w:tcW w:w="2294" w:type="dxa"/>
                  <w:vAlign w:val="center"/>
                </w:tcPr>
                <w:p>
                  <w:pPr>
                    <w:widowControl/>
                    <w:jc w:val="left"/>
                    <w:rPr>
                      <w:rFonts w:ascii="宋体" w:hAnsi="宋体" w:cs="宋体"/>
                      <w:kern w:val="0"/>
                      <w:sz w:val="24"/>
                    </w:rPr>
                  </w:pPr>
                  <w:r>
                    <w:rPr>
                      <w:rFonts w:ascii="宋体" w:hAnsi="宋体" w:cs="宋体"/>
                      <w:kern w:val="0"/>
                      <w:sz w:val="24"/>
                    </w:rPr>
                    <w:drawing>
                      <wp:inline distT="0" distB="0" distL="0" distR="0">
                        <wp:extent cx="1459230" cy="5359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459230" cy="535940"/>
                                </a:xfrm>
                                <a:prstGeom prst="rect">
                                  <a:avLst/>
                                </a:prstGeom>
                                <a:noFill/>
                                <a:ln>
                                  <a:noFill/>
                                </a:ln>
                              </pic:spPr>
                            </pic:pic>
                          </a:graphicData>
                        </a:graphic>
                      </wp:inline>
                    </w:drawing>
                  </w:r>
                </w:p>
              </w:tc>
            </w:tr>
          </w:tbl>
          <w:p>
            <w:pPr>
              <w:spacing w:line="440" w:lineRule="exact"/>
              <w:ind w:firstLine="480" w:firstLineChars="200"/>
              <w:jc w:val="left"/>
              <w:rPr>
                <w:sz w:val="24"/>
              </w:rPr>
            </w:pPr>
            <w:r>
              <w:rPr>
                <w:rFonts w:ascii="宋体" w:hAnsi="宋体"/>
                <w:sz w:val="24"/>
              </w:rPr>
              <w:t>式中：</w:t>
            </w:r>
            <w:r>
              <w:rPr>
                <w:sz w:val="24"/>
              </w:rPr>
              <w:t xml:space="preserve">    L</w:t>
            </w:r>
            <w:r>
              <w:rPr>
                <w:sz w:val="24"/>
              </w:rPr>
              <w:tab/>
            </w:r>
            <w:r>
              <w:rPr>
                <w:sz w:val="24"/>
              </w:rPr>
              <w:t>—</w:t>
            </w:r>
            <w:r>
              <w:rPr>
                <w:rFonts w:ascii="宋体" w:hAnsi="宋体"/>
                <w:sz w:val="24"/>
              </w:rPr>
              <w:t>总声压级</w:t>
            </w:r>
            <w:r>
              <w:rPr>
                <w:sz w:val="24"/>
              </w:rPr>
              <w:t>[dB(A)]</w:t>
            </w:r>
            <w:r>
              <w:rPr>
                <w:rFonts w:ascii="宋体" w:hAnsi="宋体"/>
                <w:sz w:val="24"/>
              </w:rPr>
              <w:t>；</w:t>
            </w:r>
          </w:p>
          <w:p>
            <w:pPr>
              <w:spacing w:line="440" w:lineRule="exact"/>
              <w:ind w:firstLine="480" w:firstLineChars="200"/>
              <w:jc w:val="left"/>
              <w:rPr>
                <w:sz w:val="24"/>
              </w:rPr>
            </w:pPr>
            <w:r>
              <w:rPr>
                <w:sz w:val="24"/>
              </w:rPr>
              <w:tab/>
            </w:r>
            <w:r>
              <w:rPr>
                <w:sz w:val="24"/>
              </w:rPr>
              <w:tab/>
            </w:r>
            <w:r>
              <w:rPr>
                <w:sz w:val="24"/>
              </w:rPr>
              <w:tab/>
            </w:r>
            <w:r>
              <w:rPr>
                <w:sz w:val="24"/>
              </w:rPr>
              <w:t>Li</w:t>
            </w:r>
            <w:r>
              <w:rPr>
                <w:sz w:val="24"/>
              </w:rPr>
              <w:tab/>
            </w:r>
            <w:r>
              <w:rPr>
                <w:sz w:val="24"/>
              </w:rPr>
              <w:t>—</w:t>
            </w:r>
            <w:r>
              <w:rPr>
                <w:rFonts w:ascii="宋体" w:hAnsi="宋体"/>
                <w:sz w:val="24"/>
              </w:rPr>
              <w:t>第</w:t>
            </w:r>
            <w:r>
              <w:rPr>
                <w:sz w:val="24"/>
              </w:rPr>
              <w:t>i</w:t>
            </w:r>
            <w:r>
              <w:rPr>
                <w:rFonts w:ascii="宋体" w:hAnsi="宋体"/>
                <w:sz w:val="24"/>
              </w:rPr>
              <w:t>个声源的声压级；</w:t>
            </w:r>
          </w:p>
          <w:p>
            <w:pPr>
              <w:spacing w:line="440" w:lineRule="exact"/>
              <w:ind w:firstLine="1680" w:firstLineChars="700"/>
              <w:jc w:val="left"/>
              <w:rPr>
                <w:sz w:val="24"/>
              </w:rPr>
            </w:pPr>
            <w:r>
              <w:rPr>
                <w:sz w:val="24"/>
              </w:rPr>
              <w:t>n</w:t>
            </w:r>
            <w:r>
              <w:rPr>
                <w:sz w:val="24"/>
              </w:rPr>
              <w:tab/>
            </w:r>
            <w:r>
              <w:rPr>
                <w:sz w:val="24"/>
              </w:rPr>
              <w:t>—</w:t>
            </w:r>
            <w:r>
              <w:rPr>
                <w:rFonts w:ascii="宋体" w:hAnsi="宋体"/>
                <w:sz w:val="24"/>
              </w:rPr>
              <w:t>声源个数</w:t>
            </w:r>
          </w:p>
          <w:p>
            <w:pPr>
              <w:spacing w:line="480" w:lineRule="exact"/>
              <w:ind w:firstLine="482" w:firstLineChars="200"/>
              <w:rPr>
                <w:b/>
                <w:sz w:val="24"/>
              </w:rPr>
            </w:pPr>
            <w:r>
              <w:rPr>
                <w:b/>
                <w:sz w:val="24"/>
              </w:rPr>
              <w:t>4</w:t>
            </w:r>
            <w:r>
              <w:rPr>
                <w:rFonts w:ascii="宋体" w:hAnsi="宋体"/>
                <w:b/>
                <w:sz w:val="24"/>
              </w:rPr>
              <w:t>、预测结果</w:t>
            </w:r>
          </w:p>
          <w:p>
            <w:pPr>
              <w:spacing w:line="460" w:lineRule="exact"/>
              <w:ind w:firstLine="480" w:firstLineChars="200"/>
              <w:rPr>
                <w:sz w:val="24"/>
              </w:rPr>
            </w:pPr>
            <w:r>
              <w:rPr>
                <w:rFonts w:ascii="宋体" w:hAnsi="宋体"/>
                <w:sz w:val="24"/>
              </w:rPr>
              <w:t>根据本工程噪声源的分布，对项目四周厂界噪声排放量进行预测计算，厂界噪声的预测结果见下表。</w:t>
            </w:r>
          </w:p>
          <w:p>
            <w:pPr>
              <w:spacing w:line="460" w:lineRule="exact"/>
              <w:ind w:firstLine="480" w:firstLineChars="200"/>
              <w:rPr>
                <w:rFonts w:eastAsia="黑体"/>
                <w:sz w:val="24"/>
              </w:rPr>
            </w:pPr>
            <w:r>
              <w:rPr>
                <w:rFonts w:ascii="黑体" w:hAnsi="黑体" w:eastAsia="黑体"/>
                <w:sz w:val="24"/>
              </w:rPr>
              <w:t>表</w:t>
            </w:r>
            <w:r>
              <w:rPr>
                <w:rFonts w:hint="eastAsia" w:eastAsia="黑体"/>
                <w:sz w:val="24"/>
              </w:rPr>
              <w:t>3</w:t>
            </w:r>
            <w:r>
              <w:rPr>
                <w:rFonts w:eastAsia="黑体"/>
                <w:sz w:val="24"/>
              </w:rPr>
              <w:t xml:space="preserve">4               </w:t>
            </w:r>
            <w:r>
              <w:rPr>
                <w:rFonts w:ascii="黑体" w:hAnsi="黑体" w:eastAsia="黑体"/>
                <w:sz w:val="24"/>
              </w:rPr>
              <w:t>噪声贡献值计算结果一览表</w:t>
            </w:r>
          </w:p>
          <w:tbl>
            <w:tblPr>
              <w:tblStyle w:val="31"/>
              <w:tblpPr w:leftFromText="180" w:rightFromText="180" w:vertAnchor="text" w:tblpXSpec="center" w:tblpY="1"/>
              <w:tblOverlap w:val="never"/>
              <w:tblW w:w="5000" w:type="pct"/>
              <w:tblInd w:w="0" w:type="dxa"/>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337"/>
              <w:gridCol w:w="1339"/>
              <w:gridCol w:w="1189"/>
              <w:gridCol w:w="921"/>
              <w:gridCol w:w="1155"/>
              <w:gridCol w:w="1147"/>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7" w:type="dxa"/>
                  <w:vAlign w:val="center"/>
                </w:tcPr>
                <w:p>
                  <w:pPr>
                    <w:jc w:val="center"/>
                    <w:rPr>
                      <w:b/>
                      <w:szCs w:val="21"/>
                    </w:rPr>
                  </w:pPr>
                  <w:r>
                    <w:rPr>
                      <w:b/>
                    </w:rPr>
                    <w:t>预测点</w:t>
                  </w:r>
                </w:p>
              </w:tc>
              <w:tc>
                <w:tcPr>
                  <w:tcW w:w="1338" w:type="dxa"/>
                  <w:vAlign w:val="center"/>
                </w:tcPr>
                <w:p>
                  <w:pPr>
                    <w:jc w:val="center"/>
                    <w:rPr>
                      <w:b/>
                      <w:szCs w:val="21"/>
                    </w:rPr>
                  </w:pPr>
                  <w:r>
                    <w:rPr>
                      <w:b/>
                    </w:rPr>
                    <w:t>设备名称</w:t>
                  </w:r>
                </w:p>
              </w:tc>
              <w:tc>
                <w:tcPr>
                  <w:tcW w:w="1340" w:type="dxa"/>
                  <w:vAlign w:val="center"/>
                </w:tcPr>
                <w:p>
                  <w:pPr>
                    <w:jc w:val="center"/>
                    <w:rPr>
                      <w:b/>
                      <w:szCs w:val="21"/>
                    </w:rPr>
                  </w:pPr>
                  <w:r>
                    <w:rPr>
                      <w:b/>
                    </w:rPr>
                    <w:t>治理后源强dB(A)</w:t>
                  </w:r>
                </w:p>
              </w:tc>
              <w:tc>
                <w:tcPr>
                  <w:tcW w:w="1190" w:type="dxa"/>
                  <w:vAlign w:val="center"/>
                </w:tcPr>
                <w:p>
                  <w:pPr>
                    <w:jc w:val="center"/>
                    <w:rPr>
                      <w:b/>
                      <w:szCs w:val="21"/>
                    </w:rPr>
                  </w:pPr>
                  <w:r>
                    <w:rPr>
                      <w:b/>
                    </w:rPr>
                    <w:t>距离（m</w:t>
                  </w:r>
                  <w:r>
                    <w:rPr>
                      <w:rFonts w:ascii="宋体" w:hAnsi="宋体"/>
                      <w:b/>
                    </w:rPr>
                    <w:t>）</w:t>
                  </w:r>
                </w:p>
              </w:tc>
              <w:tc>
                <w:tcPr>
                  <w:tcW w:w="920" w:type="dxa"/>
                  <w:vAlign w:val="center"/>
                </w:tcPr>
                <w:p>
                  <w:pPr>
                    <w:jc w:val="center"/>
                    <w:rPr>
                      <w:b/>
                      <w:szCs w:val="21"/>
                    </w:rPr>
                  </w:pPr>
                  <w:r>
                    <w:rPr>
                      <w:b/>
                    </w:rPr>
                    <w:t>贡献值dB(A)</w:t>
                  </w:r>
                </w:p>
              </w:tc>
              <w:tc>
                <w:tcPr>
                  <w:tcW w:w="1155" w:type="dxa"/>
                  <w:vAlign w:val="center"/>
                </w:tcPr>
                <w:p>
                  <w:pPr>
                    <w:jc w:val="center"/>
                    <w:rPr>
                      <w:b/>
                      <w:szCs w:val="21"/>
                    </w:rPr>
                  </w:pPr>
                  <w:r>
                    <w:rPr>
                      <w:b/>
                    </w:rPr>
                    <w:t>贡献叠加值dB(A)</w:t>
                  </w:r>
                </w:p>
              </w:tc>
              <w:tc>
                <w:tcPr>
                  <w:tcW w:w="1148" w:type="dxa"/>
                  <w:vAlign w:val="center"/>
                </w:tcPr>
                <w:p>
                  <w:pPr>
                    <w:jc w:val="center"/>
                    <w:rPr>
                      <w:b/>
                      <w:szCs w:val="21"/>
                    </w:rPr>
                  </w:pPr>
                  <w:r>
                    <w:rPr>
                      <w:rFonts w:hint="eastAsia"/>
                      <w:b/>
                    </w:rPr>
                    <w:t>标准</w:t>
                  </w:r>
                  <w:r>
                    <w:rPr>
                      <w:b/>
                    </w:rPr>
                    <w:t>值dB(A)</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8" w:type="dxa"/>
                  <w:gridSpan w:val="7"/>
                  <w:vAlign w:val="center"/>
                </w:tcPr>
                <w:p>
                  <w:pPr>
                    <w:jc w:val="center"/>
                    <w:rPr>
                      <w:szCs w:val="21"/>
                    </w:rPr>
                  </w:pPr>
                  <w:r>
                    <w:rPr>
                      <w:rFonts w:hint="eastAsia"/>
                      <w:szCs w:val="21"/>
                    </w:rPr>
                    <w:t>涂布白卡纸车间</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7" w:type="dxa"/>
                  <w:vAlign w:val="center"/>
                </w:tcPr>
                <w:p>
                  <w:pPr>
                    <w:jc w:val="center"/>
                    <w:rPr>
                      <w:szCs w:val="21"/>
                    </w:rPr>
                  </w:pPr>
                  <w:r>
                    <w:t>东厂界</w:t>
                  </w:r>
                </w:p>
              </w:tc>
              <w:tc>
                <w:tcPr>
                  <w:tcW w:w="1338" w:type="dxa"/>
                  <w:vAlign w:val="center"/>
                </w:tcPr>
                <w:p>
                  <w:pPr>
                    <w:jc w:val="center"/>
                    <w:rPr>
                      <w:szCs w:val="21"/>
                    </w:rPr>
                  </w:pPr>
                  <w:r>
                    <w:rPr>
                      <w:rFonts w:hint="eastAsia"/>
                    </w:rPr>
                    <w:t>涂布机</w:t>
                  </w:r>
                </w:p>
              </w:tc>
              <w:tc>
                <w:tcPr>
                  <w:tcW w:w="1340" w:type="dxa"/>
                  <w:vAlign w:val="center"/>
                </w:tcPr>
                <w:p>
                  <w:pPr>
                    <w:jc w:val="center"/>
                    <w:rPr>
                      <w:rFonts w:eastAsia="黑体"/>
                      <w:szCs w:val="21"/>
                    </w:rPr>
                  </w:pPr>
                  <w:r>
                    <w:rPr>
                      <w:rFonts w:hint="eastAsia" w:eastAsia="黑体"/>
                    </w:rPr>
                    <w:t>60</w:t>
                  </w:r>
                </w:p>
              </w:tc>
              <w:tc>
                <w:tcPr>
                  <w:tcW w:w="1190" w:type="dxa"/>
                  <w:vAlign w:val="center"/>
                </w:tcPr>
                <w:p>
                  <w:pPr>
                    <w:jc w:val="center"/>
                    <w:rPr>
                      <w:rFonts w:eastAsia="黑体"/>
                      <w:szCs w:val="21"/>
                    </w:rPr>
                  </w:pPr>
                  <w:r>
                    <w:rPr>
                      <w:rFonts w:hint="eastAsia" w:eastAsia="黑体"/>
                      <w:szCs w:val="21"/>
                    </w:rPr>
                    <w:t>58</w:t>
                  </w:r>
                </w:p>
              </w:tc>
              <w:tc>
                <w:tcPr>
                  <w:tcW w:w="920" w:type="dxa"/>
                  <w:vAlign w:val="center"/>
                </w:tcPr>
                <w:p>
                  <w:pPr>
                    <w:jc w:val="center"/>
                    <w:rPr>
                      <w:szCs w:val="21"/>
                    </w:rPr>
                  </w:pPr>
                  <w:r>
                    <w:rPr>
                      <w:rFonts w:hint="eastAsia"/>
                      <w:szCs w:val="21"/>
                    </w:rPr>
                    <w:t>25</w:t>
                  </w:r>
                </w:p>
              </w:tc>
              <w:tc>
                <w:tcPr>
                  <w:tcW w:w="1155" w:type="dxa"/>
                  <w:vAlign w:val="center"/>
                </w:tcPr>
                <w:p>
                  <w:pPr>
                    <w:jc w:val="center"/>
                    <w:rPr>
                      <w:szCs w:val="21"/>
                    </w:rPr>
                  </w:pPr>
                  <w:r>
                    <w:rPr>
                      <w:rFonts w:hint="eastAsia"/>
                      <w:szCs w:val="21"/>
                    </w:rPr>
                    <w:t>25</w:t>
                  </w:r>
                </w:p>
              </w:tc>
              <w:tc>
                <w:tcPr>
                  <w:tcW w:w="1148" w:type="dxa"/>
                  <w:vMerge w:val="restart"/>
                  <w:vAlign w:val="center"/>
                </w:tcPr>
                <w:p>
                  <w:pPr>
                    <w:jc w:val="center"/>
                    <w:rPr>
                      <w:szCs w:val="21"/>
                    </w:rPr>
                  </w:pPr>
                  <w:r>
                    <w:rPr>
                      <w:rFonts w:hint="eastAsia"/>
                      <w:szCs w:val="21"/>
                    </w:rPr>
                    <w:t>昼间60</w:t>
                  </w:r>
                </w:p>
                <w:p>
                  <w:pPr>
                    <w:jc w:val="center"/>
                    <w:rPr>
                      <w:szCs w:val="21"/>
                    </w:rPr>
                  </w:pPr>
                  <w:r>
                    <w:rPr>
                      <w:rFonts w:hint="eastAsia"/>
                      <w:szCs w:val="21"/>
                    </w:rPr>
                    <w:t>夜间50</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7" w:type="dxa"/>
                  <w:vAlign w:val="center"/>
                </w:tcPr>
                <w:p>
                  <w:pPr>
                    <w:jc w:val="center"/>
                    <w:rPr>
                      <w:szCs w:val="21"/>
                    </w:rPr>
                  </w:pPr>
                  <w:r>
                    <w:t>南厂界</w:t>
                  </w:r>
                </w:p>
              </w:tc>
              <w:tc>
                <w:tcPr>
                  <w:tcW w:w="1338" w:type="dxa"/>
                  <w:vAlign w:val="center"/>
                </w:tcPr>
                <w:p>
                  <w:pPr>
                    <w:jc w:val="center"/>
                  </w:pPr>
                  <w:r>
                    <w:rPr>
                      <w:rFonts w:hint="eastAsia"/>
                    </w:rPr>
                    <w:t>涂布机</w:t>
                  </w:r>
                </w:p>
              </w:tc>
              <w:tc>
                <w:tcPr>
                  <w:tcW w:w="1340" w:type="dxa"/>
                  <w:vAlign w:val="center"/>
                </w:tcPr>
                <w:p>
                  <w:pPr>
                    <w:jc w:val="center"/>
                    <w:rPr>
                      <w:rFonts w:eastAsia="黑体"/>
                      <w:szCs w:val="21"/>
                    </w:rPr>
                  </w:pPr>
                  <w:r>
                    <w:rPr>
                      <w:rFonts w:hint="eastAsia" w:eastAsia="黑体"/>
                      <w:szCs w:val="21"/>
                    </w:rPr>
                    <w:t>60</w:t>
                  </w:r>
                </w:p>
              </w:tc>
              <w:tc>
                <w:tcPr>
                  <w:tcW w:w="1190" w:type="dxa"/>
                  <w:vAlign w:val="center"/>
                </w:tcPr>
                <w:p>
                  <w:pPr>
                    <w:jc w:val="center"/>
                    <w:rPr>
                      <w:rFonts w:eastAsia="黑体"/>
                      <w:szCs w:val="21"/>
                    </w:rPr>
                  </w:pPr>
                  <w:r>
                    <w:rPr>
                      <w:rFonts w:hint="eastAsia" w:eastAsia="黑体"/>
                      <w:szCs w:val="21"/>
                    </w:rPr>
                    <w:t>12</w:t>
                  </w:r>
                </w:p>
              </w:tc>
              <w:tc>
                <w:tcPr>
                  <w:tcW w:w="920" w:type="dxa"/>
                  <w:vAlign w:val="center"/>
                </w:tcPr>
                <w:p>
                  <w:pPr>
                    <w:jc w:val="center"/>
                    <w:rPr>
                      <w:szCs w:val="21"/>
                    </w:rPr>
                  </w:pPr>
                  <w:r>
                    <w:rPr>
                      <w:rFonts w:hint="eastAsia"/>
                      <w:szCs w:val="21"/>
                    </w:rPr>
                    <w:t>38</w:t>
                  </w:r>
                </w:p>
              </w:tc>
              <w:tc>
                <w:tcPr>
                  <w:tcW w:w="1155" w:type="dxa"/>
                  <w:vAlign w:val="center"/>
                </w:tcPr>
                <w:p>
                  <w:pPr>
                    <w:jc w:val="center"/>
                    <w:rPr>
                      <w:szCs w:val="21"/>
                    </w:rPr>
                  </w:pPr>
                  <w:r>
                    <w:rPr>
                      <w:rFonts w:hint="eastAsia"/>
                      <w:szCs w:val="21"/>
                    </w:rPr>
                    <w:t>38</w:t>
                  </w:r>
                </w:p>
              </w:tc>
              <w:tc>
                <w:tcPr>
                  <w:tcW w:w="1148" w:type="dxa"/>
                  <w:vMerge w:val="continue"/>
                  <w:vAlign w:val="center"/>
                </w:tcPr>
                <w:p>
                  <w:pPr>
                    <w:widowControl/>
                    <w:jc w:val="left"/>
                    <w:rPr>
                      <w:szCs w:val="21"/>
                    </w:rPr>
                  </w:pP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7" w:type="dxa"/>
                  <w:vAlign w:val="center"/>
                </w:tcPr>
                <w:p>
                  <w:pPr>
                    <w:jc w:val="center"/>
                    <w:rPr>
                      <w:szCs w:val="21"/>
                    </w:rPr>
                  </w:pPr>
                  <w:r>
                    <w:t>西厂界</w:t>
                  </w:r>
                </w:p>
              </w:tc>
              <w:tc>
                <w:tcPr>
                  <w:tcW w:w="1338" w:type="dxa"/>
                  <w:vAlign w:val="center"/>
                </w:tcPr>
                <w:p>
                  <w:pPr>
                    <w:jc w:val="center"/>
                  </w:pPr>
                  <w:r>
                    <w:rPr>
                      <w:rFonts w:hint="eastAsia"/>
                    </w:rPr>
                    <w:t>涂布机</w:t>
                  </w:r>
                </w:p>
              </w:tc>
              <w:tc>
                <w:tcPr>
                  <w:tcW w:w="1340" w:type="dxa"/>
                  <w:vAlign w:val="center"/>
                </w:tcPr>
                <w:p>
                  <w:pPr>
                    <w:jc w:val="center"/>
                    <w:rPr>
                      <w:rFonts w:eastAsia="黑体"/>
                      <w:szCs w:val="21"/>
                    </w:rPr>
                  </w:pPr>
                  <w:r>
                    <w:rPr>
                      <w:rFonts w:hint="eastAsia" w:eastAsia="黑体"/>
                      <w:szCs w:val="21"/>
                    </w:rPr>
                    <w:t>60</w:t>
                  </w:r>
                </w:p>
              </w:tc>
              <w:tc>
                <w:tcPr>
                  <w:tcW w:w="1190" w:type="dxa"/>
                  <w:vAlign w:val="center"/>
                </w:tcPr>
                <w:p>
                  <w:pPr>
                    <w:jc w:val="center"/>
                    <w:rPr>
                      <w:rFonts w:eastAsia="黑体"/>
                      <w:szCs w:val="21"/>
                    </w:rPr>
                  </w:pPr>
                  <w:r>
                    <w:rPr>
                      <w:rFonts w:hint="eastAsia" w:eastAsia="黑体"/>
                      <w:szCs w:val="21"/>
                    </w:rPr>
                    <w:t>116</w:t>
                  </w:r>
                </w:p>
              </w:tc>
              <w:tc>
                <w:tcPr>
                  <w:tcW w:w="920" w:type="dxa"/>
                  <w:vAlign w:val="center"/>
                </w:tcPr>
                <w:p>
                  <w:pPr>
                    <w:jc w:val="center"/>
                    <w:rPr>
                      <w:szCs w:val="21"/>
                    </w:rPr>
                  </w:pPr>
                  <w:r>
                    <w:rPr>
                      <w:rFonts w:hint="eastAsia"/>
                      <w:szCs w:val="21"/>
                    </w:rPr>
                    <w:t>19</w:t>
                  </w:r>
                </w:p>
              </w:tc>
              <w:tc>
                <w:tcPr>
                  <w:tcW w:w="1155" w:type="dxa"/>
                  <w:vAlign w:val="center"/>
                </w:tcPr>
                <w:p>
                  <w:pPr>
                    <w:jc w:val="center"/>
                    <w:rPr>
                      <w:szCs w:val="21"/>
                    </w:rPr>
                  </w:pPr>
                  <w:r>
                    <w:rPr>
                      <w:rFonts w:hint="eastAsia"/>
                      <w:szCs w:val="21"/>
                    </w:rPr>
                    <w:t>19</w:t>
                  </w:r>
                </w:p>
              </w:tc>
              <w:tc>
                <w:tcPr>
                  <w:tcW w:w="1148" w:type="dxa"/>
                  <w:vMerge w:val="continue"/>
                  <w:vAlign w:val="center"/>
                </w:tcPr>
                <w:p>
                  <w:pPr>
                    <w:widowControl/>
                    <w:jc w:val="left"/>
                    <w:rPr>
                      <w:szCs w:val="21"/>
                    </w:rPr>
                  </w:pP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937" w:type="dxa"/>
                  <w:vAlign w:val="center"/>
                </w:tcPr>
                <w:p>
                  <w:pPr>
                    <w:jc w:val="center"/>
                    <w:rPr>
                      <w:szCs w:val="21"/>
                    </w:rPr>
                  </w:pPr>
                  <w:r>
                    <w:t>北厂界</w:t>
                  </w:r>
                </w:p>
              </w:tc>
              <w:tc>
                <w:tcPr>
                  <w:tcW w:w="1338" w:type="dxa"/>
                  <w:vAlign w:val="center"/>
                </w:tcPr>
                <w:p>
                  <w:pPr>
                    <w:jc w:val="center"/>
                  </w:pPr>
                  <w:r>
                    <w:rPr>
                      <w:rFonts w:hint="eastAsia"/>
                    </w:rPr>
                    <w:t>涂布机</w:t>
                  </w:r>
                </w:p>
              </w:tc>
              <w:tc>
                <w:tcPr>
                  <w:tcW w:w="1340" w:type="dxa"/>
                  <w:vAlign w:val="center"/>
                </w:tcPr>
                <w:p>
                  <w:pPr>
                    <w:jc w:val="center"/>
                    <w:rPr>
                      <w:rFonts w:eastAsia="黑体"/>
                      <w:szCs w:val="21"/>
                    </w:rPr>
                  </w:pPr>
                  <w:r>
                    <w:rPr>
                      <w:rFonts w:hint="eastAsia" w:eastAsia="黑体"/>
                      <w:szCs w:val="21"/>
                    </w:rPr>
                    <w:t>60</w:t>
                  </w:r>
                </w:p>
              </w:tc>
              <w:tc>
                <w:tcPr>
                  <w:tcW w:w="1190" w:type="dxa"/>
                  <w:vAlign w:val="center"/>
                </w:tcPr>
                <w:p>
                  <w:pPr>
                    <w:jc w:val="center"/>
                    <w:rPr>
                      <w:rFonts w:eastAsia="黑体"/>
                      <w:szCs w:val="21"/>
                    </w:rPr>
                  </w:pPr>
                  <w:r>
                    <w:rPr>
                      <w:rFonts w:hint="eastAsia" w:eastAsia="黑体"/>
                      <w:szCs w:val="21"/>
                    </w:rPr>
                    <w:t>12</w:t>
                  </w:r>
                </w:p>
              </w:tc>
              <w:tc>
                <w:tcPr>
                  <w:tcW w:w="920" w:type="dxa"/>
                  <w:vAlign w:val="center"/>
                </w:tcPr>
                <w:p>
                  <w:pPr>
                    <w:jc w:val="center"/>
                    <w:rPr>
                      <w:szCs w:val="21"/>
                    </w:rPr>
                  </w:pPr>
                  <w:r>
                    <w:rPr>
                      <w:rFonts w:hint="eastAsia"/>
                      <w:szCs w:val="21"/>
                    </w:rPr>
                    <w:t>38</w:t>
                  </w:r>
                </w:p>
              </w:tc>
              <w:tc>
                <w:tcPr>
                  <w:tcW w:w="1155" w:type="dxa"/>
                  <w:vAlign w:val="center"/>
                </w:tcPr>
                <w:p>
                  <w:pPr>
                    <w:jc w:val="center"/>
                    <w:rPr>
                      <w:szCs w:val="21"/>
                    </w:rPr>
                  </w:pPr>
                  <w:r>
                    <w:rPr>
                      <w:rFonts w:hint="eastAsia"/>
                      <w:szCs w:val="21"/>
                    </w:rPr>
                    <w:t>38</w:t>
                  </w:r>
                </w:p>
              </w:tc>
              <w:tc>
                <w:tcPr>
                  <w:tcW w:w="1148" w:type="dxa"/>
                  <w:vMerge w:val="continue"/>
                  <w:vAlign w:val="center"/>
                </w:tcPr>
                <w:p>
                  <w:pPr>
                    <w:widowControl/>
                    <w:jc w:val="left"/>
                    <w:rPr>
                      <w:szCs w:val="21"/>
                    </w:rPr>
                  </w:pP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8" w:type="dxa"/>
                  <w:gridSpan w:val="7"/>
                  <w:vAlign w:val="center"/>
                </w:tcPr>
                <w:p>
                  <w:pPr>
                    <w:widowControl/>
                    <w:jc w:val="center"/>
                    <w:rPr>
                      <w:szCs w:val="21"/>
                    </w:rPr>
                  </w:pPr>
                  <w:r>
                    <w:rPr>
                      <w:szCs w:val="21"/>
                    </w:rPr>
                    <w:t>浆钙制备车间</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937" w:type="dxa"/>
                  <w:vMerge w:val="restart"/>
                  <w:vAlign w:val="center"/>
                </w:tcPr>
                <w:p>
                  <w:pPr>
                    <w:jc w:val="center"/>
                    <w:rPr>
                      <w:szCs w:val="21"/>
                    </w:rPr>
                  </w:pPr>
                  <w:r>
                    <w:rPr>
                      <w:szCs w:val="21"/>
                    </w:rPr>
                    <w:t>东厂界</w:t>
                  </w:r>
                </w:p>
              </w:tc>
              <w:tc>
                <w:tcPr>
                  <w:tcW w:w="1338" w:type="dxa"/>
                  <w:vAlign w:val="center"/>
                </w:tcPr>
                <w:p>
                  <w:pPr>
                    <w:jc w:val="center"/>
                  </w:pPr>
                  <w:r>
                    <w:rPr>
                      <w:rFonts w:hint="eastAsia"/>
                    </w:rPr>
                    <w:t>研磨机</w:t>
                  </w:r>
                </w:p>
              </w:tc>
              <w:tc>
                <w:tcPr>
                  <w:tcW w:w="1340" w:type="dxa"/>
                  <w:vAlign w:val="center"/>
                </w:tcPr>
                <w:p>
                  <w:pPr>
                    <w:pStyle w:val="140"/>
                    <w:rPr>
                      <w:kern w:val="2"/>
                    </w:rPr>
                  </w:pPr>
                  <w:r>
                    <w:rPr>
                      <w:rFonts w:hint="eastAsia"/>
                      <w:kern w:val="2"/>
                    </w:rPr>
                    <w:t>65</w:t>
                  </w:r>
                </w:p>
              </w:tc>
              <w:tc>
                <w:tcPr>
                  <w:tcW w:w="1190" w:type="dxa"/>
                  <w:vAlign w:val="center"/>
                </w:tcPr>
                <w:p>
                  <w:pPr>
                    <w:jc w:val="center"/>
                    <w:rPr>
                      <w:rFonts w:eastAsia="黑体"/>
                      <w:szCs w:val="21"/>
                    </w:rPr>
                  </w:pPr>
                  <w:r>
                    <w:rPr>
                      <w:rFonts w:hint="eastAsia" w:eastAsia="黑体"/>
                      <w:szCs w:val="21"/>
                    </w:rPr>
                    <w:t>30</w:t>
                  </w:r>
                </w:p>
              </w:tc>
              <w:tc>
                <w:tcPr>
                  <w:tcW w:w="920" w:type="dxa"/>
                  <w:vAlign w:val="center"/>
                </w:tcPr>
                <w:p>
                  <w:pPr>
                    <w:jc w:val="center"/>
                    <w:rPr>
                      <w:szCs w:val="21"/>
                    </w:rPr>
                  </w:pPr>
                  <w:r>
                    <w:rPr>
                      <w:rFonts w:hint="eastAsia"/>
                      <w:szCs w:val="21"/>
                    </w:rPr>
                    <w:t>35</w:t>
                  </w:r>
                </w:p>
              </w:tc>
              <w:tc>
                <w:tcPr>
                  <w:tcW w:w="1155" w:type="dxa"/>
                  <w:vMerge w:val="restart"/>
                  <w:vAlign w:val="center"/>
                </w:tcPr>
                <w:p>
                  <w:pPr>
                    <w:jc w:val="center"/>
                    <w:rPr>
                      <w:szCs w:val="21"/>
                    </w:rPr>
                  </w:pPr>
                  <w:r>
                    <w:rPr>
                      <w:rFonts w:hint="eastAsia"/>
                      <w:szCs w:val="21"/>
                    </w:rPr>
                    <w:t>48.3</w:t>
                  </w:r>
                </w:p>
              </w:tc>
              <w:tc>
                <w:tcPr>
                  <w:tcW w:w="1148" w:type="dxa"/>
                  <w:vMerge w:val="restart"/>
                  <w:vAlign w:val="center"/>
                </w:tcPr>
                <w:p>
                  <w:pPr>
                    <w:widowControl/>
                    <w:jc w:val="center"/>
                    <w:rPr>
                      <w:szCs w:val="21"/>
                    </w:rPr>
                  </w:pPr>
                  <w:r>
                    <w:rPr>
                      <w:rFonts w:hint="eastAsia"/>
                      <w:szCs w:val="21"/>
                    </w:rPr>
                    <w:t>昼间60</w:t>
                  </w:r>
                </w:p>
                <w:p>
                  <w:pPr>
                    <w:widowControl/>
                    <w:jc w:val="center"/>
                    <w:rPr>
                      <w:szCs w:val="21"/>
                    </w:rPr>
                  </w:pPr>
                  <w:r>
                    <w:rPr>
                      <w:rFonts w:hint="eastAsia"/>
                      <w:szCs w:val="21"/>
                    </w:rPr>
                    <w:t>夜间50</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7" w:type="dxa"/>
                  <w:vMerge w:val="continue"/>
                  <w:vAlign w:val="center"/>
                </w:tcPr>
                <w:p>
                  <w:pPr>
                    <w:jc w:val="center"/>
                  </w:pPr>
                </w:p>
              </w:tc>
              <w:tc>
                <w:tcPr>
                  <w:tcW w:w="1338" w:type="dxa"/>
                  <w:vAlign w:val="center"/>
                </w:tcPr>
                <w:p>
                  <w:pPr>
                    <w:jc w:val="center"/>
                  </w:pPr>
                  <w:r>
                    <w:rPr>
                      <w:rFonts w:hint="eastAsia"/>
                    </w:rPr>
                    <w:t>输送泵</w:t>
                  </w:r>
                </w:p>
              </w:tc>
              <w:tc>
                <w:tcPr>
                  <w:tcW w:w="1340" w:type="dxa"/>
                  <w:vAlign w:val="center"/>
                </w:tcPr>
                <w:p>
                  <w:pPr>
                    <w:pStyle w:val="140"/>
                    <w:rPr>
                      <w:kern w:val="2"/>
                    </w:rPr>
                  </w:pPr>
                  <w:r>
                    <w:rPr>
                      <w:rFonts w:hint="eastAsia"/>
                      <w:kern w:val="2"/>
                    </w:rPr>
                    <w:t>73</w:t>
                  </w:r>
                </w:p>
              </w:tc>
              <w:tc>
                <w:tcPr>
                  <w:tcW w:w="1190" w:type="dxa"/>
                  <w:vAlign w:val="center"/>
                </w:tcPr>
                <w:p>
                  <w:pPr>
                    <w:jc w:val="center"/>
                    <w:rPr>
                      <w:rFonts w:eastAsia="黑体"/>
                      <w:szCs w:val="21"/>
                    </w:rPr>
                  </w:pPr>
                  <w:r>
                    <w:rPr>
                      <w:rFonts w:hint="eastAsia" w:eastAsia="黑体"/>
                      <w:szCs w:val="21"/>
                    </w:rPr>
                    <w:t>20</w:t>
                  </w:r>
                </w:p>
              </w:tc>
              <w:tc>
                <w:tcPr>
                  <w:tcW w:w="920" w:type="dxa"/>
                  <w:vAlign w:val="center"/>
                </w:tcPr>
                <w:p>
                  <w:pPr>
                    <w:jc w:val="center"/>
                    <w:rPr>
                      <w:szCs w:val="21"/>
                    </w:rPr>
                  </w:pPr>
                  <w:r>
                    <w:rPr>
                      <w:rFonts w:hint="eastAsia"/>
                      <w:szCs w:val="21"/>
                    </w:rPr>
                    <w:t>46</w:t>
                  </w:r>
                </w:p>
              </w:tc>
              <w:tc>
                <w:tcPr>
                  <w:tcW w:w="1155" w:type="dxa"/>
                  <w:vMerge w:val="continue"/>
                  <w:vAlign w:val="center"/>
                </w:tcPr>
                <w:p>
                  <w:pPr>
                    <w:jc w:val="center"/>
                    <w:rPr>
                      <w:szCs w:val="21"/>
                    </w:rPr>
                  </w:pPr>
                </w:p>
              </w:tc>
              <w:tc>
                <w:tcPr>
                  <w:tcW w:w="1148" w:type="dxa"/>
                  <w:vMerge w:val="continue"/>
                  <w:vAlign w:val="center"/>
                </w:tcPr>
                <w:p>
                  <w:pPr>
                    <w:widowControl/>
                    <w:jc w:val="left"/>
                    <w:rPr>
                      <w:szCs w:val="21"/>
                    </w:rPr>
                  </w:pP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7" w:type="dxa"/>
                  <w:vMerge w:val="continue"/>
                  <w:vAlign w:val="center"/>
                </w:tcPr>
                <w:p>
                  <w:pPr>
                    <w:jc w:val="center"/>
                  </w:pPr>
                </w:p>
              </w:tc>
              <w:tc>
                <w:tcPr>
                  <w:tcW w:w="1338" w:type="dxa"/>
                  <w:vAlign w:val="center"/>
                </w:tcPr>
                <w:p>
                  <w:pPr>
                    <w:jc w:val="center"/>
                  </w:pPr>
                  <w:r>
                    <w:rPr>
                      <w:rFonts w:hint="eastAsia"/>
                    </w:rPr>
                    <w:t>振动筛</w:t>
                  </w:r>
                </w:p>
              </w:tc>
              <w:tc>
                <w:tcPr>
                  <w:tcW w:w="1340" w:type="dxa"/>
                  <w:vAlign w:val="center"/>
                </w:tcPr>
                <w:p>
                  <w:pPr>
                    <w:pStyle w:val="140"/>
                    <w:rPr>
                      <w:kern w:val="2"/>
                    </w:rPr>
                  </w:pPr>
                  <w:r>
                    <w:rPr>
                      <w:rFonts w:hint="eastAsia"/>
                      <w:kern w:val="2"/>
                    </w:rPr>
                    <w:t>68</w:t>
                  </w:r>
                </w:p>
              </w:tc>
              <w:tc>
                <w:tcPr>
                  <w:tcW w:w="1190" w:type="dxa"/>
                  <w:vAlign w:val="center"/>
                </w:tcPr>
                <w:p>
                  <w:pPr>
                    <w:jc w:val="center"/>
                    <w:rPr>
                      <w:rFonts w:eastAsia="黑体"/>
                      <w:szCs w:val="21"/>
                    </w:rPr>
                  </w:pPr>
                  <w:r>
                    <w:rPr>
                      <w:rFonts w:hint="eastAsia" w:eastAsia="黑体"/>
                      <w:szCs w:val="21"/>
                    </w:rPr>
                    <w:t>15</w:t>
                  </w:r>
                </w:p>
              </w:tc>
              <w:tc>
                <w:tcPr>
                  <w:tcW w:w="920" w:type="dxa"/>
                  <w:vAlign w:val="center"/>
                </w:tcPr>
                <w:p>
                  <w:pPr>
                    <w:jc w:val="center"/>
                    <w:rPr>
                      <w:szCs w:val="21"/>
                    </w:rPr>
                  </w:pPr>
                  <w:r>
                    <w:rPr>
                      <w:rFonts w:hint="eastAsia"/>
                      <w:szCs w:val="21"/>
                    </w:rPr>
                    <w:t>44</w:t>
                  </w:r>
                </w:p>
              </w:tc>
              <w:tc>
                <w:tcPr>
                  <w:tcW w:w="1155" w:type="dxa"/>
                  <w:vMerge w:val="continue"/>
                  <w:vAlign w:val="center"/>
                </w:tcPr>
                <w:p>
                  <w:pPr>
                    <w:jc w:val="center"/>
                    <w:rPr>
                      <w:szCs w:val="21"/>
                    </w:rPr>
                  </w:pPr>
                </w:p>
              </w:tc>
              <w:tc>
                <w:tcPr>
                  <w:tcW w:w="1148" w:type="dxa"/>
                  <w:vMerge w:val="continue"/>
                  <w:vAlign w:val="center"/>
                </w:tcPr>
                <w:p>
                  <w:pPr>
                    <w:widowControl/>
                    <w:jc w:val="left"/>
                    <w:rPr>
                      <w:szCs w:val="21"/>
                    </w:rPr>
                  </w:pP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7" w:type="dxa"/>
                  <w:vMerge w:val="restart"/>
                  <w:vAlign w:val="center"/>
                </w:tcPr>
                <w:p>
                  <w:pPr>
                    <w:jc w:val="center"/>
                    <w:rPr>
                      <w:szCs w:val="21"/>
                    </w:rPr>
                  </w:pPr>
                  <w:r>
                    <w:rPr>
                      <w:szCs w:val="21"/>
                    </w:rPr>
                    <w:t>南厂界</w:t>
                  </w:r>
                </w:p>
              </w:tc>
              <w:tc>
                <w:tcPr>
                  <w:tcW w:w="1338" w:type="dxa"/>
                  <w:vAlign w:val="center"/>
                </w:tcPr>
                <w:p>
                  <w:pPr>
                    <w:jc w:val="center"/>
                  </w:pPr>
                  <w:r>
                    <w:rPr>
                      <w:rFonts w:hint="eastAsia"/>
                    </w:rPr>
                    <w:t>研磨机</w:t>
                  </w:r>
                </w:p>
              </w:tc>
              <w:tc>
                <w:tcPr>
                  <w:tcW w:w="1340" w:type="dxa"/>
                  <w:vAlign w:val="center"/>
                </w:tcPr>
                <w:p>
                  <w:pPr>
                    <w:pStyle w:val="140"/>
                    <w:rPr>
                      <w:kern w:val="2"/>
                    </w:rPr>
                  </w:pPr>
                  <w:r>
                    <w:rPr>
                      <w:rFonts w:hint="eastAsia"/>
                      <w:kern w:val="2"/>
                    </w:rPr>
                    <w:t>65</w:t>
                  </w:r>
                </w:p>
              </w:tc>
              <w:tc>
                <w:tcPr>
                  <w:tcW w:w="1190" w:type="dxa"/>
                  <w:vAlign w:val="center"/>
                </w:tcPr>
                <w:p>
                  <w:pPr>
                    <w:jc w:val="center"/>
                    <w:rPr>
                      <w:rFonts w:eastAsia="黑体"/>
                      <w:szCs w:val="21"/>
                    </w:rPr>
                  </w:pPr>
                  <w:r>
                    <w:rPr>
                      <w:rFonts w:hint="eastAsia" w:eastAsia="黑体"/>
                      <w:szCs w:val="21"/>
                    </w:rPr>
                    <w:t>25</w:t>
                  </w:r>
                </w:p>
              </w:tc>
              <w:tc>
                <w:tcPr>
                  <w:tcW w:w="920" w:type="dxa"/>
                  <w:vAlign w:val="center"/>
                </w:tcPr>
                <w:p>
                  <w:pPr>
                    <w:jc w:val="center"/>
                    <w:rPr>
                      <w:szCs w:val="21"/>
                    </w:rPr>
                  </w:pPr>
                  <w:r>
                    <w:rPr>
                      <w:rFonts w:hint="eastAsia"/>
                      <w:szCs w:val="21"/>
                    </w:rPr>
                    <w:t>37</w:t>
                  </w:r>
                </w:p>
              </w:tc>
              <w:tc>
                <w:tcPr>
                  <w:tcW w:w="1155" w:type="dxa"/>
                  <w:vMerge w:val="restart"/>
                  <w:vAlign w:val="center"/>
                </w:tcPr>
                <w:p>
                  <w:pPr>
                    <w:jc w:val="center"/>
                    <w:rPr>
                      <w:szCs w:val="21"/>
                    </w:rPr>
                  </w:pPr>
                  <w:r>
                    <w:rPr>
                      <w:rFonts w:hint="eastAsia"/>
                      <w:szCs w:val="21"/>
                    </w:rPr>
                    <w:t>49.6</w:t>
                  </w:r>
                </w:p>
              </w:tc>
              <w:tc>
                <w:tcPr>
                  <w:tcW w:w="1148" w:type="dxa"/>
                  <w:vMerge w:val="continue"/>
                  <w:vAlign w:val="center"/>
                </w:tcPr>
                <w:p>
                  <w:pPr>
                    <w:widowControl/>
                    <w:jc w:val="left"/>
                    <w:rPr>
                      <w:szCs w:val="21"/>
                    </w:rPr>
                  </w:pP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937" w:type="dxa"/>
                  <w:vMerge w:val="continue"/>
                  <w:vAlign w:val="center"/>
                </w:tcPr>
                <w:p>
                  <w:pPr>
                    <w:jc w:val="center"/>
                  </w:pPr>
                </w:p>
              </w:tc>
              <w:tc>
                <w:tcPr>
                  <w:tcW w:w="1338" w:type="dxa"/>
                  <w:vAlign w:val="center"/>
                </w:tcPr>
                <w:p>
                  <w:pPr>
                    <w:jc w:val="center"/>
                  </w:pPr>
                  <w:r>
                    <w:rPr>
                      <w:rFonts w:hint="eastAsia"/>
                    </w:rPr>
                    <w:t>输送泵</w:t>
                  </w:r>
                </w:p>
              </w:tc>
              <w:tc>
                <w:tcPr>
                  <w:tcW w:w="1340" w:type="dxa"/>
                  <w:vAlign w:val="center"/>
                </w:tcPr>
                <w:p>
                  <w:pPr>
                    <w:pStyle w:val="140"/>
                    <w:rPr>
                      <w:kern w:val="2"/>
                    </w:rPr>
                  </w:pPr>
                  <w:r>
                    <w:rPr>
                      <w:rFonts w:hint="eastAsia"/>
                      <w:kern w:val="2"/>
                    </w:rPr>
                    <w:t>73</w:t>
                  </w:r>
                </w:p>
              </w:tc>
              <w:tc>
                <w:tcPr>
                  <w:tcW w:w="1190" w:type="dxa"/>
                  <w:vAlign w:val="center"/>
                </w:tcPr>
                <w:p>
                  <w:pPr>
                    <w:jc w:val="center"/>
                    <w:rPr>
                      <w:rFonts w:eastAsia="黑体"/>
                      <w:szCs w:val="21"/>
                    </w:rPr>
                  </w:pPr>
                  <w:r>
                    <w:rPr>
                      <w:rFonts w:hint="eastAsia" w:eastAsia="黑体"/>
                      <w:szCs w:val="21"/>
                    </w:rPr>
                    <w:t>15</w:t>
                  </w:r>
                </w:p>
              </w:tc>
              <w:tc>
                <w:tcPr>
                  <w:tcW w:w="920" w:type="dxa"/>
                  <w:vAlign w:val="center"/>
                </w:tcPr>
                <w:p>
                  <w:pPr>
                    <w:jc w:val="center"/>
                    <w:rPr>
                      <w:szCs w:val="21"/>
                    </w:rPr>
                  </w:pPr>
                  <w:r>
                    <w:rPr>
                      <w:rFonts w:hint="eastAsia"/>
                      <w:szCs w:val="21"/>
                    </w:rPr>
                    <w:t>48</w:t>
                  </w:r>
                </w:p>
              </w:tc>
              <w:tc>
                <w:tcPr>
                  <w:tcW w:w="1155" w:type="dxa"/>
                  <w:vMerge w:val="continue"/>
                  <w:vAlign w:val="center"/>
                </w:tcPr>
                <w:p>
                  <w:pPr>
                    <w:jc w:val="center"/>
                    <w:rPr>
                      <w:szCs w:val="21"/>
                    </w:rPr>
                  </w:pPr>
                </w:p>
              </w:tc>
              <w:tc>
                <w:tcPr>
                  <w:tcW w:w="1148" w:type="dxa"/>
                  <w:vMerge w:val="continue"/>
                  <w:vAlign w:val="center"/>
                </w:tcPr>
                <w:p>
                  <w:pPr>
                    <w:widowControl/>
                    <w:jc w:val="left"/>
                    <w:rPr>
                      <w:szCs w:val="21"/>
                    </w:rPr>
                  </w:pP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7" w:type="dxa"/>
                  <w:vMerge w:val="continue"/>
                  <w:vAlign w:val="center"/>
                </w:tcPr>
                <w:p>
                  <w:pPr>
                    <w:jc w:val="center"/>
                  </w:pPr>
                </w:p>
              </w:tc>
              <w:tc>
                <w:tcPr>
                  <w:tcW w:w="1338" w:type="dxa"/>
                  <w:vAlign w:val="center"/>
                </w:tcPr>
                <w:p>
                  <w:pPr>
                    <w:jc w:val="center"/>
                  </w:pPr>
                  <w:r>
                    <w:rPr>
                      <w:rFonts w:hint="eastAsia"/>
                    </w:rPr>
                    <w:t>振动筛</w:t>
                  </w:r>
                </w:p>
              </w:tc>
              <w:tc>
                <w:tcPr>
                  <w:tcW w:w="1340" w:type="dxa"/>
                  <w:vAlign w:val="center"/>
                </w:tcPr>
                <w:p>
                  <w:pPr>
                    <w:pStyle w:val="140"/>
                    <w:rPr>
                      <w:kern w:val="2"/>
                    </w:rPr>
                  </w:pPr>
                  <w:r>
                    <w:rPr>
                      <w:rFonts w:hint="eastAsia"/>
                      <w:kern w:val="2"/>
                    </w:rPr>
                    <w:t>68</w:t>
                  </w:r>
                </w:p>
              </w:tc>
              <w:tc>
                <w:tcPr>
                  <w:tcW w:w="1190" w:type="dxa"/>
                  <w:vAlign w:val="center"/>
                </w:tcPr>
                <w:p>
                  <w:pPr>
                    <w:jc w:val="center"/>
                    <w:rPr>
                      <w:rFonts w:eastAsia="黑体"/>
                      <w:szCs w:val="21"/>
                    </w:rPr>
                  </w:pPr>
                  <w:r>
                    <w:rPr>
                      <w:rFonts w:hint="eastAsia" w:eastAsia="黑体"/>
                      <w:szCs w:val="21"/>
                    </w:rPr>
                    <w:t>15</w:t>
                  </w:r>
                </w:p>
              </w:tc>
              <w:tc>
                <w:tcPr>
                  <w:tcW w:w="920" w:type="dxa"/>
                  <w:vAlign w:val="center"/>
                </w:tcPr>
                <w:p>
                  <w:pPr>
                    <w:jc w:val="center"/>
                    <w:rPr>
                      <w:szCs w:val="21"/>
                    </w:rPr>
                  </w:pPr>
                  <w:r>
                    <w:rPr>
                      <w:rFonts w:hint="eastAsia"/>
                      <w:szCs w:val="21"/>
                    </w:rPr>
                    <w:t>44</w:t>
                  </w:r>
                </w:p>
              </w:tc>
              <w:tc>
                <w:tcPr>
                  <w:tcW w:w="1155" w:type="dxa"/>
                  <w:vMerge w:val="continue"/>
                  <w:vAlign w:val="center"/>
                </w:tcPr>
                <w:p>
                  <w:pPr>
                    <w:jc w:val="center"/>
                    <w:rPr>
                      <w:szCs w:val="21"/>
                    </w:rPr>
                  </w:pPr>
                </w:p>
              </w:tc>
              <w:tc>
                <w:tcPr>
                  <w:tcW w:w="1148" w:type="dxa"/>
                  <w:vMerge w:val="continue"/>
                  <w:vAlign w:val="center"/>
                </w:tcPr>
                <w:p>
                  <w:pPr>
                    <w:widowControl/>
                    <w:jc w:val="left"/>
                    <w:rPr>
                      <w:szCs w:val="21"/>
                    </w:rPr>
                  </w:pP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937" w:type="dxa"/>
                  <w:vMerge w:val="restart"/>
                  <w:vAlign w:val="center"/>
                </w:tcPr>
                <w:p>
                  <w:pPr>
                    <w:jc w:val="center"/>
                    <w:rPr>
                      <w:szCs w:val="21"/>
                    </w:rPr>
                  </w:pPr>
                  <w:r>
                    <w:rPr>
                      <w:szCs w:val="21"/>
                    </w:rPr>
                    <w:t>西厂界</w:t>
                  </w:r>
                </w:p>
              </w:tc>
              <w:tc>
                <w:tcPr>
                  <w:tcW w:w="1338" w:type="dxa"/>
                  <w:vAlign w:val="center"/>
                </w:tcPr>
                <w:p>
                  <w:pPr>
                    <w:jc w:val="center"/>
                  </w:pPr>
                  <w:r>
                    <w:rPr>
                      <w:rFonts w:hint="eastAsia"/>
                    </w:rPr>
                    <w:t>研磨机</w:t>
                  </w:r>
                </w:p>
              </w:tc>
              <w:tc>
                <w:tcPr>
                  <w:tcW w:w="1340" w:type="dxa"/>
                  <w:vAlign w:val="center"/>
                </w:tcPr>
                <w:p>
                  <w:pPr>
                    <w:pStyle w:val="140"/>
                    <w:rPr>
                      <w:kern w:val="2"/>
                    </w:rPr>
                  </w:pPr>
                  <w:r>
                    <w:rPr>
                      <w:rFonts w:hint="eastAsia"/>
                      <w:kern w:val="2"/>
                    </w:rPr>
                    <w:t>65</w:t>
                  </w:r>
                </w:p>
              </w:tc>
              <w:tc>
                <w:tcPr>
                  <w:tcW w:w="1190" w:type="dxa"/>
                  <w:vAlign w:val="center"/>
                </w:tcPr>
                <w:p>
                  <w:pPr>
                    <w:jc w:val="center"/>
                    <w:rPr>
                      <w:rFonts w:eastAsia="黑体"/>
                      <w:szCs w:val="21"/>
                    </w:rPr>
                  </w:pPr>
                  <w:r>
                    <w:rPr>
                      <w:rFonts w:hint="eastAsia" w:eastAsia="黑体"/>
                      <w:szCs w:val="21"/>
                    </w:rPr>
                    <w:t>10</w:t>
                  </w:r>
                </w:p>
              </w:tc>
              <w:tc>
                <w:tcPr>
                  <w:tcW w:w="920" w:type="dxa"/>
                  <w:vAlign w:val="center"/>
                </w:tcPr>
                <w:p>
                  <w:pPr>
                    <w:jc w:val="center"/>
                    <w:rPr>
                      <w:szCs w:val="21"/>
                    </w:rPr>
                  </w:pPr>
                  <w:r>
                    <w:rPr>
                      <w:rFonts w:hint="eastAsia"/>
                      <w:szCs w:val="21"/>
                    </w:rPr>
                    <w:t>45</w:t>
                  </w:r>
                </w:p>
              </w:tc>
              <w:tc>
                <w:tcPr>
                  <w:tcW w:w="1155" w:type="dxa"/>
                  <w:vMerge w:val="restart"/>
                  <w:vAlign w:val="center"/>
                </w:tcPr>
                <w:p>
                  <w:pPr>
                    <w:jc w:val="center"/>
                    <w:rPr>
                      <w:szCs w:val="21"/>
                    </w:rPr>
                  </w:pPr>
                  <w:r>
                    <w:rPr>
                      <w:rFonts w:hint="eastAsia"/>
                      <w:szCs w:val="21"/>
                    </w:rPr>
                    <w:t>49.1</w:t>
                  </w:r>
                </w:p>
              </w:tc>
              <w:tc>
                <w:tcPr>
                  <w:tcW w:w="1148" w:type="dxa"/>
                  <w:vMerge w:val="continue"/>
                  <w:vAlign w:val="center"/>
                </w:tcPr>
                <w:p>
                  <w:pPr>
                    <w:widowControl/>
                    <w:jc w:val="left"/>
                    <w:rPr>
                      <w:szCs w:val="21"/>
                    </w:rPr>
                  </w:pP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7" w:type="dxa"/>
                  <w:vMerge w:val="continue"/>
                  <w:vAlign w:val="center"/>
                </w:tcPr>
                <w:p>
                  <w:pPr>
                    <w:jc w:val="center"/>
                  </w:pPr>
                </w:p>
              </w:tc>
              <w:tc>
                <w:tcPr>
                  <w:tcW w:w="1338" w:type="dxa"/>
                  <w:vAlign w:val="center"/>
                </w:tcPr>
                <w:p>
                  <w:pPr>
                    <w:jc w:val="center"/>
                  </w:pPr>
                  <w:r>
                    <w:rPr>
                      <w:rFonts w:hint="eastAsia"/>
                    </w:rPr>
                    <w:t>输送泵</w:t>
                  </w:r>
                </w:p>
              </w:tc>
              <w:tc>
                <w:tcPr>
                  <w:tcW w:w="1340" w:type="dxa"/>
                  <w:vAlign w:val="center"/>
                </w:tcPr>
                <w:p>
                  <w:pPr>
                    <w:pStyle w:val="140"/>
                    <w:rPr>
                      <w:kern w:val="2"/>
                    </w:rPr>
                  </w:pPr>
                  <w:r>
                    <w:rPr>
                      <w:rFonts w:hint="eastAsia"/>
                      <w:kern w:val="2"/>
                    </w:rPr>
                    <w:t>73</w:t>
                  </w:r>
                </w:p>
              </w:tc>
              <w:tc>
                <w:tcPr>
                  <w:tcW w:w="1190" w:type="dxa"/>
                  <w:vAlign w:val="center"/>
                </w:tcPr>
                <w:p>
                  <w:pPr>
                    <w:jc w:val="center"/>
                    <w:rPr>
                      <w:rFonts w:eastAsia="黑体"/>
                      <w:szCs w:val="21"/>
                    </w:rPr>
                  </w:pPr>
                  <w:r>
                    <w:rPr>
                      <w:rFonts w:hint="eastAsia" w:eastAsia="黑体"/>
                      <w:szCs w:val="21"/>
                    </w:rPr>
                    <w:t>20</w:t>
                  </w:r>
                </w:p>
              </w:tc>
              <w:tc>
                <w:tcPr>
                  <w:tcW w:w="920" w:type="dxa"/>
                  <w:vAlign w:val="center"/>
                </w:tcPr>
                <w:p>
                  <w:pPr>
                    <w:jc w:val="center"/>
                    <w:rPr>
                      <w:szCs w:val="21"/>
                    </w:rPr>
                  </w:pPr>
                  <w:r>
                    <w:rPr>
                      <w:rFonts w:hint="eastAsia"/>
                      <w:szCs w:val="21"/>
                    </w:rPr>
                    <w:t>46</w:t>
                  </w:r>
                </w:p>
              </w:tc>
              <w:tc>
                <w:tcPr>
                  <w:tcW w:w="1155" w:type="dxa"/>
                  <w:vMerge w:val="continue"/>
                  <w:vAlign w:val="center"/>
                </w:tcPr>
                <w:p>
                  <w:pPr>
                    <w:jc w:val="center"/>
                    <w:rPr>
                      <w:szCs w:val="21"/>
                    </w:rPr>
                  </w:pPr>
                </w:p>
              </w:tc>
              <w:tc>
                <w:tcPr>
                  <w:tcW w:w="1148" w:type="dxa"/>
                  <w:vMerge w:val="continue"/>
                  <w:vAlign w:val="center"/>
                </w:tcPr>
                <w:p>
                  <w:pPr>
                    <w:widowControl/>
                    <w:jc w:val="left"/>
                    <w:rPr>
                      <w:szCs w:val="21"/>
                    </w:rPr>
                  </w:pP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7" w:type="dxa"/>
                  <w:vMerge w:val="continue"/>
                  <w:vAlign w:val="center"/>
                </w:tcPr>
                <w:p>
                  <w:pPr>
                    <w:jc w:val="center"/>
                  </w:pPr>
                </w:p>
              </w:tc>
              <w:tc>
                <w:tcPr>
                  <w:tcW w:w="1338" w:type="dxa"/>
                  <w:vAlign w:val="center"/>
                </w:tcPr>
                <w:p>
                  <w:pPr>
                    <w:jc w:val="center"/>
                  </w:pPr>
                  <w:r>
                    <w:rPr>
                      <w:rFonts w:hint="eastAsia"/>
                    </w:rPr>
                    <w:t>振动筛</w:t>
                  </w:r>
                </w:p>
              </w:tc>
              <w:tc>
                <w:tcPr>
                  <w:tcW w:w="1340" w:type="dxa"/>
                  <w:vAlign w:val="center"/>
                </w:tcPr>
                <w:p>
                  <w:pPr>
                    <w:pStyle w:val="140"/>
                    <w:rPr>
                      <w:kern w:val="2"/>
                    </w:rPr>
                  </w:pPr>
                  <w:r>
                    <w:rPr>
                      <w:rFonts w:hint="eastAsia"/>
                      <w:kern w:val="2"/>
                    </w:rPr>
                    <w:t>68</w:t>
                  </w:r>
                </w:p>
              </w:tc>
              <w:tc>
                <w:tcPr>
                  <w:tcW w:w="1190" w:type="dxa"/>
                  <w:vAlign w:val="center"/>
                </w:tcPr>
                <w:p>
                  <w:pPr>
                    <w:jc w:val="center"/>
                    <w:rPr>
                      <w:rFonts w:eastAsia="黑体"/>
                      <w:szCs w:val="21"/>
                    </w:rPr>
                  </w:pPr>
                  <w:r>
                    <w:rPr>
                      <w:rFonts w:hint="eastAsia" w:eastAsia="黑体"/>
                      <w:szCs w:val="21"/>
                    </w:rPr>
                    <w:t>25</w:t>
                  </w:r>
                </w:p>
              </w:tc>
              <w:tc>
                <w:tcPr>
                  <w:tcW w:w="920" w:type="dxa"/>
                  <w:vAlign w:val="center"/>
                </w:tcPr>
                <w:p>
                  <w:pPr>
                    <w:jc w:val="center"/>
                    <w:rPr>
                      <w:szCs w:val="21"/>
                    </w:rPr>
                  </w:pPr>
                  <w:r>
                    <w:rPr>
                      <w:rFonts w:hint="eastAsia"/>
                      <w:szCs w:val="21"/>
                    </w:rPr>
                    <w:t>40</w:t>
                  </w:r>
                </w:p>
              </w:tc>
              <w:tc>
                <w:tcPr>
                  <w:tcW w:w="1155" w:type="dxa"/>
                  <w:vMerge w:val="continue"/>
                  <w:vAlign w:val="center"/>
                </w:tcPr>
                <w:p>
                  <w:pPr>
                    <w:jc w:val="center"/>
                    <w:rPr>
                      <w:szCs w:val="21"/>
                    </w:rPr>
                  </w:pPr>
                </w:p>
              </w:tc>
              <w:tc>
                <w:tcPr>
                  <w:tcW w:w="1148" w:type="dxa"/>
                  <w:vMerge w:val="continue"/>
                  <w:vAlign w:val="center"/>
                </w:tcPr>
                <w:p>
                  <w:pPr>
                    <w:widowControl/>
                    <w:jc w:val="left"/>
                    <w:rPr>
                      <w:szCs w:val="21"/>
                    </w:rPr>
                  </w:pP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7" w:type="dxa"/>
                  <w:vMerge w:val="restart"/>
                  <w:vAlign w:val="center"/>
                </w:tcPr>
                <w:p>
                  <w:pPr>
                    <w:jc w:val="center"/>
                    <w:rPr>
                      <w:szCs w:val="21"/>
                    </w:rPr>
                  </w:pPr>
                  <w:r>
                    <w:rPr>
                      <w:szCs w:val="21"/>
                    </w:rPr>
                    <w:t>北厂界</w:t>
                  </w:r>
                </w:p>
              </w:tc>
              <w:tc>
                <w:tcPr>
                  <w:tcW w:w="1338" w:type="dxa"/>
                  <w:vAlign w:val="center"/>
                </w:tcPr>
                <w:p>
                  <w:pPr>
                    <w:jc w:val="center"/>
                  </w:pPr>
                  <w:r>
                    <w:rPr>
                      <w:rFonts w:hint="eastAsia"/>
                    </w:rPr>
                    <w:t>研磨机</w:t>
                  </w:r>
                </w:p>
              </w:tc>
              <w:tc>
                <w:tcPr>
                  <w:tcW w:w="1340" w:type="dxa"/>
                  <w:vAlign w:val="center"/>
                </w:tcPr>
                <w:p>
                  <w:pPr>
                    <w:pStyle w:val="140"/>
                    <w:rPr>
                      <w:kern w:val="2"/>
                    </w:rPr>
                  </w:pPr>
                  <w:r>
                    <w:rPr>
                      <w:rFonts w:hint="eastAsia"/>
                      <w:kern w:val="2"/>
                    </w:rPr>
                    <w:t>65</w:t>
                  </w:r>
                </w:p>
              </w:tc>
              <w:tc>
                <w:tcPr>
                  <w:tcW w:w="1190" w:type="dxa"/>
                  <w:vAlign w:val="center"/>
                </w:tcPr>
                <w:p>
                  <w:pPr>
                    <w:jc w:val="center"/>
                    <w:rPr>
                      <w:rFonts w:eastAsia="黑体"/>
                      <w:szCs w:val="21"/>
                    </w:rPr>
                  </w:pPr>
                  <w:r>
                    <w:rPr>
                      <w:rFonts w:hint="eastAsia" w:eastAsia="黑体"/>
                      <w:szCs w:val="21"/>
                    </w:rPr>
                    <w:t>15</w:t>
                  </w:r>
                </w:p>
              </w:tc>
              <w:tc>
                <w:tcPr>
                  <w:tcW w:w="920" w:type="dxa"/>
                  <w:vAlign w:val="center"/>
                </w:tcPr>
                <w:p>
                  <w:pPr>
                    <w:jc w:val="center"/>
                    <w:rPr>
                      <w:szCs w:val="21"/>
                    </w:rPr>
                  </w:pPr>
                  <w:r>
                    <w:rPr>
                      <w:rFonts w:hint="eastAsia"/>
                      <w:szCs w:val="21"/>
                    </w:rPr>
                    <w:t>41</w:t>
                  </w:r>
                </w:p>
              </w:tc>
              <w:tc>
                <w:tcPr>
                  <w:tcW w:w="1155" w:type="dxa"/>
                  <w:vMerge w:val="restart"/>
                  <w:vAlign w:val="center"/>
                </w:tcPr>
                <w:p>
                  <w:pPr>
                    <w:jc w:val="center"/>
                    <w:rPr>
                      <w:szCs w:val="21"/>
                    </w:rPr>
                  </w:pPr>
                  <w:r>
                    <w:rPr>
                      <w:rFonts w:hint="eastAsia"/>
                      <w:szCs w:val="21"/>
                    </w:rPr>
                    <w:t>47.3</w:t>
                  </w:r>
                </w:p>
              </w:tc>
              <w:tc>
                <w:tcPr>
                  <w:tcW w:w="1148" w:type="dxa"/>
                  <w:vMerge w:val="continue"/>
                  <w:vAlign w:val="center"/>
                </w:tcPr>
                <w:p>
                  <w:pPr>
                    <w:widowControl/>
                    <w:jc w:val="left"/>
                    <w:rPr>
                      <w:szCs w:val="21"/>
                    </w:rPr>
                  </w:pP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937" w:type="dxa"/>
                  <w:vMerge w:val="continue"/>
                  <w:vAlign w:val="center"/>
                </w:tcPr>
                <w:p>
                  <w:pPr>
                    <w:jc w:val="center"/>
                  </w:pPr>
                </w:p>
              </w:tc>
              <w:tc>
                <w:tcPr>
                  <w:tcW w:w="1338" w:type="dxa"/>
                  <w:vAlign w:val="center"/>
                </w:tcPr>
                <w:p>
                  <w:pPr>
                    <w:jc w:val="center"/>
                  </w:pPr>
                  <w:r>
                    <w:rPr>
                      <w:rFonts w:hint="eastAsia"/>
                    </w:rPr>
                    <w:t>输送泵</w:t>
                  </w:r>
                </w:p>
              </w:tc>
              <w:tc>
                <w:tcPr>
                  <w:tcW w:w="1340" w:type="dxa"/>
                  <w:vAlign w:val="center"/>
                </w:tcPr>
                <w:p>
                  <w:pPr>
                    <w:pStyle w:val="140"/>
                    <w:rPr>
                      <w:kern w:val="2"/>
                    </w:rPr>
                  </w:pPr>
                  <w:r>
                    <w:rPr>
                      <w:rFonts w:hint="eastAsia"/>
                      <w:kern w:val="2"/>
                    </w:rPr>
                    <w:t>73</w:t>
                  </w:r>
                </w:p>
              </w:tc>
              <w:tc>
                <w:tcPr>
                  <w:tcW w:w="1190" w:type="dxa"/>
                  <w:vAlign w:val="center"/>
                </w:tcPr>
                <w:p>
                  <w:pPr>
                    <w:jc w:val="center"/>
                    <w:rPr>
                      <w:rFonts w:eastAsia="黑体"/>
                      <w:szCs w:val="21"/>
                    </w:rPr>
                  </w:pPr>
                  <w:r>
                    <w:rPr>
                      <w:rFonts w:hint="eastAsia" w:eastAsia="黑体"/>
                      <w:szCs w:val="21"/>
                    </w:rPr>
                    <w:t>25</w:t>
                  </w:r>
                </w:p>
              </w:tc>
              <w:tc>
                <w:tcPr>
                  <w:tcW w:w="920" w:type="dxa"/>
                  <w:vAlign w:val="center"/>
                </w:tcPr>
                <w:p>
                  <w:pPr>
                    <w:jc w:val="center"/>
                    <w:rPr>
                      <w:szCs w:val="21"/>
                    </w:rPr>
                  </w:pPr>
                  <w:r>
                    <w:rPr>
                      <w:rFonts w:hint="eastAsia"/>
                      <w:szCs w:val="21"/>
                    </w:rPr>
                    <w:t>45</w:t>
                  </w:r>
                </w:p>
              </w:tc>
              <w:tc>
                <w:tcPr>
                  <w:tcW w:w="1155" w:type="dxa"/>
                  <w:vMerge w:val="continue"/>
                  <w:vAlign w:val="center"/>
                </w:tcPr>
                <w:p>
                  <w:pPr>
                    <w:jc w:val="center"/>
                    <w:rPr>
                      <w:szCs w:val="21"/>
                    </w:rPr>
                  </w:pPr>
                </w:p>
              </w:tc>
              <w:tc>
                <w:tcPr>
                  <w:tcW w:w="1148" w:type="dxa"/>
                  <w:vMerge w:val="continue"/>
                  <w:vAlign w:val="center"/>
                </w:tcPr>
                <w:p>
                  <w:pPr>
                    <w:widowControl/>
                    <w:jc w:val="left"/>
                    <w:rPr>
                      <w:szCs w:val="21"/>
                    </w:rPr>
                  </w:pP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7" w:type="dxa"/>
                  <w:vMerge w:val="continue"/>
                  <w:vAlign w:val="center"/>
                </w:tcPr>
                <w:p>
                  <w:pPr>
                    <w:jc w:val="center"/>
                  </w:pPr>
                </w:p>
              </w:tc>
              <w:tc>
                <w:tcPr>
                  <w:tcW w:w="1338" w:type="dxa"/>
                  <w:vAlign w:val="center"/>
                </w:tcPr>
                <w:p>
                  <w:pPr>
                    <w:jc w:val="center"/>
                  </w:pPr>
                  <w:r>
                    <w:rPr>
                      <w:rFonts w:hint="eastAsia"/>
                    </w:rPr>
                    <w:t>振动筛</w:t>
                  </w:r>
                </w:p>
              </w:tc>
              <w:tc>
                <w:tcPr>
                  <w:tcW w:w="1340" w:type="dxa"/>
                  <w:vAlign w:val="center"/>
                </w:tcPr>
                <w:p>
                  <w:pPr>
                    <w:pStyle w:val="140"/>
                    <w:rPr>
                      <w:kern w:val="2"/>
                    </w:rPr>
                  </w:pPr>
                  <w:r>
                    <w:rPr>
                      <w:rFonts w:hint="eastAsia"/>
                      <w:kern w:val="2"/>
                    </w:rPr>
                    <w:t>68</w:t>
                  </w:r>
                </w:p>
              </w:tc>
              <w:tc>
                <w:tcPr>
                  <w:tcW w:w="1190" w:type="dxa"/>
                  <w:vAlign w:val="center"/>
                </w:tcPr>
                <w:p>
                  <w:pPr>
                    <w:jc w:val="center"/>
                    <w:rPr>
                      <w:rFonts w:eastAsia="黑体"/>
                      <w:szCs w:val="21"/>
                    </w:rPr>
                  </w:pPr>
                  <w:r>
                    <w:rPr>
                      <w:rFonts w:hint="eastAsia" w:eastAsia="黑体"/>
                      <w:szCs w:val="21"/>
                    </w:rPr>
                    <w:t>25</w:t>
                  </w:r>
                </w:p>
              </w:tc>
              <w:tc>
                <w:tcPr>
                  <w:tcW w:w="920" w:type="dxa"/>
                  <w:vAlign w:val="center"/>
                </w:tcPr>
                <w:p>
                  <w:pPr>
                    <w:jc w:val="center"/>
                    <w:rPr>
                      <w:szCs w:val="21"/>
                    </w:rPr>
                  </w:pPr>
                  <w:r>
                    <w:rPr>
                      <w:rFonts w:hint="eastAsia"/>
                      <w:szCs w:val="21"/>
                    </w:rPr>
                    <w:t>40</w:t>
                  </w:r>
                </w:p>
              </w:tc>
              <w:tc>
                <w:tcPr>
                  <w:tcW w:w="1155" w:type="dxa"/>
                  <w:vMerge w:val="continue"/>
                  <w:vAlign w:val="center"/>
                </w:tcPr>
                <w:p>
                  <w:pPr>
                    <w:jc w:val="center"/>
                    <w:rPr>
                      <w:szCs w:val="21"/>
                    </w:rPr>
                  </w:pPr>
                </w:p>
              </w:tc>
              <w:tc>
                <w:tcPr>
                  <w:tcW w:w="1148" w:type="dxa"/>
                  <w:vMerge w:val="continue"/>
                  <w:vAlign w:val="center"/>
                </w:tcPr>
                <w:p>
                  <w:pPr>
                    <w:widowControl/>
                    <w:jc w:val="left"/>
                    <w:rPr>
                      <w:szCs w:val="21"/>
                    </w:rPr>
                  </w:pPr>
                </w:p>
              </w:tc>
            </w:tr>
          </w:tbl>
          <w:p>
            <w:pPr>
              <w:spacing w:line="440" w:lineRule="exact"/>
              <w:ind w:firstLine="480" w:firstLineChars="200"/>
              <w:rPr>
                <w:sz w:val="24"/>
              </w:rPr>
            </w:pPr>
            <w:r>
              <w:rPr>
                <w:sz w:val="24"/>
              </w:rPr>
              <w:t>项目生产期间高噪声设备经减振、厂房隔声后，项目厂区四周噪声贡献值较小，各厂界满足《工业企业厂界环境噪声排放标准》（GB12348-2008）2类昼间60dB(A)、夜间50dB</w:t>
            </w:r>
            <w:r>
              <w:rPr>
                <w:rFonts w:hint="eastAsia"/>
                <w:sz w:val="24"/>
              </w:rPr>
              <w:t>(</w:t>
            </w:r>
            <w:r>
              <w:rPr>
                <w:sz w:val="24"/>
              </w:rPr>
              <w:t>A</w:t>
            </w:r>
            <w:r>
              <w:rPr>
                <w:rFonts w:hint="eastAsia"/>
                <w:sz w:val="24"/>
              </w:rPr>
              <w:t>)</w:t>
            </w:r>
            <w:r>
              <w:rPr>
                <w:sz w:val="24"/>
              </w:rPr>
              <w:t>的标准要求。</w:t>
            </w:r>
          </w:p>
          <w:p>
            <w:pPr>
              <w:spacing w:line="460" w:lineRule="exact"/>
              <w:ind w:firstLine="482" w:firstLineChars="200"/>
              <w:textAlignment w:val="baseline"/>
              <w:rPr>
                <w:b/>
                <w:sz w:val="24"/>
              </w:rPr>
            </w:pPr>
            <w:r>
              <w:rPr>
                <w:b/>
                <w:sz w:val="24"/>
              </w:rPr>
              <w:t>3</w:t>
            </w:r>
            <w:r>
              <w:rPr>
                <w:rFonts w:ascii="宋体" w:hAnsi="宋体"/>
                <w:b/>
                <w:sz w:val="24"/>
              </w:rPr>
              <w:t>、监测要求</w:t>
            </w:r>
          </w:p>
          <w:p>
            <w:pPr>
              <w:spacing w:line="460" w:lineRule="exact"/>
              <w:ind w:firstLine="480" w:firstLineChars="200"/>
              <w:rPr>
                <w:sz w:val="24"/>
              </w:rPr>
            </w:pPr>
            <w:r>
              <w:rPr>
                <w:rFonts w:ascii="宋体" w:hAnsi="宋体"/>
                <w:sz w:val="24"/>
              </w:rPr>
              <w:t>根据《排污单位自行监测技术指南</w:t>
            </w:r>
            <w:r>
              <w:rPr>
                <w:sz w:val="24"/>
              </w:rPr>
              <w:t xml:space="preserve">  </w:t>
            </w:r>
            <w:r>
              <w:rPr>
                <w:rFonts w:ascii="宋体" w:hAnsi="宋体"/>
                <w:sz w:val="24"/>
              </w:rPr>
              <w:t>总则》（</w:t>
            </w:r>
            <w:r>
              <w:rPr>
                <w:sz w:val="24"/>
              </w:rPr>
              <w:t>HJ 1084-2020</w:t>
            </w:r>
            <w:r>
              <w:rPr>
                <w:rFonts w:ascii="宋体" w:hAnsi="宋体"/>
                <w:sz w:val="24"/>
              </w:rPr>
              <w:t>）的规定，评价提出项目在生产运行阶段的污染源监测计划，具体监测计划见下表。</w:t>
            </w:r>
          </w:p>
          <w:p>
            <w:pPr>
              <w:adjustRightInd w:val="0"/>
              <w:snapToGrid w:val="0"/>
              <w:spacing w:line="460" w:lineRule="exact"/>
              <w:ind w:firstLine="480" w:firstLineChars="200"/>
              <w:rPr>
                <w:rFonts w:eastAsia="黑体"/>
                <w:sz w:val="24"/>
              </w:rPr>
            </w:pPr>
            <w:r>
              <w:rPr>
                <w:rFonts w:ascii="黑体" w:hAnsi="黑体" w:eastAsia="黑体"/>
                <w:sz w:val="24"/>
              </w:rPr>
              <w:t>表</w:t>
            </w:r>
            <w:r>
              <w:rPr>
                <w:rFonts w:eastAsia="黑体"/>
                <w:sz w:val="24"/>
              </w:rPr>
              <w:t xml:space="preserve">35                 </w:t>
            </w:r>
            <w:r>
              <w:rPr>
                <w:rFonts w:ascii="黑体" w:hAnsi="黑体" w:eastAsia="黑体"/>
                <w:sz w:val="24"/>
              </w:rPr>
              <w:t>污染源自行监测计划表</w:t>
            </w:r>
          </w:p>
          <w:tbl>
            <w:tblPr>
              <w:tblStyle w:val="3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810"/>
              <w:gridCol w:w="1654"/>
              <w:gridCol w:w="1146"/>
              <w:gridCol w:w="1432"/>
              <w:gridCol w:w="298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08" w:type="dxa"/>
                  <w:tcBorders>
                    <w:top w:val="single" w:color="auto" w:sz="8" w:space="0"/>
                    <w:left w:val="nil"/>
                    <w:bottom w:val="single" w:color="auto" w:sz="4" w:space="0"/>
                    <w:right w:val="single" w:color="auto" w:sz="4" w:space="0"/>
                  </w:tcBorders>
                  <w:vAlign w:val="center"/>
                </w:tcPr>
                <w:p>
                  <w:pPr>
                    <w:autoSpaceDE w:val="0"/>
                    <w:autoSpaceDN w:val="0"/>
                    <w:adjustRightInd w:val="0"/>
                    <w:snapToGrid w:val="0"/>
                    <w:jc w:val="center"/>
                    <w:rPr>
                      <w:b/>
                      <w:bCs/>
                      <w:kern w:val="0"/>
                      <w:szCs w:val="21"/>
                    </w:rPr>
                  </w:pPr>
                  <w:r>
                    <w:rPr>
                      <w:b/>
                      <w:bCs/>
                      <w:kern w:val="0"/>
                    </w:rPr>
                    <w:t>监控类别</w:t>
                  </w:r>
                </w:p>
              </w:tc>
              <w:tc>
                <w:tcPr>
                  <w:tcW w:w="1655"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rPr>
                      <w:b/>
                      <w:bCs/>
                      <w:kern w:val="0"/>
                      <w:szCs w:val="21"/>
                    </w:rPr>
                  </w:pPr>
                  <w:r>
                    <w:rPr>
                      <w:b/>
                      <w:bCs/>
                      <w:kern w:val="0"/>
                    </w:rPr>
                    <w:t>监测指标</w:t>
                  </w:r>
                </w:p>
              </w:tc>
              <w:tc>
                <w:tcPr>
                  <w:tcW w:w="114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rPr>
                      <w:b/>
                      <w:bCs/>
                      <w:kern w:val="0"/>
                      <w:szCs w:val="21"/>
                    </w:rPr>
                  </w:pPr>
                  <w:r>
                    <w:rPr>
                      <w:b/>
                      <w:bCs/>
                      <w:kern w:val="0"/>
                    </w:rPr>
                    <w:t>监测点位</w:t>
                  </w:r>
                </w:p>
              </w:tc>
              <w:tc>
                <w:tcPr>
                  <w:tcW w:w="1432"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rPr>
                      <w:b/>
                      <w:bCs/>
                      <w:kern w:val="0"/>
                      <w:szCs w:val="21"/>
                    </w:rPr>
                  </w:pPr>
                  <w:r>
                    <w:rPr>
                      <w:b/>
                      <w:bCs/>
                      <w:kern w:val="0"/>
                    </w:rPr>
                    <w:t>监测频次</w:t>
                  </w:r>
                </w:p>
              </w:tc>
              <w:tc>
                <w:tcPr>
                  <w:tcW w:w="2987" w:type="dxa"/>
                  <w:tcBorders>
                    <w:top w:val="single" w:color="auto" w:sz="8" w:space="0"/>
                    <w:left w:val="single" w:color="auto" w:sz="4" w:space="0"/>
                    <w:bottom w:val="single" w:color="auto" w:sz="4" w:space="0"/>
                    <w:right w:val="nil"/>
                  </w:tcBorders>
                  <w:tcMar>
                    <w:top w:w="0" w:type="dxa"/>
                    <w:left w:w="28" w:type="dxa"/>
                    <w:bottom w:w="0" w:type="dxa"/>
                    <w:right w:w="28" w:type="dxa"/>
                  </w:tcMar>
                  <w:vAlign w:val="center"/>
                </w:tcPr>
                <w:p>
                  <w:pPr>
                    <w:autoSpaceDE w:val="0"/>
                    <w:autoSpaceDN w:val="0"/>
                    <w:adjustRightInd w:val="0"/>
                    <w:snapToGrid w:val="0"/>
                    <w:jc w:val="center"/>
                    <w:rPr>
                      <w:b/>
                      <w:bCs/>
                      <w:kern w:val="0"/>
                      <w:szCs w:val="21"/>
                    </w:rPr>
                  </w:pPr>
                  <w:r>
                    <w:rPr>
                      <w:b/>
                      <w:bCs/>
                      <w:kern w:val="0"/>
                    </w:rPr>
                    <w:t>执行排放标准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08" w:type="dxa"/>
                  <w:tcBorders>
                    <w:top w:val="single" w:color="auto" w:sz="4" w:space="0"/>
                    <w:left w:val="nil"/>
                    <w:bottom w:val="single" w:color="auto" w:sz="8"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rPr>
                      <w:szCs w:val="21"/>
                    </w:rPr>
                  </w:pPr>
                  <w:r>
                    <w:t>噪声</w:t>
                  </w:r>
                </w:p>
              </w:tc>
              <w:tc>
                <w:tcPr>
                  <w:tcW w:w="1655" w:type="dxa"/>
                  <w:tcBorders>
                    <w:top w:val="single" w:color="auto" w:sz="4" w:space="0"/>
                    <w:left w:val="single" w:color="auto" w:sz="4" w:space="0"/>
                    <w:bottom w:val="single" w:color="auto" w:sz="8"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rPr>
                      <w:kern w:val="0"/>
                      <w:szCs w:val="21"/>
                    </w:rPr>
                  </w:pPr>
                  <w:r>
                    <w:rPr>
                      <w:kern w:val="0"/>
                    </w:rPr>
                    <w:t>等效连续A</w:t>
                  </w:r>
                  <w:r>
                    <w:rPr>
                      <w:rFonts w:ascii="宋体" w:hAnsi="宋体"/>
                      <w:kern w:val="0"/>
                    </w:rPr>
                    <w:t>声级</w:t>
                  </w:r>
                </w:p>
              </w:tc>
              <w:tc>
                <w:tcPr>
                  <w:tcW w:w="1146" w:type="dxa"/>
                  <w:tcBorders>
                    <w:top w:val="single" w:color="auto" w:sz="4" w:space="0"/>
                    <w:left w:val="single" w:color="auto" w:sz="4" w:space="0"/>
                    <w:bottom w:val="single" w:color="auto" w:sz="8"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rPr>
                      <w:kern w:val="0"/>
                      <w:szCs w:val="21"/>
                    </w:rPr>
                  </w:pPr>
                  <w:r>
                    <w:rPr>
                      <w:kern w:val="0"/>
                    </w:rPr>
                    <w:t>四周厂界外1m</w:t>
                  </w:r>
                  <w:r>
                    <w:rPr>
                      <w:rFonts w:ascii="宋体" w:hAnsi="宋体"/>
                      <w:kern w:val="0"/>
                    </w:rPr>
                    <w:t>处</w:t>
                  </w:r>
                </w:p>
              </w:tc>
              <w:tc>
                <w:tcPr>
                  <w:tcW w:w="1432" w:type="dxa"/>
                  <w:tcBorders>
                    <w:top w:val="single" w:color="auto" w:sz="4" w:space="0"/>
                    <w:left w:val="single" w:color="auto" w:sz="4" w:space="0"/>
                    <w:bottom w:val="single" w:color="auto" w:sz="8"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rPr>
                      <w:b/>
                      <w:kern w:val="0"/>
                      <w:szCs w:val="21"/>
                    </w:rPr>
                  </w:pPr>
                  <w:r>
                    <w:rPr>
                      <w:kern w:val="0"/>
                    </w:rPr>
                    <w:t>每季1</w:t>
                  </w:r>
                  <w:r>
                    <w:rPr>
                      <w:rFonts w:ascii="宋体" w:hAnsi="宋体"/>
                      <w:kern w:val="0"/>
                    </w:rPr>
                    <w:t>次，每次</w:t>
                  </w:r>
                  <w:r>
                    <w:rPr>
                      <w:kern w:val="0"/>
                    </w:rPr>
                    <w:t>2</w:t>
                  </w:r>
                  <w:r>
                    <w:rPr>
                      <w:rFonts w:ascii="宋体" w:hAnsi="宋体"/>
                      <w:kern w:val="0"/>
                    </w:rPr>
                    <w:t>天，昼、夜各检测</w:t>
                  </w:r>
                  <w:r>
                    <w:rPr>
                      <w:kern w:val="0"/>
                    </w:rPr>
                    <w:t>1</w:t>
                  </w:r>
                  <w:r>
                    <w:rPr>
                      <w:rFonts w:ascii="宋体" w:hAnsi="宋体"/>
                      <w:kern w:val="0"/>
                    </w:rPr>
                    <w:t>次</w:t>
                  </w:r>
                </w:p>
              </w:tc>
              <w:tc>
                <w:tcPr>
                  <w:tcW w:w="2987" w:type="dxa"/>
                  <w:tcBorders>
                    <w:top w:val="single" w:color="auto" w:sz="4" w:space="0"/>
                    <w:left w:val="single" w:color="auto" w:sz="4" w:space="0"/>
                    <w:bottom w:val="single" w:color="auto" w:sz="8" w:space="0"/>
                    <w:right w:val="nil"/>
                  </w:tcBorders>
                  <w:tcMar>
                    <w:top w:w="0" w:type="dxa"/>
                    <w:left w:w="28" w:type="dxa"/>
                    <w:bottom w:w="0" w:type="dxa"/>
                    <w:right w:w="28" w:type="dxa"/>
                  </w:tcMar>
                  <w:vAlign w:val="center"/>
                </w:tcPr>
                <w:p>
                  <w:pPr>
                    <w:autoSpaceDE w:val="0"/>
                    <w:autoSpaceDN w:val="0"/>
                    <w:adjustRightInd w:val="0"/>
                    <w:snapToGrid w:val="0"/>
                    <w:jc w:val="center"/>
                    <w:rPr>
                      <w:kern w:val="0"/>
                      <w:szCs w:val="21"/>
                    </w:rPr>
                  </w:pPr>
                  <w:r>
                    <w:rPr>
                      <w:kern w:val="0"/>
                    </w:rPr>
                    <w:t>《工业企业厂界环境噪声排放标准》（GB12348-2008</w:t>
                  </w:r>
                  <w:r>
                    <w:rPr>
                      <w:rFonts w:ascii="宋体" w:hAnsi="宋体"/>
                      <w:kern w:val="0"/>
                    </w:rPr>
                    <w:t>）</w:t>
                  </w:r>
                  <w:r>
                    <w:rPr>
                      <w:rFonts w:hint="eastAsia"/>
                      <w:kern w:val="0"/>
                    </w:rPr>
                    <w:t>2</w:t>
                  </w:r>
                  <w:r>
                    <w:rPr>
                      <w:rFonts w:ascii="宋体" w:hAnsi="宋体"/>
                      <w:kern w:val="0"/>
                    </w:rPr>
                    <w:t>类</w:t>
                  </w:r>
                </w:p>
              </w:tc>
            </w:tr>
          </w:tbl>
          <w:p>
            <w:pPr>
              <w:spacing w:line="440" w:lineRule="exact"/>
              <w:ind w:firstLine="482" w:firstLineChars="200"/>
              <w:rPr>
                <w:b/>
                <w:sz w:val="24"/>
              </w:rPr>
            </w:pPr>
            <w:r>
              <w:rPr>
                <w:rFonts w:hint="eastAsia"/>
                <w:b/>
                <w:sz w:val="24"/>
              </w:rPr>
              <w:t>四、固废</w:t>
            </w:r>
          </w:p>
          <w:p>
            <w:pPr>
              <w:spacing w:line="440" w:lineRule="exact"/>
              <w:ind w:firstLine="480" w:firstLineChars="200"/>
              <w:rPr>
                <w:sz w:val="24"/>
              </w:rPr>
            </w:pPr>
            <w:r>
              <w:rPr>
                <w:rFonts w:ascii="宋体" w:hAnsi="宋体"/>
                <w:sz w:val="24"/>
              </w:rPr>
              <w:t>本项目营运期固废</w:t>
            </w:r>
            <w:r>
              <w:rPr>
                <w:rFonts w:hint="eastAsia" w:ascii="宋体" w:hAnsi="宋体"/>
                <w:sz w:val="24"/>
              </w:rPr>
              <w:t>主要为</w:t>
            </w:r>
            <w:r>
              <w:rPr>
                <w:rFonts w:ascii="宋体" w:hAnsi="宋体"/>
                <w:sz w:val="24"/>
              </w:rPr>
              <w:t>清理刮刀的废抹布</w:t>
            </w:r>
            <w:r>
              <w:rPr>
                <w:rFonts w:hint="eastAsia" w:ascii="宋体" w:hAnsi="宋体"/>
                <w:sz w:val="24"/>
              </w:rPr>
              <w:t>、涂布工段投料产生的</w:t>
            </w:r>
            <w:r>
              <w:rPr>
                <w:rFonts w:ascii="宋体" w:hAnsi="宋体"/>
                <w:sz w:val="24"/>
              </w:rPr>
              <w:t>废包装袋和废气处理过程产生的袋式除尘器收集的粉尘</w:t>
            </w:r>
            <w:r>
              <w:rPr>
                <w:rFonts w:hint="eastAsia" w:ascii="宋体" w:hAnsi="宋体"/>
                <w:sz w:val="24"/>
              </w:rPr>
              <w:t>，</w:t>
            </w:r>
            <w:r>
              <w:rPr>
                <w:rFonts w:ascii="宋体" w:hAnsi="宋体"/>
                <w:sz w:val="24"/>
              </w:rPr>
              <w:t>均为一般固体废物</w:t>
            </w:r>
            <w:r>
              <w:rPr>
                <w:rFonts w:hint="eastAsia" w:ascii="宋体" w:hAnsi="宋体"/>
                <w:sz w:val="24"/>
              </w:rPr>
              <w:t>。固废产生后收集至厂区内现有一般固废暂存间暂存，定期处置。</w:t>
            </w:r>
          </w:p>
          <w:p>
            <w:pPr>
              <w:spacing w:line="440" w:lineRule="exact"/>
              <w:ind w:firstLine="482" w:firstLineChars="200"/>
              <w:rPr>
                <w:b/>
                <w:sz w:val="24"/>
              </w:rPr>
            </w:pPr>
            <w:r>
              <w:rPr>
                <w:rFonts w:hint="eastAsia"/>
                <w:b/>
                <w:sz w:val="24"/>
              </w:rPr>
              <w:t>1、一般固废</w:t>
            </w:r>
          </w:p>
          <w:p>
            <w:pPr>
              <w:spacing w:line="440" w:lineRule="exact"/>
              <w:ind w:firstLine="480" w:firstLineChars="200"/>
              <w:rPr>
                <w:sz w:val="24"/>
              </w:rPr>
            </w:pPr>
            <w:r>
              <w:rPr>
                <w:rFonts w:hint="eastAsia"/>
                <w:sz w:val="24"/>
              </w:rPr>
              <w:t>①清理刮刀的废抹布</w:t>
            </w:r>
          </w:p>
          <w:p>
            <w:pPr>
              <w:spacing w:line="440" w:lineRule="exact"/>
              <w:ind w:firstLine="480" w:firstLineChars="200"/>
              <w:rPr>
                <w:sz w:val="24"/>
              </w:rPr>
            </w:pPr>
            <w:r>
              <w:rPr>
                <w:rFonts w:hint="eastAsia"/>
                <w:sz w:val="24"/>
              </w:rPr>
              <w:t>本项目涂布机控制涂布液涂抹量时需使用刮刀，刮刀定期清理，每天使用抹布清理一次，根据企业提供的资料，抹布使用量每天为3kg，则废抹布产生量为1t/a。评价提出：清理刮刀的废抹布集中收集至一般固废堆场暂存后，定期外售。</w:t>
            </w:r>
          </w:p>
          <w:p>
            <w:pPr>
              <w:spacing w:line="440" w:lineRule="exact"/>
              <w:ind w:firstLine="480" w:firstLineChars="200"/>
              <w:rPr>
                <w:sz w:val="24"/>
              </w:rPr>
            </w:pPr>
            <w:r>
              <w:rPr>
                <w:rFonts w:hint="eastAsia"/>
                <w:sz w:val="24"/>
              </w:rPr>
              <w:t>②投料产生的废包装袋</w:t>
            </w:r>
          </w:p>
          <w:p>
            <w:pPr>
              <w:spacing w:line="440" w:lineRule="exact"/>
              <w:ind w:firstLine="480" w:firstLineChars="200"/>
              <w:rPr>
                <w:sz w:val="24"/>
              </w:rPr>
            </w:pPr>
            <w:r>
              <w:rPr>
                <w:rFonts w:hint="eastAsia"/>
                <w:sz w:val="24"/>
              </w:rPr>
              <w:t>本项目投料使用的瓷土、羟甲基纤维素钠、玉米淀粉等块状及粉状物料均为袋式包装，投料过程中会产生废包装袋，根据企业提供的资料，投料过程中产生的废包装袋共计160000个，每个废包装袋为25g，则废包装袋产生量为4t/a。评价提出：投料产生的废包装袋集中收集至一般固废堆场暂存后，定期外售。</w:t>
            </w:r>
          </w:p>
          <w:p>
            <w:pPr>
              <w:spacing w:line="440" w:lineRule="exact"/>
              <w:ind w:firstLine="480" w:firstLineChars="200"/>
              <w:rPr>
                <w:sz w:val="24"/>
              </w:rPr>
            </w:pPr>
            <w:r>
              <w:rPr>
                <w:rFonts w:hint="eastAsia"/>
                <w:sz w:val="24"/>
              </w:rPr>
              <w:t>③袋式除尘器收集的粉尘</w:t>
            </w:r>
          </w:p>
          <w:p>
            <w:pPr>
              <w:spacing w:line="440" w:lineRule="exact"/>
              <w:ind w:firstLine="480" w:firstLineChars="200"/>
              <w:rPr>
                <w:sz w:val="24"/>
              </w:rPr>
            </w:pPr>
            <w:r>
              <w:rPr>
                <w:rFonts w:hint="eastAsia"/>
                <w:sz w:val="24"/>
              </w:rPr>
              <w:t>本项目浆钙制备工段投料、研磨，涂布工段投料、分散搅拌、配料工序会产生粉尘。粉尘由集气罩或负压管道收集后经袋式除尘器处理，袋式除尘器处理效率99%计，则收集的粉尘量为19.6247t/a。评价提出：袋式除尘器回收的粉尘直接回用于生产。</w:t>
            </w:r>
          </w:p>
          <w:p>
            <w:pPr>
              <w:spacing w:line="440" w:lineRule="exact"/>
              <w:ind w:firstLine="480" w:firstLineChars="200"/>
              <w:rPr>
                <w:sz w:val="24"/>
              </w:rPr>
            </w:pPr>
            <w:r>
              <w:rPr>
                <w:rFonts w:hint="eastAsia"/>
                <w:sz w:val="24"/>
              </w:rPr>
              <w:t>综上，本项目固废产生及处置情况见下表。</w:t>
            </w:r>
          </w:p>
          <w:p>
            <w:pPr>
              <w:adjustRightInd w:val="0"/>
              <w:snapToGrid w:val="0"/>
              <w:spacing w:line="460" w:lineRule="exact"/>
              <w:ind w:firstLine="480" w:firstLineChars="200"/>
              <w:textAlignment w:val="baseline"/>
              <w:rPr>
                <w:rFonts w:eastAsia="黑体" w:cs="Calibri"/>
                <w:color w:val="000000"/>
                <w:sz w:val="24"/>
              </w:rPr>
            </w:pPr>
            <w:r>
              <w:rPr>
                <w:rFonts w:hint="eastAsia" w:eastAsia="黑体" w:cs="Calibri"/>
                <w:color w:val="000000"/>
                <w:sz w:val="24"/>
              </w:rPr>
              <w:t>表</w:t>
            </w:r>
            <w:r>
              <w:rPr>
                <w:rFonts w:eastAsia="黑体" w:cs="Calibri"/>
                <w:color w:val="000000"/>
                <w:sz w:val="24"/>
              </w:rPr>
              <w:t>36</w:t>
            </w:r>
            <w:r>
              <w:rPr>
                <w:rFonts w:hint="eastAsia" w:eastAsia="黑体" w:cs="Calibri"/>
                <w:color w:val="000000"/>
                <w:sz w:val="24"/>
              </w:rPr>
              <w:t xml:space="preserve"> </w:t>
            </w:r>
            <w:r>
              <w:rPr>
                <w:rFonts w:eastAsia="黑体" w:cs="Calibri"/>
                <w:color w:val="000000"/>
                <w:sz w:val="24"/>
              </w:rPr>
              <w:t xml:space="preserve">               </w:t>
            </w:r>
            <w:r>
              <w:rPr>
                <w:rFonts w:hint="eastAsia" w:eastAsia="黑体" w:cs="Calibri"/>
                <w:color w:val="000000"/>
                <w:sz w:val="24"/>
              </w:rPr>
              <w:t>固体废物详情一览表</w:t>
            </w:r>
          </w:p>
          <w:tbl>
            <w:tblPr>
              <w:tblStyle w:val="31"/>
              <w:tblpPr w:leftFromText="180" w:rightFromText="180" w:vertAnchor="text" w:tblpXSpec="center" w:tblpY="1"/>
              <w:tblOverlap w:val="never"/>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6"/>
              <w:gridCol w:w="1253"/>
              <w:gridCol w:w="1145"/>
              <w:gridCol w:w="1455"/>
              <w:gridCol w:w="242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7" w:type="dxa"/>
                  <w:vAlign w:val="center"/>
                </w:tcPr>
                <w:p>
                  <w:pPr>
                    <w:jc w:val="center"/>
                    <w:rPr>
                      <w:b/>
                      <w:color w:val="000000"/>
                      <w:szCs w:val="21"/>
                    </w:rPr>
                  </w:pPr>
                  <w:r>
                    <w:rPr>
                      <w:rFonts w:hint="eastAsia"/>
                      <w:b/>
                      <w:color w:val="000000"/>
                      <w:szCs w:val="21"/>
                    </w:rPr>
                    <w:t>排放源</w:t>
                  </w:r>
                </w:p>
              </w:tc>
              <w:tc>
                <w:tcPr>
                  <w:tcW w:w="1252" w:type="dxa"/>
                  <w:vAlign w:val="center"/>
                </w:tcPr>
                <w:p>
                  <w:pPr>
                    <w:jc w:val="center"/>
                    <w:rPr>
                      <w:b/>
                      <w:color w:val="000000"/>
                      <w:szCs w:val="21"/>
                    </w:rPr>
                  </w:pPr>
                  <w:r>
                    <w:rPr>
                      <w:rFonts w:hint="eastAsia"/>
                      <w:b/>
                      <w:color w:val="000000"/>
                      <w:szCs w:val="21"/>
                    </w:rPr>
                    <w:t>固废名称</w:t>
                  </w:r>
                </w:p>
              </w:tc>
              <w:tc>
                <w:tcPr>
                  <w:tcW w:w="1144" w:type="dxa"/>
                  <w:vAlign w:val="center"/>
                </w:tcPr>
                <w:p>
                  <w:pPr>
                    <w:jc w:val="center"/>
                    <w:rPr>
                      <w:b/>
                      <w:color w:val="000000"/>
                      <w:szCs w:val="21"/>
                    </w:rPr>
                  </w:pPr>
                  <w:r>
                    <w:rPr>
                      <w:rFonts w:hint="eastAsia"/>
                      <w:b/>
                      <w:color w:val="000000"/>
                      <w:szCs w:val="21"/>
                    </w:rPr>
                    <w:t>固废性质</w:t>
                  </w:r>
                </w:p>
              </w:tc>
              <w:tc>
                <w:tcPr>
                  <w:tcW w:w="1455" w:type="dxa"/>
                  <w:vAlign w:val="center"/>
                </w:tcPr>
                <w:p>
                  <w:pPr>
                    <w:jc w:val="center"/>
                    <w:rPr>
                      <w:b/>
                      <w:color w:val="000000"/>
                      <w:szCs w:val="21"/>
                    </w:rPr>
                  </w:pPr>
                  <w:r>
                    <w:rPr>
                      <w:rFonts w:hint="eastAsia"/>
                      <w:b/>
                      <w:color w:val="000000"/>
                      <w:szCs w:val="21"/>
                    </w:rPr>
                    <w:t>产生量（</w:t>
                  </w:r>
                  <w:r>
                    <w:rPr>
                      <w:b/>
                      <w:color w:val="000000"/>
                      <w:szCs w:val="21"/>
                    </w:rPr>
                    <w:t>t/a</w:t>
                  </w:r>
                  <w:r>
                    <w:rPr>
                      <w:rFonts w:hint="eastAsia"/>
                      <w:b/>
                      <w:color w:val="000000"/>
                      <w:szCs w:val="21"/>
                    </w:rPr>
                    <w:t>）</w:t>
                  </w:r>
                </w:p>
              </w:tc>
              <w:tc>
                <w:tcPr>
                  <w:tcW w:w="2430" w:type="dxa"/>
                  <w:vAlign w:val="center"/>
                </w:tcPr>
                <w:p>
                  <w:pPr>
                    <w:jc w:val="center"/>
                    <w:rPr>
                      <w:b/>
                      <w:color w:val="000000"/>
                      <w:szCs w:val="21"/>
                    </w:rPr>
                  </w:pPr>
                  <w:r>
                    <w:rPr>
                      <w:rFonts w:hint="eastAsia"/>
                      <w:b/>
                      <w:color w:val="000000"/>
                      <w:szCs w:val="21"/>
                    </w:rPr>
                    <w:t>处理措施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7" w:type="dxa"/>
                  <w:vAlign w:val="center"/>
                </w:tcPr>
                <w:p>
                  <w:pPr>
                    <w:jc w:val="center"/>
                    <w:rPr>
                      <w:color w:val="000000"/>
                      <w:szCs w:val="21"/>
                    </w:rPr>
                  </w:pPr>
                  <w:r>
                    <w:rPr>
                      <w:rFonts w:hint="eastAsia"/>
                      <w:color w:val="000000"/>
                      <w:szCs w:val="21"/>
                    </w:rPr>
                    <w:t>清理刮刀</w:t>
                  </w:r>
                </w:p>
              </w:tc>
              <w:tc>
                <w:tcPr>
                  <w:tcW w:w="1252" w:type="dxa"/>
                  <w:vAlign w:val="center"/>
                </w:tcPr>
                <w:p>
                  <w:pPr>
                    <w:jc w:val="center"/>
                    <w:rPr>
                      <w:color w:val="000000"/>
                      <w:szCs w:val="21"/>
                    </w:rPr>
                  </w:pPr>
                  <w:r>
                    <w:rPr>
                      <w:rFonts w:hint="eastAsia"/>
                      <w:color w:val="000000"/>
                      <w:szCs w:val="21"/>
                    </w:rPr>
                    <w:t>废抹布</w:t>
                  </w:r>
                </w:p>
              </w:tc>
              <w:tc>
                <w:tcPr>
                  <w:tcW w:w="1144" w:type="dxa"/>
                  <w:vMerge w:val="restart"/>
                  <w:vAlign w:val="center"/>
                </w:tcPr>
                <w:p>
                  <w:pPr>
                    <w:jc w:val="center"/>
                    <w:rPr>
                      <w:color w:val="000000"/>
                      <w:szCs w:val="21"/>
                    </w:rPr>
                  </w:pPr>
                  <w:r>
                    <w:rPr>
                      <w:rFonts w:hint="eastAsia"/>
                      <w:color w:val="000000"/>
                      <w:szCs w:val="21"/>
                    </w:rPr>
                    <w:t>一般固废</w:t>
                  </w:r>
                </w:p>
              </w:tc>
              <w:tc>
                <w:tcPr>
                  <w:tcW w:w="1455" w:type="dxa"/>
                  <w:vAlign w:val="center"/>
                </w:tcPr>
                <w:p>
                  <w:pPr>
                    <w:jc w:val="center"/>
                    <w:rPr>
                      <w:szCs w:val="21"/>
                    </w:rPr>
                  </w:pPr>
                  <w:r>
                    <w:rPr>
                      <w:rFonts w:hint="eastAsia"/>
                      <w:szCs w:val="21"/>
                    </w:rPr>
                    <w:t>1</w:t>
                  </w:r>
                </w:p>
              </w:tc>
              <w:tc>
                <w:tcPr>
                  <w:tcW w:w="2430" w:type="dxa"/>
                  <w:vAlign w:val="center"/>
                </w:tcPr>
                <w:p>
                  <w:pPr>
                    <w:jc w:val="center"/>
                    <w:rPr>
                      <w:color w:val="000000"/>
                      <w:szCs w:val="21"/>
                    </w:rPr>
                  </w:pPr>
                  <w:r>
                    <w:rPr>
                      <w:rFonts w:hint="eastAsia"/>
                      <w:color w:val="000000"/>
                      <w:szCs w:val="21"/>
                    </w:rPr>
                    <w:t>收集后暂存于一般固废暂存间，定期外售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7" w:type="dxa"/>
                  <w:vAlign w:val="center"/>
                </w:tcPr>
                <w:p>
                  <w:pPr>
                    <w:jc w:val="center"/>
                    <w:rPr>
                      <w:color w:val="000000"/>
                      <w:szCs w:val="21"/>
                    </w:rPr>
                  </w:pPr>
                  <w:r>
                    <w:rPr>
                      <w:color w:val="000000"/>
                      <w:szCs w:val="21"/>
                    </w:rPr>
                    <w:t>投料</w:t>
                  </w:r>
                </w:p>
              </w:tc>
              <w:tc>
                <w:tcPr>
                  <w:tcW w:w="1252" w:type="dxa"/>
                  <w:vAlign w:val="center"/>
                </w:tcPr>
                <w:p>
                  <w:pPr>
                    <w:pStyle w:val="140"/>
                  </w:pPr>
                  <w:r>
                    <w:t>废包装袋</w:t>
                  </w:r>
                </w:p>
              </w:tc>
              <w:tc>
                <w:tcPr>
                  <w:tcW w:w="1144" w:type="dxa"/>
                  <w:vMerge w:val="continue"/>
                  <w:vAlign w:val="center"/>
                </w:tcPr>
                <w:p>
                  <w:pPr>
                    <w:jc w:val="center"/>
                    <w:rPr>
                      <w:color w:val="000000"/>
                      <w:szCs w:val="21"/>
                    </w:rPr>
                  </w:pPr>
                </w:p>
              </w:tc>
              <w:tc>
                <w:tcPr>
                  <w:tcW w:w="1455" w:type="dxa"/>
                  <w:vAlign w:val="center"/>
                </w:tcPr>
                <w:p>
                  <w:pPr>
                    <w:jc w:val="center"/>
                    <w:rPr>
                      <w:szCs w:val="21"/>
                    </w:rPr>
                  </w:pPr>
                  <w:r>
                    <w:rPr>
                      <w:rFonts w:hint="eastAsia"/>
                      <w:szCs w:val="21"/>
                    </w:rPr>
                    <w:t>4</w:t>
                  </w:r>
                </w:p>
              </w:tc>
              <w:tc>
                <w:tcPr>
                  <w:tcW w:w="2430" w:type="dxa"/>
                  <w:vAlign w:val="center"/>
                </w:tcPr>
                <w:p>
                  <w:pPr>
                    <w:jc w:val="center"/>
                    <w:rPr>
                      <w:color w:val="000000"/>
                      <w:szCs w:val="21"/>
                    </w:rPr>
                  </w:pPr>
                  <w:r>
                    <w:rPr>
                      <w:color w:val="000000"/>
                      <w:szCs w:val="21"/>
                    </w:rPr>
                    <w:t>收集后暂存于一般固废暂存间</w:t>
                  </w:r>
                  <w:r>
                    <w:rPr>
                      <w:rFonts w:hint="eastAsia"/>
                      <w:color w:val="000000"/>
                      <w:szCs w:val="21"/>
                    </w:rPr>
                    <w:t>，定期</w:t>
                  </w:r>
                  <w:r>
                    <w:rPr>
                      <w:color w:val="000000"/>
                      <w:szCs w:val="21"/>
                    </w:rPr>
                    <w:t>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7" w:type="dxa"/>
                  <w:vAlign w:val="center"/>
                </w:tcPr>
                <w:p>
                  <w:pPr>
                    <w:jc w:val="center"/>
                    <w:rPr>
                      <w:color w:val="000000"/>
                      <w:szCs w:val="21"/>
                    </w:rPr>
                  </w:pPr>
                  <w:r>
                    <w:rPr>
                      <w:rFonts w:hint="eastAsia"/>
                      <w:color w:val="000000"/>
                      <w:szCs w:val="21"/>
                    </w:rPr>
                    <w:t>袋式除尘器收集</w:t>
                  </w:r>
                </w:p>
              </w:tc>
              <w:tc>
                <w:tcPr>
                  <w:tcW w:w="1252" w:type="dxa"/>
                  <w:vAlign w:val="center"/>
                </w:tcPr>
                <w:p>
                  <w:pPr>
                    <w:jc w:val="center"/>
                    <w:rPr>
                      <w:color w:val="000000"/>
                      <w:szCs w:val="21"/>
                    </w:rPr>
                  </w:pPr>
                  <w:r>
                    <w:rPr>
                      <w:rFonts w:hint="eastAsia"/>
                      <w:color w:val="000000"/>
                      <w:szCs w:val="21"/>
                    </w:rPr>
                    <w:t>粉尘</w:t>
                  </w:r>
                </w:p>
              </w:tc>
              <w:tc>
                <w:tcPr>
                  <w:tcW w:w="1144" w:type="dxa"/>
                  <w:vMerge w:val="continue"/>
                  <w:vAlign w:val="center"/>
                </w:tcPr>
                <w:p>
                  <w:pPr>
                    <w:jc w:val="center"/>
                    <w:rPr>
                      <w:color w:val="000000"/>
                      <w:szCs w:val="21"/>
                    </w:rPr>
                  </w:pPr>
                </w:p>
              </w:tc>
              <w:tc>
                <w:tcPr>
                  <w:tcW w:w="1455" w:type="dxa"/>
                  <w:vAlign w:val="center"/>
                </w:tcPr>
                <w:p>
                  <w:pPr>
                    <w:jc w:val="center"/>
                    <w:rPr>
                      <w:szCs w:val="21"/>
                    </w:rPr>
                  </w:pPr>
                  <w:r>
                    <w:rPr>
                      <w:rFonts w:hint="eastAsia"/>
                      <w:szCs w:val="21"/>
                    </w:rPr>
                    <w:t>19.6247</w:t>
                  </w:r>
                </w:p>
              </w:tc>
              <w:tc>
                <w:tcPr>
                  <w:tcW w:w="2430" w:type="dxa"/>
                  <w:vAlign w:val="center"/>
                </w:tcPr>
                <w:p>
                  <w:pPr>
                    <w:jc w:val="center"/>
                    <w:rPr>
                      <w:bCs/>
                      <w:color w:val="000000"/>
                      <w:szCs w:val="21"/>
                    </w:rPr>
                  </w:pPr>
                  <w:r>
                    <w:rPr>
                      <w:rFonts w:hint="eastAsia"/>
                      <w:bCs/>
                      <w:color w:val="000000"/>
                      <w:szCs w:val="21"/>
                    </w:rPr>
                    <w:t>收集后直接回用于生产</w:t>
                  </w:r>
                </w:p>
              </w:tc>
            </w:tr>
          </w:tbl>
          <w:p>
            <w:pPr>
              <w:spacing w:line="460" w:lineRule="exact"/>
              <w:ind w:firstLine="480" w:firstLineChars="200"/>
              <w:rPr>
                <w:rFonts w:eastAsia="黑体"/>
                <w:sz w:val="24"/>
              </w:rPr>
            </w:pPr>
            <w:r>
              <w:rPr>
                <w:rFonts w:hint="eastAsia" w:eastAsia="黑体"/>
                <w:sz w:val="24"/>
              </w:rPr>
              <w:t>表</w:t>
            </w:r>
            <w:r>
              <w:rPr>
                <w:rFonts w:eastAsia="黑体"/>
                <w:sz w:val="24"/>
              </w:rPr>
              <w:t xml:space="preserve">37           </w:t>
            </w:r>
            <w:r>
              <w:rPr>
                <w:rFonts w:hint="eastAsia" w:eastAsia="黑体"/>
                <w:sz w:val="24"/>
              </w:rPr>
              <w:t xml:space="preserve">     </w:t>
            </w:r>
            <w:r>
              <w:rPr>
                <w:rFonts w:eastAsia="黑体"/>
                <w:sz w:val="24"/>
              </w:rPr>
              <w:t xml:space="preserve">  </w:t>
            </w:r>
            <w:r>
              <w:rPr>
                <w:rFonts w:hint="eastAsia" w:eastAsia="黑体"/>
                <w:sz w:val="24"/>
              </w:rPr>
              <w:t>一般固废汇总表</w:t>
            </w:r>
          </w:p>
          <w:tbl>
            <w:tblPr>
              <w:tblStyle w:val="3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134"/>
              <w:gridCol w:w="1367"/>
              <w:gridCol w:w="1324"/>
              <w:gridCol w:w="1421"/>
              <w:gridCol w:w="146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4" w:type="dxa"/>
                  <w:tcBorders>
                    <w:top w:val="single" w:color="auto" w:sz="8" w:space="0"/>
                    <w:left w:val="nil"/>
                    <w:bottom w:val="single" w:color="auto" w:sz="4" w:space="0"/>
                    <w:right w:val="single" w:color="auto" w:sz="4" w:space="0"/>
                  </w:tcBorders>
                  <w:vAlign w:val="center"/>
                </w:tcPr>
                <w:p>
                  <w:pPr>
                    <w:jc w:val="center"/>
                    <w:rPr>
                      <w:b/>
                      <w:szCs w:val="21"/>
                    </w:rPr>
                  </w:pPr>
                  <w:r>
                    <w:rPr>
                      <w:rFonts w:hint="eastAsia"/>
                      <w:b/>
                      <w:szCs w:val="21"/>
                    </w:rPr>
                    <w:t>排放源</w:t>
                  </w:r>
                </w:p>
              </w:tc>
              <w:tc>
                <w:tcPr>
                  <w:tcW w:w="1134" w:type="dxa"/>
                  <w:tcBorders>
                    <w:top w:val="single" w:color="auto" w:sz="8" w:space="0"/>
                    <w:left w:val="single" w:color="auto" w:sz="4" w:space="0"/>
                    <w:bottom w:val="single" w:color="auto" w:sz="4" w:space="0"/>
                    <w:right w:val="single" w:color="auto" w:sz="4" w:space="0"/>
                  </w:tcBorders>
                  <w:vAlign w:val="center"/>
                </w:tcPr>
                <w:p>
                  <w:pPr>
                    <w:jc w:val="center"/>
                    <w:rPr>
                      <w:b/>
                      <w:szCs w:val="21"/>
                    </w:rPr>
                  </w:pPr>
                  <w:r>
                    <w:rPr>
                      <w:rFonts w:hint="eastAsia"/>
                      <w:b/>
                      <w:szCs w:val="21"/>
                    </w:rPr>
                    <w:t>固废名称</w:t>
                  </w:r>
                </w:p>
              </w:tc>
              <w:tc>
                <w:tcPr>
                  <w:tcW w:w="1368" w:type="dxa"/>
                  <w:tcBorders>
                    <w:top w:val="single" w:color="auto" w:sz="8" w:space="0"/>
                    <w:left w:val="single" w:color="auto" w:sz="4" w:space="0"/>
                    <w:bottom w:val="single" w:color="auto" w:sz="4" w:space="0"/>
                    <w:right w:val="single" w:color="auto" w:sz="4" w:space="0"/>
                  </w:tcBorders>
                  <w:vAlign w:val="center"/>
                </w:tcPr>
                <w:p>
                  <w:pPr>
                    <w:jc w:val="center"/>
                    <w:rPr>
                      <w:b/>
                      <w:szCs w:val="21"/>
                    </w:rPr>
                  </w:pPr>
                  <w:r>
                    <w:rPr>
                      <w:rFonts w:hint="eastAsia"/>
                      <w:b/>
                      <w:szCs w:val="21"/>
                    </w:rPr>
                    <w:t>类别代码</w:t>
                  </w:r>
                </w:p>
              </w:tc>
              <w:tc>
                <w:tcPr>
                  <w:tcW w:w="1324" w:type="dxa"/>
                  <w:tcBorders>
                    <w:top w:val="single" w:color="auto" w:sz="8" w:space="0"/>
                    <w:left w:val="single" w:color="auto" w:sz="4" w:space="0"/>
                    <w:bottom w:val="single" w:color="auto" w:sz="4" w:space="0"/>
                    <w:right w:val="single" w:color="auto" w:sz="4" w:space="0"/>
                  </w:tcBorders>
                  <w:vAlign w:val="center"/>
                </w:tcPr>
                <w:p>
                  <w:pPr>
                    <w:jc w:val="center"/>
                    <w:rPr>
                      <w:b/>
                      <w:szCs w:val="21"/>
                    </w:rPr>
                  </w:pPr>
                  <w:r>
                    <w:rPr>
                      <w:rFonts w:hint="eastAsia"/>
                      <w:b/>
                      <w:szCs w:val="21"/>
                    </w:rPr>
                    <w:t>固废性质</w:t>
                  </w:r>
                </w:p>
              </w:tc>
              <w:tc>
                <w:tcPr>
                  <w:tcW w:w="1422" w:type="dxa"/>
                  <w:tcBorders>
                    <w:top w:val="single" w:color="auto" w:sz="8" w:space="0"/>
                    <w:left w:val="single" w:color="auto" w:sz="4" w:space="0"/>
                    <w:bottom w:val="single" w:color="auto" w:sz="4" w:space="0"/>
                    <w:right w:val="single" w:color="auto" w:sz="4" w:space="0"/>
                  </w:tcBorders>
                  <w:vAlign w:val="center"/>
                </w:tcPr>
                <w:p>
                  <w:pPr>
                    <w:jc w:val="center"/>
                    <w:rPr>
                      <w:b/>
                      <w:szCs w:val="21"/>
                    </w:rPr>
                  </w:pPr>
                  <w:r>
                    <w:rPr>
                      <w:rFonts w:hint="eastAsia"/>
                      <w:b/>
                      <w:szCs w:val="21"/>
                    </w:rPr>
                    <w:t>产生量（</w:t>
                  </w:r>
                  <w:r>
                    <w:rPr>
                      <w:b/>
                      <w:szCs w:val="21"/>
                    </w:rPr>
                    <w:t>t/a</w:t>
                  </w:r>
                  <w:r>
                    <w:rPr>
                      <w:rFonts w:hint="eastAsia"/>
                      <w:b/>
                      <w:szCs w:val="21"/>
                    </w:rPr>
                    <w:t>）</w:t>
                  </w:r>
                </w:p>
              </w:tc>
              <w:tc>
                <w:tcPr>
                  <w:tcW w:w="1466" w:type="dxa"/>
                  <w:tcBorders>
                    <w:top w:val="single" w:color="auto" w:sz="8" w:space="0"/>
                    <w:left w:val="single" w:color="auto" w:sz="4" w:space="0"/>
                    <w:bottom w:val="single" w:color="auto" w:sz="4" w:space="0"/>
                    <w:right w:val="nil"/>
                  </w:tcBorders>
                  <w:vAlign w:val="center"/>
                </w:tcPr>
                <w:p>
                  <w:pPr>
                    <w:jc w:val="center"/>
                    <w:rPr>
                      <w:b/>
                      <w:szCs w:val="21"/>
                    </w:rPr>
                  </w:pPr>
                  <w:r>
                    <w:rPr>
                      <w:rFonts w:hint="eastAsia"/>
                      <w:b/>
                      <w:szCs w:val="21"/>
                    </w:rPr>
                    <w:t>处理措施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4" w:type="dxa"/>
                  <w:tcBorders>
                    <w:top w:val="single" w:color="auto" w:sz="4" w:space="0"/>
                    <w:left w:val="nil"/>
                    <w:bottom w:val="single" w:color="auto" w:sz="4" w:space="0"/>
                    <w:right w:val="single" w:color="auto" w:sz="4" w:space="0"/>
                  </w:tcBorders>
                  <w:vAlign w:val="center"/>
                </w:tcPr>
                <w:p>
                  <w:pPr>
                    <w:jc w:val="center"/>
                    <w:rPr>
                      <w:color w:val="000000"/>
                      <w:szCs w:val="21"/>
                    </w:rPr>
                  </w:pPr>
                  <w:r>
                    <w:rPr>
                      <w:rFonts w:hint="eastAsia"/>
                      <w:color w:val="000000"/>
                      <w:szCs w:val="21"/>
                    </w:rPr>
                    <w:t>清理刮刀</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废抹布</w:t>
                  </w:r>
                </w:p>
              </w:tc>
              <w:tc>
                <w:tcPr>
                  <w:tcW w:w="136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223-001-99</w:t>
                  </w:r>
                </w:p>
              </w:tc>
              <w:tc>
                <w:tcPr>
                  <w:tcW w:w="132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一般固废</w:t>
                  </w:r>
                </w:p>
              </w:tc>
              <w:tc>
                <w:tcPr>
                  <w:tcW w:w="1422"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w:t>
                  </w:r>
                </w:p>
              </w:tc>
              <w:tc>
                <w:tcPr>
                  <w:tcW w:w="1466" w:type="dxa"/>
                  <w:tcBorders>
                    <w:top w:val="single" w:color="auto" w:sz="4" w:space="0"/>
                    <w:left w:val="single" w:color="auto" w:sz="4" w:space="0"/>
                    <w:right w:val="nil"/>
                  </w:tcBorders>
                  <w:vAlign w:val="center"/>
                </w:tcPr>
                <w:p>
                  <w:pPr>
                    <w:jc w:val="center"/>
                    <w:rPr>
                      <w:kern w:val="36"/>
                      <w:szCs w:val="21"/>
                    </w:rPr>
                  </w:pPr>
                  <w:r>
                    <w:rPr>
                      <w:rFonts w:hint="eastAsia"/>
                      <w:color w:val="000000"/>
                      <w:szCs w:val="21"/>
                    </w:rPr>
                    <w:t>收集后暂存于一般固废暂存间，定期外售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4" w:type="dxa"/>
                  <w:tcBorders>
                    <w:top w:val="single" w:color="auto" w:sz="4" w:space="0"/>
                    <w:left w:val="nil"/>
                    <w:bottom w:val="single" w:color="auto" w:sz="4" w:space="0"/>
                    <w:right w:val="single" w:color="auto" w:sz="4" w:space="0"/>
                  </w:tcBorders>
                  <w:vAlign w:val="center"/>
                </w:tcPr>
                <w:p>
                  <w:pPr>
                    <w:jc w:val="center"/>
                    <w:rPr>
                      <w:color w:val="000000"/>
                      <w:szCs w:val="21"/>
                    </w:rPr>
                  </w:pPr>
                  <w:r>
                    <w:rPr>
                      <w:color w:val="000000"/>
                      <w:szCs w:val="21"/>
                    </w:rPr>
                    <w:t>投料</w:t>
                  </w:r>
                </w:p>
              </w:tc>
              <w:tc>
                <w:tcPr>
                  <w:tcW w:w="1134" w:type="dxa"/>
                  <w:tcBorders>
                    <w:top w:val="single" w:color="auto" w:sz="4" w:space="0"/>
                    <w:left w:val="single" w:color="auto" w:sz="4" w:space="0"/>
                    <w:bottom w:val="single" w:color="auto" w:sz="4" w:space="0"/>
                    <w:right w:val="single" w:color="auto" w:sz="4" w:space="0"/>
                  </w:tcBorders>
                  <w:vAlign w:val="center"/>
                </w:tcPr>
                <w:p>
                  <w:pPr>
                    <w:pStyle w:val="140"/>
                  </w:pPr>
                  <w:r>
                    <w:t>废包装袋</w:t>
                  </w:r>
                </w:p>
              </w:tc>
              <w:tc>
                <w:tcPr>
                  <w:tcW w:w="1368" w:type="dxa"/>
                  <w:tcBorders>
                    <w:top w:val="single" w:color="auto" w:sz="4" w:space="0"/>
                    <w:left w:val="single" w:color="auto" w:sz="4" w:space="0"/>
                    <w:bottom w:val="single" w:color="auto" w:sz="4" w:space="0"/>
                    <w:right w:val="single" w:color="auto" w:sz="4" w:space="0"/>
                  </w:tcBorders>
                  <w:vAlign w:val="center"/>
                </w:tcPr>
                <w:p>
                  <w:pPr>
                    <w:pStyle w:val="140"/>
                    <w:rPr>
                      <w:color w:val="000000"/>
                    </w:rPr>
                  </w:pPr>
                  <w:r>
                    <w:rPr>
                      <w:rFonts w:hint="eastAsia"/>
                      <w:color w:val="000000"/>
                    </w:rPr>
                    <w:t>223-001-07</w:t>
                  </w:r>
                </w:p>
              </w:tc>
              <w:tc>
                <w:tcPr>
                  <w:tcW w:w="1324" w:type="dxa"/>
                  <w:tcBorders>
                    <w:top w:val="single" w:color="auto" w:sz="4" w:space="0"/>
                    <w:left w:val="single" w:color="auto" w:sz="4" w:space="0"/>
                    <w:bottom w:val="single" w:color="auto" w:sz="4" w:space="0"/>
                    <w:right w:val="single" w:color="auto" w:sz="4" w:space="0"/>
                  </w:tcBorders>
                  <w:vAlign w:val="center"/>
                </w:tcPr>
                <w:p>
                  <w:pPr>
                    <w:pStyle w:val="140"/>
                  </w:pPr>
                  <w:r>
                    <w:rPr>
                      <w:rFonts w:hint="eastAsia"/>
                    </w:rPr>
                    <w:t>一般固废</w:t>
                  </w:r>
                </w:p>
              </w:tc>
              <w:tc>
                <w:tcPr>
                  <w:tcW w:w="1422"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4</w:t>
                  </w:r>
                </w:p>
              </w:tc>
              <w:tc>
                <w:tcPr>
                  <w:tcW w:w="1466" w:type="dxa"/>
                  <w:tcBorders>
                    <w:left w:val="single" w:color="auto" w:sz="4" w:space="0"/>
                    <w:right w:val="nil"/>
                  </w:tcBorders>
                  <w:vAlign w:val="center"/>
                </w:tcPr>
                <w:p>
                  <w:pPr>
                    <w:jc w:val="center"/>
                    <w:rPr>
                      <w:color w:val="000000"/>
                      <w:szCs w:val="21"/>
                    </w:rPr>
                  </w:pPr>
                  <w:r>
                    <w:rPr>
                      <w:color w:val="000000"/>
                      <w:szCs w:val="21"/>
                    </w:rPr>
                    <w:t>收集后暂存于一般固废暂存间</w:t>
                  </w:r>
                  <w:r>
                    <w:rPr>
                      <w:rFonts w:hint="eastAsia"/>
                      <w:color w:val="000000"/>
                      <w:szCs w:val="21"/>
                    </w:rPr>
                    <w:t>，定期</w:t>
                  </w:r>
                  <w:r>
                    <w:rPr>
                      <w:color w:val="000000"/>
                      <w:szCs w:val="21"/>
                    </w:rPr>
                    <w:t>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4" w:type="dxa"/>
                  <w:tcBorders>
                    <w:top w:val="single" w:color="auto" w:sz="4" w:space="0"/>
                    <w:left w:val="nil"/>
                    <w:right w:val="single" w:color="auto" w:sz="4" w:space="0"/>
                  </w:tcBorders>
                  <w:vAlign w:val="center"/>
                </w:tcPr>
                <w:p>
                  <w:pPr>
                    <w:jc w:val="center"/>
                    <w:rPr>
                      <w:color w:val="000000"/>
                      <w:szCs w:val="21"/>
                    </w:rPr>
                  </w:pPr>
                  <w:r>
                    <w:rPr>
                      <w:rFonts w:hint="eastAsia"/>
                      <w:color w:val="000000"/>
                      <w:szCs w:val="21"/>
                    </w:rPr>
                    <w:t>袋式除尘器收集</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粉尘</w:t>
                  </w:r>
                </w:p>
              </w:tc>
              <w:tc>
                <w:tcPr>
                  <w:tcW w:w="1368" w:type="dxa"/>
                  <w:tcBorders>
                    <w:top w:val="single" w:color="auto" w:sz="4" w:space="0"/>
                    <w:left w:val="single" w:color="auto" w:sz="4" w:space="0"/>
                    <w:bottom w:val="single" w:color="auto" w:sz="4" w:space="0"/>
                    <w:right w:val="single" w:color="auto" w:sz="4" w:space="0"/>
                  </w:tcBorders>
                  <w:vAlign w:val="center"/>
                </w:tcPr>
                <w:p>
                  <w:pPr>
                    <w:pStyle w:val="140"/>
                    <w:rPr>
                      <w:color w:val="000000"/>
                    </w:rPr>
                  </w:pPr>
                  <w:r>
                    <w:rPr>
                      <w:rFonts w:hint="eastAsia"/>
                      <w:color w:val="000000"/>
                    </w:rPr>
                    <w:t>233-001-99</w:t>
                  </w:r>
                </w:p>
              </w:tc>
              <w:tc>
                <w:tcPr>
                  <w:tcW w:w="1324" w:type="dxa"/>
                  <w:tcBorders>
                    <w:top w:val="single" w:color="auto" w:sz="4" w:space="0"/>
                    <w:left w:val="single" w:color="auto" w:sz="4" w:space="0"/>
                    <w:bottom w:val="single" w:color="auto" w:sz="4" w:space="0"/>
                    <w:right w:val="single" w:color="auto" w:sz="4" w:space="0"/>
                  </w:tcBorders>
                  <w:vAlign w:val="center"/>
                </w:tcPr>
                <w:p>
                  <w:pPr>
                    <w:pStyle w:val="140"/>
                  </w:pPr>
                  <w:r>
                    <w:rPr>
                      <w:rFonts w:hint="eastAsia"/>
                    </w:rPr>
                    <w:t>一般固废</w:t>
                  </w:r>
                </w:p>
              </w:tc>
              <w:tc>
                <w:tcPr>
                  <w:tcW w:w="1422"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19.6247</w:t>
                  </w:r>
                </w:p>
              </w:tc>
              <w:tc>
                <w:tcPr>
                  <w:tcW w:w="1466" w:type="dxa"/>
                  <w:tcBorders>
                    <w:left w:val="single" w:color="auto" w:sz="4" w:space="0"/>
                    <w:right w:val="nil"/>
                  </w:tcBorders>
                  <w:vAlign w:val="center"/>
                </w:tcPr>
                <w:p>
                  <w:pPr>
                    <w:jc w:val="center"/>
                    <w:rPr>
                      <w:bCs/>
                      <w:color w:val="000000"/>
                      <w:szCs w:val="21"/>
                    </w:rPr>
                  </w:pPr>
                  <w:r>
                    <w:rPr>
                      <w:rFonts w:hint="eastAsia"/>
                      <w:bCs/>
                      <w:color w:val="000000"/>
                      <w:szCs w:val="21"/>
                    </w:rPr>
                    <w:t>收集后直接回用于生产</w:t>
                  </w:r>
                </w:p>
              </w:tc>
            </w:tr>
          </w:tbl>
          <w:p>
            <w:pPr>
              <w:spacing w:line="440" w:lineRule="exact"/>
              <w:ind w:firstLine="482" w:firstLineChars="200"/>
              <w:rPr>
                <w:b/>
                <w:sz w:val="24"/>
              </w:rPr>
            </w:pPr>
            <w:r>
              <w:rPr>
                <w:rFonts w:hint="eastAsia"/>
                <w:b/>
                <w:sz w:val="24"/>
              </w:rPr>
              <w:t>2、固废处置措施</w:t>
            </w:r>
          </w:p>
          <w:p>
            <w:pPr>
              <w:spacing w:line="460" w:lineRule="exact"/>
              <w:ind w:firstLine="480" w:firstLineChars="200"/>
              <w:textAlignment w:val="baseline"/>
              <w:rPr>
                <w:bCs/>
                <w:sz w:val="24"/>
              </w:rPr>
            </w:pPr>
            <w:r>
              <w:rPr>
                <w:bCs/>
                <w:sz w:val="24"/>
              </w:rPr>
              <w:t>为避免本项目的固废在储存过程中产生二次污染问题，评价建议项目建设单位</w:t>
            </w:r>
            <w:r>
              <w:rPr>
                <w:rFonts w:hint="eastAsia"/>
                <w:bCs/>
                <w:sz w:val="24"/>
              </w:rPr>
              <w:t>依托厂区内现有</w:t>
            </w:r>
            <w:r>
              <w:rPr>
                <w:bCs/>
                <w:sz w:val="24"/>
              </w:rPr>
              <w:t>1座</w:t>
            </w:r>
            <w:r>
              <w:rPr>
                <w:rFonts w:hint="eastAsia"/>
                <w:bCs/>
                <w:sz w:val="24"/>
              </w:rPr>
              <w:t>20</w:t>
            </w:r>
            <w:r>
              <w:rPr>
                <w:bCs/>
                <w:sz w:val="24"/>
              </w:rPr>
              <w:t>m</w:t>
            </w:r>
            <w:r>
              <w:rPr>
                <w:bCs/>
                <w:sz w:val="24"/>
                <w:vertAlign w:val="superscript"/>
              </w:rPr>
              <w:t>2</w:t>
            </w:r>
            <w:r>
              <w:rPr>
                <w:bCs/>
                <w:sz w:val="24"/>
              </w:rPr>
              <w:t>的一般固废</w:t>
            </w:r>
            <w:r>
              <w:rPr>
                <w:rFonts w:hint="eastAsia"/>
                <w:bCs/>
                <w:sz w:val="24"/>
              </w:rPr>
              <w:t>临时堆场</w:t>
            </w:r>
            <w:r>
              <w:rPr>
                <w:bCs/>
                <w:sz w:val="24"/>
              </w:rPr>
              <w:t>，对项目固废实现分类存放。</w:t>
            </w:r>
            <w:r>
              <w:rPr>
                <w:rFonts w:hint="eastAsia"/>
                <w:bCs/>
                <w:sz w:val="24"/>
              </w:rPr>
              <w:t>建设单位现有项目一般固废量为0，本项目建成后固废产生量为2</w:t>
            </w:r>
            <w:r>
              <w:rPr>
                <w:bCs/>
                <w:sz w:val="24"/>
              </w:rPr>
              <w:t>4.6247</w:t>
            </w:r>
            <w:r>
              <w:rPr>
                <w:rFonts w:hint="eastAsia"/>
                <w:bCs/>
                <w:sz w:val="24"/>
              </w:rPr>
              <w:t>t/a，现有一般固废临时堆场的容纳量可以满足本项目建成后一般固废的产生量。</w:t>
            </w:r>
            <w:r>
              <w:rPr>
                <w:bCs/>
                <w:sz w:val="24"/>
              </w:rPr>
              <w:t>根据《一般工业固体废物贮存和填埋污染控制标准》（GB18599-2020）</w:t>
            </w:r>
            <w:r>
              <w:rPr>
                <w:rFonts w:hint="eastAsia"/>
                <w:bCs/>
                <w:sz w:val="24"/>
              </w:rPr>
              <w:t>可知：采用库房、包装工具（罐、桶、包装袋等）贮存</w:t>
            </w:r>
            <w:r>
              <w:rPr>
                <w:bCs/>
                <w:sz w:val="24"/>
              </w:rPr>
              <w:t>一般工业固体废物过程</w:t>
            </w:r>
            <w:r>
              <w:rPr>
                <w:rFonts w:hint="eastAsia"/>
                <w:bCs/>
                <w:sz w:val="24"/>
              </w:rPr>
              <w:t>的污染控制，其贮存过程</w:t>
            </w:r>
            <w:r>
              <w:rPr>
                <w:bCs/>
                <w:sz w:val="24"/>
              </w:rPr>
              <w:t>应满足相应防渗漏、防雨淋、防扬尘等环境保护要求。本项目一般固废的存放过程应满足防渗漏、防雨淋、防扬尘的</w:t>
            </w:r>
            <w:r>
              <w:rPr>
                <w:rFonts w:hint="eastAsia"/>
                <w:bCs/>
                <w:sz w:val="24"/>
              </w:rPr>
              <w:t>“三防要求”</w:t>
            </w:r>
            <w:r>
              <w:rPr>
                <w:bCs/>
                <w:sz w:val="24"/>
              </w:rPr>
              <w:t>。</w:t>
            </w:r>
            <w:r>
              <w:rPr>
                <w:rFonts w:hint="eastAsia"/>
                <w:bCs/>
                <w:sz w:val="24"/>
              </w:rPr>
              <w:t>本项目不涉及危险废物</w:t>
            </w:r>
            <w:r>
              <w:rPr>
                <w:bCs/>
                <w:sz w:val="24"/>
              </w:rPr>
              <w:t>。</w:t>
            </w:r>
          </w:p>
          <w:p>
            <w:pPr>
              <w:spacing w:line="440" w:lineRule="exact"/>
              <w:ind w:firstLine="482" w:firstLineChars="200"/>
              <w:rPr>
                <w:b/>
                <w:sz w:val="24"/>
              </w:rPr>
            </w:pPr>
            <w:r>
              <w:rPr>
                <w:rFonts w:hint="eastAsia"/>
                <w:b/>
                <w:sz w:val="24"/>
              </w:rPr>
              <w:t>五、土壤、地下水</w:t>
            </w:r>
          </w:p>
          <w:p>
            <w:pPr>
              <w:spacing w:line="460" w:lineRule="exact"/>
              <w:ind w:firstLine="480" w:firstLineChars="200"/>
              <w:textAlignment w:val="baseline"/>
              <w:rPr>
                <w:bCs/>
                <w:sz w:val="24"/>
              </w:rPr>
            </w:pPr>
            <w:r>
              <w:rPr>
                <w:bCs/>
                <w:sz w:val="24"/>
              </w:rPr>
              <w:t>本项目</w:t>
            </w:r>
            <w:r>
              <w:rPr>
                <w:rFonts w:hint="eastAsia"/>
                <w:bCs/>
                <w:sz w:val="24"/>
              </w:rPr>
              <w:t>不新增</w:t>
            </w:r>
            <w:r>
              <w:rPr>
                <w:bCs/>
                <w:sz w:val="24"/>
              </w:rPr>
              <w:t>生活污水</w:t>
            </w:r>
            <w:r>
              <w:rPr>
                <w:rFonts w:hint="eastAsia"/>
                <w:bCs/>
                <w:sz w:val="24"/>
              </w:rPr>
              <w:t>，</w:t>
            </w:r>
            <w:r>
              <w:rPr>
                <w:kern w:val="0"/>
                <w:sz w:val="24"/>
              </w:rPr>
              <w:t>配料罐</w:t>
            </w:r>
            <w:r>
              <w:rPr>
                <w:rFonts w:hint="eastAsia"/>
                <w:kern w:val="0"/>
                <w:sz w:val="24"/>
              </w:rPr>
              <w:t>、</w:t>
            </w:r>
            <w:r>
              <w:rPr>
                <w:kern w:val="0"/>
                <w:sz w:val="24"/>
              </w:rPr>
              <w:t>分散罐清洗废水回用于瓷土配料工序，不外排</w:t>
            </w:r>
            <w:r>
              <w:rPr>
                <w:rFonts w:hint="eastAsia"/>
                <w:kern w:val="0"/>
                <w:sz w:val="24"/>
              </w:rPr>
              <w:t>。</w:t>
            </w:r>
            <w:r>
              <w:rPr>
                <w:bCs/>
                <w:sz w:val="24"/>
              </w:rPr>
              <w:t>保证废水不与土壤接触、下渗影响地下水</w:t>
            </w:r>
            <w:r>
              <w:rPr>
                <w:rFonts w:hint="eastAsia"/>
                <w:bCs/>
                <w:sz w:val="24"/>
              </w:rPr>
              <w:t>。</w:t>
            </w:r>
          </w:p>
          <w:p>
            <w:pPr>
              <w:spacing w:line="460" w:lineRule="exact"/>
              <w:ind w:firstLine="480" w:firstLineChars="200"/>
              <w:textAlignment w:val="baseline"/>
              <w:rPr>
                <w:bCs/>
                <w:sz w:val="24"/>
              </w:rPr>
            </w:pPr>
            <w:r>
              <w:rPr>
                <w:bCs/>
                <w:sz w:val="24"/>
              </w:rPr>
              <w:t>综上分析，本项目不存在地下水、土壤污染途径，不再进行地下水及土壤环境影响分析。</w:t>
            </w:r>
          </w:p>
          <w:p>
            <w:pPr>
              <w:spacing w:line="440" w:lineRule="exact"/>
              <w:ind w:firstLine="482" w:firstLineChars="200"/>
              <w:rPr>
                <w:b/>
                <w:sz w:val="24"/>
              </w:rPr>
            </w:pPr>
            <w:r>
              <w:rPr>
                <w:rFonts w:hint="eastAsia"/>
                <w:b/>
                <w:sz w:val="24"/>
              </w:rPr>
              <w:t>六、环境风险</w:t>
            </w:r>
          </w:p>
          <w:p>
            <w:pPr>
              <w:spacing w:line="440" w:lineRule="exact"/>
              <w:ind w:firstLine="480" w:firstLineChars="200"/>
              <w:rPr>
                <w:bCs/>
                <w:sz w:val="24"/>
              </w:rPr>
            </w:pPr>
            <w:r>
              <w:rPr>
                <w:rFonts w:hint="eastAsia"/>
                <w:bCs/>
                <w:sz w:val="24"/>
              </w:rPr>
              <w:t>经查阅</w:t>
            </w:r>
            <w:r>
              <w:rPr>
                <w:bCs/>
                <w:sz w:val="24"/>
              </w:rPr>
              <w:t>《建设项目环境风险评价技术导则》（HJ 169-2018）</w:t>
            </w:r>
            <w:r>
              <w:rPr>
                <w:rFonts w:hint="eastAsia"/>
                <w:bCs/>
                <w:sz w:val="24"/>
              </w:rPr>
              <w:t>附录B和《企业突发环境事件风险分级方法》（HJ 941-2018)附录A</w:t>
            </w:r>
            <w:r>
              <w:rPr>
                <w:bCs/>
                <w:sz w:val="24"/>
              </w:rPr>
              <w:t>，</w:t>
            </w:r>
            <w:r>
              <w:rPr>
                <w:rFonts w:hint="eastAsia"/>
                <w:bCs/>
                <w:sz w:val="24"/>
              </w:rPr>
              <w:t>本</w:t>
            </w:r>
            <w:r>
              <w:rPr>
                <w:bCs/>
                <w:sz w:val="24"/>
              </w:rPr>
              <w:t>项目</w:t>
            </w:r>
            <w:r>
              <w:rPr>
                <w:rFonts w:hint="eastAsia"/>
                <w:bCs/>
                <w:sz w:val="24"/>
              </w:rPr>
              <w:t>所用原辅材料均不属于附录中列出的各类物质。根据《建设项目环境影响报告表编制技术指南（污染影响类）（试行）》，本项目无需进行环境风险评价。</w:t>
            </w:r>
          </w:p>
          <w:p>
            <w:pPr>
              <w:spacing w:line="440" w:lineRule="exact"/>
              <w:ind w:firstLine="480" w:firstLineChars="200"/>
              <w:rPr>
                <w:bCs/>
                <w:sz w:val="24"/>
              </w:rPr>
            </w:pPr>
          </w:p>
          <w:p>
            <w:pPr>
              <w:spacing w:line="440" w:lineRule="exact"/>
              <w:ind w:firstLine="480" w:firstLineChars="200"/>
              <w:rPr>
                <w:bCs/>
                <w:sz w:val="24"/>
              </w:rPr>
            </w:pPr>
          </w:p>
          <w:p>
            <w:pPr>
              <w:spacing w:line="440" w:lineRule="exact"/>
              <w:ind w:firstLine="480" w:firstLineChars="200"/>
              <w:rPr>
                <w:bCs/>
                <w:sz w:val="24"/>
              </w:rPr>
            </w:pPr>
          </w:p>
          <w:p>
            <w:pPr>
              <w:spacing w:line="440" w:lineRule="exact"/>
              <w:ind w:firstLine="480" w:firstLineChars="200"/>
              <w:rPr>
                <w:bCs/>
                <w:sz w:val="24"/>
              </w:rPr>
            </w:pPr>
          </w:p>
          <w:p>
            <w:pPr>
              <w:spacing w:line="440" w:lineRule="exact"/>
              <w:ind w:firstLine="480" w:firstLineChars="200"/>
              <w:rPr>
                <w:bCs/>
                <w:sz w:val="24"/>
              </w:rPr>
            </w:pPr>
          </w:p>
          <w:p>
            <w:pPr>
              <w:spacing w:line="440" w:lineRule="exact"/>
              <w:ind w:firstLine="480" w:firstLineChars="200"/>
              <w:rPr>
                <w:bCs/>
                <w:sz w:val="24"/>
              </w:rPr>
            </w:pPr>
          </w:p>
          <w:p>
            <w:pPr>
              <w:spacing w:line="440" w:lineRule="exact"/>
              <w:ind w:firstLine="480" w:firstLineChars="200"/>
              <w:rPr>
                <w:bCs/>
                <w:sz w:val="24"/>
              </w:rPr>
            </w:pPr>
          </w:p>
          <w:p>
            <w:pPr>
              <w:spacing w:line="440" w:lineRule="exact"/>
              <w:ind w:firstLine="480" w:firstLineChars="200"/>
              <w:rPr>
                <w:bCs/>
                <w:sz w:val="24"/>
              </w:rPr>
            </w:pPr>
          </w:p>
          <w:p>
            <w:pPr>
              <w:spacing w:line="440" w:lineRule="exact"/>
              <w:ind w:firstLine="480" w:firstLineChars="200"/>
              <w:rPr>
                <w:bCs/>
                <w:sz w:val="24"/>
              </w:rPr>
            </w:pPr>
          </w:p>
          <w:p>
            <w:pPr>
              <w:spacing w:line="440" w:lineRule="exact"/>
              <w:ind w:firstLine="480" w:firstLineChars="200"/>
              <w:rPr>
                <w:bCs/>
                <w:sz w:val="24"/>
              </w:rPr>
            </w:pPr>
          </w:p>
          <w:p>
            <w:pPr>
              <w:spacing w:line="440" w:lineRule="exact"/>
              <w:ind w:firstLine="480" w:firstLineChars="200"/>
              <w:rPr>
                <w:bCs/>
                <w:sz w:val="24"/>
              </w:rPr>
            </w:pPr>
          </w:p>
          <w:p>
            <w:pPr>
              <w:spacing w:line="440" w:lineRule="exact"/>
              <w:ind w:firstLine="480" w:firstLineChars="200"/>
              <w:rPr>
                <w:bCs/>
                <w:sz w:val="24"/>
              </w:rPr>
            </w:pPr>
          </w:p>
          <w:p>
            <w:pPr>
              <w:spacing w:line="440" w:lineRule="exact"/>
              <w:ind w:firstLine="480" w:firstLineChars="200"/>
              <w:rPr>
                <w:bCs/>
                <w:sz w:val="24"/>
              </w:rPr>
            </w:pPr>
          </w:p>
          <w:p>
            <w:pPr>
              <w:spacing w:line="440" w:lineRule="exact"/>
              <w:ind w:firstLine="480" w:firstLineChars="200"/>
              <w:rPr>
                <w:bCs/>
                <w:sz w:val="24"/>
              </w:rPr>
            </w:pPr>
          </w:p>
          <w:p>
            <w:pPr>
              <w:spacing w:line="440" w:lineRule="exact"/>
              <w:rPr>
                <w:sz w:val="24"/>
              </w:rPr>
            </w:pPr>
          </w:p>
        </w:tc>
      </w:tr>
    </w:tbl>
    <w:p>
      <w:pPr>
        <w:pStyle w:val="29"/>
        <w:jc w:val="center"/>
        <w:outlineLvl w:val="0"/>
        <w:rPr>
          <w:rFonts w:ascii="黑体" w:hAnsi="黑体" w:eastAsia="黑体"/>
          <w:snapToGrid w:val="0"/>
          <w:color w:val="000000"/>
          <w:sz w:val="30"/>
          <w:szCs w:val="30"/>
        </w:rPr>
      </w:pPr>
      <w:r>
        <w:rPr>
          <w:rFonts w:hint="eastAsia" w:ascii="黑体" w:hAnsi="黑体" w:eastAsia="黑体"/>
          <w:snapToGrid w:val="0"/>
          <w:color w:val="000000"/>
          <w:sz w:val="30"/>
          <w:szCs w:val="30"/>
        </w:rPr>
        <w:t>五、</w:t>
      </w:r>
      <w:bookmarkStart w:id="2" w:name="_Hlk54167917"/>
      <w:r>
        <w:rPr>
          <w:rFonts w:hint="eastAsia" w:ascii="黑体" w:hAnsi="黑体" w:eastAsia="黑体"/>
          <w:snapToGrid w:val="0"/>
          <w:color w:val="000000"/>
          <w:sz w:val="30"/>
          <w:szCs w:val="30"/>
        </w:rPr>
        <w:t>环境保护措施监督检查清单</w:t>
      </w:r>
      <w:bookmarkEnd w:id="2"/>
    </w:p>
    <w:tbl>
      <w:tblPr>
        <w:tblStyle w:val="31"/>
        <w:tblW w:w="89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971"/>
        <w:gridCol w:w="1302"/>
        <w:gridCol w:w="1470"/>
        <w:gridCol w:w="1701"/>
        <w:gridCol w:w="1559"/>
        <w:gridCol w:w="284"/>
        <w:gridCol w:w="16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971" w:type="dxa"/>
            <w:tcBorders>
              <w:tl2br w:val="single" w:color="auto" w:sz="4" w:space="0"/>
            </w:tcBorders>
            <w:vAlign w:val="center"/>
          </w:tcPr>
          <w:p>
            <w:pPr>
              <w:adjustRightInd w:val="0"/>
              <w:snapToGrid w:val="0"/>
              <w:jc w:val="right"/>
              <w:rPr>
                <w:rFonts w:ascii="宋体" w:hAnsi="宋体" w:cs="宋体"/>
                <w:b/>
                <w:color w:val="000000"/>
                <w:sz w:val="24"/>
              </w:rPr>
            </w:pPr>
            <w:r>
              <w:rPr>
                <w:rFonts w:hint="eastAsia" w:ascii="宋体" w:hAnsi="宋体" w:cs="宋体"/>
                <w:b/>
                <w:color w:val="000000"/>
                <w:sz w:val="24"/>
              </w:rPr>
              <w:t>内容</w:t>
            </w:r>
          </w:p>
          <w:p>
            <w:pPr>
              <w:adjustRightInd w:val="0"/>
              <w:snapToGrid w:val="0"/>
              <w:jc w:val="left"/>
              <w:rPr>
                <w:rFonts w:ascii="宋体" w:hAnsi="宋体" w:cs="宋体"/>
                <w:b/>
                <w:color w:val="000000"/>
                <w:sz w:val="24"/>
              </w:rPr>
            </w:pPr>
            <w:r>
              <w:rPr>
                <w:rFonts w:hint="eastAsia" w:ascii="宋体" w:hAnsi="宋体" w:cs="宋体"/>
                <w:b/>
                <w:color w:val="000000"/>
                <w:sz w:val="24"/>
              </w:rPr>
              <w:t>要素</w:t>
            </w:r>
          </w:p>
        </w:tc>
        <w:tc>
          <w:tcPr>
            <w:tcW w:w="1302" w:type="dxa"/>
            <w:vAlign w:val="center"/>
          </w:tcPr>
          <w:p>
            <w:pPr>
              <w:adjustRightInd w:val="0"/>
              <w:snapToGrid w:val="0"/>
              <w:jc w:val="center"/>
              <w:rPr>
                <w:rFonts w:ascii="宋体" w:hAnsi="宋体" w:cs="宋体"/>
                <w:b/>
                <w:color w:val="000000"/>
                <w:sz w:val="24"/>
              </w:rPr>
            </w:pPr>
            <w:r>
              <w:rPr>
                <w:rFonts w:hint="eastAsia" w:ascii="宋体" w:hAnsi="宋体" w:cs="宋体"/>
                <w:b/>
                <w:color w:val="000000"/>
                <w:sz w:val="24"/>
              </w:rPr>
              <w:t>污染源</w:t>
            </w:r>
          </w:p>
        </w:tc>
        <w:tc>
          <w:tcPr>
            <w:tcW w:w="1470" w:type="dxa"/>
            <w:vAlign w:val="center"/>
          </w:tcPr>
          <w:p>
            <w:pPr>
              <w:adjustRightInd w:val="0"/>
              <w:snapToGrid w:val="0"/>
              <w:jc w:val="center"/>
              <w:rPr>
                <w:rFonts w:ascii="宋体" w:hAnsi="宋体" w:cs="宋体"/>
                <w:b/>
                <w:color w:val="000000"/>
                <w:sz w:val="24"/>
              </w:rPr>
            </w:pPr>
            <w:r>
              <w:rPr>
                <w:rFonts w:hint="eastAsia" w:ascii="宋体" w:hAnsi="宋体" w:cs="宋体"/>
                <w:b/>
                <w:color w:val="000000"/>
                <w:sz w:val="24"/>
              </w:rPr>
              <w:t>污染物项目</w:t>
            </w:r>
          </w:p>
        </w:tc>
        <w:tc>
          <w:tcPr>
            <w:tcW w:w="3260" w:type="dxa"/>
            <w:gridSpan w:val="2"/>
            <w:vAlign w:val="center"/>
          </w:tcPr>
          <w:p>
            <w:pPr>
              <w:adjustRightInd w:val="0"/>
              <w:snapToGrid w:val="0"/>
              <w:jc w:val="center"/>
              <w:rPr>
                <w:rFonts w:ascii="宋体" w:hAnsi="宋体" w:cs="宋体"/>
                <w:b/>
                <w:color w:val="000000"/>
                <w:sz w:val="24"/>
              </w:rPr>
            </w:pPr>
            <w:r>
              <w:rPr>
                <w:rFonts w:hint="eastAsia" w:ascii="宋体" w:hAnsi="宋体" w:cs="宋体"/>
                <w:b/>
                <w:color w:val="000000"/>
                <w:sz w:val="24"/>
              </w:rPr>
              <w:t>环境保护措施</w:t>
            </w:r>
          </w:p>
        </w:tc>
        <w:tc>
          <w:tcPr>
            <w:tcW w:w="1955" w:type="dxa"/>
            <w:gridSpan w:val="2"/>
            <w:vAlign w:val="center"/>
          </w:tcPr>
          <w:p>
            <w:pPr>
              <w:adjustRightInd w:val="0"/>
              <w:snapToGrid w:val="0"/>
              <w:jc w:val="center"/>
              <w:rPr>
                <w:rFonts w:ascii="宋体" w:hAnsi="宋体" w:cs="宋体"/>
                <w:b/>
                <w:color w:val="000000"/>
                <w:sz w:val="24"/>
              </w:rPr>
            </w:pPr>
            <w:r>
              <w:rPr>
                <w:rFonts w:hint="eastAsia" w:ascii="宋体" w:hAnsi="宋体" w:cs="宋体"/>
                <w:b/>
                <w:color w:val="000000"/>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00" w:hRule="atLeast"/>
          <w:jc w:val="center"/>
        </w:trPr>
        <w:tc>
          <w:tcPr>
            <w:tcW w:w="971" w:type="dxa"/>
            <w:vMerge w:val="restart"/>
            <w:vAlign w:val="center"/>
          </w:tcPr>
          <w:p>
            <w:pPr>
              <w:adjustRightInd w:val="0"/>
              <w:snapToGrid w:val="0"/>
              <w:jc w:val="center"/>
              <w:rPr>
                <w:rFonts w:ascii="宋体" w:hAnsi="宋体" w:cs="宋体"/>
                <w:color w:val="000000"/>
                <w:sz w:val="24"/>
              </w:rPr>
            </w:pPr>
            <w:r>
              <w:rPr>
                <w:rFonts w:hint="eastAsia" w:ascii="宋体" w:hAnsi="宋体" w:cs="宋体"/>
                <w:color w:val="000000"/>
                <w:sz w:val="24"/>
              </w:rPr>
              <w:t>大气环境</w:t>
            </w:r>
          </w:p>
        </w:tc>
        <w:tc>
          <w:tcPr>
            <w:tcW w:w="1302" w:type="dxa"/>
            <w:vAlign w:val="center"/>
          </w:tcPr>
          <w:p>
            <w:pPr>
              <w:pStyle w:val="140"/>
              <w:rPr>
                <w:color w:val="000000"/>
                <w:sz w:val="24"/>
                <w:szCs w:val="24"/>
              </w:rPr>
            </w:pPr>
            <w:r>
              <w:rPr>
                <w:rFonts w:hint="eastAsia"/>
                <w:color w:val="000000"/>
                <w:sz w:val="24"/>
                <w:szCs w:val="24"/>
              </w:rPr>
              <w:t>瓷土、玉米淀粉、羟甲基纤维素钠投料</w:t>
            </w:r>
          </w:p>
        </w:tc>
        <w:tc>
          <w:tcPr>
            <w:tcW w:w="1470" w:type="dxa"/>
            <w:vMerge w:val="restart"/>
            <w:vAlign w:val="center"/>
          </w:tcPr>
          <w:p>
            <w:pPr>
              <w:pStyle w:val="140"/>
              <w:rPr>
                <w:color w:val="000000"/>
                <w:sz w:val="24"/>
                <w:szCs w:val="24"/>
              </w:rPr>
            </w:pPr>
            <w:r>
              <w:rPr>
                <w:rFonts w:hint="eastAsia"/>
                <w:color w:val="000000"/>
                <w:sz w:val="24"/>
                <w:szCs w:val="24"/>
              </w:rPr>
              <w:t>颗粒物</w:t>
            </w:r>
          </w:p>
        </w:tc>
        <w:tc>
          <w:tcPr>
            <w:tcW w:w="1701" w:type="dxa"/>
            <w:vAlign w:val="center"/>
          </w:tcPr>
          <w:p>
            <w:pPr>
              <w:adjustRightInd w:val="0"/>
              <w:snapToGrid w:val="0"/>
              <w:jc w:val="center"/>
              <w:rPr>
                <w:color w:val="000000"/>
                <w:sz w:val="24"/>
              </w:rPr>
            </w:pPr>
            <w:r>
              <w:rPr>
                <w:rFonts w:hint="eastAsia"/>
                <w:color w:val="000000"/>
                <w:sz w:val="24"/>
              </w:rPr>
              <w:t>密闭投料间整体负压</w:t>
            </w:r>
          </w:p>
        </w:tc>
        <w:tc>
          <w:tcPr>
            <w:tcW w:w="1559" w:type="dxa"/>
            <w:vMerge w:val="restart"/>
            <w:vAlign w:val="center"/>
          </w:tcPr>
          <w:p>
            <w:pPr>
              <w:adjustRightInd w:val="0"/>
              <w:snapToGrid w:val="0"/>
              <w:jc w:val="center"/>
              <w:rPr>
                <w:color w:val="000000"/>
                <w:sz w:val="24"/>
              </w:rPr>
            </w:pPr>
            <w:r>
              <w:rPr>
                <w:rFonts w:hint="eastAsia"/>
                <w:color w:val="000000"/>
                <w:sz w:val="24"/>
              </w:rPr>
              <w:t>袋式除尘器+15m高排气筒</w:t>
            </w:r>
          </w:p>
        </w:tc>
        <w:tc>
          <w:tcPr>
            <w:tcW w:w="1955" w:type="dxa"/>
            <w:gridSpan w:val="2"/>
            <w:vMerge w:val="restart"/>
            <w:vAlign w:val="center"/>
          </w:tcPr>
          <w:p>
            <w:pPr>
              <w:adjustRightInd w:val="0"/>
              <w:snapToGrid w:val="0"/>
              <w:jc w:val="center"/>
              <w:rPr>
                <w:color w:val="000000"/>
                <w:sz w:val="24"/>
              </w:rPr>
            </w:pPr>
            <w:r>
              <w:rPr>
                <w:kern w:val="0"/>
                <w:sz w:val="24"/>
              </w:rPr>
              <w:t>《新乡市生态环境局关于进一步规范工业企业颗粒物排放限值的通知》有组织颗粒物排放浓度</w:t>
            </w:r>
            <w:r>
              <w:rPr>
                <w:rFonts w:hint="eastAsia"/>
                <w:kern w:val="0"/>
                <w:sz w:val="24"/>
              </w:rPr>
              <w:t>10</w:t>
            </w:r>
            <w:r>
              <w:rPr>
                <w:kern w:val="0"/>
                <w:sz w:val="24"/>
              </w:rPr>
              <w:t>mg/m</w:t>
            </w:r>
            <w:r>
              <w:rPr>
                <w:kern w:val="0"/>
                <w:sz w:val="24"/>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98" w:hRule="atLeast"/>
          <w:jc w:val="center"/>
        </w:trPr>
        <w:tc>
          <w:tcPr>
            <w:tcW w:w="971" w:type="dxa"/>
            <w:vMerge w:val="continue"/>
            <w:vAlign w:val="center"/>
          </w:tcPr>
          <w:p>
            <w:pPr>
              <w:adjustRightInd w:val="0"/>
              <w:snapToGrid w:val="0"/>
              <w:jc w:val="center"/>
              <w:rPr>
                <w:rFonts w:ascii="宋体" w:hAnsi="宋体" w:cs="宋体"/>
                <w:color w:val="000000"/>
                <w:sz w:val="24"/>
              </w:rPr>
            </w:pPr>
          </w:p>
        </w:tc>
        <w:tc>
          <w:tcPr>
            <w:tcW w:w="1302" w:type="dxa"/>
            <w:vAlign w:val="center"/>
          </w:tcPr>
          <w:p>
            <w:pPr>
              <w:pStyle w:val="140"/>
              <w:rPr>
                <w:color w:val="000000"/>
                <w:sz w:val="24"/>
                <w:szCs w:val="24"/>
              </w:rPr>
            </w:pPr>
            <w:r>
              <w:rPr>
                <w:rFonts w:hint="eastAsia"/>
                <w:color w:val="000000"/>
                <w:sz w:val="24"/>
                <w:szCs w:val="24"/>
              </w:rPr>
              <w:t>瓷土、羟甲基纤维素钠分散搅拌</w:t>
            </w:r>
          </w:p>
        </w:tc>
        <w:tc>
          <w:tcPr>
            <w:tcW w:w="1470" w:type="dxa"/>
            <w:vMerge w:val="continue"/>
            <w:vAlign w:val="center"/>
          </w:tcPr>
          <w:p>
            <w:pPr>
              <w:pStyle w:val="140"/>
              <w:rPr>
                <w:color w:val="000000"/>
                <w:sz w:val="24"/>
                <w:szCs w:val="24"/>
              </w:rPr>
            </w:pPr>
          </w:p>
        </w:tc>
        <w:tc>
          <w:tcPr>
            <w:tcW w:w="1701" w:type="dxa"/>
            <w:vAlign w:val="center"/>
          </w:tcPr>
          <w:p>
            <w:pPr>
              <w:adjustRightInd w:val="0"/>
              <w:snapToGrid w:val="0"/>
              <w:jc w:val="center"/>
              <w:rPr>
                <w:color w:val="000000"/>
                <w:sz w:val="24"/>
              </w:rPr>
            </w:pPr>
            <w:r>
              <w:rPr>
                <w:rFonts w:hint="eastAsia"/>
                <w:color w:val="000000"/>
                <w:sz w:val="24"/>
              </w:rPr>
              <w:t>密闭负压管道收集</w:t>
            </w:r>
          </w:p>
        </w:tc>
        <w:tc>
          <w:tcPr>
            <w:tcW w:w="1559" w:type="dxa"/>
            <w:vMerge w:val="continue"/>
            <w:vAlign w:val="center"/>
          </w:tcPr>
          <w:p>
            <w:pPr>
              <w:adjustRightInd w:val="0"/>
              <w:snapToGrid w:val="0"/>
              <w:jc w:val="center"/>
              <w:rPr>
                <w:color w:val="000000"/>
                <w:sz w:val="24"/>
              </w:rPr>
            </w:pPr>
          </w:p>
        </w:tc>
        <w:tc>
          <w:tcPr>
            <w:tcW w:w="1955" w:type="dxa"/>
            <w:gridSpan w:val="2"/>
            <w:vMerge w:val="continue"/>
            <w:vAlign w:val="center"/>
          </w:tcPr>
          <w:p>
            <w:pPr>
              <w:adjustRightInd w:val="0"/>
              <w:snapToGrid w:val="0"/>
              <w:jc w:val="center"/>
              <w:rPr>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98" w:hRule="atLeast"/>
          <w:jc w:val="center"/>
        </w:trPr>
        <w:tc>
          <w:tcPr>
            <w:tcW w:w="971" w:type="dxa"/>
            <w:vMerge w:val="continue"/>
            <w:vAlign w:val="center"/>
          </w:tcPr>
          <w:p>
            <w:pPr>
              <w:adjustRightInd w:val="0"/>
              <w:snapToGrid w:val="0"/>
              <w:jc w:val="center"/>
              <w:rPr>
                <w:rFonts w:ascii="宋体" w:hAnsi="宋体" w:cs="宋体"/>
                <w:color w:val="000000"/>
                <w:sz w:val="24"/>
              </w:rPr>
            </w:pPr>
          </w:p>
        </w:tc>
        <w:tc>
          <w:tcPr>
            <w:tcW w:w="1302" w:type="dxa"/>
            <w:vAlign w:val="center"/>
          </w:tcPr>
          <w:p>
            <w:pPr>
              <w:pStyle w:val="140"/>
              <w:rPr>
                <w:color w:val="000000"/>
                <w:sz w:val="24"/>
                <w:szCs w:val="24"/>
              </w:rPr>
            </w:pPr>
            <w:r>
              <w:rPr>
                <w:rFonts w:hint="eastAsia"/>
                <w:color w:val="000000"/>
                <w:sz w:val="24"/>
                <w:szCs w:val="24"/>
              </w:rPr>
              <w:t>面涂配料</w:t>
            </w:r>
          </w:p>
        </w:tc>
        <w:tc>
          <w:tcPr>
            <w:tcW w:w="1470" w:type="dxa"/>
            <w:vMerge w:val="continue"/>
            <w:vAlign w:val="center"/>
          </w:tcPr>
          <w:p>
            <w:pPr>
              <w:pStyle w:val="140"/>
              <w:rPr>
                <w:color w:val="000000"/>
                <w:sz w:val="24"/>
                <w:szCs w:val="24"/>
              </w:rPr>
            </w:pPr>
          </w:p>
        </w:tc>
        <w:tc>
          <w:tcPr>
            <w:tcW w:w="1701" w:type="dxa"/>
            <w:vAlign w:val="center"/>
          </w:tcPr>
          <w:p>
            <w:pPr>
              <w:adjustRightInd w:val="0"/>
              <w:snapToGrid w:val="0"/>
              <w:jc w:val="center"/>
              <w:rPr>
                <w:color w:val="000000"/>
                <w:sz w:val="24"/>
              </w:rPr>
            </w:pPr>
            <w:r>
              <w:rPr>
                <w:rFonts w:hint="eastAsia"/>
                <w:color w:val="000000"/>
                <w:sz w:val="24"/>
              </w:rPr>
              <w:t>密闭负压管道收集</w:t>
            </w:r>
          </w:p>
        </w:tc>
        <w:tc>
          <w:tcPr>
            <w:tcW w:w="1559" w:type="dxa"/>
            <w:vMerge w:val="continue"/>
            <w:vAlign w:val="center"/>
          </w:tcPr>
          <w:p>
            <w:pPr>
              <w:adjustRightInd w:val="0"/>
              <w:snapToGrid w:val="0"/>
              <w:jc w:val="center"/>
              <w:rPr>
                <w:color w:val="000000"/>
                <w:sz w:val="24"/>
              </w:rPr>
            </w:pPr>
          </w:p>
        </w:tc>
        <w:tc>
          <w:tcPr>
            <w:tcW w:w="1955" w:type="dxa"/>
            <w:gridSpan w:val="2"/>
            <w:vMerge w:val="continue"/>
            <w:vAlign w:val="center"/>
          </w:tcPr>
          <w:p>
            <w:pPr>
              <w:adjustRightInd w:val="0"/>
              <w:snapToGrid w:val="0"/>
              <w:jc w:val="center"/>
              <w:rPr>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98" w:hRule="atLeast"/>
          <w:jc w:val="center"/>
        </w:trPr>
        <w:tc>
          <w:tcPr>
            <w:tcW w:w="971" w:type="dxa"/>
            <w:vMerge w:val="continue"/>
            <w:vAlign w:val="center"/>
          </w:tcPr>
          <w:p>
            <w:pPr>
              <w:adjustRightInd w:val="0"/>
              <w:snapToGrid w:val="0"/>
              <w:jc w:val="center"/>
              <w:rPr>
                <w:rFonts w:ascii="宋体" w:hAnsi="宋体" w:cs="宋体"/>
                <w:color w:val="000000"/>
                <w:sz w:val="24"/>
              </w:rPr>
            </w:pPr>
          </w:p>
        </w:tc>
        <w:tc>
          <w:tcPr>
            <w:tcW w:w="1302" w:type="dxa"/>
            <w:vAlign w:val="center"/>
          </w:tcPr>
          <w:p>
            <w:pPr>
              <w:pStyle w:val="140"/>
              <w:rPr>
                <w:color w:val="000000"/>
                <w:sz w:val="24"/>
                <w:szCs w:val="24"/>
              </w:rPr>
            </w:pPr>
            <w:r>
              <w:rPr>
                <w:rFonts w:hint="eastAsia"/>
                <w:color w:val="000000"/>
                <w:sz w:val="24"/>
                <w:szCs w:val="24"/>
              </w:rPr>
              <w:t>钙粉投料</w:t>
            </w:r>
          </w:p>
        </w:tc>
        <w:tc>
          <w:tcPr>
            <w:tcW w:w="1470" w:type="dxa"/>
            <w:vMerge w:val="continue"/>
            <w:vAlign w:val="center"/>
          </w:tcPr>
          <w:p>
            <w:pPr>
              <w:pStyle w:val="140"/>
              <w:rPr>
                <w:color w:val="000000"/>
                <w:sz w:val="24"/>
                <w:szCs w:val="24"/>
              </w:rPr>
            </w:pPr>
          </w:p>
        </w:tc>
        <w:tc>
          <w:tcPr>
            <w:tcW w:w="1701" w:type="dxa"/>
            <w:vAlign w:val="center"/>
          </w:tcPr>
          <w:p>
            <w:pPr>
              <w:adjustRightInd w:val="0"/>
              <w:snapToGrid w:val="0"/>
              <w:jc w:val="center"/>
              <w:rPr>
                <w:color w:val="000000"/>
                <w:sz w:val="24"/>
              </w:rPr>
            </w:pPr>
            <w:r>
              <w:rPr>
                <w:rFonts w:hint="eastAsia"/>
                <w:color w:val="000000"/>
                <w:sz w:val="24"/>
              </w:rPr>
              <w:t>密闭投料间整体负压</w:t>
            </w:r>
          </w:p>
        </w:tc>
        <w:tc>
          <w:tcPr>
            <w:tcW w:w="1559" w:type="dxa"/>
            <w:vMerge w:val="restart"/>
            <w:vAlign w:val="center"/>
          </w:tcPr>
          <w:p>
            <w:pPr>
              <w:adjustRightInd w:val="0"/>
              <w:snapToGrid w:val="0"/>
              <w:jc w:val="center"/>
              <w:rPr>
                <w:color w:val="000000"/>
                <w:sz w:val="24"/>
              </w:rPr>
            </w:pPr>
            <w:r>
              <w:rPr>
                <w:rFonts w:hint="eastAsia"/>
                <w:color w:val="000000"/>
                <w:sz w:val="24"/>
              </w:rPr>
              <w:t>袋式除尘器+15m高排气筒</w:t>
            </w:r>
          </w:p>
        </w:tc>
        <w:tc>
          <w:tcPr>
            <w:tcW w:w="1955" w:type="dxa"/>
            <w:gridSpan w:val="2"/>
            <w:vMerge w:val="continue"/>
            <w:vAlign w:val="center"/>
          </w:tcPr>
          <w:p>
            <w:pPr>
              <w:adjustRightInd w:val="0"/>
              <w:snapToGrid w:val="0"/>
              <w:jc w:val="center"/>
              <w:rPr>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98" w:hRule="atLeast"/>
          <w:jc w:val="center"/>
        </w:trPr>
        <w:tc>
          <w:tcPr>
            <w:tcW w:w="971" w:type="dxa"/>
            <w:vMerge w:val="continue"/>
            <w:vAlign w:val="center"/>
          </w:tcPr>
          <w:p>
            <w:pPr>
              <w:adjustRightInd w:val="0"/>
              <w:snapToGrid w:val="0"/>
              <w:jc w:val="center"/>
              <w:rPr>
                <w:rFonts w:ascii="宋体" w:hAnsi="宋体" w:cs="宋体"/>
                <w:color w:val="000000"/>
                <w:sz w:val="24"/>
              </w:rPr>
            </w:pPr>
          </w:p>
        </w:tc>
        <w:tc>
          <w:tcPr>
            <w:tcW w:w="1302" w:type="dxa"/>
            <w:vAlign w:val="center"/>
          </w:tcPr>
          <w:p>
            <w:pPr>
              <w:pStyle w:val="140"/>
              <w:rPr>
                <w:color w:val="000000"/>
                <w:sz w:val="24"/>
                <w:szCs w:val="24"/>
              </w:rPr>
            </w:pPr>
            <w:r>
              <w:rPr>
                <w:rFonts w:hint="eastAsia"/>
                <w:color w:val="000000"/>
                <w:sz w:val="24"/>
                <w:szCs w:val="24"/>
              </w:rPr>
              <w:t>钙粉研磨</w:t>
            </w:r>
          </w:p>
        </w:tc>
        <w:tc>
          <w:tcPr>
            <w:tcW w:w="1470" w:type="dxa"/>
            <w:vMerge w:val="continue"/>
            <w:vAlign w:val="center"/>
          </w:tcPr>
          <w:p>
            <w:pPr>
              <w:pStyle w:val="140"/>
              <w:rPr>
                <w:color w:val="000000"/>
                <w:sz w:val="24"/>
                <w:szCs w:val="24"/>
              </w:rPr>
            </w:pPr>
          </w:p>
        </w:tc>
        <w:tc>
          <w:tcPr>
            <w:tcW w:w="1701" w:type="dxa"/>
            <w:vAlign w:val="center"/>
          </w:tcPr>
          <w:p>
            <w:pPr>
              <w:adjustRightInd w:val="0"/>
              <w:snapToGrid w:val="0"/>
              <w:jc w:val="center"/>
              <w:rPr>
                <w:color w:val="000000"/>
                <w:sz w:val="24"/>
              </w:rPr>
            </w:pPr>
            <w:r>
              <w:rPr>
                <w:rFonts w:hint="eastAsia"/>
                <w:color w:val="000000"/>
                <w:sz w:val="24"/>
              </w:rPr>
              <w:t>密闭负压管道收集</w:t>
            </w:r>
          </w:p>
        </w:tc>
        <w:tc>
          <w:tcPr>
            <w:tcW w:w="1559" w:type="dxa"/>
            <w:vMerge w:val="continue"/>
            <w:vAlign w:val="center"/>
          </w:tcPr>
          <w:p>
            <w:pPr>
              <w:adjustRightInd w:val="0"/>
              <w:snapToGrid w:val="0"/>
              <w:jc w:val="center"/>
              <w:rPr>
                <w:color w:val="000000"/>
                <w:sz w:val="24"/>
              </w:rPr>
            </w:pPr>
          </w:p>
        </w:tc>
        <w:tc>
          <w:tcPr>
            <w:tcW w:w="1955" w:type="dxa"/>
            <w:gridSpan w:val="2"/>
            <w:vMerge w:val="continue"/>
            <w:vAlign w:val="center"/>
          </w:tcPr>
          <w:p>
            <w:pPr>
              <w:adjustRightInd w:val="0"/>
              <w:snapToGrid w:val="0"/>
              <w:jc w:val="center"/>
              <w:rPr>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98" w:hRule="atLeast"/>
          <w:jc w:val="center"/>
        </w:trPr>
        <w:tc>
          <w:tcPr>
            <w:tcW w:w="971" w:type="dxa"/>
            <w:vMerge w:val="continue"/>
            <w:vAlign w:val="center"/>
          </w:tcPr>
          <w:p>
            <w:pPr>
              <w:adjustRightInd w:val="0"/>
              <w:snapToGrid w:val="0"/>
              <w:jc w:val="center"/>
              <w:rPr>
                <w:rFonts w:ascii="宋体" w:hAnsi="宋体" w:cs="宋体"/>
                <w:color w:val="000000"/>
                <w:sz w:val="24"/>
              </w:rPr>
            </w:pPr>
          </w:p>
        </w:tc>
        <w:tc>
          <w:tcPr>
            <w:tcW w:w="1302" w:type="dxa"/>
            <w:vAlign w:val="center"/>
          </w:tcPr>
          <w:p>
            <w:pPr>
              <w:pStyle w:val="140"/>
              <w:rPr>
                <w:color w:val="000000"/>
                <w:sz w:val="24"/>
                <w:szCs w:val="24"/>
              </w:rPr>
            </w:pPr>
            <w:r>
              <w:rPr>
                <w:rFonts w:hint="eastAsia"/>
                <w:color w:val="000000"/>
                <w:sz w:val="24"/>
                <w:szCs w:val="24"/>
              </w:rPr>
              <w:t>无组织废气</w:t>
            </w:r>
          </w:p>
        </w:tc>
        <w:tc>
          <w:tcPr>
            <w:tcW w:w="1470" w:type="dxa"/>
            <w:vAlign w:val="center"/>
          </w:tcPr>
          <w:p>
            <w:pPr>
              <w:pStyle w:val="140"/>
              <w:rPr>
                <w:color w:val="000000"/>
                <w:sz w:val="24"/>
                <w:szCs w:val="24"/>
              </w:rPr>
            </w:pPr>
            <w:r>
              <w:rPr>
                <w:rFonts w:hint="eastAsia"/>
                <w:color w:val="000000"/>
                <w:sz w:val="24"/>
                <w:szCs w:val="24"/>
              </w:rPr>
              <w:t>颗粒物</w:t>
            </w:r>
          </w:p>
        </w:tc>
        <w:tc>
          <w:tcPr>
            <w:tcW w:w="3260" w:type="dxa"/>
            <w:gridSpan w:val="2"/>
            <w:vAlign w:val="center"/>
          </w:tcPr>
          <w:p>
            <w:pPr>
              <w:pStyle w:val="140"/>
              <w:rPr>
                <w:color w:val="000000"/>
                <w:sz w:val="24"/>
              </w:rPr>
            </w:pPr>
            <w:r>
              <w:rPr>
                <w:color w:val="000000"/>
                <w:sz w:val="24"/>
                <w:szCs w:val="24"/>
              </w:rPr>
              <w:t>所有物料/生产设备均位在密闭料库/车间内，物料装卸均在密闭料库内进行；原料库和车间通道口均安装卷帘门或推拉门等封闭性良好且便于开关的硬质门，在无车辆出入时将门关闭；保持厂区地面整洁，配专人负责清扫和洒水保湿，加强厂区厂界绿化等措施。</w:t>
            </w:r>
          </w:p>
        </w:tc>
        <w:tc>
          <w:tcPr>
            <w:tcW w:w="1955" w:type="dxa"/>
            <w:gridSpan w:val="2"/>
            <w:vAlign w:val="center"/>
          </w:tcPr>
          <w:p>
            <w:pPr>
              <w:adjustRightInd w:val="0"/>
              <w:snapToGrid w:val="0"/>
              <w:jc w:val="center"/>
              <w:rPr>
                <w:kern w:val="0"/>
                <w:sz w:val="24"/>
              </w:rPr>
            </w:pPr>
            <w:r>
              <w:rPr>
                <w:rFonts w:hint="eastAsia"/>
                <w:kern w:val="0"/>
                <w:sz w:val="24"/>
              </w:rPr>
              <w:t>《新乡市生态环境局关于进一步规范工业企业颗粒物排放限值的通知》0.5</w:t>
            </w:r>
            <w:r>
              <w:rPr>
                <w:kern w:val="0"/>
                <w:sz w:val="24"/>
              </w:rPr>
              <w:t>mg/m</w:t>
            </w:r>
            <w:r>
              <w:rPr>
                <w:kern w:val="0"/>
                <w:sz w:val="24"/>
                <w:vertAlign w:val="superscript"/>
              </w:rPr>
              <w:t>3</w:t>
            </w:r>
            <w:r>
              <w:rPr>
                <w:kern w:val="0"/>
                <w:sz w:val="24"/>
              </w:rPr>
              <w:t>标准限值要求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971"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地表水环境</w:t>
            </w:r>
          </w:p>
        </w:tc>
        <w:tc>
          <w:tcPr>
            <w:tcW w:w="1302" w:type="dxa"/>
            <w:vAlign w:val="center"/>
          </w:tcPr>
          <w:p>
            <w:pPr>
              <w:pStyle w:val="140"/>
              <w:rPr>
                <w:rFonts w:ascii="宋体" w:hAnsi="宋体" w:cs="宋体"/>
                <w:color w:val="000000"/>
                <w:sz w:val="24"/>
                <w:szCs w:val="24"/>
              </w:rPr>
            </w:pPr>
            <w:r>
              <w:rPr>
                <w:rFonts w:hint="eastAsia"/>
                <w:color w:val="000000"/>
                <w:sz w:val="24"/>
                <w:szCs w:val="24"/>
              </w:rPr>
              <w:t>配料罐、</w:t>
            </w:r>
            <w:r>
              <w:rPr>
                <w:color w:val="000000"/>
                <w:sz w:val="24"/>
                <w:szCs w:val="24"/>
              </w:rPr>
              <w:t>分散罐清洗废水</w:t>
            </w:r>
          </w:p>
        </w:tc>
        <w:tc>
          <w:tcPr>
            <w:tcW w:w="1470" w:type="dxa"/>
            <w:vAlign w:val="center"/>
          </w:tcPr>
          <w:p>
            <w:pPr>
              <w:pStyle w:val="140"/>
              <w:rPr>
                <w:rFonts w:ascii="宋体" w:hAnsi="宋体" w:cs="宋体"/>
                <w:color w:val="000000"/>
                <w:sz w:val="24"/>
                <w:szCs w:val="24"/>
              </w:rPr>
            </w:pPr>
            <w:r>
              <w:rPr>
                <w:color w:val="000000"/>
                <w:sz w:val="24"/>
                <w:szCs w:val="24"/>
              </w:rPr>
              <w:t>COD、SS</w:t>
            </w:r>
          </w:p>
        </w:tc>
        <w:tc>
          <w:tcPr>
            <w:tcW w:w="3260" w:type="dxa"/>
            <w:gridSpan w:val="2"/>
            <w:vAlign w:val="center"/>
          </w:tcPr>
          <w:p>
            <w:pPr>
              <w:pStyle w:val="140"/>
              <w:rPr>
                <w:rFonts w:hint="eastAsia" w:ascii="宋体" w:hAnsi="宋体" w:eastAsia="宋体" w:cs="宋体"/>
                <w:color w:val="000000"/>
                <w:sz w:val="24"/>
                <w:szCs w:val="24"/>
                <w:lang w:eastAsia="zh-CN"/>
              </w:rPr>
            </w:pPr>
            <w:r>
              <w:rPr>
                <w:rFonts w:hint="eastAsia"/>
                <w:color w:val="000000"/>
                <w:sz w:val="24"/>
                <w:szCs w:val="24"/>
                <w:lang w:val="en-US" w:eastAsia="zh-CN"/>
              </w:rPr>
              <w:t>0</w:t>
            </w:r>
          </w:p>
        </w:tc>
        <w:tc>
          <w:tcPr>
            <w:tcW w:w="1955" w:type="dxa"/>
            <w:gridSpan w:val="2"/>
            <w:vAlign w:val="center"/>
          </w:tcPr>
          <w:p>
            <w:pPr>
              <w:adjustRightInd w:val="0"/>
              <w:snapToGrid w:val="0"/>
              <w:jc w:val="center"/>
              <w:rPr>
                <w:rFonts w:ascii="宋体" w:hAnsi="宋体" w:cs="宋体"/>
                <w:color w:val="000000"/>
                <w:sz w:val="24"/>
              </w:rPr>
            </w:pPr>
            <w:r>
              <w:rPr>
                <w:rFonts w:hint="eastAsia" w:ascii="宋体" w:hAnsi="宋体" w:cs="宋体"/>
                <w:color w:val="00000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36" w:hRule="atLeast"/>
          <w:jc w:val="center"/>
        </w:trPr>
        <w:tc>
          <w:tcPr>
            <w:tcW w:w="971" w:type="dxa"/>
            <w:vMerge w:val="restart"/>
            <w:vAlign w:val="center"/>
          </w:tcPr>
          <w:p>
            <w:pPr>
              <w:adjustRightInd w:val="0"/>
              <w:snapToGrid w:val="0"/>
              <w:jc w:val="center"/>
              <w:rPr>
                <w:rFonts w:ascii="宋体" w:hAnsi="宋体" w:cs="宋体"/>
                <w:color w:val="000000"/>
                <w:sz w:val="24"/>
              </w:rPr>
            </w:pPr>
            <w:r>
              <w:rPr>
                <w:rFonts w:hint="eastAsia" w:ascii="宋体" w:hAnsi="宋体" w:cs="宋体"/>
                <w:color w:val="000000"/>
                <w:sz w:val="24"/>
              </w:rPr>
              <w:t>声环境</w:t>
            </w:r>
          </w:p>
        </w:tc>
        <w:tc>
          <w:tcPr>
            <w:tcW w:w="1302" w:type="dxa"/>
            <w:vAlign w:val="center"/>
          </w:tcPr>
          <w:p>
            <w:pPr>
              <w:jc w:val="center"/>
              <w:rPr>
                <w:color w:val="000000"/>
                <w:sz w:val="24"/>
              </w:rPr>
            </w:pPr>
            <w:r>
              <w:rPr>
                <w:rFonts w:hint="eastAsia"/>
                <w:color w:val="000000"/>
                <w:sz w:val="24"/>
              </w:rPr>
              <w:t>涂布机</w:t>
            </w:r>
          </w:p>
        </w:tc>
        <w:tc>
          <w:tcPr>
            <w:tcW w:w="1470" w:type="dxa"/>
            <w:vMerge w:val="restart"/>
            <w:vAlign w:val="center"/>
          </w:tcPr>
          <w:p>
            <w:pPr>
              <w:jc w:val="center"/>
              <w:rPr>
                <w:color w:val="000000"/>
                <w:sz w:val="24"/>
              </w:rPr>
            </w:pPr>
            <w:r>
              <w:rPr>
                <w:color w:val="000000"/>
                <w:sz w:val="24"/>
              </w:rPr>
              <w:t>噪声</w:t>
            </w:r>
          </w:p>
        </w:tc>
        <w:tc>
          <w:tcPr>
            <w:tcW w:w="3260" w:type="dxa"/>
            <w:gridSpan w:val="2"/>
            <w:vMerge w:val="restart"/>
            <w:vAlign w:val="center"/>
          </w:tcPr>
          <w:p>
            <w:pPr>
              <w:jc w:val="center"/>
              <w:rPr>
                <w:color w:val="000000"/>
                <w:sz w:val="24"/>
              </w:rPr>
            </w:pPr>
            <w:r>
              <w:rPr>
                <w:color w:val="000000"/>
                <w:sz w:val="24"/>
              </w:rPr>
              <w:t>减振、密闭隔声等</w:t>
            </w:r>
          </w:p>
        </w:tc>
        <w:tc>
          <w:tcPr>
            <w:tcW w:w="1955" w:type="dxa"/>
            <w:gridSpan w:val="2"/>
            <w:vMerge w:val="restart"/>
            <w:vAlign w:val="center"/>
          </w:tcPr>
          <w:p>
            <w:pPr>
              <w:adjustRightInd w:val="0"/>
              <w:snapToGrid w:val="0"/>
              <w:jc w:val="center"/>
              <w:rPr>
                <w:rFonts w:ascii="宋体" w:hAnsi="宋体" w:cs="宋体"/>
                <w:color w:val="000000"/>
                <w:sz w:val="24"/>
              </w:rPr>
            </w:pPr>
            <w:r>
              <w:rPr>
                <w:color w:val="000000"/>
                <w:sz w:val="24"/>
              </w:rPr>
              <w:t>《工业企业厂界环境噪声排放标准》（GB12348-2008）</w:t>
            </w:r>
            <w:r>
              <w:rPr>
                <w:rFonts w:hint="eastAsia"/>
                <w:color w:val="000000"/>
                <w:sz w:val="24"/>
              </w:rPr>
              <w:t>2</w:t>
            </w:r>
            <w:r>
              <w:rPr>
                <w:color w:val="000000"/>
                <w:sz w:val="24"/>
              </w:rPr>
              <w:t>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35" w:hRule="atLeast"/>
          <w:jc w:val="center"/>
        </w:trPr>
        <w:tc>
          <w:tcPr>
            <w:tcW w:w="971" w:type="dxa"/>
            <w:vMerge w:val="continue"/>
            <w:vAlign w:val="center"/>
          </w:tcPr>
          <w:p>
            <w:pPr>
              <w:adjustRightInd w:val="0"/>
              <w:snapToGrid w:val="0"/>
              <w:jc w:val="center"/>
              <w:rPr>
                <w:rFonts w:ascii="宋体" w:hAnsi="宋体" w:cs="宋体"/>
                <w:color w:val="000000"/>
                <w:sz w:val="24"/>
              </w:rPr>
            </w:pPr>
          </w:p>
        </w:tc>
        <w:tc>
          <w:tcPr>
            <w:tcW w:w="1302" w:type="dxa"/>
            <w:vAlign w:val="center"/>
          </w:tcPr>
          <w:p>
            <w:pPr>
              <w:jc w:val="center"/>
              <w:rPr>
                <w:color w:val="000000"/>
                <w:sz w:val="24"/>
              </w:rPr>
            </w:pPr>
            <w:r>
              <w:rPr>
                <w:rFonts w:hint="eastAsia"/>
                <w:color w:val="000000"/>
                <w:sz w:val="24"/>
              </w:rPr>
              <w:t>研磨机</w:t>
            </w:r>
          </w:p>
        </w:tc>
        <w:tc>
          <w:tcPr>
            <w:tcW w:w="1470" w:type="dxa"/>
            <w:vMerge w:val="continue"/>
            <w:vAlign w:val="center"/>
          </w:tcPr>
          <w:p>
            <w:pPr>
              <w:jc w:val="center"/>
              <w:rPr>
                <w:color w:val="000000"/>
                <w:sz w:val="24"/>
              </w:rPr>
            </w:pPr>
          </w:p>
        </w:tc>
        <w:tc>
          <w:tcPr>
            <w:tcW w:w="3260" w:type="dxa"/>
            <w:gridSpan w:val="2"/>
            <w:vMerge w:val="continue"/>
            <w:vAlign w:val="center"/>
          </w:tcPr>
          <w:p>
            <w:pPr>
              <w:jc w:val="center"/>
              <w:rPr>
                <w:color w:val="000000"/>
                <w:sz w:val="24"/>
              </w:rPr>
            </w:pPr>
          </w:p>
        </w:tc>
        <w:tc>
          <w:tcPr>
            <w:tcW w:w="1955" w:type="dxa"/>
            <w:gridSpan w:val="2"/>
            <w:vMerge w:val="continue"/>
            <w:vAlign w:val="center"/>
          </w:tcPr>
          <w:p>
            <w:pPr>
              <w:adjustRightInd w:val="0"/>
              <w:snapToGrid w:val="0"/>
              <w:jc w:val="center"/>
              <w:rPr>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35" w:hRule="atLeast"/>
          <w:jc w:val="center"/>
        </w:trPr>
        <w:tc>
          <w:tcPr>
            <w:tcW w:w="971" w:type="dxa"/>
            <w:vMerge w:val="continue"/>
            <w:vAlign w:val="center"/>
          </w:tcPr>
          <w:p>
            <w:pPr>
              <w:adjustRightInd w:val="0"/>
              <w:snapToGrid w:val="0"/>
              <w:jc w:val="center"/>
              <w:rPr>
                <w:rFonts w:ascii="宋体" w:hAnsi="宋体" w:cs="宋体"/>
                <w:color w:val="000000"/>
                <w:sz w:val="24"/>
              </w:rPr>
            </w:pPr>
          </w:p>
        </w:tc>
        <w:tc>
          <w:tcPr>
            <w:tcW w:w="1302" w:type="dxa"/>
            <w:vAlign w:val="center"/>
          </w:tcPr>
          <w:p>
            <w:pPr>
              <w:jc w:val="center"/>
              <w:rPr>
                <w:color w:val="000000"/>
                <w:sz w:val="24"/>
              </w:rPr>
            </w:pPr>
            <w:r>
              <w:rPr>
                <w:rFonts w:hint="eastAsia"/>
                <w:color w:val="000000"/>
                <w:sz w:val="24"/>
              </w:rPr>
              <w:t>输送泵</w:t>
            </w:r>
          </w:p>
        </w:tc>
        <w:tc>
          <w:tcPr>
            <w:tcW w:w="1470" w:type="dxa"/>
            <w:vMerge w:val="continue"/>
            <w:vAlign w:val="center"/>
          </w:tcPr>
          <w:p>
            <w:pPr>
              <w:jc w:val="center"/>
              <w:rPr>
                <w:color w:val="000000"/>
                <w:sz w:val="24"/>
              </w:rPr>
            </w:pPr>
          </w:p>
        </w:tc>
        <w:tc>
          <w:tcPr>
            <w:tcW w:w="3260" w:type="dxa"/>
            <w:gridSpan w:val="2"/>
            <w:vMerge w:val="continue"/>
            <w:vAlign w:val="center"/>
          </w:tcPr>
          <w:p>
            <w:pPr>
              <w:jc w:val="center"/>
              <w:rPr>
                <w:color w:val="000000"/>
                <w:sz w:val="24"/>
              </w:rPr>
            </w:pPr>
          </w:p>
        </w:tc>
        <w:tc>
          <w:tcPr>
            <w:tcW w:w="1955" w:type="dxa"/>
            <w:gridSpan w:val="2"/>
            <w:vMerge w:val="continue"/>
            <w:vAlign w:val="center"/>
          </w:tcPr>
          <w:p>
            <w:pPr>
              <w:adjustRightInd w:val="0"/>
              <w:snapToGrid w:val="0"/>
              <w:jc w:val="center"/>
              <w:rPr>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35" w:hRule="atLeast"/>
          <w:jc w:val="center"/>
        </w:trPr>
        <w:tc>
          <w:tcPr>
            <w:tcW w:w="971" w:type="dxa"/>
            <w:vMerge w:val="continue"/>
            <w:vAlign w:val="center"/>
          </w:tcPr>
          <w:p>
            <w:pPr>
              <w:adjustRightInd w:val="0"/>
              <w:snapToGrid w:val="0"/>
              <w:jc w:val="center"/>
              <w:rPr>
                <w:rFonts w:ascii="宋体" w:hAnsi="宋体" w:cs="宋体"/>
                <w:color w:val="000000"/>
                <w:sz w:val="24"/>
              </w:rPr>
            </w:pPr>
          </w:p>
        </w:tc>
        <w:tc>
          <w:tcPr>
            <w:tcW w:w="1302" w:type="dxa"/>
            <w:vAlign w:val="center"/>
          </w:tcPr>
          <w:p>
            <w:pPr>
              <w:jc w:val="center"/>
              <w:rPr>
                <w:color w:val="000000"/>
                <w:sz w:val="24"/>
              </w:rPr>
            </w:pPr>
            <w:r>
              <w:rPr>
                <w:rFonts w:hint="eastAsia"/>
                <w:color w:val="000000"/>
                <w:sz w:val="24"/>
              </w:rPr>
              <w:t>振动筛</w:t>
            </w:r>
          </w:p>
        </w:tc>
        <w:tc>
          <w:tcPr>
            <w:tcW w:w="1470" w:type="dxa"/>
            <w:vMerge w:val="continue"/>
            <w:vAlign w:val="center"/>
          </w:tcPr>
          <w:p>
            <w:pPr>
              <w:jc w:val="center"/>
              <w:rPr>
                <w:color w:val="000000"/>
                <w:sz w:val="24"/>
              </w:rPr>
            </w:pPr>
          </w:p>
        </w:tc>
        <w:tc>
          <w:tcPr>
            <w:tcW w:w="3260" w:type="dxa"/>
            <w:gridSpan w:val="2"/>
            <w:vMerge w:val="continue"/>
            <w:vAlign w:val="center"/>
          </w:tcPr>
          <w:p>
            <w:pPr>
              <w:jc w:val="center"/>
              <w:rPr>
                <w:color w:val="000000"/>
                <w:sz w:val="24"/>
              </w:rPr>
            </w:pPr>
          </w:p>
        </w:tc>
        <w:tc>
          <w:tcPr>
            <w:tcW w:w="1955" w:type="dxa"/>
            <w:gridSpan w:val="2"/>
            <w:vMerge w:val="continue"/>
            <w:vAlign w:val="center"/>
          </w:tcPr>
          <w:p>
            <w:pPr>
              <w:adjustRightInd w:val="0"/>
              <w:snapToGrid w:val="0"/>
              <w:jc w:val="center"/>
              <w:rPr>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971"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电磁辐射</w:t>
            </w:r>
          </w:p>
        </w:tc>
        <w:tc>
          <w:tcPr>
            <w:tcW w:w="1302"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w:t>
            </w:r>
          </w:p>
        </w:tc>
        <w:tc>
          <w:tcPr>
            <w:tcW w:w="1470"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w:t>
            </w:r>
          </w:p>
        </w:tc>
        <w:tc>
          <w:tcPr>
            <w:tcW w:w="3260" w:type="dxa"/>
            <w:gridSpan w:val="2"/>
            <w:vAlign w:val="center"/>
          </w:tcPr>
          <w:p>
            <w:pPr>
              <w:adjustRightInd w:val="0"/>
              <w:snapToGrid w:val="0"/>
              <w:jc w:val="center"/>
              <w:rPr>
                <w:rFonts w:ascii="宋体" w:hAnsi="宋体" w:cs="宋体"/>
                <w:color w:val="000000"/>
                <w:sz w:val="24"/>
              </w:rPr>
            </w:pPr>
            <w:r>
              <w:rPr>
                <w:rFonts w:hint="eastAsia" w:ascii="宋体" w:hAnsi="宋体" w:cs="宋体"/>
                <w:color w:val="000000"/>
                <w:sz w:val="24"/>
              </w:rPr>
              <w:t>/</w:t>
            </w:r>
          </w:p>
        </w:tc>
        <w:tc>
          <w:tcPr>
            <w:tcW w:w="1955" w:type="dxa"/>
            <w:gridSpan w:val="2"/>
            <w:vAlign w:val="center"/>
          </w:tcPr>
          <w:p>
            <w:pPr>
              <w:adjustRightInd w:val="0"/>
              <w:snapToGrid w:val="0"/>
              <w:jc w:val="center"/>
              <w:rPr>
                <w:rFonts w:ascii="宋体" w:hAnsi="宋体" w:cs="宋体"/>
                <w:color w:val="000000"/>
                <w:sz w:val="24"/>
              </w:rPr>
            </w:pPr>
            <w:r>
              <w:rPr>
                <w:rFonts w:hint="eastAsia" w:ascii="宋体" w:hAnsi="宋体" w:cs="宋体"/>
                <w:color w:val="00000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71" w:hRule="atLeast"/>
          <w:jc w:val="center"/>
        </w:trPr>
        <w:tc>
          <w:tcPr>
            <w:tcW w:w="971" w:type="dxa"/>
            <w:vMerge w:val="restart"/>
            <w:vAlign w:val="center"/>
          </w:tcPr>
          <w:p>
            <w:pPr>
              <w:adjustRightInd w:val="0"/>
              <w:snapToGrid w:val="0"/>
              <w:jc w:val="center"/>
              <w:rPr>
                <w:rFonts w:ascii="宋体" w:hAnsi="宋体" w:cs="宋体"/>
                <w:color w:val="000000"/>
                <w:sz w:val="24"/>
              </w:rPr>
            </w:pPr>
            <w:r>
              <w:rPr>
                <w:rFonts w:hint="eastAsia" w:ascii="宋体" w:hAnsi="宋体" w:cs="宋体"/>
                <w:color w:val="000000"/>
                <w:sz w:val="24"/>
              </w:rPr>
              <w:t>固体废物</w:t>
            </w:r>
          </w:p>
        </w:tc>
        <w:tc>
          <w:tcPr>
            <w:tcW w:w="1302" w:type="dxa"/>
            <w:vAlign w:val="center"/>
          </w:tcPr>
          <w:p>
            <w:pPr>
              <w:pStyle w:val="140"/>
              <w:rPr>
                <w:color w:val="000000"/>
                <w:sz w:val="24"/>
                <w:szCs w:val="24"/>
              </w:rPr>
            </w:pPr>
            <w:r>
              <w:rPr>
                <w:color w:val="000000"/>
                <w:sz w:val="24"/>
                <w:szCs w:val="24"/>
              </w:rPr>
              <w:t>清理刮刀</w:t>
            </w:r>
          </w:p>
        </w:tc>
        <w:tc>
          <w:tcPr>
            <w:tcW w:w="1470" w:type="dxa"/>
            <w:vAlign w:val="center"/>
          </w:tcPr>
          <w:p>
            <w:pPr>
              <w:pStyle w:val="140"/>
              <w:rPr>
                <w:color w:val="000000"/>
                <w:sz w:val="24"/>
                <w:szCs w:val="24"/>
              </w:rPr>
            </w:pPr>
            <w:r>
              <w:rPr>
                <w:color w:val="000000"/>
                <w:sz w:val="24"/>
                <w:szCs w:val="24"/>
              </w:rPr>
              <w:t>废抹布</w:t>
            </w:r>
          </w:p>
        </w:tc>
        <w:tc>
          <w:tcPr>
            <w:tcW w:w="3260" w:type="dxa"/>
            <w:gridSpan w:val="2"/>
            <w:vMerge w:val="restart"/>
            <w:vAlign w:val="center"/>
          </w:tcPr>
          <w:p>
            <w:pPr>
              <w:jc w:val="center"/>
              <w:rPr>
                <w:color w:val="000000"/>
                <w:sz w:val="24"/>
              </w:rPr>
            </w:pPr>
            <w:r>
              <w:rPr>
                <w:rFonts w:hint="eastAsia"/>
                <w:color w:val="000000"/>
                <w:sz w:val="24"/>
                <w:lang w:val="pt-BR"/>
              </w:rPr>
              <w:t>一般固废临时堆场</w:t>
            </w:r>
            <w:r>
              <w:rPr>
                <w:rFonts w:hint="eastAsia"/>
                <w:color w:val="000000"/>
                <w:sz w:val="24"/>
              </w:rPr>
              <w:t>1座</w:t>
            </w:r>
          </w:p>
        </w:tc>
        <w:tc>
          <w:tcPr>
            <w:tcW w:w="1955" w:type="dxa"/>
            <w:gridSpan w:val="2"/>
            <w:vMerge w:val="restart"/>
            <w:vAlign w:val="center"/>
          </w:tcPr>
          <w:p>
            <w:pPr>
              <w:adjustRightInd w:val="0"/>
              <w:snapToGrid w:val="0"/>
              <w:jc w:val="center"/>
              <w:rPr>
                <w:color w:val="000000"/>
                <w:sz w:val="24"/>
              </w:rPr>
            </w:pPr>
            <w:r>
              <w:rPr>
                <w:color w:val="000000"/>
                <w:sz w:val="24"/>
              </w:rPr>
              <w:t>《一般工业固体废物贮存和填埋污染控制标准》（GB18599-2020）中防渗漏、防雨淋、防扬尘的要求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70" w:hRule="atLeast"/>
          <w:jc w:val="center"/>
        </w:trPr>
        <w:tc>
          <w:tcPr>
            <w:tcW w:w="971" w:type="dxa"/>
            <w:vMerge w:val="continue"/>
            <w:vAlign w:val="center"/>
          </w:tcPr>
          <w:p>
            <w:pPr>
              <w:adjustRightInd w:val="0"/>
              <w:snapToGrid w:val="0"/>
              <w:jc w:val="center"/>
              <w:rPr>
                <w:rFonts w:ascii="宋体" w:hAnsi="宋体" w:cs="宋体"/>
                <w:color w:val="000000"/>
                <w:sz w:val="24"/>
              </w:rPr>
            </w:pPr>
          </w:p>
        </w:tc>
        <w:tc>
          <w:tcPr>
            <w:tcW w:w="1302" w:type="dxa"/>
            <w:vAlign w:val="center"/>
          </w:tcPr>
          <w:p>
            <w:pPr>
              <w:pStyle w:val="140"/>
              <w:rPr>
                <w:color w:val="000000"/>
                <w:sz w:val="24"/>
                <w:szCs w:val="24"/>
              </w:rPr>
            </w:pPr>
            <w:r>
              <w:rPr>
                <w:rFonts w:hint="eastAsia"/>
                <w:color w:val="000000"/>
                <w:sz w:val="24"/>
                <w:szCs w:val="24"/>
              </w:rPr>
              <w:t>投料</w:t>
            </w:r>
          </w:p>
        </w:tc>
        <w:tc>
          <w:tcPr>
            <w:tcW w:w="1470" w:type="dxa"/>
            <w:vAlign w:val="center"/>
          </w:tcPr>
          <w:p>
            <w:pPr>
              <w:pStyle w:val="140"/>
              <w:rPr>
                <w:color w:val="000000"/>
                <w:sz w:val="24"/>
                <w:szCs w:val="24"/>
              </w:rPr>
            </w:pPr>
            <w:r>
              <w:rPr>
                <w:color w:val="000000"/>
                <w:sz w:val="24"/>
                <w:szCs w:val="24"/>
              </w:rPr>
              <w:t>废包装袋</w:t>
            </w:r>
          </w:p>
        </w:tc>
        <w:tc>
          <w:tcPr>
            <w:tcW w:w="3260" w:type="dxa"/>
            <w:gridSpan w:val="2"/>
            <w:vMerge w:val="continue"/>
            <w:vAlign w:val="center"/>
          </w:tcPr>
          <w:p>
            <w:pPr>
              <w:jc w:val="center"/>
              <w:rPr>
                <w:color w:val="000000"/>
                <w:sz w:val="24"/>
                <w:lang w:val="pt-BR"/>
              </w:rPr>
            </w:pPr>
          </w:p>
        </w:tc>
        <w:tc>
          <w:tcPr>
            <w:tcW w:w="1955" w:type="dxa"/>
            <w:gridSpan w:val="2"/>
            <w:vMerge w:val="continue"/>
            <w:vAlign w:val="center"/>
          </w:tcPr>
          <w:p>
            <w:pPr>
              <w:jc w:val="center"/>
              <w:rPr>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971" w:type="dxa"/>
            <w:vMerge w:val="continue"/>
            <w:vAlign w:val="center"/>
          </w:tcPr>
          <w:p>
            <w:pPr>
              <w:adjustRightInd w:val="0"/>
              <w:snapToGrid w:val="0"/>
              <w:jc w:val="center"/>
              <w:rPr>
                <w:rFonts w:ascii="宋体" w:hAnsi="宋体" w:cs="宋体"/>
                <w:color w:val="000000"/>
                <w:sz w:val="24"/>
              </w:rPr>
            </w:pPr>
          </w:p>
        </w:tc>
        <w:tc>
          <w:tcPr>
            <w:tcW w:w="1302" w:type="dxa"/>
            <w:vAlign w:val="center"/>
          </w:tcPr>
          <w:p>
            <w:pPr>
              <w:pStyle w:val="140"/>
              <w:rPr>
                <w:color w:val="000000"/>
                <w:sz w:val="24"/>
                <w:szCs w:val="24"/>
              </w:rPr>
            </w:pPr>
            <w:r>
              <w:rPr>
                <w:color w:val="000000"/>
                <w:sz w:val="24"/>
                <w:szCs w:val="24"/>
              </w:rPr>
              <w:t>袋式除尘器收集</w:t>
            </w:r>
          </w:p>
        </w:tc>
        <w:tc>
          <w:tcPr>
            <w:tcW w:w="1470" w:type="dxa"/>
            <w:vAlign w:val="center"/>
          </w:tcPr>
          <w:p>
            <w:pPr>
              <w:pStyle w:val="140"/>
              <w:rPr>
                <w:color w:val="000000"/>
                <w:sz w:val="24"/>
                <w:szCs w:val="24"/>
              </w:rPr>
            </w:pPr>
            <w:r>
              <w:rPr>
                <w:color w:val="000000"/>
                <w:sz w:val="24"/>
                <w:szCs w:val="24"/>
              </w:rPr>
              <w:t>粉尘</w:t>
            </w:r>
          </w:p>
        </w:tc>
        <w:tc>
          <w:tcPr>
            <w:tcW w:w="3260" w:type="dxa"/>
            <w:gridSpan w:val="2"/>
            <w:vMerge w:val="continue"/>
            <w:vAlign w:val="center"/>
          </w:tcPr>
          <w:p>
            <w:pPr>
              <w:pStyle w:val="140"/>
              <w:rPr>
                <w:color w:val="000000"/>
                <w:sz w:val="24"/>
                <w:szCs w:val="24"/>
              </w:rPr>
            </w:pPr>
          </w:p>
        </w:tc>
        <w:tc>
          <w:tcPr>
            <w:tcW w:w="1955" w:type="dxa"/>
            <w:gridSpan w:val="2"/>
            <w:vMerge w:val="continue"/>
            <w:vAlign w:val="center"/>
          </w:tcPr>
          <w:p>
            <w:pPr>
              <w:pStyle w:val="140"/>
              <w:rPr>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971"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土壤及地下水污染防治措施</w:t>
            </w:r>
          </w:p>
        </w:tc>
        <w:tc>
          <w:tcPr>
            <w:tcW w:w="7987" w:type="dxa"/>
            <w:gridSpan w:val="6"/>
            <w:vAlign w:val="center"/>
          </w:tcPr>
          <w:p>
            <w:pPr>
              <w:adjustRightInd w:val="0"/>
              <w:snapToGrid w:val="0"/>
              <w:jc w:val="center"/>
              <w:rPr>
                <w:rFonts w:ascii="宋体" w:hAnsi="宋体" w:cs="宋体"/>
                <w:color w:val="000000"/>
                <w:sz w:val="24"/>
              </w:rPr>
            </w:pPr>
            <w:r>
              <w:rPr>
                <w:rFonts w:hint="eastAsia" w:ascii="宋体" w:hAnsi="宋体" w:cs="宋体"/>
                <w:color w:val="00000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192" w:hRule="atLeast"/>
          <w:jc w:val="center"/>
        </w:trPr>
        <w:tc>
          <w:tcPr>
            <w:tcW w:w="971"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生态保护措施</w:t>
            </w:r>
          </w:p>
        </w:tc>
        <w:tc>
          <w:tcPr>
            <w:tcW w:w="7987" w:type="dxa"/>
            <w:gridSpan w:val="6"/>
            <w:vAlign w:val="center"/>
          </w:tcPr>
          <w:p>
            <w:pPr>
              <w:adjustRightInd w:val="0"/>
              <w:snapToGrid w:val="0"/>
              <w:jc w:val="center"/>
              <w:rPr>
                <w:rFonts w:ascii="宋体" w:hAnsi="宋体" w:cs="宋体"/>
                <w:color w:val="000000"/>
                <w:sz w:val="24"/>
              </w:rPr>
            </w:pPr>
            <w:r>
              <w:rPr>
                <w:rFonts w:hint="eastAsia" w:ascii="宋体" w:hAnsi="宋体" w:cs="宋体"/>
                <w:color w:val="00000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769" w:hRule="atLeast"/>
          <w:jc w:val="center"/>
        </w:trPr>
        <w:tc>
          <w:tcPr>
            <w:tcW w:w="971" w:type="dxa"/>
            <w:vAlign w:val="center"/>
          </w:tcPr>
          <w:p>
            <w:pPr>
              <w:adjustRightInd w:val="0"/>
              <w:snapToGrid w:val="0"/>
              <w:jc w:val="center"/>
              <w:rPr>
                <w:rFonts w:ascii="宋体" w:hAnsi="宋体" w:cs="宋体"/>
                <w:color w:val="000000"/>
                <w:spacing w:val="-8"/>
                <w:sz w:val="24"/>
              </w:rPr>
            </w:pPr>
            <w:r>
              <w:rPr>
                <w:rFonts w:hint="eastAsia" w:ascii="宋体" w:hAnsi="宋体" w:cs="宋体"/>
                <w:color w:val="000000"/>
                <w:spacing w:val="-8"/>
                <w:sz w:val="24"/>
              </w:rPr>
              <w:t>环境风险防范措施</w:t>
            </w:r>
          </w:p>
        </w:tc>
        <w:tc>
          <w:tcPr>
            <w:tcW w:w="7987" w:type="dxa"/>
            <w:gridSpan w:val="6"/>
            <w:vAlign w:val="center"/>
          </w:tcPr>
          <w:p>
            <w:pPr>
              <w:adjustRightInd w:val="0"/>
              <w:snapToGrid w:val="0"/>
              <w:jc w:val="center"/>
              <w:rPr>
                <w:rFonts w:ascii="宋体" w:hAnsi="宋体" w:cs="宋体"/>
                <w:color w:val="000000"/>
                <w:sz w:val="24"/>
              </w:rPr>
            </w:pPr>
            <w:r>
              <w:rPr>
                <w:rFonts w:hint="eastAsia" w:ascii="宋体" w:hAnsi="宋体" w:cs="宋体"/>
                <w:color w:val="00000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683" w:hRule="atLeast"/>
          <w:jc w:val="center"/>
        </w:trPr>
        <w:tc>
          <w:tcPr>
            <w:tcW w:w="971" w:type="dxa"/>
            <w:vMerge w:val="restart"/>
            <w:vAlign w:val="center"/>
          </w:tcPr>
          <w:p>
            <w:pPr>
              <w:adjustRightInd w:val="0"/>
              <w:snapToGrid w:val="0"/>
              <w:jc w:val="center"/>
              <w:rPr>
                <w:rFonts w:ascii="宋体" w:hAnsi="宋体" w:cs="宋体"/>
                <w:color w:val="000000"/>
                <w:spacing w:val="-8"/>
                <w:sz w:val="24"/>
              </w:rPr>
            </w:pPr>
            <w:r>
              <w:rPr>
                <w:rFonts w:hint="eastAsia" w:ascii="宋体" w:hAnsi="宋体" w:cs="宋体"/>
                <w:color w:val="000000"/>
                <w:spacing w:val="-8"/>
                <w:sz w:val="24"/>
              </w:rPr>
              <w:t>其他环境管理要求</w:t>
            </w:r>
          </w:p>
        </w:tc>
        <w:tc>
          <w:tcPr>
            <w:tcW w:w="6316" w:type="dxa"/>
            <w:gridSpan w:val="5"/>
            <w:vAlign w:val="center"/>
          </w:tcPr>
          <w:p>
            <w:pPr>
              <w:adjustRightInd w:val="0"/>
              <w:snapToGrid w:val="0"/>
              <w:jc w:val="center"/>
              <w:rPr>
                <w:rFonts w:ascii="宋体" w:hAnsi="宋体" w:cs="宋体"/>
                <w:color w:val="000000"/>
                <w:sz w:val="24"/>
              </w:rPr>
            </w:pPr>
            <w:r>
              <w:rPr>
                <w:bCs/>
                <w:color w:val="000000"/>
                <w:sz w:val="24"/>
              </w:rPr>
              <w:t>按照要求在废气排气筒排放口、监测取样处安装视频监控</w:t>
            </w:r>
            <w:r>
              <w:rPr>
                <w:rFonts w:hint="eastAsia"/>
                <w:bCs/>
                <w:color w:val="000000"/>
                <w:sz w:val="24"/>
              </w:rPr>
              <w:t>（各1套），并与环保部门联网</w:t>
            </w:r>
          </w:p>
        </w:tc>
        <w:tc>
          <w:tcPr>
            <w:tcW w:w="1671" w:type="dxa"/>
            <w:vAlign w:val="center"/>
          </w:tcPr>
          <w:p>
            <w:pPr>
              <w:adjustRightInd w:val="0"/>
              <w:snapToGrid w:val="0"/>
              <w:jc w:val="center"/>
              <w:rPr>
                <w:rFonts w:ascii="宋体" w:hAnsi="宋体" w:cs="宋体"/>
                <w:color w:val="000000"/>
                <w:sz w:val="24"/>
              </w:rPr>
            </w:pPr>
            <w:r>
              <w:rPr>
                <w:rFonts w:hint="eastAsia"/>
                <w:bCs/>
                <w:color w:val="000000"/>
                <w:sz w:val="24"/>
              </w:rPr>
              <w:t>《新乡市生态环境局关于安装工业企业视频监控系统的通知》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971" w:type="dxa"/>
            <w:vMerge w:val="continue"/>
            <w:vAlign w:val="center"/>
          </w:tcPr>
          <w:p>
            <w:pPr>
              <w:adjustRightInd w:val="0"/>
              <w:snapToGrid w:val="0"/>
              <w:jc w:val="center"/>
              <w:rPr>
                <w:rFonts w:ascii="宋体" w:hAnsi="宋体" w:cs="宋体"/>
                <w:color w:val="000000"/>
                <w:spacing w:val="-8"/>
                <w:sz w:val="24"/>
              </w:rPr>
            </w:pPr>
          </w:p>
        </w:tc>
        <w:tc>
          <w:tcPr>
            <w:tcW w:w="6316" w:type="dxa"/>
            <w:gridSpan w:val="5"/>
            <w:vAlign w:val="center"/>
          </w:tcPr>
          <w:p>
            <w:pPr>
              <w:adjustRightInd w:val="0"/>
              <w:snapToGrid w:val="0"/>
              <w:jc w:val="center"/>
              <w:rPr>
                <w:color w:val="000000"/>
                <w:sz w:val="24"/>
              </w:rPr>
            </w:pPr>
            <w:r>
              <w:rPr>
                <w:color w:val="000000"/>
                <w:sz w:val="24"/>
              </w:rPr>
              <w:t>总用电处、生产设施</w:t>
            </w:r>
            <w:r>
              <w:rPr>
                <w:rFonts w:hint="eastAsia"/>
                <w:color w:val="000000"/>
                <w:sz w:val="24"/>
              </w:rPr>
              <w:t>、</w:t>
            </w:r>
            <w:r>
              <w:rPr>
                <w:color w:val="000000"/>
                <w:sz w:val="24"/>
              </w:rPr>
              <w:t>废气处理设施处安装用电监控设施</w:t>
            </w:r>
          </w:p>
          <w:p>
            <w:pPr>
              <w:adjustRightInd w:val="0"/>
              <w:snapToGrid w:val="0"/>
              <w:jc w:val="center"/>
              <w:rPr>
                <w:rFonts w:ascii="宋体" w:hAnsi="宋体" w:cs="宋体"/>
                <w:color w:val="000000"/>
                <w:sz w:val="24"/>
              </w:rPr>
            </w:pPr>
            <w:r>
              <w:rPr>
                <w:rFonts w:hint="eastAsia"/>
                <w:bCs/>
                <w:color w:val="000000"/>
                <w:sz w:val="24"/>
              </w:rPr>
              <w:t>（各1套）</w:t>
            </w:r>
          </w:p>
        </w:tc>
        <w:tc>
          <w:tcPr>
            <w:tcW w:w="1671" w:type="dxa"/>
            <w:vAlign w:val="center"/>
          </w:tcPr>
          <w:p>
            <w:pPr>
              <w:adjustRightInd w:val="0"/>
              <w:snapToGrid w:val="0"/>
              <w:jc w:val="center"/>
              <w:rPr>
                <w:rFonts w:ascii="宋体" w:hAnsi="宋体" w:cs="宋体"/>
                <w:color w:val="000000"/>
                <w:sz w:val="24"/>
              </w:rPr>
            </w:pPr>
            <w:r>
              <w:rPr>
                <w:color w:val="000000"/>
                <w:sz w:val="24"/>
              </w:rPr>
              <w:t>《新乡市生态环境局关于部署安装工业企业用电量监控系统的通知》（新环[2019]154号）</w:t>
            </w:r>
          </w:p>
        </w:tc>
      </w:tr>
    </w:tbl>
    <w:p>
      <w:pPr>
        <w:pStyle w:val="29"/>
        <w:jc w:val="center"/>
        <w:outlineLvl w:val="0"/>
        <w:rPr>
          <w:rFonts w:ascii="黑体" w:hAnsi="黑体" w:eastAsia="黑体"/>
          <w:snapToGrid w:val="0"/>
          <w:color w:val="000000"/>
          <w:sz w:val="30"/>
          <w:szCs w:val="30"/>
        </w:rPr>
      </w:pPr>
      <w:r>
        <w:rPr>
          <w:snapToGrid w:val="0"/>
          <w:color w:val="000000"/>
        </w:rPr>
        <w:br w:type="page"/>
      </w:r>
      <w:r>
        <w:rPr>
          <w:rFonts w:hint="eastAsia" w:ascii="黑体" w:hAnsi="黑体" w:eastAsia="黑体"/>
          <w:snapToGrid w:val="0"/>
          <w:color w:val="000000"/>
          <w:sz w:val="30"/>
          <w:szCs w:val="30"/>
        </w:rPr>
        <w:t>六、结论</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line="460" w:lineRule="exact"/>
              <w:ind w:firstLine="480" w:firstLineChars="200"/>
              <w:rPr>
                <w:color w:val="000000"/>
                <w:sz w:val="24"/>
              </w:rPr>
            </w:pPr>
            <w:r>
              <w:rPr>
                <w:rFonts w:hint="eastAsia"/>
                <w:color w:val="000000"/>
                <w:sz w:val="24"/>
              </w:rPr>
              <w:t>河南兴泰纸业</w:t>
            </w:r>
            <w:r>
              <w:rPr>
                <w:color w:val="000000"/>
                <w:sz w:val="24"/>
              </w:rPr>
              <w:t>有限公司年加工</w:t>
            </w:r>
            <w:r>
              <w:rPr>
                <w:rFonts w:hint="eastAsia"/>
                <w:color w:val="000000"/>
                <w:sz w:val="24"/>
              </w:rPr>
              <w:t>5.6万吨涂布白卡纸</w:t>
            </w:r>
            <w:r>
              <w:rPr>
                <w:color w:val="000000"/>
                <w:sz w:val="24"/>
              </w:rPr>
              <w:t>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pPr>
              <w:spacing w:line="460" w:lineRule="exact"/>
              <w:ind w:firstLine="420" w:firstLineChars="200"/>
              <w:rPr>
                <w:color w:val="000000"/>
              </w:rPr>
            </w:pPr>
          </w:p>
          <w:p>
            <w:pPr>
              <w:pStyle w:val="160"/>
              <w:spacing w:line="460" w:lineRule="exact"/>
              <w:ind w:firstLine="0"/>
              <w:jc w:val="right"/>
              <w:rPr>
                <w:color w:val="000000"/>
                <w:sz w:val="24"/>
              </w:rPr>
            </w:pPr>
            <w:r>
              <w:rPr>
                <w:rFonts w:hint="eastAsia"/>
                <w:color w:val="000000"/>
                <w:sz w:val="24"/>
              </w:rPr>
              <w:t>河南</w:t>
            </w:r>
            <w:r>
              <w:rPr>
                <w:color w:val="000000"/>
                <w:sz w:val="24"/>
              </w:rPr>
              <w:t>蓝天环境工程有限公司</w:t>
            </w:r>
          </w:p>
          <w:p>
            <w:pPr>
              <w:spacing w:line="360" w:lineRule="auto"/>
              <w:rPr>
                <w:color w:val="000000"/>
                <w:sz w:val="24"/>
              </w:rPr>
            </w:pPr>
            <w:r>
              <w:rPr>
                <w:color w:val="000000"/>
                <w:sz w:val="24"/>
              </w:rPr>
              <w:t xml:space="preserve">                                                    </w:t>
            </w:r>
            <w:r>
              <w:rPr>
                <w:rFonts w:hint="eastAsia"/>
                <w:color w:val="000000"/>
                <w:sz w:val="24"/>
              </w:rPr>
              <w:t xml:space="preserve">  </w:t>
            </w:r>
            <w:r>
              <w:rPr>
                <w:color w:val="000000"/>
                <w:sz w:val="24"/>
              </w:rPr>
              <w:t xml:space="preserve">   20</w:t>
            </w:r>
            <w:r>
              <w:rPr>
                <w:rFonts w:hint="eastAsia"/>
                <w:color w:val="000000"/>
                <w:sz w:val="24"/>
              </w:rPr>
              <w:t>21.1</w:t>
            </w:r>
            <w:r>
              <w:rPr>
                <w:color w:val="000000"/>
                <w:sz w:val="24"/>
              </w:rPr>
              <w:t>2</w:t>
            </w: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color w:val="000000"/>
                <w:sz w:val="24"/>
              </w:rPr>
            </w:pPr>
          </w:p>
          <w:p>
            <w:pPr>
              <w:spacing w:line="360" w:lineRule="auto"/>
              <w:rPr>
                <w:rFonts w:ascii="宋体" w:cs="宋体"/>
                <w:color w:val="000000"/>
                <w:sz w:val="24"/>
              </w:rPr>
            </w:pPr>
          </w:p>
        </w:tc>
      </w:tr>
    </w:tbl>
    <w:p>
      <w:pPr>
        <w:rPr>
          <w:rFonts w:ascii="宋体"/>
          <w:color w:val="000000"/>
        </w:rPr>
        <w:sectPr>
          <w:pgSz w:w="11906" w:h="16838"/>
          <w:pgMar w:top="1701" w:right="1531" w:bottom="1701" w:left="1531" w:header="851" w:footer="1191" w:gutter="0"/>
          <w:cols w:space="720" w:num="1"/>
          <w:docGrid w:linePitch="312" w:charSpace="0"/>
        </w:sectPr>
      </w:pPr>
    </w:p>
    <w:p>
      <w:pPr>
        <w:pStyle w:val="29"/>
        <w:adjustRightInd w:val="0"/>
        <w:snapToGrid w:val="0"/>
        <w:spacing w:before="0" w:beforeAutospacing="0" w:after="0" w:afterAutospacing="0" w:line="600" w:lineRule="exact"/>
        <w:outlineLvl w:val="0"/>
        <w:rPr>
          <w:rFonts w:ascii="黑体" w:hAnsi="黑体" w:eastAsia="黑体"/>
          <w:snapToGrid w:val="0"/>
          <w:color w:val="000000"/>
          <w:sz w:val="32"/>
          <w:szCs w:val="32"/>
        </w:rPr>
      </w:pPr>
      <w:r>
        <w:rPr>
          <w:rFonts w:hint="eastAsia" w:ascii="黑体" w:hAnsi="黑体" w:eastAsia="黑体"/>
          <w:snapToGrid w:val="0"/>
          <w:color w:val="000000"/>
          <w:sz w:val="32"/>
          <w:szCs w:val="32"/>
        </w:rPr>
        <w:t>附表</w:t>
      </w:r>
    </w:p>
    <w:p>
      <w:pPr>
        <w:pStyle w:val="29"/>
        <w:adjustRightInd w:val="0"/>
        <w:snapToGrid w:val="0"/>
        <w:spacing w:before="0" w:beforeAutospacing="0" w:after="0" w:afterAutospacing="0" w:line="600" w:lineRule="exact"/>
        <w:jc w:val="center"/>
        <w:outlineLvl w:val="0"/>
        <w:rPr>
          <w:rFonts w:ascii="方正小标宋_GBK" w:hAnsi="黑体" w:eastAsia="方正小标宋_GBK"/>
          <w:snapToGrid w:val="0"/>
          <w:color w:val="000000"/>
          <w:sz w:val="38"/>
          <w:szCs w:val="38"/>
        </w:rPr>
      </w:pPr>
      <w:r>
        <w:rPr>
          <w:rFonts w:hint="eastAsia" w:ascii="方正小标宋_GBK" w:hAnsi="黑体" w:eastAsia="方正小标宋_GBK"/>
          <w:snapToGrid w:val="0"/>
          <w:color w:val="000000"/>
          <w:sz w:val="38"/>
          <w:szCs w:val="38"/>
        </w:rPr>
        <w:t xml:space="preserve">                    建设项目污染物排放量汇总表           单位：t/a</w:t>
      </w:r>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1274"/>
        <w:gridCol w:w="1557"/>
        <w:gridCol w:w="1560"/>
        <w:gridCol w:w="1560"/>
        <w:gridCol w:w="1557"/>
        <w:gridCol w:w="1560"/>
        <w:gridCol w:w="1560"/>
        <w:gridCol w:w="15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3" w:type="pct"/>
            <w:tcBorders>
              <w:tl2br w:val="single" w:color="auto" w:sz="4" w:space="0"/>
            </w:tcBorders>
            <w:tcMar>
              <w:left w:w="28" w:type="dxa"/>
              <w:right w:w="28" w:type="dxa"/>
            </w:tcMar>
            <w:vAlign w:val="center"/>
          </w:tcPr>
          <w:p>
            <w:pPr>
              <w:pStyle w:val="134"/>
              <w:spacing w:beforeLines="0" w:afterLines="0" w:line="240" w:lineRule="auto"/>
              <w:jc w:val="right"/>
              <w:rPr>
                <w:rFonts w:ascii="Times New Roman" w:eastAsia="黑体"/>
                <w:snapToGrid w:val="0"/>
                <w:color w:val="000000"/>
                <w:spacing w:val="-6"/>
                <w:kern w:val="21"/>
                <w:sz w:val="24"/>
                <w:szCs w:val="24"/>
              </w:rPr>
            </w:pPr>
            <w:r>
              <w:rPr>
                <w:rFonts w:ascii="Times New Roman" w:eastAsia="黑体"/>
                <w:snapToGrid w:val="0"/>
                <w:color w:val="000000"/>
                <w:spacing w:val="-6"/>
                <w:kern w:val="21"/>
                <w:sz w:val="24"/>
                <w:szCs w:val="24"/>
              </w:rPr>
              <w:t>项目</w:t>
            </w:r>
          </w:p>
          <w:p>
            <w:pPr>
              <w:pStyle w:val="134"/>
              <w:spacing w:beforeLines="0" w:afterLines="0" w:line="240" w:lineRule="auto"/>
              <w:jc w:val="left"/>
              <w:rPr>
                <w:rFonts w:ascii="Times New Roman" w:eastAsia="黑体"/>
                <w:snapToGrid w:val="0"/>
                <w:color w:val="000000"/>
                <w:spacing w:val="-6"/>
                <w:kern w:val="21"/>
                <w:sz w:val="24"/>
                <w:szCs w:val="24"/>
              </w:rPr>
            </w:pPr>
            <w:r>
              <w:rPr>
                <w:rFonts w:ascii="Times New Roman" w:eastAsia="黑体"/>
                <w:snapToGrid w:val="0"/>
                <w:color w:val="000000"/>
                <w:spacing w:val="-6"/>
                <w:kern w:val="21"/>
                <w:sz w:val="24"/>
                <w:szCs w:val="24"/>
              </w:rPr>
              <w:t>分类</w:t>
            </w:r>
          </w:p>
        </w:tc>
        <w:tc>
          <w:tcPr>
            <w:tcW w:w="472" w:type="pct"/>
            <w:tcMar>
              <w:left w:w="28" w:type="dxa"/>
              <w:right w:w="28" w:type="dxa"/>
            </w:tcMar>
            <w:vAlign w:val="center"/>
          </w:tcPr>
          <w:p>
            <w:pPr>
              <w:pStyle w:val="134"/>
              <w:spacing w:beforeLines="0" w:afterLines="0" w:line="240" w:lineRule="auto"/>
              <w:rPr>
                <w:rFonts w:ascii="Times New Roman" w:eastAsia="黑体"/>
                <w:snapToGrid w:val="0"/>
                <w:color w:val="000000"/>
                <w:spacing w:val="-6"/>
                <w:kern w:val="21"/>
                <w:sz w:val="24"/>
                <w:szCs w:val="24"/>
              </w:rPr>
            </w:pPr>
            <w:r>
              <w:rPr>
                <w:rFonts w:ascii="Times New Roman" w:eastAsia="黑体"/>
                <w:snapToGrid w:val="0"/>
                <w:color w:val="000000"/>
                <w:spacing w:val="-6"/>
                <w:kern w:val="21"/>
                <w:sz w:val="24"/>
                <w:szCs w:val="24"/>
              </w:rPr>
              <w:t>污染物名称</w:t>
            </w:r>
          </w:p>
        </w:tc>
        <w:tc>
          <w:tcPr>
            <w:tcW w:w="577" w:type="pct"/>
            <w:tcMar>
              <w:left w:w="28" w:type="dxa"/>
              <w:right w:w="28" w:type="dxa"/>
            </w:tcMar>
            <w:vAlign w:val="center"/>
          </w:tcPr>
          <w:p>
            <w:pPr>
              <w:pStyle w:val="134"/>
              <w:spacing w:beforeLines="0" w:afterLines="0" w:line="240" w:lineRule="auto"/>
              <w:rPr>
                <w:rFonts w:ascii="Times New Roman" w:eastAsia="黑体"/>
                <w:snapToGrid w:val="0"/>
                <w:color w:val="000000"/>
                <w:spacing w:val="-6"/>
                <w:kern w:val="21"/>
                <w:sz w:val="24"/>
                <w:szCs w:val="24"/>
              </w:rPr>
            </w:pPr>
            <w:r>
              <w:rPr>
                <w:rFonts w:ascii="Times New Roman" w:eastAsia="黑体"/>
                <w:snapToGrid w:val="0"/>
                <w:color w:val="000000"/>
                <w:spacing w:val="-6"/>
                <w:kern w:val="21"/>
                <w:sz w:val="24"/>
                <w:szCs w:val="24"/>
              </w:rPr>
              <w:t>现有工程</w:t>
            </w:r>
          </w:p>
          <w:p>
            <w:pPr>
              <w:pStyle w:val="134"/>
              <w:spacing w:beforeLines="0" w:afterLines="0" w:line="240" w:lineRule="auto"/>
              <w:rPr>
                <w:rFonts w:ascii="Times New Roman" w:eastAsia="黑体"/>
                <w:snapToGrid w:val="0"/>
                <w:color w:val="000000"/>
                <w:spacing w:val="-6"/>
                <w:kern w:val="21"/>
                <w:sz w:val="24"/>
                <w:szCs w:val="24"/>
              </w:rPr>
            </w:pPr>
            <w:r>
              <w:rPr>
                <w:rFonts w:ascii="Times New Roman" w:eastAsia="黑体"/>
                <w:snapToGrid w:val="0"/>
                <w:color w:val="000000"/>
                <w:spacing w:val="-6"/>
                <w:kern w:val="21"/>
                <w:sz w:val="24"/>
                <w:szCs w:val="24"/>
              </w:rPr>
              <w:t>排放量（固体废物产生量）</w:t>
            </w:r>
            <w:r>
              <w:rPr>
                <w:rFonts w:ascii="Times New Roman" w:eastAsia="黑体"/>
                <w:snapToGrid w:val="0"/>
                <w:color w:val="000000"/>
                <w:spacing w:val="-6"/>
                <w:kern w:val="21"/>
                <w:sz w:val="24"/>
                <w:szCs w:val="24"/>
              </w:rPr>
              <w:fldChar w:fldCharType="begin"/>
            </w:r>
            <w:r>
              <w:rPr>
                <w:rFonts w:ascii="Times New Roman" w:eastAsia="黑体"/>
                <w:snapToGrid w:val="0"/>
                <w:color w:val="000000"/>
                <w:spacing w:val="-6"/>
                <w:kern w:val="21"/>
                <w:sz w:val="24"/>
                <w:szCs w:val="24"/>
              </w:rPr>
              <w:instrText xml:space="preserve"> = 1 \* GB3 \* MERGEFORMAT </w:instrText>
            </w:r>
            <w:r>
              <w:rPr>
                <w:rFonts w:ascii="Times New Roman" w:eastAsia="黑体"/>
                <w:snapToGrid w:val="0"/>
                <w:color w:val="000000"/>
                <w:spacing w:val="-6"/>
                <w:kern w:val="21"/>
                <w:sz w:val="24"/>
                <w:szCs w:val="24"/>
              </w:rPr>
              <w:fldChar w:fldCharType="separate"/>
            </w:r>
            <w:r>
              <w:rPr>
                <w:rFonts w:hint="eastAsia" w:hAnsi="宋体" w:cs="宋体"/>
                <w:color w:val="000000"/>
                <w:kern w:val="2"/>
                <w:sz w:val="24"/>
                <w:szCs w:val="24"/>
              </w:rPr>
              <w:t>①</w:t>
            </w:r>
            <w:r>
              <w:rPr>
                <w:rFonts w:ascii="Times New Roman" w:eastAsia="黑体"/>
                <w:snapToGrid w:val="0"/>
                <w:color w:val="000000"/>
                <w:spacing w:val="-6"/>
                <w:kern w:val="21"/>
                <w:sz w:val="24"/>
                <w:szCs w:val="24"/>
              </w:rPr>
              <w:fldChar w:fldCharType="end"/>
            </w:r>
          </w:p>
        </w:tc>
        <w:tc>
          <w:tcPr>
            <w:tcW w:w="578" w:type="pct"/>
            <w:tcMar>
              <w:left w:w="28" w:type="dxa"/>
              <w:right w:w="28" w:type="dxa"/>
            </w:tcMar>
            <w:vAlign w:val="center"/>
          </w:tcPr>
          <w:p>
            <w:pPr>
              <w:pStyle w:val="134"/>
              <w:spacing w:beforeLines="0" w:afterLines="0" w:line="240" w:lineRule="auto"/>
              <w:rPr>
                <w:rFonts w:ascii="Times New Roman" w:eastAsia="黑体"/>
                <w:snapToGrid w:val="0"/>
                <w:color w:val="000000"/>
                <w:spacing w:val="-6"/>
                <w:kern w:val="21"/>
                <w:sz w:val="24"/>
                <w:szCs w:val="24"/>
              </w:rPr>
            </w:pPr>
            <w:r>
              <w:rPr>
                <w:rFonts w:ascii="Times New Roman" w:eastAsia="黑体"/>
                <w:snapToGrid w:val="0"/>
                <w:color w:val="000000"/>
                <w:spacing w:val="-6"/>
                <w:kern w:val="21"/>
                <w:sz w:val="24"/>
                <w:szCs w:val="24"/>
              </w:rPr>
              <w:t>现有工程</w:t>
            </w:r>
          </w:p>
          <w:p>
            <w:pPr>
              <w:pStyle w:val="134"/>
              <w:spacing w:beforeLines="0" w:afterLines="0" w:line="240" w:lineRule="auto"/>
              <w:rPr>
                <w:rFonts w:ascii="Times New Roman" w:eastAsia="黑体"/>
                <w:snapToGrid w:val="0"/>
                <w:color w:val="000000"/>
                <w:spacing w:val="-6"/>
                <w:kern w:val="21"/>
                <w:sz w:val="24"/>
                <w:szCs w:val="24"/>
              </w:rPr>
            </w:pPr>
            <w:r>
              <w:rPr>
                <w:rFonts w:ascii="Times New Roman" w:eastAsia="黑体"/>
                <w:snapToGrid w:val="0"/>
                <w:color w:val="000000"/>
                <w:spacing w:val="-6"/>
                <w:kern w:val="21"/>
                <w:sz w:val="24"/>
                <w:szCs w:val="24"/>
              </w:rPr>
              <w:t>许可排放量</w:t>
            </w:r>
          </w:p>
          <w:p>
            <w:pPr>
              <w:pStyle w:val="134"/>
              <w:spacing w:beforeLines="0" w:afterLines="0"/>
              <w:rPr>
                <w:rFonts w:ascii="Times New Roman" w:eastAsia="黑体"/>
                <w:snapToGrid w:val="0"/>
                <w:color w:val="000000"/>
                <w:spacing w:val="-6"/>
                <w:kern w:val="21"/>
                <w:sz w:val="24"/>
                <w:szCs w:val="24"/>
              </w:rPr>
            </w:pPr>
            <w:r>
              <w:rPr>
                <w:rFonts w:ascii="Times New Roman" w:eastAsia="黑体"/>
                <w:snapToGrid w:val="0"/>
                <w:color w:val="000000"/>
                <w:spacing w:val="-6"/>
                <w:kern w:val="21"/>
                <w:sz w:val="24"/>
                <w:szCs w:val="24"/>
              </w:rPr>
              <w:fldChar w:fldCharType="begin"/>
            </w:r>
            <w:r>
              <w:rPr>
                <w:rFonts w:ascii="Times New Roman" w:eastAsia="黑体"/>
                <w:snapToGrid w:val="0"/>
                <w:color w:val="000000"/>
                <w:spacing w:val="-6"/>
                <w:kern w:val="21"/>
                <w:sz w:val="24"/>
                <w:szCs w:val="24"/>
              </w:rPr>
              <w:instrText xml:space="preserve"> = 2 \* GB3 \* MERGEFORMAT </w:instrText>
            </w:r>
            <w:r>
              <w:rPr>
                <w:rFonts w:ascii="Times New Roman" w:eastAsia="黑体"/>
                <w:snapToGrid w:val="0"/>
                <w:color w:val="000000"/>
                <w:spacing w:val="-6"/>
                <w:kern w:val="21"/>
                <w:sz w:val="24"/>
                <w:szCs w:val="24"/>
              </w:rPr>
              <w:fldChar w:fldCharType="separate"/>
            </w:r>
            <w:r>
              <w:rPr>
                <w:rFonts w:hint="eastAsia" w:hAnsi="宋体" w:cs="宋体"/>
                <w:snapToGrid w:val="0"/>
                <w:color w:val="000000"/>
                <w:spacing w:val="-6"/>
                <w:kern w:val="21"/>
                <w:sz w:val="24"/>
                <w:szCs w:val="24"/>
              </w:rPr>
              <w:t>②</w:t>
            </w:r>
            <w:r>
              <w:rPr>
                <w:rFonts w:ascii="Times New Roman" w:eastAsia="黑体"/>
                <w:snapToGrid w:val="0"/>
                <w:color w:val="000000"/>
                <w:spacing w:val="-6"/>
                <w:kern w:val="21"/>
                <w:sz w:val="24"/>
                <w:szCs w:val="24"/>
              </w:rPr>
              <w:fldChar w:fldCharType="end"/>
            </w:r>
          </w:p>
        </w:tc>
        <w:tc>
          <w:tcPr>
            <w:tcW w:w="578" w:type="pct"/>
            <w:tcMar>
              <w:left w:w="28" w:type="dxa"/>
              <w:right w:w="28" w:type="dxa"/>
            </w:tcMar>
            <w:vAlign w:val="center"/>
          </w:tcPr>
          <w:p>
            <w:pPr>
              <w:pStyle w:val="134"/>
              <w:spacing w:beforeLines="0" w:afterLines="0" w:line="240" w:lineRule="auto"/>
              <w:rPr>
                <w:rFonts w:ascii="Times New Roman" w:eastAsia="黑体"/>
                <w:snapToGrid w:val="0"/>
                <w:color w:val="000000"/>
                <w:spacing w:val="-6"/>
                <w:kern w:val="21"/>
                <w:sz w:val="24"/>
                <w:szCs w:val="24"/>
              </w:rPr>
            </w:pPr>
            <w:r>
              <w:rPr>
                <w:rFonts w:ascii="Times New Roman" w:eastAsia="黑体"/>
                <w:snapToGrid w:val="0"/>
                <w:color w:val="000000"/>
                <w:spacing w:val="-6"/>
                <w:kern w:val="21"/>
                <w:sz w:val="24"/>
                <w:szCs w:val="24"/>
              </w:rPr>
              <w:t>在建工程</w:t>
            </w:r>
          </w:p>
          <w:p>
            <w:pPr>
              <w:pStyle w:val="134"/>
              <w:spacing w:beforeLines="0" w:afterLines="0" w:line="240" w:lineRule="auto"/>
              <w:rPr>
                <w:rFonts w:ascii="Times New Roman" w:eastAsia="黑体"/>
                <w:snapToGrid w:val="0"/>
                <w:color w:val="000000"/>
                <w:spacing w:val="-6"/>
                <w:kern w:val="21"/>
                <w:sz w:val="24"/>
                <w:szCs w:val="24"/>
              </w:rPr>
            </w:pPr>
            <w:r>
              <w:rPr>
                <w:rFonts w:ascii="Times New Roman" w:eastAsia="黑体"/>
                <w:snapToGrid w:val="0"/>
                <w:color w:val="000000"/>
                <w:spacing w:val="-6"/>
                <w:kern w:val="21"/>
                <w:sz w:val="24"/>
                <w:szCs w:val="24"/>
              </w:rPr>
              <w:t>排放量（固体废物产生量）</w:t>
            </w:r>
            <w:r>
              <w:rPr>
                <w:rFonts w:ascii="Times New Roman" w:eastAsia="黑体"/>
                <w:snapToGrid w:val="0"/>
                <w:color w:val="000000"/>
                <w:spacing w:val="-6"/>
                <w:kern w:val="21"/>
                <w:sz w:val="24"/>
                <w:szCs w:val="24"/>
              </w:rPr>
              <w:fldChar w:fldCharType="begin"/>
            </w:r>
            <w:r>
              <w:rPr>
                <w:rFonts w:ascii="Times New Roman" w:eastAsia="黑体"/>
                <w:snapToGrid w:val="0"/>
                <w:color w:val="000000"/>
                <w:spacing w:val="-6"/>
                <w:kern w:val="21"/>
                <w:sz w:val="24"/>
                <w:szCs w:val="24"/>
              </w:rPr>
              <w:instrText xml:space="preserve"> = 3 \* GB3 \* MERGEFORMAT </w:instrText>
            </w:r>
            <w:r>
              <w:rPr>
                <w:rFonts w:ascii="Times New Roman" w:eastAsia="黑体"/>
                <w:snapToGrid w:val="0"/>
                <w:color w:val="000000"/>
                <w:spacing w:val="-6"/>
                <w:kern w:val="21"/>
                <w:sz w:val="24"/>
                <w:szCs w:val="24"/>
              </w:rPr>
              <w:fldChar w:fldCharType="separate"/>
            </w:r>
            <w:r>
              <w:rPr>
                <w:rFonts w:hint="eastAsia" w:hAnsi="宋体" w:cs="宋体"/>
                <w:color w:val="000000"/>
                <w:kern w:val="2"/>
                <w:sz w:val="24"/>
                <w:szCs w:val="24"/>
              </w:rPr>
              <w:t>③</w:t>
            </w:r>
            <w:r>
              <w:rPr>
                <w:rFonts w:ascii="Times New Roman" w:eastAsia="黑体"/>
                <w:snapToGrid w:val="0"/>
                <w:color w:val="000000"/>
                <w:spacing w:val="-6"/>
                <w:kern w:val="21"/>
                <w:sz w:val="24"/>
                <w:szCs w:val="24"/>
              </w:rPr>
              <w:fldChar w:fldCharType="end"/>
            </w:r>
          </w:p>
        </w:tc>
        <w:tc>
          <w:tcPr>
            <w:tcW w:w="577" w:type="pct"/>
            <w:tcMar>
              <w:left w:w="28" w:type="dxa"/>
              <w:right w:w="28" w:type="dxa"/>
            </w:tcMar>
            <w:vAlign w:val="center"/>
          </w:tcPr>
          <w:p>
            <w:pPr>
              <w:pStyle w:val="134"/>
              <w:spacing w:beforeLines="0" w:afterLines="0" w:line="240" w:lineRule="auto"/>
              <w:rPr>
                <w:rFonts w:ascii="Times New Roman" w:eastAsia="黑体"/>
                <w:snapToGrid w:val="0"/>
                <w:color w:val="000000"/>
                <w:spacing w:val="-6"/>
                <w:kern w:val="21"/>
                <w:sz w:val="24"/>
                <w:szCs w:val="24"/>
              </w:rPr>
            </w:pPr>
            <w:r>
              <w:rPr>
                <w:rFonts w:ascii="Times New Roman" w:eastAsia="黑体"/>
                <w:snapToGrid w:val="0"/>
                <w:color w:val="000000"/>
                <w:spacing w:val="-6"/>
                <w:kern w:val="21"/>
                <w:sz w:val="24"/>
                <w:szCs w:val="24"/>
              </w:rPr>
              <w:t>本项目</w:t>
            </w:r>
          </w:p>
          <w:p>
            <w:pPr>
              <w:pStyle w:val="134"/>
              <w:spacing w:beforeLines="0" w:afterLines="0" w:line="240" w:lineRule="auto"/>
              <w:rPr>
                <w:rFonts w:ascii="Times New Roman" w:eastAsia="黑体"/>
                <w:snapToGrid w:val="0"/>
                <w:color w:val="000000"/>
                <w:spacing w:val="-6"/>
                <w:kern w:val="21"/>
                <w:sz w:val="24"/>
                <w:szCs w:val="24"/>
              </w:rPr>
            </w:pPr>
            <w:r>
              <w:rPr>
                <w:rFonts w:ascii="Times New Roman" w:eastAsia="黑体"/>
                <w:snapToGrid w:val="0"/>
                <w:color w:val="000000"/>
                <w:spacing w:val="-6"/>
                <w:kern w:val="21"/>
                <w:sz w:val="24"/>
                <w:szCs w:val="24"/>
              </w:rPr>
              <w:t>排放量（固体废物产生量）</w:t>
            </w:r>
            <w:r>
              <w:rPr>
                <w:rFonts w:ascii="Times New Roman" w:eastAsia="黑体"/>
                <w:snapToGrid w:val="0"/>
                <w:color w:val="000000"/>
                <w:spacing w:val="-6"/>
                <w:kern w:val="21"/>
                <w:sz w:val="24"/>
                <w:szCs w:val="24"/>
              </w:rPr>
              <w:fldChar w:fldCharType="begin"/>
            </w:r>
            <w:r>
              <w:rPr>
                <w:rFonts w:ascii="Times New Roman" w:eastAsia="黑体"/>
                <w:snapToGrid w:val="0"/>
                <w:color w:val="000000"/>
                <w:spacing w:val="-6"/>
                <w:kern w:val="21"/>
                <w:sz w:val="24"/>
                <w:szCs w:val="24"/>
              </w:rPr>
              <w:instrText xml:space="preserve"> = 4 \* GB3 \* MERGEFORMAT </w:instrText>
            </w:r>
            <w:r>
              <w:rPr>
                <w:rFonts w:ascii="Times New Roman" w:eastAsia="黑体"/>
                <w:snapToGrid w:val="0"/>
                <w:color w:val="000000"/>
                <w:spacing w:val="-6"/>
                <w:kern w:val="21"/>
                <w:sz w:val="24"/>
                <w:szCs w:val="24"/>
              </w:rPr>
              <w:fldChar w:fldCharType="separate"/>
            </w:r>
            <w:r>
              <w:rPr>
                <w:rFonts w:hint="eastAsia" w:hAnsi="宋体" w:cs="宋体"/>
                <w:color w:val="000000"/>
                <w:kern w:val="2"/>
                <w:sz w:val="24"/>
                <w:szCs w:val="24"/>
              </w:rPr>
              <w:t>④</w:t>
            </w:r>
            <w:r>
              <w:rPr>
                <w:rFonts w:ascii="Times New Roman" w:eastAsia="黑体"/>
                <w:snapToGrid w:val="0"/>
                <w:color w:val="000000"/>
                <w:spacing w:val="-6"/>
                <w:kern w:val="21"/>
                <w:sz w:val="24"/>
                <w:szCs w:val="24"/>
              </w:rPr>
              <w:fldChar w:fldCharType="end"/>
            </w:r>
          </w:p>
        </w:tc>
        <w:tc>
          <w:tcPr>
            <w:tcW w:w="578" w:type="pct"/>
            <w:tcMar>
              <w:left w:w="28" w:type="dxa"/>
              <w:right w:w="28" w:type="dxa"/>
            </w:tcMar>
            <w:vAlign w:val="center"/>
          </w:tcPr>
          <w:p>
            <w:pPr>
              <w:pStyle w:val="134"/>
              <w:spacing w:beforeLines="0" w:afterLines="0" w:line="240" w:lineRule="auto"/>
              <w:rPr>
                <w:rFonts w:ascii="Times New Roman" w:eastAsia="黑体"/>
                <w:snapToGrid w:val="0"/>
                <w:color w:val="000000"/>
                <w:spacing w:val="-16"/>
                <w:kern w:val="21"/>
                <w:sz w:val="24"/>
                <w:szCs w:val="24"/>
              </w:rPr>
            </w:pPr>
            <w:r>
              <w:rPr>
                <w:rFonts w:ascii="Times New Roman" w:eastAsia="黑体"/>
                <w:snapToGrid w:val="0"/>
                <w:color w:val="000000"/>
                <w:spacing w:val="-16"/>
                <w:kern w:val="21"/>
                <w:sz w:val="24"/>
                <w:szCs w:val="24"/>
              </w:rPr>
              <w:t>以新带老削减量</w:t>
            </w:r>
          </w:p>
          <w:p>
            <w:pPr>
              <w:pStyle w:val="134"/>
              <w:spacing w:beforeLines="0" w:afterLines="0" w:line="240" w:lineRule="auto"/>
              <w:rPr>
                <w:rFonts w:ascii="Times New Roman" w:eastAsia="黑体"/>
                <w:snapToGrid w:val="0"/>
                <w:color w:val="000000"/>
                <w:spacing w:val="-16"/>
                <w:kern w:val="21"/>
                <w:sz w:val="24"/>
                <w:szCs w:val="24"/>
              </w:rPr>
            </w:pPr>
            <w:r>
              <w:rPr>
                <w:rFonts w:ascii="Times New Roman" w:eastAsia="黑体"/>
                <w:snapToGrid w:val="0"/>
                <w:color w:val="000000"/>
                <w:spacing w:val="-16"/>
                <w:kern w:val="21"/>
                <w:sz w:val="24"/>
                <w:szCs w:val="24"/>
              </w:rPr>
              <w:t>（新建项目不填）</w:t>
            </w:r>
            <w:r>
              <w:rPr>
                <w:rFonts w:ascii="Times New Roman" w:eastAsia="黑体"/>
                <w:snapToGrid w:val="0"/>
                <w:color w:val="000000"/>
                <w:spacing w:val="-16"/>
                <w:kern w:val="21"/>
                <w:sz w:val="24"/>
                <w:szCs w:val="24"/>
              </w:rPr>
              <w:fldChar w:fldCharType="begin"/>
            </w:r>
            <w:r>
              <w:rPr>
                <w:rFonts w:ascii="Times New Roman" w:eastAsia="黑体"/>
                <w:snapToGrid w:val="0"/>
                <w:color w:val="000000"/>
                <w:spacing w:val="-16"/>
                <w:kern w:val="21"/>
                <w:sz w:val="24"/>
                <w:szCs w:val="24"/>
              </w:rPr>
              <w:instrText xml:space="preserve"> = 5 \* GB3 \* MERGEFORMAT </w:instrText>
            </w:r>
            <w:r>
              <w:rPr>
                <w:rFonts w:ascii="Times New Roman" w:eastAsia="黑体"/>
                <w:snapToGrid w:val="0"/>
                <w:color w:val="000000"/>
                <w:spacing w:val="-16"/>
                <w:kern w:val="21"/>
                <w:sz w:val="24"/>
                <w:szCs w:val="24"/>
              </w:rPr>
              <w:fldChar w:fldCharType="separate"/>
            </w:r>
            <w:r>
              <w:rPr>
                <w:rFonts w:hint="eastAsia" w:hAnsi="宋体" w:cs="宋体"/>
                <w:color w:val="000000"/>
                <w:kern w:val="2"/>
                <w:sz w:val="24"/>
                <w:szCs w:val="24"/>
              </w:rPr>
              <w:t>⑤</w:t>
            </w:r>
            <w:r>
              <w:rPr>
                <w:rFonts w:ascii="Times New Roman" w:eastAsia="黑体"/>
                <w:snapToGrid w:val="0"/>
                <w:color w:val="000000"/>
                <w:spacing w:val="-16"/>
                <w:kern w:val="21"/>
                <w:sz w:val="24"/>
                <w:szCs w:val="24"/>
              </w:rPr>
              <w:fldChar w:fldCharType="end"/>
            </w:r>
          </w:p>
        </w:tc>
        <w:tc>
          <w:tcPr>
            <w:tcW w:w="578" w:type="pct"/>
            <w:tcMar>
              <w:left w:w="28" w:type="dxa"/>
              <w:right w:w="28" w:type="dxa"/>
            </w:tcMar>
            <w:vAlign w:val="center"/>
          </w:tcPr>
          <w:p>
            <w:pPr>
              <w:pStyle w:val="134"/>
              <w:spacing w:beforeLines="0" w:afterLines="0" w:line="240" w:lineRule="auto"/>
              <w:rPr>
                <w:rFonts w:ascii="Times New Roman" w:eastAsia="黑体"/>
                <w:snapToGrid w:val="0"/>
                <w:color w:val="000000"/>
                <w:spacing w:val="-16"/>
                <w:kern w:val="21"/>
                <w:sz w:val="24"/>
                <w:szCs w:val="24"/>
              </w:rPr>
            </w:pPr>
            <w:r>
              <w:rPr>
                <w:rFonts w:ascii="Times New Roman" w:eastAsia="黑体"/>
                <w:snapToGrid w:val="0"/>
                <w:color w:val="000000"/>
                <w:spacing w:val="-16"/>
                <w:kern w:val="21"/>
                <w:sz w:val="24"/>
                <w:szCs w:val="24"/>
              </w:rPr>
              <w:t>本项目建成后</w:t>
            </w:r>
          </w:p>
          <w:p>
            <w:pPr>
              <w:pStyle w:val="134"/>
              <w:spacing w:beforeLines="0" w:afterLines="0" w:line="240" w:lineRule="auto"/>
              <w:rPr>
                <w:rFonts w:ascii="Times New Roman" w:eastAsia="黑体"/>
                <w:snapToGrid w:val="0"/>
                <w:color w:val="000000"/>
                <w:spacing w:val="-16"/>
                <w:kern w:val="21"/>
                <w:sz w:val="24"/>
                <w:szCs w:val="24"/>
              </w:rPr>
            </w:pPr>
            <w:r>
              <w:rPr>
                <w:rFonts w:ascii="Times New Roman" w:eastAsia="黑体"/>
                <w:snapToGrid w:val="0"/>
                <w:color w:val="000000"/>
                <w:spacing w:val="-16"/>
                <w:kern w:val="21"/>
                <w:sz w:val="24"/>
                <w:szCs w:val="24"/>
              </w:rPr>
              <w:t>全厂排放量（固体废物产生量）</w:t>
            </w:r>
            <w:r>
              <w:rPr>
                <w:rFonts w:ascii="Times New Roman" w:eastAsia="黑体"/>
                <w:snapToGrid w:val="0"/>
                <w:color w:val="000000"/>
                <w:spacing w:val="-16"/>
                <w:kern w:val="21"/>
                <w:sz w:val="24"/>
                <w:szCs w:val="24"/>
              </w:rPr>
              <w:fldChar w:fldCharType="begin"/>
            </w:r>
            <w:r>
              <w:rPr>
                <w:rFonts w:ascii="Times New Roman" w:eastAsia="黑体"/>
                <w:snapToGrid w:val="0"/>
                <w:color w:val="000000"/>
                <w:spacing w:val="-16"/>
                <w:kern w:val="21"/>
                <w:sz w:val="24"/>
                <w:szCs w:val="24"/>
              </w:rPr>
              <w:instrText xml:space="preserve"> = 6 \* GB3 \* MERGEFORMAT </w:instrText>
            </w:r>
            <w:r>
              <w:rPr>
                <w:rFonts w:ascii="Times New Roman" w:eastAsia="黑体"/>
                <w:snapToGrid w:val="0"/>
                <w:color w:val="000000"/>
                <w:spacing w:val="-16"/>
                <w:kern w:val="21"/>
                <w:sz w:val="24"/>
                <w:szCs w:val="24"/>
              </w:rPr>
              <w:fldChar w:fldCharType="separate"/>
            </w:r>
            <w:r>
              <w:rPr>
                <w:rFonts w:hint="eastAsia" w:hAnsi="宋体" w:cs="宋体"/>
                <w:color w:val="000000"/>
                <w:kern w:val="2"/>
                <w:sz w:val="24"/>
                <w:szCs w:val="24"/>
              </w:rPr>
              <w:t>⑥</w:t>
            </w:r>
            <w:r>
              <w:rPr>
                <w:rFonts w:ascii="Times New Roman" w:eastAsia="黑体"/>
                <w:snapToGrid w:val="0"/>
                <w:color w:val="000000"/>
                <w:spacing w:val="-16"/>
                <w:kern w:val="21"/>
                <w:sz w:val="24"/>
                <w:szCs w:val="24"/>
              </w:rPr>
              <w:fldChar w:fldCharType="end"/>
            </w:r>
          </w:p>
        </w:tc>
        <w:tc>
          <w:tcPr>
            <w:tcW w:w="578" w:type="pct"/>
            <w:tcMar>
              <w:left w:w="28" w:type="dxa"/>
              <w:right w:w="28" w:type="dxa"/>
            </w:tcMar>
            <w:vAlign w:val="center"/>
          </w:tcPr>
          <w:p>
            <w:pPr>
              <w:pStyle w:val="134"/>
              <w:spacing w:beforeLines="0" w:afterLines="0" w:line="240" w:lineRule="auto"/>
              <w:rPr>
                <w:rFonts w:ascii="Times New Roman" w:eastAsia="黑体"/>
                <w:snapToGrid w:val="0"/>
                <w:color w:val="000000"/>
                <w:spacing w:val="-6"/>
                <w:kern w:val="21"/>
                <w:sz w:val="24"/>
                <w:szCs w:val="24"/>
              </w:rPr>
            </w:pPr>
            <w:r>
              <w:rPr>
                <w:rFonts w:ascii="Times New Roman" w:eastAsia="黑体"/>
                <w:snapToGrid w:val="0"/>
                <w:color w:val="000000"/>
                <w:spacing w:val="-6"/>
                <w:kern w:val="21"/>
                <w:sz w:val="24"/>
                <w:szCs w:val="24"/>
              </w:rPr>
              <w:t>变化量</w:t>
            </w:r>
          </w:p>
          <w:p>
            <w:pPr>
              <w:pStyle w:val="134"/>
              <w:spacing w:beforeLines="0" w:afterLines="0" w:line="240" w:lineRule="auto"/>
              <w:rPr>
                <w:rFonts w:ascii="Times New Roman" w:eastAsia="黑体"/>
                <w:snapToGrid w:val="0"/>
                <w:color w:val="000000"/>
                <w:spacing w:val="-6"/>
                <w:kern w:val="21"/>
                <w:sz w:val="24"/>
                <w:szCs w:val="24"/>
              </w:rPr>
            </w:pPr>
            <w:r>
              <w:rPr>
                <w:rFonts w:ascii="Times New Roman" w:eastAsia="黑体"/>
                <w:snapToGrid w:val="0"/>
                <w:color w:val="000000"/>
                <w:spacing w:val="-6"/>
                <w:kern w:val="21"/>
                <w:sz w:val="24"/>
                <w:szCs w:val="24"/>
              </w:rPr>
              <w:fldChar w:fldCharType="begin"/>
            </w:r>
            <w:r>
              <w:rPr>
                <w:rFonts w:ascii="Times New Roman" w:eastAsia="黑体"/>
                <w:snapToGrid w:val="0"/>
                <w:color w:val="000000"/>
                <w:spacing w:val="-6"/>
                <w:kern w:val="21"/>
                <w:sz w:val="24"/>
                <w:szCs w:val="24"/>
              </w:rPr>
              <w:instrText xml:space="preserve"> = 7 \* GB3 \* MERGEFORMAT </w:instrText>
            </w:r>
            <w:r>
              <w:rPr>
                <w:rFonts w:ascii="Times New Roman" w:eastAsia="黑体"/>
                <w:snapToGrid w:val="0"/>
                <w:color w:val="000000"/>
                <w:spacing w:val="-6"/>
                <w:kern w:val="21"/>
                <w:sz w:val="24"/>
                <w:szCs w:val="24"/>
              </w:rPr>
              <w:fldChar w:fldCharType="separate"/>
            </w:r>
            <w:r>
              <w:rPr>
                <w:rFonts w:hint="eastAsia" w:hAnsi="宋体" w:cs="宋体"/>
                <w:color w:val="000000"/>
                <w:kern w:val="2"/>
                <w:sz w:val="24"/>
                <w:szCs w:val="24"/>
              </w:rPr>
              <w:t>⑦</w:t>
            </w:r>
            <w:r>
              <w:rPr>
                <w:rFonts w:ascii="Times New Roman" w:eastAsia="黑体"/>
                <w:snapToGrid w:val="0"/>
                <w:color w:val="000000"/>
                <w:spacing w:val="-6"/>
                <w:kern w:val="21"/>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3" w:type="pct"/>
            <w:vMerge w:val="restart"/>
            <w:vAlign w:val="center"/>
          </w:tcPr>
          <w:p>
            <w:pPr>
              <w:pStyle w:val="134"/>
              <w:spacing w:beforeLines="0" w:afterLines="0" w:line="240" w:lineRule="auto"/>
              <w:rPr>
                <w:rFonts w:ascii="Times New Roman"/>
                <w:snapToGrid w:val="0"/>
                <w:color w:val="000000"/>
                <w:kern w:val="21"/>
                <w:sz w:val="24"/>
                <w:szCs w:val="24"/>
              </w:rPr>
            </w:pPr>
            <w:r>
              <w:rPr>
                <w:rFonts w:ascii="Times New Roman"/>
                <w:snapToGrid w:val="0"/>
                <w:color w:val="000000"/>
                <w:kern w:val="21"/>
                <w:sz w:val="24"/>
                <w:szCs w:val="24"/>
              </w:rPr>
              <w:t>废气</w:t>
            </w:r>
          </w:p>
        </w:tc>
        <w:tc>
          <w:tcPr>
            <w:tcW w:w="472" w:type="pct"/>
            <w:vAlign w:val="center"/>
          </w:tcPr>
          <w:p>
            <w:pPr>
              <w:pStyle w:val="134"/>
              <w:spacing w:beforeLines="0" w:afterLines="0" w:line="240" w:lineRule="auto"/>
              <w:rPr>
                <w:rFonts w:ascii="Times New Roman"/>
                <w:snapToGrid w:val="0"/>
                <w:color w:val="000000"/>
                <w:kern w:val="21"/>
                <w:sz w:val="24"/>
                <w:szCs w:val="24"/>
              </w:rPr>
            </w:pPr>
            <w:r>
              <w:rPr>
                <w:rFonts w:ascii="Times New Roman"/>
                <w:color w:val="000000"/>
                <w:sz w:val="24"/>
                <w:szCs w:val="24"/>
              </w:rPr>
              <w:t>颗粒物</w:t>
            </w:r>
          </w:p>
        </w:tc>
        <w:tc>
          <w:tcPr>
            <w:tcW w:w="577" w:type="pct"/>
            <w:vAlign w:val="center"/>
          </w:tcPr>
          <w:p>
            <w:pPr>
              <w:pStyle w:val="140"/>
            </w:pPr>
            <w:r>
              <w:t>4.6299</w:t>
            </w:r>
          </w:p>
        </w:tc>
        <w:tc>
          <w:tcPr>
            <w:tcW w:w="578" w:type="pct"/>
            <w:vAlign w:val="center"/>
          </w:tcPr>
          <w:p>
            <w:pPr>
              <w:pStyle w:val="140"/>
            </w:pPr>
            <w:r>
              <w:t>/</w:t>
            </w:r>
          </w:p>
        </w:tc>
        <w:tc>
          <w:tcPr>
            <w:tcW w:w="578" w:type="pct"/>
            <w:vAlign w:val="center"/>
          </w:tcPr>
          <w:p>
            <w:pPr>
              <w:pStyle w:val="160"/>
              <w:snapToGrid w:val="0"/>
              <w:spacing w:line="240" w:lineRule="auto"/>
              <w:ind w:firstLine="0"/>
              <w:jc w:val="center"/>
            </w:pPr>
            <w:r>
              <w:rPr>
                <w:rFonts w:hint="eastAsia"/>
                <w:color w:val="000000"/>
                <w:sz w:val="21"/>
                <w:szCs w:val="21"/>
              </w:rPr>
              <w:t>0.7180</w:t>
            </w:r>
          </w:p>
        </w:tc>
        <w:tc>
          <w:tcPr>
            <w:tcW w:w="577" w:type="pct"/>
            <w:vAlign w:val="center"/>
          </w:tcPr>
          <w:p>
            <w:pPr>
              <w:pStyle w:val="160"/>
              <w:snapToGrid w:val="0"/>
              <w:spacing w:line="240" w:lineRule="auto"/>
              <w:ind w:firstLine="0"/>
              <w:jc w:val="center"/>
              <w:rPr>
                <w:color w:val="000000"/>
                <w:sz w:val="21"/>
                <w:szCs w:val="21"/>
              </w:rPr>
            </w:pPr>
            <w:r>
              <w:rPr>
                <w:rFonts w:hint="eastAsia"/>
                <w:color w:val="000000"/>
                <w:sz w:val="21"/>
                <w:szCs w:val="21"/>
              </w:rPr>
              <w:t>0.2245</w:t>
            </w:r>
          </w:p>
        </w:tc>
        <w:tc>
          <w:tcPr>
            <w:tcW w:w="578" w:type="pct"/>
            <w:vAlign w:val="center"/>
          </w:tcPr>
          <w:p>
            <w:pPr>
              <w:pStyle w:val="160"/>
              <w:snapToGrid w:val="0"/>
              <w:spacing w:line="240" w:lineRule="auto"/>
              <w:ind w:firstLine="0"/>
              <w:jc w:val="center"/>
              <w:rPr>
                <w:snapToGrid w:val="0"/>
                <w:color w:val="000000"/>
                <w:kern w:val="21"/>
                <w:sz w:val="24"/>
              </w:rPr>
            </w:pPr>
            <w:r>
              <w:rPr>
                <w:color w:val="000000"/>
                <w:sz w:val="21"/>
                <w:szCs w:val="21"/>
              </w:rPr>
              <w:t>0</w:t>
            </w:r>
          </w:p>
        </w:tc>
        <w:tc>
          <w:tcPr>
            <w:tcW w:w="578" w:type="pct"/>
            <w:vAlign w:val="center"/>
          </w:tcPr>
          <w:p>
            <w:pPr>
              <w:pStyle w:val="160"/>
              <w:snapToGrid w:val="0"/>
              <w:spacing w:line="240" w:lineRule="auto"/>
              <w:ind w:firstLine="0"/>
              <w:jc w:val="center"/>
              <w:rPr>
                <w:color w:val="000000"/>
                <w:sz w:val="21"/>
                <w:szCs w:val="21"/>
              </w:rPr>
            </w:pPr>
            <w:r>
              <w:rPr>
                <w:rFonts w:hint="eastAsia"/>
                <w:color w:val="000000"/>
                <w:sz w:val="21"/>
                <w:szCs w:val="21"/>
              </w:rPr>
              <w:t>5.5724</w:t>
            </w:r>
          </w:p>
        </w:tc>
        <w:tc>
          <w:tcPr>
            <w:tcW w:w="578" w:type="pct"/>
            <w:vAlign w:val="center"/>
          </w:tcPr>
          <w:p>
            <w:pPr>
              <w:pStyle w:val="160"/>
              <w:snapToGrid w:val="0"/>
              <w:spacing w:line="240" w:lineRule="auto"/>
              <w:ind w:firstLine="0"/>
              <w:jc w:val="center"/>
              <w:rPr>
                <w:color w:val="000000"/>
                <w:sz w:val="21"/>
                <w:szCs w:val="21"/>
              </w:rPr>
            </w:pPr>
            <w:r>
              <w:rPr>
                <w:color w:val="000000"/>
                <w:sz w:val="21"/>
                <w:szCs w:val="21"/>
              </w:rPr>
              <w:t>+</w:t>
            </w:r>
            <w:r>
              <w:rPr>
                <w:rFonts w:hint="eastAsia"/>
                <w:color w:val="000000"/>
                <w:sz w:val="21"/>
                <w:szCs w:val="21"/>
              </w:rPr>
              <w:t>0.</w:t>
            </w:r>
            <w:r>
              <w:rPr>
                <w:color w:val="000000"/>
                <w:sz w:val="21"/>
                <w:szCs w:val="21"/>
              </w:rPr>
              <w:t>2245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3" w:type="pct"/>
            <w:vMerge w:val="continue"/>
            <w:vAlign w:val="center"/>
          </w:tcPr>
          <w:p>
            <w:pPr>
              <w:pStyle w:val="134"/>
              <w:spacing w:beforeLines="0" w:afterLines="0" w:line="240" w:lineRule="auto"/>
              <w:rPr>
                <w:rFonts w:ascii="Times New Roman"/>
                <w:snapToGrid w:val="0"/>
                <w:color w:val="000000"/>
                <w:kern w:val="21"/>
                <w:sz w:val="24"/>
                <w:szCs w:val="24"/>
              </w:rPr>
            </w:pPr>
          </w:p>
        </w:tc>
        <w:tc>
          <w:tcPr>
            <w:tcW w:w="472" w:type="pct"/>
            <w:vAlign w:val="center"/>
          </w:tcPr>
          <w:p>
            <w:pPr>
              <w:pStyle w:val="134"/>
              <w:spacing w:beforeLines="0" w:afterLines="0"/>
              <w:rPr>
                <w:rFonts w:ascii="Times New Roman"/>
                <w:sz w:val="24"/>
                <w:szCs w:val="24"/>
              </w:rPr>
            </w:pPr>
            <w:r>
              <w:rPr>
                <w:rFonts w:hint="eastAsia" w:ascii="Times New Roman"/>
                <w:sz w:val="24"/>
                <w:szCs w:val="24"/>
              </w:rPr>
              <w:t>SO</w:t>
            </w:r>
            <w:r>
              <w:rPr>
                <w:rFonts w:hint="eastAsia" w:ascii="Times New Roman"/>
                <w:sz w:val="24"/>
                <w:szCs w:val="24"/>
                <w:vertAlign w:val="subscript"/>
              </w:rPr>
              <w:t>2</w:t>
            </w:r>
          </w:p>
        </w:tc>
        <w:tc>
          <w:tcPr>
            <w:tcW w:w="577" w:type="pct"/>
            <w:vAlign w:val="center"/>
          </w:tcPr>
          <w:p>
            <w:pPr>
              <w:pStyle w:val="140"/>
            </w:pPr>
            <w:r>
              <w:t>6.3360</w:t>
            </w:r>
          </w:p>
        </w:tc>
        <w:tc>
          <w:tcPr>
            <w:tcW w:w="578" w:type="pct"/>
            <w:vAlign w:val="center"/>
          </w:tcPr>
          <w:p>
            <w:pPr>
              <w:pStyle w:val="140"/>
            </w:pPr>
            <w:r>
              <w:t>/</w:t>
            </w:r>
          </w:p>
        </w:tc>
        <w:tc>
          <w:tcPr>
            <w:tcW w:w="578" w:type="pct"/>
            <w:vAlign w:val="center"/>
          </w:tcPr>
          <w:p>
            <w:pPr>
              <w:pStyle w:val="160"/>
              <w:snapToGrid w:val="0"/>
              <w:spacing w:line="240" w:lineRule="auto"/>
              <w:ind w:firstLine="0"/>
              <w:jc w:val="center"/>
              <w:rPr>
                <w:color w:val="000000"/>
                <w:sz w:val="21"/>
                <w:szCs w:val="21"/>
              </w:rPr>
            </w:pPr>
            <w:r>
              <w:rPr>
                <w:rFonts w:hint="eastAsia"/>
                <w:color w:val="000000"/>
                <w:sz w:val="21"/>
                <w:szCs w:val="21"/>
              </w:rPr>
              <w:t>0</w:t>
            </w:r>
          </w:p>
        </w:tc>
        <w:tc>
          <w:tcPr>
            <w:tcW w:w="577" w:type="pct"/>
            <w:vAlign w:val="center"/>
          </w:tcPr>
          <w:p>
            <w:pPr>
              <w:pStyle w:val="160"/>
              <w:snapToGrid w:val="0"/>
              <w:spacing w:line="240" w:lineRule="auto"/>
              <w:ind w:firstLine="0"/>
              <w:jc w:val="center"/>
              <w:rPr>
                <w:color w:val="000000"/>
                <w:sz w:val="21"/>
                <w:szCs w:val="21"/>
              </w:rPr>
            </w:pPr>
            <w:r>
              <w:rPr>
                <w:rFonts w:hint="eastAsia"/>
                <w:color w:val="000000"/>
                <w:sz w:val="21"/>
                <w:szCs w:val="21"/>
              </w:rPr>
              <w:t>0</w:t>
            </w:r>
          </w:p>
        </w:tc>
        <w:tc>
          <w:tcPr>
            <w:tcW w:w="578" w:type="pct"/>
            <w:vAlign w:val="center"/>
          </w:tcPr>
          <w:p>
            <w:pPr>
              <w:pStyle w:val="134"/>
              <w:spacing w:beforeLines="0" w:afterLines="0" w:line="240" w:lineRule="auto"/>
              <w:rPr>
                <w:rFonts w:ascii="Times New Roman"/>
                <w:snapToGrid w:val="0"/>
                <w:color w:val="000000"/>
                <w:kern w:val="21"/>
                <w:sz w:val="24"/>
                <w:szCs w:val="24"/>
              </w:rPr>
            </w:pPr>
            <w:r>
              <w:rPr>
                <w:rFonts w:hint="eastAsia" w:ascii="Times New Roman"/>
                <w:snapToGrid w:val="0"/>
                <w:color w:val="000000"/>
                <w:kern w:val="21"/>
                <w:sz w:val="24"/>
                <w:szCs w:val="24"/>
              </w:rPr>
              <w:t>0</w:t>
            </w:r>
          </w:p>
        </w:tc>
        <w:tc>
          <w:tcPr>
            <w:tcW w:w="578" w:type="pct"/>
            <w:vAlign w:val="center"/>
          </w:tcPr>
          <w:p>
            <w:pPr>
              <w:pStyle w:val="140"/>
            </w:pPr>
            <w:r>
              <w:t>6.3360</w:t>
            </w:r>
          </w:p>
        </w:tc>
        <w:tc>
          <w:tcPr>
            <w:tcW w:w="578" w:type="pct"/>
            <w:vAlign w:val="center"/>
          </w:tcPr>
          <w:p>
            <w:pPr>
              <w:jc w:val="center"/>
              <w:rPr>
                <w:color w:val="000000"/>
                <w:sz w:val="24"/>
              </w:rPr>
            </w:pPr>
            <w:r>
              <w:rPr>
                <w:rFonts w:hint="eastAsia"/>
                <w:color w:val="000000"/>
                <w:sz w:val="24"/>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483" w:type="pct"/>
            <w:vMerge w:val="continue"/>
            <w:vAlign w:val="center"/>
          </w:tcPr>
          <w:p>
            <w:pPr>
              <w:pStyle w:val="134"/>
              <w:spacing w:beforeLines="0" w:afterLines="0" w:line="240" w:lineRule="auto"/>
              <w:rPr>
                <w:rFonts w:ascii="Times New Roman"/>
                <w:snapToGrid w:val="0"/>
                <w:color w:val="000000"/>
                <w:kern w:val="21"/>
                <w:sz w:val="24"/>
                <w:szCs w:val="24"/>
              </w:rPr>
            </w:pPr>
          </w:p>
        </w:tc>
        <w:tc>
          <w:tcPr>
            <w:tcW w:w="472" w:type="pct"/>
            <w:vAlign w:val="center"/>
          </w:tcPr>
          <w:p>
            <w:pPr>
              <w:pStyle w:val="134"/>
              <w:spacing w:beforeLines="0" w:afterLines="0"/>
              <w:rPr>
                <w:rFonts w:ascii="Times New Roman"/>
                <w:sz w:val="24"/>
                <w:szCs w:val="24"/>
              </w:rPr>
            </w:pPr>
            <w:r>
              <w:rPr>
                <w:rFonts w:hint="eastAsia" w:ascii="Times New Roman"/>
                <w:sz w:val="24"/>
                <w:szCs w:val="24"/>
              </w:rPr>
              <w:t>NO</w:t>
            </w:r>
            <w:r>
              <w:rPr>
                <w:rFonts w:hint="eastAsia" w:ascii="Times New Roman"/>
                <w:sz w:val="24"/>
                <w:szCs w:val="24"/>
                <w:vertAlign w:val="subscript"/>
              </w:rPr>
              <w:t>X</w:t>
            </w:r>
          </w:p>
        </w:tc>
        <w:tc>
          <w:tcPr>
            <w:tcW w:w="577" w:type="pct"/>
            <w:vAlign w:val="center"/>
          </w:tcPr>
          <w:p>
            <w:pPr>
              <w:pStyle w:val="140"/>
            </w:pPr>
            <w:r>
              <w:t>12.6720</w:t>
            </w:r>
          </w:p>
        </w:tc>
        <w:tc>
          <w:tcPr>
            <w:tcW w:w="578" w:type="pct"/>
            <w:vAlign w:val="center"/>
          </w:tcPr>
          <w:p>
            <w:pPr>
              <w:pStyle w:val="140"/>
            </w:pPr>
            <w:r>
              <w:t>/</w:t>
            </w:r>
          </w:p>
        </w:tc>
        <w:tc>
          <w:tcPr>
            <w:tcW w:w="578" w:type="pct"/>
            <w:vAlign w:val="center"/>
          </w:tcPr>
          <w:p>
            <w:pPr>
              <w:pStyle w:val="160"/>
              <w:snapToGrid w:val="0"/>
              <w:spacing w:line="240" w:lineRule="auto"/>
              <w:ind w:firstLine="0"/>
              <w:jc w:val="center"/>
              <w:rPr>
                <w:color w:val="000000"/>
                <w:sz w:val="21"/>
                <w:szCs w:val="21"/>
              </w:rPr>
            </w:pPr>
            <w:r>
              <w:rPr>
                <w:rFonts w:hint="eastAsia"/>
                <w:color w:val="000000"/>
                <w:sz w:val="21"/>
                <w:szCs w:val="21"/>
              </w:rPr>
              <w:t>0</w:t>
            </w:r>
          </w:p>
        </w:tc>
        <w:tc>
          <w:tcPr>
            <w:tcW w:w="577" w:type="pct"/>
            <w:vAlign w:val="center"/>
          </w:tcPr>
          <w:p>
            <w:pPr>
              <w:pStyle w:val="160"/>
              <w:snapToGrid w:val="0"/>
              <w:spacing w:line="240" w:lineRule="auto"/>
              <w:ind w:firstLine="0"/>
              <w:jc w:val="center"/>
              <w:rPr>
                <w:color w:val="000000"/>
                <w:sz w:val="21"/>
                <w:szCs w:val="21"/>
              </w:rPr>
            </w:pPr>
            <w:r>
              <w:rPr>
                <w:rFonts w:hint="eastAsia"/>
                <w:color w:val="000000"/>
                <w:sz w:val="21"/>
                <w:szCs w:val="21"/>
              </w:rPr>
              <w:t>0</w:t>
            </w:r>
          </w:p>
        </w:tc>
        <w:tc>
          <w:tcPr>
            <w:tcW w:w="578" w:type="pct"/>
            <w:vAlign w:val="center"/>
          </w:tcPr>
          <w:p>
            <w:pPr>
              <w:pStyle w:val="134"/>
              <w:spacing w:beforeLines="0" w:afterLines="0" w:line="240" w:lineRule="auto"/>
              <w:rPr>
                <w:rFonts w:ascii="Times New Roman"/>
                <w:snapToGrid w:val="0"/>
                <w:color w:val="000000"/>
                <w:kern w:val="21"/>
                <w:sz w:val="24"/>
                <w:szCs w:val="24"/>
              </w:rPr>
            </w:pPr>
            <w:r>
              <w:rPr>
                <w:rFonts w:hint="eastAsia" w:ascii="Times New Roman"/>
                <w:snapToGrid w:val="0"/>
                <w:color w:val="000000"/>
                <w:kern w:val="21"/>
                <w:sz w:val="24"/>
                <w:szCs w:val="24"/>
              </w:rPr>
              <w:t>0</w:t>
            </w:r>
          </w:p>
        </w:tc>
        <w:tc>
          <w:tcPr>
            <w:tcW w:w="578" w:type="pct"/>
            <w:vAlign w:val="center"/>
          </w:tcPr>
          <w:p>
            <w:pPr>
              <w:pStyle w:val="140"/>
            </w:pPr>
            <w:r>
              <w:t>12.6720</w:t>
            </w:r>
          </w:p>
        </w:tc>
        <w:tc>
          <w:tcPr>
            <w:tcW w:w="578" w:type="pct"/>
            <w:vAlign w:val="center"/>
          </w:tcPr>
          <w:p>
            <w:pPr>
              <w:jc w:val="center"/>
              <w:rPr>
                <w:color w:val="000000"/>
                <w:sz w:val="24"/>
              </w:rPr>
            </w:pPr>
            <w:r>
              <w:rPr>
                <w:rFonts w:hint="eastAsia"/>
                <w:color w:val="000000"/>
                <w:sz w:val="24"/>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3" w:type="pct"/>
            <w:vMerge w:val="continue"/>
            <w:vAlign w:val="center"/>
          </w:tcPr>
          <w:p>
            <w:pPr>
              <w:pStyle w:val="134"/>
              <w:spacing w:beforeLines="0" w:afterLines="0" w:line="240" w:lineRule="auto"/>
              <w:rPr>
                <w:rFonts w:ascii="Times New Roman"/>
                <w:snapToGrid w:val="0"/>
                <w:color w:val="000000"/>
                <w:kern w:val="21"/>
                <w:sz w:val="24"/>
                <w:szCs w:val="24"/>
              </w:rPr>
            </w:pPr>
          </w:p>
        </w:tc>
        <w:tc>
          <w:tcPr>
            <w:tcW w:w="472" w:type="pct"/>
            <w:vAlign w:val="center"/>
          </w:tcPr>
          <w:p>
            <w:pPr>
              <w:pStyle w:val="134"/>
              <w:spacing w:beforeLines="0" w:afterLines="0"/>
              <w:rPr>
                <w:rFonts w:ascii="Times New Roman"/>
                <w:sz w:val="24"/>
                <w:szCs w:val="24"/>
              </w:rPr>
            </w:pPr>
            <w:r>
              <w:rPr>
                <w:rFonts w:ascii="Times New Roman"/>
                <w:sz w:val="24"/>
                <w:szCs w:val="24"/>
              </w:rPr>
              <w:t>NH</w:t>
            </w:r>
            <w:r>
              <w:rPr>
                <w:rFonts w:ascii="Times New Roman"/>
                <w:sz w:val="24"/>
                <w:szCs w:val="24"/>
                <w:vertAlign w:val="subscript"/>
              </w:rPr>
              <w:t>3</w:t>
            </w:r>
          </w:p>
        </w:tc>
        <w:tc>
          <w:tcPr>
            <w:tcW w:w="577" w:type="pct"/>
            <w:vAlign w:val="center"/>
          </w:tcPr>
          <w:p>
            <w:pPr>
              <w:pStyle w:val="140"/>
            </w:pPr>
            <w:r>
              <w:t>1.1326</w:t>
            </w:r>
          </w:p>
        </w:tc>
        <w:tc>
          <w:tcPr>
            <w:tcW w:w="578" w:type="pct"/>
            <w:vAlign w:val="center"/>
          </w:tcPr>
          <w:p>
            <w:pPr>
              <w:pStyle w:val="140"/>
            </w:pPr>
            <w:r>
              <w:t>/</w:t>
            </w:r>
          </w:p>
        </w:tc>
        <w:tc>
          <w:tcPr>
            <w:tcW w:w="578" w:type="pct"/>
            <w:vAlign w:val="center"/>
          </w:tcPr>
          <w:p>
            <w:pPr>
              <w:pStyle w:val="160"/>
              <w:snapToGrid w:val="0"/>
              <w:spacing w:line="240" w:lineRule="auto"/>
              <w:ind w:firstLine="0"/>
              <w:jc w:val="center"/>
              <w:rPr>
                <w:color w:val="000000"/>
                <w:sz w:val="21"/>
                <w:szCs w:val="21"/>
              </w:rPr>
            </w:pPr>
            <w:r>
              <w:rPr>
                <w:rFonts w:hint="eastAsia"/>
                <w:color w:val="000000"/>
                <w:sz w:val="21"/>
                <w:szCs w:val="21"/>
              </w:rPr>
              <w:t>0</w:t>
            </w:r>
          </w:p>
        </w:tc>
        <w:tc>
          <w:tcPr>
            <w:tcW w:w="577" w:type="pct"/>
            <w:vAlign w:val="center"/>
          </w:tcPr>
          <w:p>
            <w:pPr>
              <w:pStyle w:val="160"/>
              <w:snapToGrid w:val="0"/>
              <w:spacing w:line="240" w:lineRule="auto"/>
              <w:ind w:firstLine="0"/>
              <w:jc w:val="center"/>
              <w:rPr>
                <w:color w:val="000000"/>
                <w:sz w:val="21"/>
                <w:szCs w:val="21"/>
              </w:rPr>
            </w:pPr>
            <w:r>
              <w:rPr>
                <w:rFonts w:hint="eastAsia"/>
                <w:color w:val="000000"/>
                <w:sz w:val="21"/>
                <w:szCs w:val="21"/>
              </w:rPr>
              <w:t>0</w:t>
            </w:r>
          </w:p>
        </w:tc>
        <w:tc>
          <w:tcPr>
            <w:tcW w:w="578" w:type="pct"/>
            <w:vAlign w:val="center"/>
          </w:tcPr>
          <w:p>
            <w:pPr>
              <w:pStyle w:val="134"/>
              <w:spacing w:beforeLines="0" w:afterLines="0" w:line="240" w:lineRule="auto"/>
              <w:rPr>
                <w:rFonts w:ascii="Times New Roman"/>
                <w:snapToGrid w:val="0"/>
                <w:color w:val="000000"/>
                <w:kern w:val="21"/>
                <w:sz w:val="24"/>
                <w:szCs w:val="24"/>
              </w:rPr>
            </w:pPr>
            <w:r>
              <w:rPr>
                <w:rFonts w:hint="eastAsia" w:ascii="Times New Roman"/>
                <w:snapToGrid w:val="0"/>
                <w:color w:val="000000"/>
                <w:kern w:val="21"/>
                <w:sz w:val="24"/>
                <w:szCs w:val="24"/>
              </w:rPr>
              <w:t>0</w:t>
            </w:r>
          </w:p>
        </w:tc>
        <w:tc>
          <w:tcPr>
            <w:tcW w:w="578" w:type="pct"/>
            <w:vAlign w:val="center"/>
          </w:tcPr>
          <w:p>
            <w:pPr>
              <w:pStyle w:val="140"/>
            </w:pPr>
            <w:r>
              <w:t>1.1326</w:t>
            </w:r>
          </w:p>
        </w:tc>
        <w:tc>
          <w:tcPr>
            <w:tcW w:w="578" w:type="pct"/>
            <w:vAlign w:val="center"/>
          </w:tcPr>
          <w:p>
            <w:pPr>
              <w:jc w:val="center"/>
              <w:rPr>
                <w:color w:val="000000"/>
                <w:sz w:val="24"/>
              </w:rPr>
            </w:pPr>
            <w:r>
              <w:rPr>
                <w:rFonts w:hint="eastAsia"/>
                <w:color w:val="000000"/>
                <w:sz w:val="24"/>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3" w:type="pct"/>
            <w:vMerge w:val="continue"/>
            <w:vAlign w:val="center"/>
          </w:tcPr>
          <w:p>
            <w:pPr>
              <w:pStyle w:val="134"/>
              <w:spacing w:beforeLines="0" w:afterLines="0" w:line="240" w:lineRule="auto"/>
              <w:rPr>
                <w:rFonts w:ascii="Times New Roman"/>
                <w:snapToGrid w:val="0"/>
                <w:color w:val="000000"/>
                <w:kern w:val="21"/>
                <w:sz w:val="24"/>
                <w:szCs w:val="24"/>
              </w:rPr>
            </w:pPr>
          </w:p>
        </w:tc>
        <w:tc>
          <w:tcPr>
            <w:tcW w:w="472" w:type="pct"/>
            <w:vAlign w:val="center"/>
          </w:tcPr>
          <w:p>
            <w:pPr>
              <w:pStyle w:val="134"/>
              <w:spacing w:beforeLines="0" w:afterLines="0"/>
              <w:rPr>
                <w:rFonts w:ascii="Times New Roman"/>
                <w:sz w:val="24"/>
                <w:szCs w:val="24"/>
              </w:rPr>
            </w:pPr>
            <w:r>
              <w:rPr>
                <w:rFonts w:hint="eastAsia" w:ascii="Times New Roman"/>
                <w:sz w:val="24"/>
                <w:szCs w:val="24"/>
              </w:rPr>
              <w:t>H</w:t>
            </w:r>
            <w:r>
              <w:rPr>
                <w:rFonts w:hint="eastAsia" w:ascii="Times New Roman"/>
                <w:sz w:val="24"/>
                <w:szCs w:val="24"/>
                <w:vertAlign w:val="subscript"/>
              </w:rPr>
              <w:t>2</w:t>
            </w:r>
            <w:r>
              <w:rPr>
                <w:rFonts w:hint="eastAsia" w:ascii="Times New Roman"/>
                <w:sz w:val="24"/>
                <w:szCs w:val="24"/>
              </w:rPr>
              <w:t>S</w:t>
            </w:r>
          </w:p>
        </w:tc>
        <w:tc>
          <w:tcPr>
            <w:tcW w:w="577" w:type="pct"/>
            <w:vAlign w:val="center"/>
          </w:tcPr>
          <w:p>
            <w:pPr>
              <w:pStyle w:val="140"/>
            </w:pPr>
            <w:r>
              <w:t>0.1441</w:t>
            </w:r>
          </w:p>
        </w:tc>
        <w:tc>
          <w:tcPr>
            <w:tcW w:w="578" w:type="pct"/>
            <w:vAlign w:val="center"/>
          </w:tcPr>
          <w:p>
            <w:pPr>
              <w:pStyle w:val="140"/>
            </w:pPr>
            <w:r>
              <w:t>/</w:t>
            </w:r>
          </w:p>
        </w:tc>
        <w:tc>
          <w:tcPr>
            <w:tcW w:w="578" w:type="pct"/>
            <w:vAlign w:val="center"/>
          </w:tcPr>
          <w:p>
            <w:pPr>
              <w:pStyle w:val="160"/>
              <w:snapToGrid w:val="0"/>
              <w:spacing w:line="240" w:lineRule="auto"/>
              <w:ind w:firstLine="0"/>
              <w:jc w:val="center"/>
              <w:rPr>
                <w:color w:val="000000"/>
                <w:sz w:val="21"/>
                <w:szCs w:val="21"/>
              </w:rPr>
            </w:pPr>
            <w:r>
              <w:rPr>
                <w:rFonts w:hint="eastAsia"/>
                <w:color w:val="000000"/>
                <w:sz w:val="21"/>
                <w:szCs w:val="21"/>
              </w:rPr>
              <w:t>0</w:t>
            </w:r>
          </w:p>
        </w:tc>
        <w:tc>
          <w:tcPr>
            <w:tcW w:w="577" w:type="pct"/>
            <w:vAlign w:val="center"/>
          </w:tcPr>
          <w:p>
            <w:pPr>
              <w:pStyle w:val="160"/>
              <w:snapToGrid w:val="0"/>
              <w:spacing w:line="240" w:lineRule="auto"/>
              <w:ind w:firstLine="0"/>
              <w:jc w:val="center"/>
              <w:rPr>
                <w:color w:val="000000"/>
                <w:sz w:val="21"/>
                <w:szCs w:val="21"/>
              </w:rPr>
            </w:pPr>
            <w:r>
              <w:rPr>
                <w:rFonts w:hint="eastAsia"/>
                <w:color w:val="000000"/>
                <w:sz w:val="21"/>
                <w:szCs w:val="21"/>
              </w:rPr>
              <w:t>0</w:t>
            </w:r>
          </w:p>
        </w:tc>
        <w:tc>
          <w:tcPr>
            <w:tcW w:w="578" w:type="pct"/>
            <w:vAlign w:val="center"/>
          </w:tcPr>
          <w:p>
            <w:pPr>
              <w:pStyle w:val="134"/>
              <w:spacing w:beforeLines="0" w:afterLines="0" w:line="240" w:lineRule="auto"/>
              <w:rPr>
                <w:rFonts w:ascii="Times New Roman"/>
                <w:snapToGrid w:val="0"/>
                <w:color w:val="000000"/>
                <w:kern w:val="21"/>
                <w:sz w:val="24"/>
                <w:szCs w:val="24"/>
              </w:rPr>
            </w:pPr>
            <w:r>
              <w:rPr>
                <w:rFonts w:hint="eastAsia" w:ascii="Times New Roman"/>
                <w:snapToGrid w:val="0"/>
                <w:color w:val="000000"/>
                <w:kern w:val="21"/>
                <w:sz w:val="24"/>
                <w:szCs w:val="24"/>
              </w:rPr>
              <w:t>0</w:t>
            </w:r>
          </w:p>
        </w:tc>
        <w:tc>
          <w:tcPr>
            <w:tcW w:w="578" w:type="pct"/>
            <w:vAlign w:val="center"/>
          </w:tcPr>
          <w:p>
            <w:pPr>
              <w:pStyle w:val="140"/>
            </w:pPr>
            <w:r>
              <w:t>0.1441</w:t>
            </w:r>
          </w:p>
        </w:tc>
        <w:tc>
          <w:tcPr>
            <w:tcW w:w="578" w:type="pct"/>
            <w:vAlign w:val="center"/>
          </w:tcPr>
          <w:p>
            <w:pPr>
              <w:jc w:val="center"/>
              <w:rPr>
                <w:color w:val="000000"/>
                <w:sz w:val="24"/>
              </w:rPr>
            </w:pPr>
            <w:r>
              <w:rPr>
                <w:rFonts w:hint="eastAsia"/>
                <w:color w:val="000000"/>
                <w:sz w:val="24"/>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3" w:type="pct"/>
            <w:vMerge w:val="restart"/>
            <w:vAlign w:val="center"/>
          </w:tcPr>
          <w:p>
            <w:pPr>
              <w:pStyle w:val="134"/>
              <w:spacing w:before="24" w:after="24" w:line="240" w:lineRule="auto"/>
              <w:rPr>
                <w:rFonts w:ascii="Times New Roman"/>
                <w:snapToGrid w:val="0"/>
                <w:color w:val="000000"/>
                <w:kern w:val="21"/>
                <w:sz w:val="24"/>
                <w:szCs w:val="24"/>
              </w:rPr>
            </w:pPr>
            <w:r>
              <w:rPr>
                <w:rFonts w:ascii="Times New Roman"/>
                <w:snapToGrid w:val="0"/>
                <w:color w:val="000000"/>
                <w:kern w:val="21"/>
                <w:sz w:val="24"/>
                <w:szCs w:val="24"/>
              </w:rPr>
              <w:t>废水</w:t>
            </w:r>
          </w:p>
        </w:tc>
        <w:tc>
          <w:tcPr>
            <w:tcW w:w="472" w:type="pct"/>
            <w:vAlign w:val="center"/>
          </w:tcPr>
          <w:p>
            <w:pPr>
              <w:jc w:val="center"/>
              <w:rPr>
                <w:color w:val="000000"/>
                <w:sz w:val="24"/>
              </w:rPr>
            </w:pPr>
            <w:r>
              <w:rPr>
                <w:color w:val="000000"/>
                <w:sz w:val="24"/>
              </w:rPr>
              <w:t>COD</w:t>
            </w:r>
          </w:p>
        </w:tc>
        <w:tc>
          <w:tcPr>
            <w:tcW w:w="577" w:type="pct"/>
            <w:vAlign w:val="center"/>
          </w:tcPr>
          <w:p>
            <w:pPr>
              <w:pStyle w:val="140"/>
            </w:pPr>
            <w:r>
              <w:t>289.1077</w:t>
            </w:r>
          </w:p>
        </w:tc>
        <w:tc>
          <w:tcPr>
            <w:tcW w:w="578" w:type="pct"/>
            <w:vAlign w:val="center"/>
          </w:tcPr>
          <w:p>
            <w:pPr>
              <w:pStyle w:val="140"/>
            </w:pPr>
            <w:r>
              <w:rPr>
                <w:rFonts w:hint="eastAsia"/>
              </w:rPr>
              <w:t>112.3980</w:t>
            </w:r>
          </w:p>
        </w:tc>
        <w:tc>
          <w:tcPr>
            <w:tcW w:w="578" w:type="pct"/>
            <w:vAlign w:val="center"/>
          </w:tcPr>
          <w:p>
            <w:pPr>
              <w:pStyle w:val="140"/>
            </w:pPr>
            <w:r>
              <w:rPr>
                <w:rFonts w:hint="eastAsia"/>
              </w:rPr>
              <w:t>8</w:t>
            </w:r>
            <w:r>
              <w:t>9.9184</w:t>
            </w:r>
          </w:p>
        </w:tc>
        <w:tc>
          <w:tcPr>
            <w:tcW w:w="577" w:type="pct"/>
            <w:vAlign w:val="center"/>
          </w:tcPr>
          <w:p>
            <w:pPr>
              <w:pStyle w:val="134"/>
              <w:spacing w:beforeLines="0" w:afterLines="0" w:line="240" w:lineRule="auto"/>
              <w:rPr>
                <w:rFonts w:ascii="Times New Roman"/>
                <w:snapToGrid w:val="0"/>
                <w:color w:val="000000"/>
                <w:kern w:val="21"/>
                <w:sz w:val="24"/>
                <w:szCs w:val="24"/>
              </w:rPr>
            </w:pPr>
            <w:r>
              <w:rPr>
                <w:rFonts w:hint="eastAsia" w:ascii="Times New Roman"/>
                <w:snapToGrid w:val="0"/>
                <w:color w:val="000000"/>
                <w:kern w:val="21"/>
                <w:sz w:val="24"/>
                <w:szCs w:val="24"/>
              </w:rPr>
              <w:t>0</w:t>
            </w:r>
          </w:p>
        </w:tc>
        <w:tc>
          <w:tcPr>
            <w:tcW w:w="578" w:type="pct"/>
            <w:vAlign w:val="center"/>
          </w:tcPr>
          <w:p>
            <w:pPr>
              <w:widowControl/>
              <w:jc w:val="center"/>
              <w:rPr>
                <w:color w:val="000000"/>
                <w:kern w:val="0"/>
                <w:sz w:val="24"/>
              </w:rPr>
            </w:pPr>
            <w:r>
              <w:rPr>
                <w:rFonts w:hint="eastAsia"/>
                <w:color w:val="000000"/>
                <w:kern w:val="0"/>
                <w:sz w:val="24"/>
              </w:rPr>
              <w:t>0</w:t>
            </w:r>
          </w:p>
        </w:tc>
        <w:tc>
          <w:tcPr>
            <w:tcW w:w="578" w:type="pct"/>
            <w:vAlign w:val="center"/>
          </w:tcPr>
          <w:p>
            <w:pPr>
              <w:pStyle w:val="140"/>
            </w:pPr>
            <w:r>
              <w:rPr>
                <w:rFonts w:hint="eastAsia"/>
              </w:rPr>
              <w:t>8</w:t>
            </w:r>
            <w:r>
              <w:t>9.9184</w:t>
            </w:r>
          </w:p>
        </w:tc>
        <w:tc>
          <w:tcPr>
            <w:tcW w:w="578" w:type="pct"/>
            <w:vAlign w:val="center"/>
          </w:tcPr>
          <w:p>
            <w:pPr>
              <w:jc w:val="center"/>
              <w:rPr>
                <w:color w:val="000000"/>
                <w:sz w:val="24"/>
              </w:rPr>
            </w:pPr>
            <w:r>
              <w:rPr>
                <w:rFonts w:hint="eastAsia"/>
                <w:color w:val="000000"/>
                <w:sz w:val="24"/>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3" w:type="pct"/>
            <w:vMerge w:val="continue"/>
            <w:vAlign w:val="center"/>
          </w:tcPr>
          <w:p>
            <w:pPr>
              <w:pStyle w:val="134"/>
              <w:spacing w:beforeLines="0" w:afterLines="0" w:line="240" w:lineRule="auto"/>
              <w:rPr>
                <w:rFonts w:ascii="Times New Roman"/>
                <w:snapToGrid w:val="0"/>
                <w:color w:val="000000"/>
                <w:kern w:val="21"/>
                <w:sz w:val="24"/>
                <w:szCs w:val="24"/>
              </w:rPr>
            </w:pPr>
          </w:p>
        </w:tc>
        <w:tc>
          <w:tcPr>
            <w:tcW w:w="472" w:type="pct"/>
            <w:vAlign w:val="center"/>
          </w:tcPr>
          <w:p>
            <w:pPr>
              <w:jc w:val="center"/>
              <w:rPr>
                <w:color w:val="000000"/>
                <w:sz w:val="24"/>
              </w:rPr>
            </w:pPr>
            <w:r>
              <w:rPr>
                <w:color w:val="000000"/>
                <w:sz w:val="24"/>
              </w:rPr>
              <w:t>NH</w:t>
            </w:r>
            <w:r>
              <w:rPr>
                <w:color w:val="000000"/>
                <w:sz w:val="24"/>
                <w:vertAlign w:val="subscript"/>
              </w:rPr>
              <w:t>3</w:t>
            </w:r>
            <w:r>
              <w:rPr>
                <w:color w:val="000000"/>
                <w:sz w:val="24"/>
              </w:rPr>
              <w:t>-N</w:t>
            </w:r>
          </w:p>
        </w:tc>
        <w:tc>
          <w:tcPr>
            <w:tcW w:w="577" w:type="pct"/>
            <w:vAlign w:val="center"/>
          </w:tcPr>
          <w:p>
            <w:pPr>
              <w:pStyle w:val="140"/>
            </w:pPr>
            <w:r>
              <w:t>1.3029</w:t>
            </w:r>
          </w:p>
        </w:tc>
        <w:tc>
          <w:tcPr>
            <w:tcW w:w="578" w:type="pct"/>
            <w:vAlign w:val="center"/>
          </w:tcPr>
          <w:p>
            <w:pPr>
              <w:pStyle w:val="140"/>
            </w:pPr>
            <w:r>
              <w:rPr>
                <w:rFonts w:hint="eastAsia"/>
              </w:rPr>
              <w:t>11.2398</w:t>
            </w:r>
          </w:p>
        </w:tc>
        <w:tc>
          <w:tcPr>
            <w:tcW w:w="578" w:type="pct"/>
            <w:vAlign w:val="center"/>
          </w:tcPr>
          <w:p>
            <w:pPr>
              <w:pStyle w:val="140"/>
            </w:pPr>
            <w:r>
              <w:rPr>
                <w:rFonts w:hint="eastAsia"/>
              </w:rPr>
              <w:t>4</w:t>
            </w:r>
            <w:r>
              <w:t>.4959</w:t>
            </w:r>
          </w:p>
        </w:tc>
        <w:tc>
          <w:tcPr>
            <w:tcW w:w="577" w:type="pct"/>
            <w:vAlign w:val="center"/>
          </w:tcPr>
          <w:p>
            <w:pPr>
              <w:pStyle w:val="134"/>
              <w:spacing w:beforeLines="0" w:afterLines="0" w:line="240" w:lineRule="auto"/>
              <w:rPr>
                <w:rFonts w:ascii="Times New Roman"/>
                <w:snapToGrid w:val="0"/>
                <w:color w:val="000000"/>
                <w:kern w:val="21"/>
                <w:sz w:val="24"/>
                <w:szCs w:val="24"/>
              </w:rPr>
            </w:pPr>
            <w:r>
              <w:rPr>
                <w:rFonts w:hint="eastAsia" w:ascii="Times New Roman"/>
                <w:snapToGrid w:val="0"/>
                <w:color w:val="000000"/>
                <w:kern w:val="21"/>
                <w:sz w:val="24"/>
                <w:szCs w:val="24"/>
              </w:rPr>
              <w:t>0</w:t>
            </w:r>
          </w:p>
        </w:tc>
        <w:tc>
          <w:tcPr>
            <w:tcW w:w="578" w:type="pct"/>
            <w:vAlign w:val="center"/>
          </w:tcPr>
          <w:p>
            <w:pPr>
              <w:widowControl/>
              <w:jc w:val="center"/>
              <w:rPr>
                <w:color w:val="000000"/>
                <w:kern w:val="0"/>
                <w:sz w:val="24"/>
              </w:rPr>
            </w:pPr>
            <w:r>
              <w:rPr>
                <w:rFonts w:hint="eastAsia"/>
                <w:color w:val="000000"/>
                <w:kern w:val="0"/>
                <w:sz w:val="24"/>
              </w:rPr>
              <w:t>0</w:t>
            </w:r>
          </w:p>
        </w:tc>
        <w:tc>
          <w:tcPr>
            <w:tcW w:w="578" w:type="pct"/>
            <w:vAlign w:val="center"/>
          </w:tcPr>
          <w:p>
            <w:pPr>
              <w:pStyle w:val="140"/>
            </w:pPr>
            <w:r>
              <w:rPr>
                <w:rFonts w:hint="eastAsia"/>
              </w:rPr>
              <w:t>4</w:t>
            </w:r>
            <w:r>
              <w:t>.4959</w:t>
            </w:r>
          </w:p>
        </w:tc>
        <w:tc>
          <w:tcPr>
            <w:tcW w:w="578" w:type="pct"/>
            <w:vAlign w:val="center"/>
          </w:tcPr>
          <w:p>
            <w:pPr>
              <w:jc w:val="center"/>
              <w:rPr>
                <w:color w:val="000000"/>
                <w:sz w:val="24"/>
              </w:rPr>
            </w:pPr>
            <w:r>
              <w:rPr>
                <w:rFonts w:hint="eastAsia"/>
                <w:color w:val="000000"/>
                <w:sz w:val="24"/>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3" w:type="pct"/>
            <w:vMerge w:val="continue"/>
            <w:vAlign w:val="center"/>
          </w:tcPr>
          <w:p>
            <w:pPr>
              <w:pStyle w:val="134"/>
              <w:spacing w:beforeLines="0" w:afterLines="0" w:line="240" w:lineRule="auto"/>
              <w:rPr>
                <w:rFonts w:ascii="Times New Roman"/>
                <w:snapToGrid w:val="0"/>
                <w:color w:val="000000"/>
                <w:kern w:val="21"/>
                <w:sz w:val="24"/>
                <w:szCs w:val="24"/>
              </w:rPr>
            </w:pPr>
          </w:p>
        </w:tc>
        <w:tc>
          <w:tcPr>
            <w:tcW w:w="472" w:type="pct"/>
            <w:vAlign w:val="center"/>
          </w:tcPr>
          <w:p>
            <w:pPr>
              <w:jc w:val="center"/>
              <w:rPr>
                <w:color w:val="000000"/>
                <w:sz w:val="24"/>
              </w:rPr>
            </w:pPr>
            <w:r>
              <w:rPr>
                <w:color w:val="000000"/>
                <w:sz w:val="24"/>
              </w:rPr>
              <w:t>TP</w:t>
            </w:r>
          </w:p>
        </w:tc>
        <w:tc>
          <w:tcPr>
            <w:tcW w:w="577" w:type="pct"/>
            <w:vAlign w:val="center"/>
          </w:tcPr>
          <w:p>
            <w:pPr>
              <w:pStyle w:val="140"/>
            </w:pPr>
            <w:r>
              <w:t>0.0283</w:t>
            </w:r>
          </w:p>
        </w:tc>
        <w:tc>
          <w:tcPr>
            <w:tcW w:w="578" w:type="pct"/>
            <w:vAlign w:val="center"/>
          </w:tcPr>
          <w:p>
            <w:pPr>
              <w:pStyle w:val="140"/>
            </w:pPr>
            <w:r>
              <w:rPr>
                <w:rFonts w:hint="eastAsia"/>
              </w:rPr>
              <w:t>33.7194</w:t>
            </w:r>
          </w:p>
        </w:tc>
        <w:tc>
          <w:tcPr>
            <w:tcW w:w="578" w:type="pct"/>
            <w:vAlign w:val="center"/>
          </w:tcPr>
          <w:p>
            <w:pPr>
              <w:pStyle w:val="140"/>
            </w:pPr>
            <w:r>
              <w:rPr>
                <w:rFonts w:hint="eastAsia"/>
              </w:rPr>
              <w:t>3</w:t>
            </w:r>
            <w:r>
              <w:t>3.7194</w:t>
            </w:r>
          </w:p>
        </w:tc>
        <w:tc>
          <w:tcPr>
            <w:tcW w:w="577" w:type="pct"/>
            <w:vAlign w:val="center"/>
          </w:tcPr>
          <w:p>
            <w:pPr>
              <w:pStyle w:val="134"/>
              <w:spacing w:beforeLines="0" w:afterLines="0" w:line="240" w:lineRule="auto"/>
              <w:rPr>
                <w:rFonts w:ascii="Times New Roman"/>
                <w:snapToGrid w:val="0"/>
                <w:color w:val="000000"/>
                <w:kern w:val="21"/>
                <w:sz w:val="24"/>
                <w:szCs w:val="24"/>
              </w:rPr>
            </w:pPr>
            <w:r>
              <w:rPr>
                <w:rFonts w:hint="eastAsia" w:ascii="Times New Roman"/>
                <w:snapToGrid w:val="0"/>
                <w:color w:val="000000"/>
                <w:kern w:val="21"/>
                <w:sz w:val="24"/>
                <w:szCs w:val="24"/>
              </w:rPr>
              <w:t>0</w:t>
            </w:r>
          </w:p>
        </w:tc>
        <w:tc>
          <w:tcPr>
            <w:tcW w:w="578" w:type="pct"/>
            <w:vAlign w:val="center"/>
          </w:tcPr>
          <w:p>
            <w:pPr>
              <w:widowControl/>
              <w:jc w:val="center"/>
              <w:rPr>
                <w:color w:val="000000"/>
                <w:kern w:val="0"/>
                <w:sz w:val="24"/>
              </w:rPr>
            </w:pPr>
            <w:r>
              <w:rPr>
                <w:rFonts w:hint="eastAsia"/>
                <w:color w:val="000000"/>
                <w:kern w:val="0"/>
                <w:sz w:val="24"/>
              </w:rPr>
              <w:t>0</w:t>
            </w:r>
          </w:p>
        </w:tc>
        <w:tc>
          <w:tcPr>
            <w:tcW w:w="578" w:type="pct"/>
            <w:vAlign w:val="center"/>
          </w:tcPr>
          <w:p>
            <w:pPr>
              <w:pStyle w:val="140"/>
            </w:pPr>
            <w:r>
              <w:rPr>
                <w:rFonts w:hint="eastAsia"/>
              </w:rPr>
              <w:t>3</w:t>
            </w:r>
            <w:r>
              <w:t>3.7194</w:t>
            </w:r>
          </w:p>
        </w:tc>
        <w:tc>
          <w:tcPr>
            <w:tcW w:w="578" w:type="pct"/>
            <w:vAlign w:val="center"/>
          </w:tcPr>
          <w:p>
            <w:pPr>
              <w:jc w:val="center"/>
              <w:rPr>
                <w:color w:val="000000"/>
                <w:sz w:val="24"/>
              </w:rPr>
            </w:pPr>
            <w:r>
              <w:rPr>
                <w:rFonts w:hint="eastAsia"/>
                <w:color w:val="000000"/>
                <w:sz w:val="24"/>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3" w:type="pct"/>
            <w:vMerge w:val="continue"/>
            <w:vAlign w:val="center"/>
          </w:tcPr>
          <w:p>
            <w:pPr>
              <w:pStyle w:val="134"/>
              <w:spacing w:beforeLines="0" w:afterLines="0" w:line="240" w:lineRule="auto"/>
              <w:rPr>
                <w:rFonts w:ascii="Times New Roman"/>
                <w:snapToGrid w:val="0"/>
                <w:color w:val="000000"/>
                <w:kern w:val="21"/>
                <w:sz w:val="24"/>
                <w:szCs w:val="24"/>
              </w:rPr>
            </w:pPr>
          </w:p>
        </w:tc>
        <w:tc>
          <w:tcPr>
            <w:tcW w:w="472" w:type="pct"/>
            <w:vAlign w:val="center"/>
          </w:tcPr>
          <w:p>
            <w:pPr>
              <w:jc w:val="center"/>
              <w:rPr>
                <w:color w:val="000000"/>
                <w:sz w:val="24"/>
              </w:rPr>
            </w:pPr>
            <w:r>
              <w:rPr>
                <w:color w:val="000000"/>
                <w:sz w:val="24"/>
              </w:rPr>
              <w:t>TN</w:t>
            </w:r>
          </w:p>
        </w:tc>
        <w:tc>
          <w:tcPr>
            <w:tcW w:w="577" w:type="pct"/>
            <w:vAlign w:val="center"/>
          </w:tcPr>
          <w:p>
            <w:pPr>
              <w:pStyle w:val="140"/>
            </w:pPr>
            <w:r>
              <w:t>0.0125</w:t>
            </w:r>
          </w:p>
        </w:tc>
        <w:tc>
          <w:tcPr>
            <w:tcW w:w="578" w:type="pct"/>
            <w:vAlign w:val="center"/>
          </w:tcPr>
          <w:p>
            <w:pPr>
              <w:pStyle w:val="140"/>
            </w:pPr>
            <w:r>
              <w:rPr>
                <w:rFonts w:hint="eastAsia"/>
              </w:rPr>
              <w:t>1.1240</w:t>
            </w:r>
          </w:p>
        </w:tc>
        <w:tc>
          <w:tcPr>
            <w:tcW w:w="578" w:type="pct"/>
            <w:vAlign w:val="center"/>
          </w:tcPr>
          <w:p>
            <w:pPr>
              <w:pStyle w:val="140"/>
            </w:pPr>
            <w:r>
              <w:rPr>
                <w:rFonts w:hint="eastAsia"/>
              </w:rPr>
              <w:t>0</w:t>
            </w:r>
            <w:r>
              <w:t>.8992</w:t>
            </w:r>
          </w:p>
        </w:tc>
        <w:tc>
          <w:tcPr>
            <w:tcW w:w="577" w:type="pct"/>
            <w:vAlign w:val="center"/>
          </w:tcPr>
          <w:p>
            <w:pPr>
              <w:pStyle w:val="134"/>
              <w:spacing w:beforeLines="0" w:afterLines="0" w:line="240" w:lineRule="auto"/>
              <w:rPr>
                <w:rFonts w:ascii="Times New Roman"/>
                <w:snapToGrid w:val="0"/>
                <w:color w:val="000000"/>
                <w:kern w:val="21"/>
                <w:sz w:val="24"/>
                <w:szCs w:val="24"/>
              </w:rPr>
            </w:pPr>
            <w:r>
              <w:rPr>
                <w:rFonts w:hint="eastAsia" w:ascii="Times New Roman"/>
                <w:snapToGrid w:val="0"/>
                <w:color w:val="000000"/>
                <w:kern w:val="21"/>
                <w:sz w:val="24"/>
                <w:szCs w:val="24"/>
              </w:rPr>
              <w:t>0</w:t>
            </w:r>
          </w:p>
        </w:tc>
        <w:tc>
          <w:tcPr>
            <w:tcW w:w="578" w:type="pct"/>
            <w:vAlign w:val="center"/>
          </w:tcPr>
          <w:p>
            <w:pPr>
              <w:widowControl/>
              <w:jc w:val="center"/>
              <w:rPr>
                <w:bCs/>
                <w:color w:val="000000"/>
                <w:kern w:val="0"/>
                <w:sz w:val="24"/>
              </w:rPr>
            </w:pPr>
            <w:r>
              <w:rPr>
                <w:rFonts w:hint="eastAsia"/>
                <w:bCs/>
                <w:color w:val="000000"/>
                <w:kern w:val="0"/>
                <w:sz w:val="24"/>
              </w:rPr>
              <w:t>0</w:t>
            </w:r>
          </w:p>
        </w:tc>
        <w:tc>
          <w:tcPr>
            <w:tcW w:w="578" w:type="pct"/>
            <w:vAlign w:val="center"/>
          </w:tcPr>
          <w:p>
            <w:pPr>
              <w:pStyle w:val="140"/>
            </w:pPr>
            <w:r>
              <w:rPr>
                <w:rFonts w:hint="eastAsia"/>
              </w:rPr>
              <w:t>0</w:t>
            </w:r>
            <w:r>
              <w:t>.8992</w:t>
            </w:r>
          </w:p>
        </w:tc>
        <w:tc>
          <w:tcPr>
            <w:tcW w:w="578" w:type="pct"/>
            <w:vAlign w:val="center"/>
          </w:tcPr>
          <w:p>
            <w:pPr>
              <w:jc w:val="center"/>
              <w:rPr>
                <w:color w:val="000000"/>
                <w:sz w:val="24"/>
              </w:rPr>
            </w:pPr>
            <w:r>
              <w:rPr>
                <w:rFonts w:hint="eastAsia"/>
                <w:color w:val="000000"/>
                <w:sz w:val="24"/>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3" w:type="pct"/>
            <w:vMerge w:val="continue"/>
            <w:vAlign w:val="center"/>
          </w:tcPr>
          <w:p>
            <w:pPr>
              <w:pStyle w:val="134"/>
              <w:spacing w:beforeLines="0" w:afterLines="0" w:line="240" w:lineRule="auto"/>
              <w:rPr>
                <w:rFonts w:ascii="Times New Roman"/>
                <w:snapToGrid w:val="0"/>
                <w:color w:val="000000"/>
                <w:kern w:val="21"/>
                <w:sz w:val="24"/>
                <w:szCs w:val="24"/>
              </w:rPr>
            </w:pPr>
          </w:p>
        </w:tc>
        <w:tc>
          <w:tcPr>
            <w:tcW w:w="472" w:type="pct"/>
            <w:vAlign w:val="center"/>
          </w:tcPr>
          <w:p>
            <w:pPr>
              <w:jc w:val="center"/>
              <w:rPr>
                <w:color w:val="000000"/>
                <w:sz w:val="24"/>
              </w:rPr>
            </w:pPr>
            <w:r>
              <w:rPr>
                <w:color w:val="000000"/>
                <w:sz w:val="24"/>
              </w:rPr>
              <w:t>水量</w:t>
            </w:r>
          </w:p>
          <w:p>
            <w:pPr>
              <w:jc w:val="center"/>
              <w:rPr>
                <w:color w:val="000000"/>
                <w:sz w:val="24"/>
              </w:rPr>
            </w:pPr>
            <w:r>
              <w:rPr>
                <w:rFonts w:hint="eastAsia"/>
                <w:color w:val="000000"/>
                <w:sz w:val="24"/>
              </w:rPr>
              <w:t>（万吨/a）</w:t>
            </w:r>
          </w:p>
        </w:tc>
        <w:tc>
          <w:tcPr>
            <w:tcW w:w="577" w:type="pct"/>
            <w:vAlign w:val="center"/>
          </w:tcPr>
          <w:p>
            <w:pPr>
              <w:pStyle w:val="140"/>
            </w:pPr>
            <w:r>
              <w:t>204.0060</w:t>
            </w:r>
          </w:p>
        </w:tc>
        <w:tc>
          <w:tcPr>
            <w:tcW w:w="578" w:type="pct"/>
            <w:vAlign w:val="center"/>
          </w:tcPr>
          <w:p>
            <w:pPr>
              <w:pStyle w:val="140"/>
            </w:pPr>
            <w:r>
              <w:t>224.796</w:t>
            </w:r>
          </w:p>
        </w:tc>
        <w:tc>
          <w:tcPr>
            <w:tcW w:w="578" w:type="pct"/>
            <w:vAlign w:val="center"/>
          </w:tcPr>
          <w:p>
            <w:pPr>
              <w:pStyle w:val="140"/>
            </w:pPr>
            <w:r>
              <w:t>224.796</w:t>
            </w:r>
          </w:p>
        </w:tc>
        <w:tc>
          <w:tcPr>
            <w:tcW w:w="577" w:type="pct"/>
            <w:vAlign w:val="center"/>
          </w:tcPr>
          <w:p>
            <w:pPr>
              <w:pStyle w:val="134"/>
              <w:spacing w:beforeLines="0" w:afterLines="0" w:line="240" w:lineRule="auto"/>
              <w:rPr>
                <w:rFonts w:ascii="Times New Roman"/>
                <w:snapToGrid w:val="0"/>
                <w:color w:val="000000"/>
                <w:kern w:val="21"/>
                <w:sz w:val="24"/>
                <w:szCs w:val="24"/>
              </w:rPr>
            </w:pPr>
            <w:r>
              <w:rPr>
                <w:rFonts w:hint="eastAsia" w:ascii="Times New Roman"/>
                <w:snapToGrid w:val="0"/>
                <w:color w:val="000000"/>
                <w:kern w:val="21"/>
                <w:sz w:val="24"/>
                <w:szCs w:val="24"/>
              </w:rPr>
              <w:t>0</w:t>
            </w:r>
          </w:p>
        </w:tc>
        <w:tc>
          <w:tcPr>
            <w:tcW w:w="578" w:type="pct"/>
            <w:vAlign w:val="center"/>
          </w:tcPr>
          <w:p>
            <w:pPr>
              <w:widowControl/>
              <w:jc w:val="center"/>
              <w:rPr>
                <w:color w:val="000000"/>
                <w:kern w:val="0"/>
                <w:sz w:val="24"/>
              </w:rPr>
            </w:pPr>
            <w:r>
              <w:rPr>
                <w:rFonts w:hint="eastAsia"/>
                <w:color w:val="000000"/>
                <w:kern w:val="0"/>
                <w:sz w:val="24"/>
              </w:rPr>
              <w:t>0</w:t>
            </w:r>
          </w:p>
        </w:tc>
        <w:tc>
          <w:tcPr>
            <w:tcW w:w="578" w:type="pct"/>
            <w:vAlign w:val="center"/>
          </w:tcPr>
          <w:p>
            <w:pPr>
              <w:pStyle w:val="140"/>
            </w:pPr>
            <w:r>
              <w:t>224.796</w:t>
            </w:r>
          </w:p>
        </w:tc>
        <w:tc>
          <w:tcPr>
            <w:tcW w:w="578" w:type="pct"/>
            <w:vAlign w:val="center"/>
          </w:tcPr>
          <w:p>
            <w:pPr>
              <w:jc w:val="center"/>
              <w:rPr>
                <w:color w:val="000000"/>
                <w:sz w:val="24"/>
              </w:rPr>
            </w:pPr>
            <w:r>
              <w:rPr>
                <w:rFonts w:hint="eastAsia"/>
                <w:color w:val="000000"/>
                <w:sz w:val="24"/>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3" w:type="pct"/>
            <w:vMerge w:val="restart"/>
            <w:vAlign w:val="center"/>
          </w:tcPr>
          <w:p>
            <w:pPr>
              <w:pStyle w:val="134"/>
              <w:spacing w:beforeLines="0" w:afterLines="0" w:line="240" w:lineRule="auto"/>
              <w:rPr>
                <w:rFonts w:ascii="Times New Roman"/>
                <w:snapToGrid w:val="0"/>
                <w:color w:val="000000"/>
                <w:kern w:val="21"/>
                <w:sz w:val="24"/>
                <w:szCs w:val="24"/>
              </w:rPr>
            </w:pPr>
            <w:r>
              <w:rPr>
                <w:rFonts w:ascii="Times New Roman"/>
                <w:snapToGrid w:val="0"/>
                <w:color w:val="000000"/>
                <w:kern w:val="21"/>
                <w:sz w:val="24"/>
                <w:szCs w:val="24"/>
              </w:rPr>
              <w:t>一般工业固体废物</w:t>
            </w:r>
          </w:p>
        </w:tc>
        <w:tc>
          <w:tcPr>
            <w:tcW w:w="472" w:type="pct"/>
            <w:vAlign w:val="center"/>
          </w:tcPr>
          <w:p>
            <w:pPr>
              <w:pStyle w:val="140"/>
              <w:rPr>
                <w:color w:val="000000"/>
                <w:spacing w:val="-8"/>
                <w:sz w:val="24"/>
                <w:szCs w:val="24"/>
              </w:rPr>
            </w:pPr>
            <w:r>
              <w:rPr>
                <w:color w:val="000000"/>
                <w:spacing w:val="-8"/>
                <w:sz w:val="24"/>
                <w:szCs w:val="24"/>
              </w:rPr>
              <w:t>废</w:t>
            </w:r>
            <w:r>
              <w:rPr>
                <w:rFonts w:hint="eastAsia"/>
                <w:color w:val="000000"/>
                <w:spacing w:val="-8"/>
                <w:sz w:val="24"/>
                <w:szCs w:val="24"/>
              </w:rPr>
              <w:t>抹布</w:t>
            </w:r>
          </w:p>
        </w:tc>
        <w:tc>
          <w:tcPr>
            <w:tcW w:w="577" w:type="pct"/>
            <w:vAlign w:val="center"/>
          </w:tcPr>
          <w:p>
            <w:pPr>
              <w:pStyle w:val="185"/>
              <w:rPr>
                <w:kern w:val="2"/>
                <w:sz w:val="24"/>
                <w:szCs w:val="24"/>
              </w:rPr>
            </w:pPr>
            <w:r>
              <w:rPr>
                <w:rFonts w:hint="eastAsia"/>
                <w:kern w:val="2"/>
                <w:sz w:val="24"/>
                <w:szCs w:val="24"/>
              </w:rPr>
              <w:t>0</w:t>
            </w:r>
          </w:p>
        </w:tc>
        <w:tc>
          <w:tcPr>
            <w:tcW w:w="578" w:type="pct"/>
            <w:vAlign w:val="center"/>
          </w:tcPr>
          <w:p>
            <w:pPr>
              <w:pStyle w:val="134"/>
              <w:spacing w:beforeLines="0" w:afterLines="0" w:line="240" w:lineRule="auto"/>
              <w:rPr>
                <w:rFonts w:ascii="Times New Roman"/>
                <w:snapToGrid w:val="0"/>
                <w:color w:val="000000"/>
                <w:kern w:val="21"/>
                <w:sz w:val="24"/>
                <w:szCs w:val="24"/>
              </w:rPr>
            </w:pPr>
            <w:r>
              <w:rPr>
                <w:rFonts w:hint="eastAsia" w:ascii="Times New Roman"/>
                <w:snapToGrid w:val="0"/>
                <w:color w:val="000000"/>
                <w:kern w:val="21"/>
                <w:sz w:val="24"/>
                <w:szCs w:val="24"/>
              </w:rPr>
              <w:t>/</w:t>
            </w:r>
          </w:p>
        </w:tc>
        <w:tc>
          <w:tcPr>
            <w:tcW w:w="578" w:type="pct"/>
            <w:vAlign w:val="center"/>
          </w:tcPr>
          <w:p>
            <w:pPr>
              <w:pStyle w:val="134"/>
              <w:spacing w:beforeLines="0" w:afterLines="0" w:line="240" w:lineRule="auto"/>
              <w:rPr>
                <w:rFonts w:ascii="Times New Roman"/>
                <w:snapToGrid w:val="0"/>
                <w:color w:val="000000"/>
                <w:kern w:val="21"/>
                <w:sz w:val="24"/>
                <w:szCs w:val="24"/>
              </w:rPr>
            </w:pPr>
            <w:r>
              <w:rPr>
                <w:rFonts w:hint="eastAsia" w:ascii="Times New Roman"/>
                <w:snapToGrid w:val="0"/>
                <w:color w:val="000000"/>
                <w:kern w:val="21"/>
                <w:sz w:val="24"/>
                <w:szCs w:val="24"/>
              </w:rPr>
              <w:t>0</w:t>
            </w:r>
          </w:p>
        </w:tc>
        <w:tc>
          <w:tcPr>
            <w:tcW w:w="577" w:type="pct"/>
            <w:vAlign w:val="center"/>
          </w:tcPr>
          <w:p>
            <w:pPr>
              <w:jc w:val="center"/>
              <w:rPr>
                <w:color w:val="000000"/>
                <w:sz w:val="24"/>
              </w:rPr>
            </w:pPr>
            <w:r>
              <w:rPr>
                <w:rFonts w:hint="eastAsia"/>
                <w:color w:val="000000"/>
                <w:sz w:val="24"/>
              </w:rPr>
              <w:t>1</w:t>
            </w:r>
          </w:p>
        </w:tc>
        <w:tc>
          <w:tcPr>
            <w:tcW w:w="578" w:type="pct"/>
            <w:vAlign w:val="center"/>
          </w:tcPr>
          <w:p>
            <w:pPr>
              <w:pStyle w:val="134"/>
              <w:spacing w:beforeLines="0" w:afterLines="0" w:line="240" w:lineRule="auto"/>
              <w:rPr>
                <w:rFonts w:ascii="Times New Roman"/>
                <w:snapToGrid w:val="0"/>
                <w:color w:val="000000"/>
                <w:kern w:val="21"/>
                <w:sz w:val="24"/>
                <w:szCs w:val="24"/>
              </w:rPr>
            </w:pPr>
            <w:r>
              <w:rPr>
                <w:rFonts w:hint="eastAsia" w:ascii="Times New Roman"/>
                <w:snapToGrid w:val="0"/>
                <w:color w:val="000000"/>
                <w:kern w:val="21"/>
                <w:sz w:val="24"/>
                <w:szCs w:val="24"/>
              </w:rPr>
              <w:t>0</w:t>
            </w:r>
          </w:p>
        </w:tc>
        <w:tc>
          <w:tcPr>
            <w:tcW w:w="578" w:type="pct"/>
            <w:vAlign w:val="center"/>
          </w:tcPr>
          <w:p>
            <w:pPr>
              <w:jc w:val="center"/>
              <w:rPr>
                <w:color w:val="000000"/>
                <w:sz w:val="24"/>
              </w:rPr>
            </w:pPr>
            <w:r>
              <w:rPr>
                <w:rFonts w:hint="eastAsia"/>
                <w:color w:val="000000"/>
                <w:sz w:val="24"/>
              </w:rPr>
              <w:t>1</w:t>
            </w:r>
          </w:p>
        </w:tc>
        <w:tc>
          <w:tcPr>
            <w:tcW w:w="578" w:type="pct"/>
            <w:vAlign w:val="center"/>
          </w:tcPr>
          <w:p>
            <w:pPr>
              <w:jc w:val="center"/>
              <w:rPr>
                <w:color w:val="000000"/>
                <w:sz w:val="24"/>
              </w:rPr>
            </w:pPr>
            <w:r>
              <w:rPr>
                <w:rFonts w:hint="eastAsia"/>
                <w:color w:val="000000"/>
                <w:sz w:val="24"/>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3" w:type="pct"/>
            <w:vMerge w:val="continue"/>
            <w:vAlign w:val="center"/>
          </w:tcPr>
          <w:p>
            <w:pPr>
              <w:pStyle w:val="134"/>
              <w:spacing w:beforeLines="0" w:afterLines="0" w:line="240" w:lineRule="auto"/>
              <w:rPr>
                <w:rFonts w:ascii="Times New Roman"/>
                <w:snapToGrid w:val="0"/>
                <w:color w:val="000000"/>
                <w:kern w:val="21"/>
                <w:sz w:val="24"/>
                <w:szCs w:val="24"/>
              </w:rPr>
            </w:pPr>
          </w:p>
        </w:tc>
        <w:tc>
          <w:tcPr>
            <w:tcW w:w="472" w:type="pct"/>
            <w:vAlign w:val="center"/>
          </w:tcPr>
          <w:p>
            <w:pPr>
              <w:pStyle w:val="140"/>
              <w:rPr>
                <w:color w:val="000000"/>
                <w:spacing w:val="-8"/>
                <w:sz w:val="24"/>
                <w:szCs w:val="24"/>
              </w:rPr>
            </w:pPr>
            <w:r>
              <w:rPr>
                <w:color w:val="000000"/>
                <w:spacing w:val="-8"/>
                <w:sz w:val="24"/>
                <w:szCs w:val="24"/>
              </w:rPr>
              <w:t>废包装袋</w:t>
            </w:r>
          </w:p>
        </w:tc>
        <w:tc>
          <w:tcPr>
            <w:tcW w:w="577" w:type="pct"/>
            <w:vAlign w:val="center"/>
          </w:tcPr>
          <w:p>
            <w:pPr>
              <w:pStyle w:val="185"/>
              <w:rPr>
                <w:kern w:val="2"/>
                <w:sz w:val="24"/>
                <w:szCs w:val="24"/>
              </w:rPr>
            </w:pPr>
            <w:r>
              <w:rPr>
                <w:rFonts w:hint="eastAsia"/>
                <w:kern w:val="2"/>
                <w:sz w:val="24"/>
                <w:szCs w:val="24"/>
              </w:rPr>
              <w:t>0</w:t>
            </w:r>
          </w:p>
        </w:tc>
        <w:tc>
          <w:tcPr>
            <w:tcW w:w="578" w:type="pct"/>
            <w:vAlign w:val="center"/>
          </w:tcPr>
          <w:p>
            <w:pPr>
              <w:pStyle w:val="134"/>
              <w:spacing w:beforeLines="0" w:afterLines="0" w:line="240" w:lineRule="auto"/>
              <w:rPr>
                <w:rFonts w:ascii="Times New Roman"/>
                <w:snapToGrid w:val="0"/>
                <w:color w:val="000000"/>
                <w:kern w:val="21"/>
                <w:sz w:val="24"/>
                <w:szCs w:val="24"/>
              </w:rPr>
            </w:pPr>
            <w:r>
              <w:rPr>
                <w:rFonts w:hint="eastAsia" w:ascii="Times New Roman"/>
                <w:snapToGrid w:val="0"/>
                <w:color w:val="000000"/>
                <w:kern w:val="21"/>
                <w:sz w:val="24"/>
                <w:szCs w:val="24"/>
              </w:rPr>
              <w:t>/</w:t>
            </w:r>
          </w:p>
        </w:tc>
        <w:tc>
          <w:tcPr>
            <w:tcW w:w="578" w:type="pct"/>
            <w:vAlign w:val="center"/>
          </w:tcPr>
          <w:p>
            <w:pPr>
              <w:pStyle w:val="134"/>
              <w:spacing w:beforeLines="0" w:afterLines="0" w:line="240" w:lineRule="auto"/>
              <w:rPr>
                <w:rFonts w:ascii="Times New Roman"/>
                <w:snapToGrid w:val="0"/>
                <w:color w:val="000000"/>
                <w:kern w:val="21"/>
                <w:sz w:val="24"/>
                <w:szCs w:val="24"/>
              </w:rPr>
            </w:pPr>
            <w:r>
              <w:rPr>
                <w:rFonts w:hint="eastAsia" w:ascii="Times New Roman"/>
                <w:snapToGrid w:val="0"/>
                <w:color w:val="000000"/>
                <w:kern w:val="21"/>
                <w:sz w:val="24"/>
                <w:szCs w:val="24"/>
              </w:rPr>
              <w:t>0</w:t>
            </w:r>
          </w:p>
        </w:tc>
        <w:tc>
          <w:tcPr>
            <w:tcW w:w="577" w:type="pct"/>
            <w:vAlign w:val="center"/>
          </w:tcPr>
          <w:p>
            <w:pPr>
              <w:jc w:val="center"/>
              <w:rPr>
                <w:color w:val="000000"/>
                <w:sz w:val="24"/>
              </w:rPr>
            </w:pPr>
            <w:r>
              <w:rPr>
                <w:rFonts w:hint="eastAsia"/>
                <w:color w:val="000000"/>
                <w:sz w:val="24"/>
              </w:rPr>
              <w:t>4</w:t>
            </w:r>
          </w:p>
        </w:tc>
        <w:tc>
          <w:tcPr>
            <w:tcW w:w="578" w:type="pct"/>
            <w:vAlign w:val="center"/>
          </w:tcPr>
          <w:p>
            <w:pPr>
              <w:pStyle w:val="134"/>
              <w:spacing w:beforeLines="0" w:afterLines="0" w:line="240" w:lineRule="auto"/>
              <w:rPr>
                <w:rFonts w:ascii="Times New Roman"/>
                <w:snapToGrid w:val="0"/>
                <w:color w:val="000000"/>
                <w:kern w:val="21"/>
                <w:sz w:val="24"/>
                <w:szCs w:val="24"/>
              </w:rPr>
            </w:pPr>
            <w:r>
              <w:rPr>
                <w:rFonts w:hint="eastAsia" w:ascii="Times New Roman"/>
                <w:snapToGrid w:val="0"/>
                <w:color w:val="000000"/>
                <w:kern w:val="21"/>
                <w:sz w:val="24"/>
                <w:szCs w:val="24"/>
              </w:rPr>
              <w:t>0</w:t>
            </w:r>
          </w:p>
        </w:tc>
        <w:tc>
          <w:tcPr>
            <w:tcW w:w="578" w:type="pct"/>
            <w:vAlign w:val="center"/>
          </w:tcPr>
          <w:p>
            <w:pPr>
              <w:jc w:val="center"/>
              <w:rPr>
                <w:color w:val="000000"/>
                <w:sz w:val="24"/>
              </w:rPr>
            </w:pPr>
            <w:r>
              <w:rPr>
                <w:rFonts w:hint="eastAsia"/>
                <w:color w:val="000000"/>
                <w:sz w:val="24"/>
              </w:rPr>
              <w:t>4</w:t>
            </w:r>
          </w:p>
        </w:tc>
        <w:tc>
          <w:tcPr>
            <w:tcW w:w="578" w:type="pct"/>
            <w:vAlign w:val="center"/>
          </w:tcPr>
          <w:p>
            <w:pPr>
              <w:jc w:val="center"/>
              <w:rPr>
                <w:color w:val="000000"/>
                <w:sz w:val="24"/>
              </w:rPr>
            </w:pPr>
            <w:r>
              <w:rPr>
                <w:rFonts w:hint="eastAsia"/>
                <w:color w:val="000000"/>
                <w:sz w:val="24"/>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3" w:type="pct"/>
            <w:vMerge w:val="continue"/>
            <w:vAlign w:val="center"/>
          </w:tcPr>
          <w:p>
            <w:pPr>
              <w:pStyle w:val="134"/>
              <w:spacing w:beforeLines="0" w:afterLines="0" w:line="240" w:lineRule="auto"/>
              <w:rPr>
                <w:rFonts w:ascii="Times New Roman"/>
                <w:snapToGrid w:val="0"/>
                <w:color w:val="000000"/>
                <w:kern w:val="21"/>
                <w:sz w:val="24"/>
                <w:szCs w:val="24"/>
              </w:rPr>
            </w:pPr>
          </w:p>
        </w:tc>
        <w:tc>
          <w:tcPr>
            <w:tcW w:w="472" w:type="pct"/>
            <w:vAlign w:val="center"/>
          </w:tcPr>
          <w:p>
            <w:pPr>
              <w:pStyle w:val="134"/>
              <w:spacing w:beforeLines="0" w:afterLines="0" w:line="240" w:lineRule="auto"/>
              <w:rPr>
                <w:rFonts w:ascii="Times New Roman"/>
                <w:snapToGrid w:val="0"/>
                <w:color w:val="000000"/>
                <w:kern w:val="21"/>
                <w:sz w:val="24"/>
                <w:szCs w:val="24"/>
              </w:rPr>
            </w:pPr>
            <w:r>
              <w:rPr>
                <w:rFonts w:hint="eastAsia" w:ascii="Times New Roman"/>
                <w:snapToGrid w:val="0"/>
                <w:color w:val="000000"/>
                <w:kern w:val="21"/>
                <w:sz w:val="24"/>
                <w:szCs w:val="24"/>
              </w:rPr>
              <w:t>粉尘</w:t>
            </w:r>
          </w:p>
        </w:tc>
        <w:tc>
          <w:tcPr>
            <w:tcW w:w="577" w:type="pct"/>
            <w:vAlign w:val="center"/>
          </w:tcPr>
          <w:p>
            <w:pPr>
              <w:pStyle w:val="134"/>
              <w:spacing w:beforeLines="0" w:afterLines="0" w:line="240" w:lineRule="auto"/>
              <w:rPr>
                <w:rFonts w:ascii="Times New Roman"/>
                <w:snapToGrid w:val="0"/>
                <w:color w:val="000000"/>
                <w:kern w:val="21"/>
                <w:sz w:val="24"/>
                <w:szCs w:val="24"/>
              </w:rPr>
            </w:pPr>
            <w:r>
              <w:rPr>
                <w:rFonts w:hint="eastAsia" w:ascii="Times New Roman"/>
                <w:snapToGrid w:val="0"/>
                <w:color w:val="000000"/>
                <w:kern w:val="21"/>
                <w:sz w:val="24"/>
                <w:szCs w:val="24"/>
              </w:rPr>
              <w:t>0</w:t>
            </w:r>
          </w:p>
        </w:tc>
        <w:tc>
          <w:tcPr>
            <w:tcW w:w="578" w:type="pct"/>
            <w:vAlign w:val="center"/>
          </w:tcPr>
          <w:p>
            <w:pPr>
              <w:pStyle w:val="134"/>
              <w:spacing w:beforeLines="0" w:afterLines="0" w:line="240" w:lineRule="auto"/>
              <w:rPr>
                <w:rFonts w:ascii="Times New Roman"/>
                <w:snapToGrid w:val="0"/>
                <w:color w:val="000000"/>
                <w:kern w:val="21"/>
                <w:sz w:val="24"/>
                <w:szCs w:val="24"/>
              </w:rPr>
            </w:pPr>
            <w:r>
              <w:rPr>
                <w:rFonts w:hint="eastAsia" w:ascii="Times New Roman"/>
                <w:snapToGrid w:val="0"/>
                <w:color w:val="000000"/>
                <w:kern w:val="21"/>
                <w:sz w:val="24"/>
                <w:szCs w:val="24"/>
              </w:rPr>
              <w:t>/</w:t>
            </w:r>
          </w:p>
        </w:tc>
        <w:tc>
          <w:tcPr>
            <w:tcW w:w="578" w:type="pct"/>
            <w:vAlign w:val="center"/>
          </w:tcPr>
          <w:p>
            <w:pPr>
              <w:pStyle w:val="134"/>
              <w:spacing w:beforeLines="0" w:afterLines="0" w:line="240" w:lineRule="auto"/>
              <w:rPr>
                <w:rFonts w:ascii="Times New Roman"/>
                <w:snapToGrid w:val="0"/>
                <w:color w:val="000000"/>
                <w:kern w:val="21"/>
                <w:sz w:val="24"/>
                <w:szCs w:val="24"/>
                <w:highlight w:val="yellow"/>
              </w:rPr>
            </w:pPr>
            <w:r>
              <w:rPr>
                <w:rFonts w:hint="eastAsia" w:ascii="Times New Roman"/>
                <w:snapToGrid w:val="0"/>
                <w:color w:val="000000"/>
                <w:kern w:val="21"/>
                <w:sz w:val="24"/>
                <w:szCs w:val="24"/>
              </w:rPr>
              <w:t>0</w:t>
            </w:r>
          </w:p>
        </w:tc>
        <w:tc>
          <w:tcPr>
            <w:tcW w:w="577" w:type="pct"/>
            <w:vAlign w:val="center"/>
          </w:tcPr>
          <w:p>
            <w:pPr>
              <w:pStyle w:val="134"/>
              <w:spacing w:beforeLines="0" w:afterLines="0" w:line="240" w:lineRule="auto"/>
              <w:rPr>
                <w:rFonts w:ascii="Times New Roman"/>
                <w:snapToGrid w:val="0"/>
                <w:color w:val="000000"/>
                <w:kern w:val="21"/>
                <w:sz w:val="24"/>
                <w:szCs w:val="24"/>
              </w:rPr>
            </w:pPr>
            <w:r>
              <w:rPr>
                <w:rFonts w:hint="eastAsia" w:ascii="Times New Roman"/>
                <w:snapToGrid w:val="0"/>
                <w:color w:val="000000"/>
                <w:kern w:val="21"/>
                <w:sz w:val="24"/>
                <w:szCs w:val="24"/>
              </w:rPr>
              <w:t>19.6247</w:t>
            </w:r>
          </w:p>
        </w:tc>
        <w:tc>
          <w:tcPr>
            <w:tcW w:w="578" w:type="pct"/>
            <w:vAlign w:val="center"/>
          </w:tcPr>
          <w:p>
            <w:pPr>
              <w:pStyle w:val="134"/>
              <w:spacing w:beforeLines="0" w:afterLines="0" w:line="240" w:lineRule="auto"/>
              <w:rPr>
                <w:rFonts w:ascii="Times New Roman"/>
                <w:snapToGrid w:val="0"/>
                <w:color w:val="000000"/>
                <w:kern w:val="21"/>
                <w:sz w:val="24"/>
                <w:szCs w:val="24"/>
                <w:highlight w:val="yellow"/>
              </w:rPr>
            </w:pPr>
            <w:r>
              <w:rPr>
                <w:rFonts w:hint="eastAsia" w:ascii="Times New Roman"/>
                <w:snapToGrid w:val="0"/>
                <w:color w:val="000000"/>
                <w:kern w:val="21"/>
                <w:sz w:val="24"/>
                <w:szCs w:val="24"/>
              </w:rPr>
              <w:t>0</w:t>
            </w:r>
          </w:p>
        </w:tc>
        <w:tc>
          <w:tcPr>
            <w:tcW w:w="578" w:type="pct"/>
            <w:vAlign w:val="center"/>
          </w:tcPr>
          <w:p>
            <w:pPr>
              <w:pStyle w:val="134"/>
              <w:spacing w:beforeLines="0" w:afterLines="0" w:line="240" w:lineRule="auto"/>
              <w:rPr>
                <w:rFonts w:ascii="Times New Roman"/>
                <w:snapToGrid w:val="0"/>
                <w:color w:val="000000"/>
                <w:kern w:val="21"/>
                <w:sz w:val="24"/>
                <w:szCs w:val="24"/>
              </w:rPr>
            </w:pPr>
            <w:r>
              <w:rPr>
                <w:rFonts w:hint="eastAsia" w:ascii="Times New Roman"/>
                <w:snapToGrid w:val="0"/>
                <w:color w:val="000000"/>
                <w:kern w:val="21"/>
                <w:sz w:val="24"/>
                <w:szCs w:val="24"/>
              </w:rPr>
              <w:t>19.6247</w:t>
            </w:r>
          </w:p>
        </w:tc>
        <w:tc>
          <w:tcPr>
            <w:tcW w:w="578" w:type="pct"/>
            <w:vAlign w:val="center"/>
          </w:tcPr>
          <w:p>
            <w:pPr>
              <w:pStyle w:val="134"/>
              <w:spacing w:beforeLines="0" w:afterLines="0" w:line="240" w:lineRule="auto"/>
              <w:rPr>
                <w:rFonts w:ascii="Times New Roman"/>
                <w:snapToGrid w:val="0"/>
                <w:color w:val="000000"/>
                <w:kern w:val="21"/>
                <w:sz w:val="24"/>
                <w:szCs w:val="24"/>
              </w:rPr>
            </w:pPr>
            <w:r>
              <w:rPr>
                <w:rFonts w:hint="eastAsia" w:ascii="Times New Roman"/>
                <w:snapToGrid w:val="0"/>
                <w:color w:val="000000"/>
                <w:kern w:val="21"/>
                <w:sz w:val="24"/>
                <w:szCs w:val="24"/>
              </w:rPr>
              <w:t>+19.6247</w:t>
            </w:r>
          </w:p>
        </w:tc>
      </w:tr>
    </w:tbl>
    <w:p>
      <w:pPr>
        <w:pStyle w:val="29"/>
        <w:widowControl w:val="0"/>
        <w:adjustRightInd w:val="0"/>
        <w:snapToGrid w:val="0"/>
        <w:spacing w:before="0" w:beforeAutospacing="0" w:after="0" w:afterAutospacing="0" w:line="20" w:lineRule="exact"/>
        <w:outlineLvl w:val="0"/>
        <w:rPr>
          <w:color w:val="000000"/>
        </w:rPr>
      </w:pPr>
    </w:p>
    <w:p>
      <w:pPr>
        <w:pStyle w:val="29"/>
        <w:widowControl w:val="0"/>
        <w:adjustRightInd w:val="0"/>
        <w:snapToGrid w:val="0"/>
        <w:spacing w:before="0" w:beforeAutospacing="0" w:after="0" w:afterAutospacing="0" w:line="480" w:lineRule="exact"/>
        <w:outlineLvl w:val="0"/>
        <w:rPr>
          <w:rFonts w:ascii="Times New Roman" w:hAnsi="Times New Roman"/>
          <w:snapToGrid w:val="0"/>
          <w:color w:val="000000"/>
          <w:spacing w:val="-6"/>
          <w:kern w:val="21"/>
          <w:szCs w:val="21"/>
        </w:rPr>
        <w:sectPr>
          <w:footerReference r:id="rId7" w:type="default"/>
          <w:pgSz w:w="16838" w:h="11906" w:orient="landscape"/>
          <w:pgMar w:top="1531" w:right="1701" w:bottom="1531" w:left="1701" w:header="851" w:footer="851" w:gutter="0"/>
          <w:cols w:space="720" w:num="1"/>
          <w:docGrid w:linePitch="312" w:charSpace="0"/>
        </w:sectPr>
      </w:pPr>
      <w:r>
        <w:rPr>
          <w:rFonts w:hint="eastAsia" w:ascii="Times New Roman" w:hAnsi="Times New Roman"/>
          <w:snapToGrid w:val="0"/>
          <w:color w:val="000000"/>
          <w:kern w:val="21"/>
          <w:szCs w:val="21"/>
        </w:rPr>
        <w:t>注：</w:t>
      </w:r>
      <w:r>
        <w:rPr>
          <w:rFonts w:hint="eastAsia" w:ascii="Times New Roman" w:hAnsi="Times New Roman"/>
          <w:snapToGrid w:val="0"/>
          <w:color w:val="000000"/>
          <w:spacing w:val="-16"/>
          <w:kern w:val="21"/>
          <w:szCs w:val="21"/>
        </w:rPr>
        <w:t>⑥</w:t>
      </w:r>
      <w:r>
        <w:rPr>
          <w:rFonts w:ascii="Times New Roman" w:hAnsi="Times New Roman"/>
          <w:snapToGrid w:val="0"/>
          <w:color w:val="000000"/>
          <w:spacing w:val="-16"/>
          <w:kern w:val="21"/>
          <w:szCs w:val="21"/>
        </w:rPr>
        <w:t>=</w:t>
      </w:r>
      <w:r>
        <w:rPr>
          <w:rFonts w:hint="eastAsia" w:ascii="Times New Roman" w:hAnsi="Times New Roman"/>
          <w:snapToGrid w:val="0"/>
          <w:color w:val="000000"/>
          <w:spacing w:val="-6"/>
          <w:kern w:val="21"/>
          <w:szCs w:val="21"/>
        </w:rPr>
        <w:t>①</w:t>
      </w:r>
      <w:r>
        <w:rPr>
          <w:rFonts w:ascii="Times New Roman" w:hAnsi="Times New Roman"/>
          <w:snapToGrid w:val="0"/>
          <w:color w:val="000000"/>
          <w:spacing w:val="-6"/>
          <w:kern w:val="21"/>
          <w:szCs w:val="21"/>
        </w:rPr>
        <w:t>+</w:t>
      </w:r>
      <w:r>
        <w:rPr>
          <w:rFonts w:hint="eastAsia" w:ascii="Times New Roman" w:hAnsi="Times New Roman"/>
          <w:snapToGrid w:val="0"/>
          <w:color w:val="000000"/>
          <w:spacing w:val="-6"/>
          <w:kern w:val="21"/>
          <w:szCs w:val="21"/>
        </w:rPr>
        <w:t>③</w:t>
      </w:r>
      <w:r>
        <w:rPr>
          <w:rFonts w:ascii="Times New Roman" w:hAnsi="Times New Roman"/>
          <w:snapToGrid w:val="0"/>
          <w:color w:val="000000"/>
          <w:spacing w:val="-6"/>
          <w:kern w:val="21"/>
          <w:szCs w:val="21"/>
        </w:rPr>
        <w:t>+</w:t>
      </w:r>
      <w:r>
        <w:rPr>
          <w:rFonts w:hint="eastAsia" w:ascii="Times New Roman" w:hAnsi="Times New Roman"/>
          <w:snapToGrid w:val="0"/>
          <w:color w:val="000000"/>
          <w:spacing w:val="-6"/>
          <w:kern w:val="21"/>
          <w:szCs w:val="21"/>
        </w:rPr>
        <w:t>④</w:t>
      </w:r>
      <w:r>
        <w:rPr>
          <w:rFonts w:ascii="Times New Roman" w:hAnsi="Times New Roman"/>
          <w:snapToGrid w:val="0"/>
          <w:color w:val="000000"/>
          <w:spacing w:val="-6"/>
          <w:kern w:val="21"/>
          <w:szCs w:val="21"/>
        </w:rPr>
        <w:t>-</w:t>
      </w:r>
      <w:r>
        <w:rPr>
          <w:rFonts w:hint="eastAsia" w:ascii="Times New Roman" w:hAnsi="Times New Roman"/>
          <w:snapToGrid w:val="0"/>
          <w:color w:val="000000"/>
          <w:spacing w:val="-16"/>
          <w:kern w:val="21"/>
          <w:szCs w:val="21"/>
        </w:rPr>
        <w:t>⑤；⑦</w:t>
      </w:r>
      <w:r>
        <w:rPr>
          <w:rFonts w:ascii="Times New Roman" w:hAnsi="Times New Roman"/>
          <w:snapToGrid w:val="0"/>
          <w:color w:val="000000"/>
          <w:spacing w:val="-6"/>
          <w:kern w:val="21"/>
          <w:szCs w:val="21"/>
        </w:rPr>
        <w:t>=</w:t>
      </w:r>
      <w:r>
        <w:rPr>
          <w:rFonts w:hint="eastAsia" w:ascii="Times New Roman" w:hAnsi="Times New Roman"/>
          <w:snapToGrid w:val="0"/>
          <w:color w:val="000000"/>
          <w:spacing w:val="-6"/>
          <w:kern w:val="21"/>
          <w:szCs w:val="21"/>
        </w:rPr>
        <w:t>⑥</w:t>
      </w:r>
      <w:r>
        <w:rPr>
          <w:rFonts w:ascii="Times New Roman" w:hAnsi="Times New Roman"/>
          <w:snapToGrid w:val="0"/>
          <w:color w:val="000000"/>
          <w:spacing w:val="-16"/>
          <w:kern w:val="21"/>
          <w:szCs w:val="21"/>
        </w:rPr>
        <w:t>-</w:t>
      </w:r>
      <w:r>
        <w:rPr>
          <w:rFonts w:hint="eastAsia" w:ascii="Times New Roman" w:hAnsi="Times New Roman"/>
          <w:snapToGrid w:val="0"/>
          <w:color w:val="000000"/>
          <w:spacing w:val="-6"/>
          <w:kern w:val="21"/>
          <w:szCs w:val="21"/>
        </w:rPr>
        <w:t>①</w:t>
      </w:r>
    </w:p>
    <w:p>
      <w:pPr>
        <w:pStyle w:val="29"/>
        <w:widowControl w:val="0"/>
        <w:adjustRightInd w:val="0"/>
        <w:snapToGrid w:val="0"/>
        <w:spacing w:before="0" w:beforeAutospacing="0" w:after="0" w:afterAutospacing="0" w:line="480" w:lineRule="exact"/>
        <w:outlineLvl w:val="0"/>
        <w:rPr>
          <w:color w:val="000000"/>
        </w:rPr>
        <w:sectPr>
          <w:footerReference r:id="rId8" w:type="default"/>
          <w:pgSz w:w="11906" w:h="16838"/>
          <w:pgMar w:top="1701" w:right="1531" w:bottom="1701" w:left="1531" w:header="851" w:footer="851" w:gutter="0"/>
          <w:cols w:space="720" w:num="1"/>
          <w:docGrid w:linePitch="312" w:charSpace="0"/>
        </w:sectPr>
      </w:pPr>
      <w:r>
        <w:rPr>
          <w:color w:val="000000"/>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9019540" cy="5632450"/>
            <wp:effectExtent l="0" t="2222" r="8572" b="8573"/>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rot="16200000">
                      <a:off x="0" y="0"/>
                      <a:ext cx="9019236" cy="5632682"/>
                    </a:xfrm>
                    <a:prstGeom prst="rect">
                      <a:avLst/>
                    </a:prstGeom>
                    <a:noFill/>
                    <a:ln>
                      <a:noFill/>
                    </a:ln>
                  </pic:spPr>
                </pic:pic>
              </a:graphicData>
            </a:graphic>
          </wp:anchor>
        </w:drawing>
      </w:r>
    </w:p>
    <w:p>
      <w:pPr>
        <w:pStyle w:val="29"/>
        <w:widowControl w:val="0"/>
        <w:adjustRightInd w:val="0"/>
        <w:snapToGrid w:val="0"/>
        <w:spacing w:before="0" w:beforeAutospacing="0" w:after="0" w:afterAutospacing="0" w:line="480" w:lineRule="exact"/>
        <w:outlineLvl w:val="0"/>
        <w:rPr>
          <w:color w:val="000000"/>
        </w:rPr>
        <w:sectPr>
          <w:pgSz w:w="11906" w:h="16838"/>
          <w:pgMar w:top="1701" w:right="1531" w:bottom="1701" w:left="1531" w:header="851" w:footer="851" w:gutter="0"/>
          <w:cols w:space="720" w:num="1"/>
          <w:docGrid w:linePitch="312" w:charSpace="0"/>
        </w:sectPr>
      </w:pPr>
      <w:r>
        <w:rPr>
          <w:color w:val="000000"/>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7943215" cy="5993765"/>
            <wp:effectExtent l="3175" t="0" r="4445" b="444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rot="16200000">
                      <a:off x="0" y="0"/>
                      <a:ext cx="7943128" cy="5993762"/>
                    </a:xfrm>
                    <a:prstGeom prst="rect">
                      <a:avLst/>
                    </a:prstGeom>
                    <a:noFill/>
                    <a:ln>
                      <a:noFill/>
                    </a:ln>
                  </pic:spPr>
                </pic:pic>
              </a:graphicData>
            </a:graphic>
          </wp:anchor>
        </w:drawing>
      </w:r>
    </w:p>
    <w:p>
      <w:pPr>
        <w:pStyle w:val="29"/>
        <w:widowControl w:val="0"/>
        <w:adjustRightInd w:val="0"/>
        <w:snapToGrid w:val="0"/>
        <w:spacing w:before="0" w:beforeAutospacing="0" w:after="0" w:afterAutospacing="0" w:line="480" w:lineRule="exact"/>
        <w:outlineLvl w:val="0"/>
        <w:rPr>
          <w:color w:val="000000"/>
        </w:rPr>
        <w:sectPr>
          <w:pgSz w:w="11906" w:h="16838"/>
          <w:pgMar w:top="1701" w:right="1531" w:bottom="1701" w:left="1531" w:header="851" w:footer="851" w:gutter="0"/>
          <w:cols w:space="720" w:num="1"/>
          <w:docGrid w:linePitch="312" w:charSpace="0"/>
        </w:sectPr>
      </w:pPr>
      <w:r>
        <w:rPr>
          <w:color w:val="000000"/>
        </w:rPr>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8555990" cy="5484495"/>
            <wp:effectExtent l="0" t="762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rot="16200000">
                      <a:off x="0" y="0"/>
                      <a:ext cx="8555969" cy="5484770"/>
                    </a:xfrm>
                    <a:prstGeom prst="rect">
                      <a:avLst/>
                    </a:prstGeom>
                    <a:noFill/>
                    <a:ln>
                      <a:noFill/>
                    </a:ln>
                  </pic:spPr>
                </pic:pic>
              </a:graphicData>
            </a:graphic>
          </wp:anchor>
        </w:drawing>
      </w:r>
    </w:p>
    <w:p>
      <w:pPr>
        <w:pStyle w:val="29"/>
        <w:widowControl w:val="0"/>
        <w:adjustRightInd w:val="0"/>
        <w:snapToGrid w:val="0"/>
        <w:spacing w:before="0" w:beforeAutospacing="0" w:after="0" w:afterAutospacing="0" w:line="480" w:lineRule="exact"/>
        <w:outlineLvl w:val="0"/>
        <w:rPr>
          <w:color w:val="000000"/>
        </w:rPr>
        <w:sectPr>
          <w:pgSz w:w="11906" w:h="16838"/>
          <w:pgMar w:top="1701" w:right="1531" w:bottom="1701" w:left="1531" w:header="851" w:footer="851" w:gutter="0"/>
          <w:cols w:space="720" w:num="1"/>
          <w:docGrid w:linePitch="312" w:charSpace="0"/>
        </w:sectPr>
      </w:pPr>
      <w:r>
        <w:rPr>
          <w:color w:val="000000"/>
        </w:rPr>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8895080" cy="5652770"/>
            <wp:effectExtent l="1905" t="0" r="3810" b="381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rot="16200000">
                      <a:off x="0" y="0"/>
                      <a:ext cx="8894861" cy="5652677"/>
                    </a:xfrm>
                    <a:prstGeom prst="rect">
                      <a:avLst/>
                    </a:prstGeom>
                    <a:noFill/>
                    <a:ln>
                      <a:noFill/>
                    </a:ln>
                  </pic:spPr>
                </pic:pic>
              </a:graphicData>
            </a:graphic>
          </wp:anchor>
        </w:drawing>
      </w:r>
    </w:p>
    <w:p>
      <w:pPr>
        <w:rPr>
          <w:rFonts w:hint="eastAsia"/>
          <w:b/>
          <w:bCs/>
          <w:sz w:val="36"/>
          <w:szCs w:val="44"/>
        </w:rPr>
      </w:pPr>
    </w:p>
    <w:p>
      <w:pPr>
        <w:spacing w:line="720" w:lineRule="auto"/>
        <w:jc w:val="center"/>
        <w:rPr>
          <w:rFonts w:hint="eastAsia"/>
          <w:b/>
          <w:bCs/>
          <w:sz w:val="44"/>
          <w:szCs w:val="52"/>
        </w:rPr>
      </w:pPr>
      <w:r>
        <w:rPr>
          <w:rFonts w:hint="eastAsia"/>
          <w:b/>
          <w:bCs/>
          <w:sz w:val="44"/>
          <w:szCs w:val="52"/>
        </w:rPr>
        <w:t>委 托 书</w:t>
      </w:r>
    </w:p>
    <w:p>
      <w:pPr>
        <w:spacing w:line="480" w:lineRule="auto"/>
        <w:jc w:val="left"/>
        <w:rPr>
          <w:sz w:val="28"/>
          <w:szCs w:val="28"/>
        </w:rPr>
      </w:pPr>
      <w:r>
        <w:rPr>
          <w:sz w:val="28"/>
          <w:szCs w:val="28"/>
        </w:rPr>
        <w:t>河南蓝天环境工程有限公司：</w:t>
      </w:r>
    </w:p>
    <w:p>
      <w:pPr>
        <w:spacing w:line="480" w:lineRule="auto"/>
        <w:ind w:firstLine="560" w:firstLineChars="200"/>
        <w:jc w:val="left"/>
        <w:rPr>
          <w:sz w:val="28"/>
          <w:szCs w:val="28"/>
        </w:rPr>
      </w:pPr>
    </w:p>
    <w:p>
      <w:pPr>
        <w:spacing w:line="480" w:lineRule="auto"/>
        <w:ind w:firstLine="560" w:firstLineChars="200"/>
        <w:jc w:val="left"/>
        <w:rPr>
          <w:sz w:val="28"/>
          <w:szCs w:val="28"/>
        </w:rPr>
      </w:pPr>
      <w:r>
        <w:rPr>
          <w:sz w:val="28"/>
          <w:szCs w:val="28"/>
        </w:rPr>
        <w:t>兹委托贵公司为我单位“</w:t>
      </w:r>
      <w:r>
        <w:rPr>
          <w:rFonts w:hint="eastAsia"/>
          <w:sz w:val="28"/>
          <w:szCs w:val="28"/>
        </w:rPr>
        <w:t>河南兴泰纸业</w:t>
      </w:r>
      <w:r>
        <w:rPr>
          <w:sz w:val="28"/>
          <w:szCs w:val="28"/>
        </w:rPr>
        <w:t>有限公司年加工</w:t>
      </w:r>
      <w:r>
        <w:rPr>
          <w:rFonts w:hint="eastAsia"/>
          <w:sz w:val="28"/>
          <w:szCs w:val="28"/>
        </w:rPr>
        <w:t>5.6万吨涂布白卡纸</w:t>
      </w:r>
      <w:r>
        <w:rPr>
          <w:sz w:val="28"/>
          <w:szCs w:val="28"/>
        </w:rPr>
        <w:t>项目”进行环境影响评价工作，望贵公司抓紧时间开展工作。</w:t>
      </w:r>
    </w:p>
    <w:p>
      <w:pPr>
        <w:spacing w:line="480" w:lineRule="auto"/>
        <w:ind w:firstLine="560" w:firstLineChars="200"/>
        <w:jc w:val="left"/>
        <w:rPr>
          <w:sz w:val="28"/>
          <w:szCs w:val="28"/>
        </w:rPr>
      </w:pPr>
    </w:p>
    <w:p>
      <w:pPr>
        <w:spacing w:line="720" w:lineRule="auto"/>
        <w:jc w:val="center"/>
        <w:rPr>
          <w:sz w:val="28"/>
          <w:szCs w:val="28"/>
        </w:rPr>
      </w:pPr>
    </w:p>
    <w:p>
      <w:pPr>
        <w:spacing w:line="480" w:lineRule="auto"/>
        <w:jc w:val="right"/>
        <w:rPr>
          <w:sz w:val="28"/>
          <w:szCs w:val="28"/>
        </w:rPr>
      </w:pPr>
      <w:r>
        <w:rPr>
          <w:rFonts w:hint="eastAsia"/>
          <w:sz w:val="28"/>
          <w:szCs w:val="28"/>
        </w:rPr>
        <w:t>河南兴泰纸业</w:t>
      </w:r>
      <w:r>
        <w:rPr>
          <w:sz w:val="28"/>
          <w:szCs w:val="28"/>
        </w:rPr>
        <w:t xml:space="preserve">有限公司                                    </w:t>
      </w:r>
    </w:p>
    <w:p>
      <w:pPr>
        <w:spacing w:line="480" w:lineRule="auto"/>
        <w:jc w:val="right"/>
        <w:rPr>
          <w:sz w:val="28"/>
          <w:szCs w:val="28"/>
        </w:rPr>
      </w:pPr>
      <w:r>
        <w:rPr>
          <w:sz w:val="28"/>
          <w:szCs w:val="28"/>
        </w:rPr>
        <w:t>2021年</w:t>
      </w:r>
      <w:r>
        <w:rPr>
          <w:rFonts w:hint="eastAsia"/>
          <w:sz w:val="28"/>
          <w:szCs w:val="28"/>
        </w:rPr>
        <w:t>8</w:t>
      </w:r>
      <w:r>
        <w:rPr>
          <w:sz w:val="28"/>
          <w:szCs w:val="28"/>
        </w:rPr>
        <w:t>月</w:t>
      </w:r>
      <w:r>
        <w:rPr>
          <w:rFonts w:hint="eastAsia"/>
          <w:sz w:val="28"/>
          <w:szCs w:val="28"/>
        </w:rPr>
        <w:t>1</w:t>
      </w:r>
      <w:r>
        <w:rPr>
          <w:sz w:val="28"/>
          <w:szCs w:val="28"/>
        </w:rPr>
        <w:t>日</w:t>
      </w:r>
    </w:p>
    <w:p>
      <w:pPr>
        <w:pStyle w:val="29"/>
        <w:widowControl w:val="0"/>
        <w:adjustRightInd w:val="0"/>
        <w:snapToGrid w:val="0"/>
        <w:spacing w:before="0" w:beforeAutospacing="0" w:after="0" w:afterAutospacing="0" w:line="480" w:lineRule="exact"/>
        <w:outlineLvl w:val="0"/>
        <w:rPr>
          <w:color w:val="000000"/>
        </w:rPr>
        <w:sectPr>
          <w:pgSz w:w="11906" w:h="16838"/>
          <w:pgMar w:top="1701" w:right="1531" w:bottom="1701" w:left="1531" w:header="851" w:footer="851" w:gutter="0"/>
          <w:cols w:space="720" w:num="1"/>
          <w:docGrid w:linePitch="312" w:charSpace="0"/>
        </w:sectPr>
      </w:pPr>
    </w:p>
    <w:p>
      <w:pPr>
        <w:pStyle w:val="29"/>
        <w:widowControl w:val="0"/>
        <w:adjustRightInd w:val="0"/>
        <w:snapToGrid w:val="0"/>
        <w:spacing w:before="0" w:beforeAutospacing="0" w:after="0" w:afterAutospacing="0" w:line="480" w:lineRule="exact"/>
        <w:outlineLvl w:val="0"/>
        <w:rPr>
          <w:color w:val="000000"/>
        </w:rPr>
        <w:sectPr>
          <w:pgSz w:w="11906" w:h="16838"/>
          <w:pgMar w:top="1701" w:right="1531" w:bottom="1701" w:left="1531" w:header="851" w:footer="851" w:gutter="0"/>
          <w:cols w:space="720" w:num="1"/>
          <w:docGrid w:linePitch="312" w:charSpace="0"/>
        </w:sectPr>
      </w:pPr>
      <w:r>
        <w:rPr>
          <w:color w:val="000000"/>
        </w:rPr>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7560310" cy="10689590"/>
            <wp:effectExtent l="0" t="0" r="317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560000" cy="10689604"/>
                    </a:xfrm>
                    <a:prstGeom prst="rect">
                      <a:avLst/>
                    </a:prstGeom>
                    <a:noFill/>
                    <a:ln>
                      <a:noFill/>
                    </a:ln>
                  </pic:spPr>
                </pic:pic>
              </a:graphicData>
            </a:graphic>
          </wp:anchor>
        </w:drawing>
      </w:r>
    </w:p>
    <w:p>
      <w:pPr>
        <w:pStyle w:val="29"/>
        <w:widowControl w:val="0"/>
        <w:adjustRightInd w:val="0"/>
        <w:snapToGrid w:val="0"/>
        <w:spacing w:before="0" w:beforeAutospacing="0" w:after="0" w:afterAutospacing="0" w:line="480" w:lineRule="exact"/>
        <w:outlineLvl w:val="0"/>
        <w:rPr>
          <w:color w:val="000000"/>
        </w:rPr>
        <w:sectPr>
          <w:pgSz w:w="11906" w:h="16838"/>
          <w:pgMar w:top="1701" w:right="1531" w:bottom="1701" w:left="1531" w:header="851" w:footer="851" w:gutter="0"/>
          <w:cols w:space="720" w:num="1"/>
          <w:docGrid w:linePitch="312" w:charSpace="0"/>
        </w:sectPr>
      </w:pPr>
      <w:r>
        <w:rPr>
          <w:color w:val="000000"/>
        </w:rPr>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7560310" cy="9069705"/>
            <wp:effectExtent l="0" t="0" r="317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7560000" cy="9069604"/>
                    </a:xfrm>
                    <a:prstGeom prst="rect">
                      <a:avLst/>
                    </a:prstGeom>
                    <a:noFill/>
                    <a:ln>
                      <a:noFill/>
                    </a:ln>
                  </pic:spPr>
                </pic:pic>
              </a:graphicData>
            </a:graphic>
          </wp:anchor>
        </w:drawing>
      </w:r>
    </w:p>
    <w:p>
      <w:pPr>
        <w:pStyle w:val="29"/>
        <w:widowControl w:val="0"/>
        <w:adjustRightInd w:val="0"/>
        <w:snapToGrid w:val="0"/>
        <w:spacing w:before="0" w:beforeAutospacing="0" w:after="0" w:afterAutospacing="0" w:line="480" w:lineRule="exact"/>
        <w:outlineLvl w:val="0"/>
        <w:rPr>
          <w:color w:val="000000"/>
        </w:rPr>
        <w:sectPr>
          <w:pgSz w:w="11906" w:h="16838"/>
          <w:pgMar w:top="1701" w:right="1531" w:bottom="1701" w:left="1531" w:header="851" w:footer="851" w:gutter="0"/>
          <w:cols w:space="720" w:num="1"/>
          <w:docGrid w:linePitch="312" w:charSpace="0"/>
        </w:sectPr>
      </w:pPr>
      <w:r>
        <w:rPr>
          <w:color w:val="000000"/>
        </w:rPr>
        <w:drawing>
          <wp:anchor distT="0" distB="0" distL="114300" distR="114300" simplePos="0" relativeHeight="251668480" behindDoc="0" locked="0" layoutInCell="1" allowOverlap="1">
            <wp:simplePos x="0" y="0"/>
            <wp:positionH relativeFrom="margin">
              <wp:align>center</wp:align>
            </wp:positionH>
            <wp:positionV relativeFrom="margin">
              <wp:align>center</wp:align>
            </wp:positionV>
            <wp:extent cx="7560310" cy="10703560"/>
            <wp:effectExtent l="0" t="0" r="3175" b="317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560000" cy="10703296"/>
                    </a:xfrm>
                    <a:prstGeom prst="rect">
                      <a:avLst/>
                    </a:prstGeom>
                    <a:noFill/>
                    <a:ln>
                      <a:noFill/>
                    </a:ln>
                  </pic:spPr>
                </pic:pic>
              </a:graphicData>
            </a:graphic>
          </wp:anchor>
        </w:drawing>
      </w:r>
    </w:p>
    <w:p>
      <w:pPr>
        <w:pStyle w:val="29"/>
        <w:widowControl w:val="0"/>
        <w:adjustRightInd w:val="0"/>
        <w:snapToGrid w:val="0"/>
        <w:spacing w:before="0" w:beforeAutospacing="0" w:after="0" w:afterAutospacing="0" w:line="480" w:lineRule="exact"/>
        <w:outlineLvl w:val="0"/>
        <w:rPr>
          <w:color w:val="000000"/>
        </w:rPr>
        <w:sectPr>
          <w:pgSz w:w="11906" w:h="16838"/>
          <w:pgMar w:top="1701" w:right="1531" w:bottom="1701" w:left="1531" w:header="851" w:footer="851" w:gutter="0"/>
          <w:cols w:space="720" w:num="1"/>
          <w:docGrid w:linePitch="312" w:charSpace="0"/>
        </w:sectPr>
      </w:pPr>
      <w:r>
        <w:rPr>
          <w:color w:val="000000"/>
        </w:rPr>
        <w:drawing>
          <wp:anchor distT="0" distB="0" distL="114300" distR="114300" simplePos="0" relativeHeight="251669504" behindDoc="0" locked="0" layoutInCell="1" allowOverlap="1">
            <wp:simplePos x="0" y="0"/>
            <wp:positionH relativeFrom="margin">
              <wp:align>center</wp:align>
            </wp:positionH>
            <wp:positionV relativeFrom="margin">
              <wp:align>center</wp:align>
            </wp:positionV>
            <wp:extent cx="7560310" cy="10614660"/>
            <wp:effectExtent l="0" t="0" r="317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560000" cy="10614753"/>
                    </a:xfrm>
                    <a:prstGeom prst="rect">
                      <a:avLst/>
                    </a:prstGeom>
                    <a:noFill/>
                    <a:ln>
                      <a:noFill/>
                    </a:ln>
                  </pic:spPr>
                </pic:pic>
              </a:graphicData>
            </a:graphic>
          </wp:anchor>
        </w:drawing>
      </w:r>
    </w:p>
    <w:p>
      <w:pPr>
        <w:pStyle w:val="29"/>
        <w:widowControl w:val="0"/>
        <w:adjustRightInd w:val="0"/>
        <w:snapToGrid w:val="0"/>
        <w:spacing w:before="0" w:beforeAutospacing="0" w:after="0" w:afterAutospacing="0" w:line="480" w:lineRule="exact"/>
        <w:outlineLvl w:val="0"/>
        <w:rPr>
          <w:color w:val="000000"/>
        </w:rPr>
        <w:sectPr>
          <w:pgSz w:w="11906" w:h="16838"/>
          <w:pgMar w:top="1701" w:right="1531" w:bottom="1701" w:left="1531" w:header="851" w:footer="851" w:gutter="0"/>
          <w:cols w:space="720" w:num="1"/>
          <w:docGrid w:linePitch="312" w:charSpace="0"/>
        </w:sectPr>
      </w:pPr>
      <w:r>
        <w:rPr>
          <w:color w:val="000000"/>
        </w:rPr>
        <w:drawing>
          <wp:anchor distT="0" distB="0" distL="114300" distR="114300" simplePos="0" relativeHeight="251670528" behindDoc="0" locked="0" layoutInCell="1" allowOverlap="1">
            <wp:simplePos x="0" y="0"/>
            <wp:positionH relativeFrom="margin">
              <wp:align>center</wp:align>
            </wp:positionH>
            <wp:positionV relativeFrom="margin">
              <wp:align>center</wp:align>
            </wp:positionV>
            <wp:extent cx="7663180" cy="5375910"/>
            <wp:effectExtent l="952"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rot="16200000">
                      <a:off x="0" y="0"/>
                      <a:ext cx="7663402" cy="5375833"/>
                    </a:xfrm>
                    <a:prstGeom prst="rect">
                      <a:avLst/>
                    </a:prstGeom>
                    <a:noFill/>
                    <a:ln>
                      <a:noFill/>
                    </a:ln>
                  </pic:spPr>
                </pic:pic>
              </a:graphicData>
            </a:graphic>
          </wp:anchor>
        </w:drawing>
      </w:r>
    </w:p>
    <w:p>
      <w:pPr>
        <w:rPr>
          <w:rFonts w:ascii="Calibri" w:hAnsi="Calibri"/>
          <w:szCs w:val="22"/>
        </w:rPr>
      </w:pPr>
      <w:r>
        <w:rPr>
          <w:rFonts w:ascii="Calibri" w:hAnsi="Calibri"/>
          <w:szCs w:val="22"/>
        </w:rPr>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7560310" cy="10680700"/>
            <wp:effectExtent l="0" t="0" r="3175" b="6350"/>
            <wp:wrapNone/>
            <wp:docPr id="20" name="图片 1" descr="C:\Users\ADMINI~1\AppData\Local\Temp\WeChat Files\b94e775d2fa21ed31cb3a0cec6977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C:\Users\ADMINI~1\AppData\Local\Temp\WeChat Files\b94e775d2fa21ed31cb3a0cec69775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560000" cy="10680967"/>
                    </a:xfrm>
                    <a:prstGeom prst="rect">
                      <a:avLst/>
                    </a:prstGeom>
                    <a:noFill/>
                    <a:ln w="9525">
                      <a:noFill/>
                      <a:miter lim="800000"/>
                      <a:headEnd/>
                      <a:tailEnd/>
                    </a:ln>
                  </pic:spPr>
                </pic:pic>
              </a:graphicData>
            </a:graphic>
          </wp:anchor>
        </w:drawing>
      </w: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pStyle w:val="29"/>
        <w:widowControl w:val="0"/>
        <w:adjustRightInd w:val="0"/>
        <w:snapToGrid w:val="0"/>
        <w:spacing w:before="0" w:beforeAutospacing="0" w:after="0" w:afterAutospacing="0" w:line="480" w:lineRule="exact"/>
        <w:outlineLvl w:val="0"/>
        <w:rPr>
          <w:rFonts w:hint="eastAsia"/>
          <w:color w:val="000000"/>
        </w:rPr>
        <w:sectPr>
          <w:pgSz w:w="11906" w:h="16838"/>
          <w:pgMar w:top="1701" w:right="1531" w:bottom="1701" w:left="1531" w:header="851" w:footer="851" w:gutter="0"/>
          <w:cols w:space="720" w:num="1"/>
          <w:docGrid w:linePitch="312" w:charSpace="0"/>
        </w:sectPr>
      </w:pPr>
    </w:p>
    <w:p>
      <w:pPr>
        <w:pStyle w:val="29"/>
        <w:widowControl w:val="0"/>
        <w:adjustRightInd w:val="0"/>
        <w:snapToGrid w:val="0"/>
        <w:spacing w:before="0" w:beforeAutospacing="0" w:after="0" w:afterAutospacing="0" w:line="480" w:lineRule="exact"/>
        <w:outlineLvl w:val="0"/>
        <w:rPr>
          <w:color w:val="000000"/>
        </w:rPr>
        <w:sectPr>
          <w:pgSz w:w="11906" w:h="16838"/>
          <w:pgMar w:top="1701" w:right="1531" w:bottom="1701" w:left="1531" w:header="851" w:footer="851" w:gutter="0"/>
          <w:cols w:space="720" w:num="1"/>
          <w:docGrid w:linePitch="312" w:charSpace="0"/>
        </w:sectPr>
      </w:pPr>
      <w:r>
        <w:drawing>
          <wp:anchor distT="0" distB="0" distL="114300" distR="114300" simplePos="0" relativeHeight="251672576" behindDoc="0" locked="0" layoutInCell="1" allowOverlap="1">
            <wp:simplePos x="0" y="0"/>
            <wp:positionH relativeFrom="margin">
              <wp:align>center</wp:align>
            </wp:positionH>
            <wp:positionV relativeFrom="margin">
              <wp:align>center</wp:align>
            </wp:positionV>
            <wp:extent cx="7560310" cy="10680700"/>
            <wp:effectExtent l="0" t="0" r="3175" b="6350"/>
            <wp:wrapNone/>
            <wp:docPr id="27" name="图片 2" descr="C:\Users\ADMINI~1\AppData\Local\Temp\WeChat Files\437e660d5cfc219df8f7c832217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C:\Users\ADMINI~1\AppData\Local\Temp\WeChat Files\437e660d5cfc219df8f7c832217037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7560000" cy="10680967"/>
                    </a:xfrm>
                    <a:prstGeom prst="rect">
                      <a:avLst/>
                    </a:prstGeom>
                    <a:noFill/>
                    <a:ln w="9525">
                      <a:noFill/>
                      <a:miter lim="800000"/>
                      <a:headEnd/>
                      <a:tailEnd/>
                    </a:ln>
                  </pic:spPr>
                </pic:pic>
              </a:graphicData>
            </a:graphic>
          </wp:anchor>
        </w:drawing>
      </w:r>
    </w:p>
    <w:p>
      <w:pPr>
        <w:pStyle w:val="29"/>
        <w:widowControl w:val="0"/>
        <w:adjustRightInd w:val="0"/>
        <w:snapToGrid w:val="0"/>
        <w:spacing w:before="0" w:beforeAutospacing="0" w:after="0" w:afterAutospacing="0" w:line="480" w:lineRule="exact"/>
        <w:outlineLvl w:val="0"/>
        <w:rPr>
          <w:color w:val="000000"/>
        </w:rPr>
        <w:sectPr>
          <w:pgSz w:w="11906" w:h="16838"/>
          <w:pgMar w:top="1701" w:right="1531" w:bottom="1701" w:left="1531" w:header="851" w:footer="851" w:gutter="0"/>
          <w:cols w:space="720" w:num="1"/>
          <w:docGrid w:linePitch="312" w:charSpace="0"/>
        </w:sectPr>
      </w:pPr>
      <w:r>
        <w:drawing>
          <wp:anchor distT="0" distB="0" distL="114300" distR="114300" simplePos="0" relativeHeight="251673600" behindDoc="0" locked="0" layoutInCell="1" allowOverlap="1">
            <wp:simplePos x="0" y="0"/>
            <wp:positionH relativeFrom="margin">
              <wp:align>center</wp:align>
            </wp:positionH>
            <wp:positionV relativeFrom="margin">
              <wp:align>center</wp:align>
            </wp:positionV>
            <wp:extent cx="7560310" cy="10680700"/>
            <wp:effectExtent l="0" t="0" r="3175" b="6350"/>
            <wp:wrapNone/>
            <wp:docPr id="5" name="图片 3" descr="C:\Users\ADMINI~1\AppData\Local\Temp\WeChat Files\8db01043544b957683ee14db1547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ADMINI~1\AppData\Local\Temp\WeChat Files\8db01043544b957683ee14db1547aa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7560000" cy="10680967"/>
                    </a:xfrm>
                    <a:prstGeom prst="rect">
                      <a:avLst/>
                    </a:prstGeom>
                    <a:noFill/>
                    <a:ln w="9525">
                      <a:noFill/>
                      <a:miter lim="800000"/>
                      <a:headEnd/>
                      <a:tailEnd/>
                    </a:ln>
                  </pic:spPr>
                </pic:pic>
              </a:graphicData>
            </a:graphic>
          </wp:anchor>
        </w:drawing>
      </w:r>
    </w:p>
    <w:p>
      <w:pPr>
        <w:pStyle w:val="29"/>
        <w:widowControl w:val="0"/>
        <w:adjustRightInd w:val="0"/>
        <w:snapToGrid w:val="0"/>
        <w:spacing w:before="0" w:beforeAutospacing="0" w:after="0" w:afterAutospacing="0" w:line="480" w:lineRule="exact"/>
        <w:outlineLvl w:val="0"/>
        <w:rPr>
          <w:color w:val="000000"/>
        </w:rPr>
        <w:sectPr>
          <w:pgSz w:w="11906" w:h="16838"/>
          <w:pgMar w:top="1701" w:right="1531" w:bottom="1701" w:left="1531" w:header="851" w:footer="851" w:gutter="0"/>
          <w:cols w:space="720" w:num="1"/>
          <w:docGrid w:linePitch="312" w:charSpace="0"/>
        </w:sectPr>
      </w:pPr>
      <w:r>
        <w:drawing>
          <wp:anchor distT="0" distB="0" distL="114300" distR="114300" simplePos="0" relativeHeight="251674624" behindDoc="0" locked="0" layoutInCell="1" allowOverlap="1">
            <wp:simplePos x="0" y="0"/>
            <wp:positionH relativeFrom="margin">
              <wp:align>center</wp:align>
            </wp:positionH>
            <wp:positionV relativeFrom="margin">
              <wp:align>center</wp:align>
            </wp:positionV>
            <wp:extent cx="7560310" cy="10680700"/>
            <wp:effectExtent l="0" t="0" r="3175" b="6350"/>
            <wp:wrapNone/>
            <wp:docPr id="28" name="图片 4" descr="C:\Users\ADMINI~1\AppData\Local\Temp\WeChat Files\8ecaf928e7af60dd3c1265f847efa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C:\Users\ADMINI~1\AppData\Local\Temp\WeChat Files\8ecaf928e7af60dd3c1265f847efa8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560000" cy="10680967"/>
                    </a:xfrm>
                    <a:prstGeom prst="rect">
                      <a:avLst/>
                    </a:prstGeom>
                    <a:noFill/>
                    <a:ln w="9525">
                      <a:noFill/>
                      <a:miter lim="800000"/>
                      <a:headEnd/>
                      <a:tailEnd/>
                    </a:ln>
                  </pic:spPr>
                </pic:pic>
              </a:graphicData>
            </a:graphic>
          </wp:anchor>
        </w:drawing>
      </w:r>
    </w:p>
    <w:p>
      <w:pPr>
        <w:pStyle w:val="29"/>
        <w:widowControl w:val="0"/>
        <w:adjustRightInd w:val="0"/>
        <w:snapToGrid w:val="0"/>
        <w:spacing w:before="0" w:beforeAutospacing="0" w:after="0" w:afterAutospacing="0" w:line="480" w:lineRule="exact"/>
        <w:outlineLvl w:val="0"/>
        <w:rPr>
          <w:color w:val="000000"/>
        </w:rPr>
        <w:sectPr>
          <w:pgSz w:w="11906" w:h="16838"/>
          <w:pgMar w:top="1701" w:right="1531" w:bottom="1701" w:left="1531" w:header="851" w:footer="851" w:gutter="0"/>
          <w:cols w:space="720" w:num="1"/>
          <w:docGrid w:linePitch="312" w:charSpace="0"/>
        </w:sectPr>
      </w:pPr>
      <w:r>
        <w:drawing>
          <wp:anchor distT="0" distB="0" distL="114300" distR="114300" simplePos="0" relativeHeight="251675648" behindDoc="0" locked="0" layoutInCell="1" allowOverlap="1">
            <wp:simplePos x="0" y="0"/>
            <wp:positionH relativeFrom="margin">
              <wp:align>center</wp:align>
            </wp:positionH>
            <wp:positionV relativeFrom="margin">
              <wp:align>center</wp:align>
            </wp:positionV>
            <wp:extent cx="7560310" cy="11705590"/>
            <wp:effectExtent l="0" t="0" r="3175" b="0"/>
            <wp:wrapNone/>
            <wp:docPr id="29" name="图片 5" descr="C:\Users\ADMINI~1\AppData\Local\Temp\WeChat Files\f03df7e66c4e73e74c3bd40313c7a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C:\Users\ADMINI~1\AppData\Local\Temp\WeChat Files\f03df7e66c4e73e74c3bd40313c7a6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7560000" cy="11705667"/>
                    </a:xfrm>
                    <a:prstGeom prst="rect">
                      <a:avLst/>
                    </a:prstGeom>
                    <a:noFill/>
                    <a:ln w="9525">
                      <a:noFill/>
                      <a:miter lim="800000"/>
                      <a:headEnd/>
                      <a:tailEnd/>
                    </a:ln>
                  </pic:spPr>
                </pic:pic>
              </a:graphicData>
            </a:graphic>
          </wp:anchor>
        </w:drawing>
      </w:r>
    </w:p>
    <w:p>
      <w:pPr>
        <w:pStyle w:val="29"/>
        <w:widowControl w:val="0"/>
        <w:adjustRightInd w:val="0"/>
        <w:snapToGrid w:val="0"/>
        <w:spacing w:before="0" w:beforeAutospacing="0" w:after="0" w:afterAutospacing="0" w:line="480" w:lineRule="exact"/>
        <w:outlineLvl w:val="0"/>
        <w:rPr>
          <w:color w:val="000000"/>
        </w:rPr>
        <w:sectPr>
          <w:pgSz w:w="11906" w:h="16838"/>
          <w:pgMar w:top="1701" w:right="1531" w:bottom="1701" w:left="1531" w:header="851" w:footer="851" w:gutter="0"/>
          <w:cols w:space="720" w:num="1"/>
          <w:docGrid w:linePitch="312" w:charSpace="0"/>
        </w:sectPr>
      </w:pPr>
      <w:r>
        <w:drawing>
          <wp:anchor distT="0" distB="0" distL="114300" distR="114300" simplePos="0" relativeHeight="251676672" behindDoc="0" locked="0" layoutInCell="1" allowOverlap="1">
            <wp:simplePos x="0" y="0"/>
            <wp:positionH relativeFrom="margin">
              <wp:align>center</wp:align>
            </wp:positionH>
            <wp:positionV relativeFrom="margin">
              <wp:align>center</wp:align>
            </wp:positionV>
            <wp:extent cx="7560310" cy="11847830"/>
            <wp:effectExtent l="0" t="0" r="3175" b="1270"/>
            <wp:wrapNone/>
            <wp:docPr id="30" name="图片 6" descr="C:\Users\ADMINI~1\AppData\Local\Temp\WeChat Files\55b01eb251e92848fa2d3da2a038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C:\Users\ADMINI~1\AppData\Local\Temp\WeChat Files\55b01eb251e92848fa2d3da2a038e6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7560000" cy="11847858"/>
                    </a:xfrm>
                    <a:prstGeom prst="rect">
                      <a:avLst/>
                    </a:prstGeom>
                    <a:noFill/>
                    <a:ln w="9525">
                      <a:noFill/>
                      <a:miter lim="800000"/>
                      <a:headEnd/>
                      <a:tailEnd/>
                    </a:ln>
                  </pic:spPr>
                </pic:pic>
              </a:graphicData>
            </a:graphic>
          </wp:anchor>
        </w:drawing>
      </w:r>
    </w:p>
    <w:p>
      <w:pPr>
        <w:pStyle w:val="29"/>
        <w:widowControl w:val="0"/>
        <w:adjustRightInd w:val="0"/>
        <w:snapToGrid w:val="0"/>
        <w:spacing w:before="0" w:beforeAutospacing="0" w:after="0" w:afterAutospacing="0" w:line="480" w:lineRule="exact"/>
        <w:outlineLvl w:val="0"/>
        <w:rPr>
          <w:color w:val="000000"/>
        </w:rPr>
        <w:sectPr>
          <w:pgSz w:w="11906" w:h="16838"/>
          <w:pgMar w:top="1701" w:right="1531" w:bottom="1701" w:left="1531" w:header="851" w:footer="851" w:gutter="0"/>
          <w:cols w:space="720" w:num="1"/>
          <w:docGrid w:linePitch="312" w:charSpace="0"/>
        </w:sectPr>
      </w:pPr>
      <w:r>
        <w:drawing>
          <wp:anchor distT="0" distB="0" distL="114300" distR="114300" simplePos="0" relativeHeight="251677696" behindDoc="0" locked="0" layoutInCell="1" allowOverlap="1">
            <wp:simplePos x="0" y="0"/>
            <wp:positionH relativeFrom="margin">
              <wp:align>center</wp:align>
            </wp:positionH>
            <wp:positionV relativeFrom="margin">
              <wp:align>center</wp:align>
            </wp:positionV>
            <wp:extent cx="7560310" cy="10789920"/>
            <wp:effectExtent l="0" t="0" r="3175" b="0"/>
            <wp:wrapNone/>
            <wp:docPr id="31" name="图片 31" descr="F:\李振华\环评\环评\报告书\2020\兴泰环评\兴泰白卡纸环评报告书\兴泰报告\附件\附件4-现有批复\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李振华\环评\环评\报告书\2020\兴泰环评\兴泰白卡纸环评报告书\兴泰报告\附件\附件4-现有批复\3-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7560000" cy="10790188"/>
                    </a:xfrm>
                    <a:prstGeom prst="rect">
                      <a:avLst/>
                    </a:prstGeom>
                    <a:noFill/>
                    <a:ln w="9525">
                      <a:noFill/>
                      <a:miter lim="800000"/>
                      <a:headEnd/>
                      <a:tailEnd/>
                    </a:ln>
                  </pic:spPr>
                </pic:pic>
              </a:graphicData>
            </a:graphic>
          </wp:anchor>
        </w:drawing>
      </w:r>
    </w:p>
    <w:p>
      <w:pPr>
        <w:pStyle w:val="29"/>
        <w:widowControl w:val="0"/>
        <w:adjustRightInd w:val="0"/>
        <w:snapToGrid w:val="0"/>
        <w:spacing w:before="0" w:beforeAutospacing="0" w:after="0" w:afterAutospacing="0" w:line="480" w:lineRule="exact"/>
        <w:outlineLvl w:val="0"/>
        <w:rPr>
          <w:rFonts w:hint="eastAsia"/>
          <w:color w:val="000000"/>
        </w:rPr>
      </w:pPr>
      <w:r>
        <w:drawing>
          <wp:anchor distT="0" distB="0" distL="114300" distR="114300" simplePos="0" relativeHeight="251678720" behindDoc="0" locked="0" layoutInCell="1" allowOverlap="1">
            <wp:simplePos x="0" y="0"/>
            <wp:positionH relativeFrom="margin">
              <wp:align>center</wp:align>
            </wp:positionH>
            <wp:positionV relativeFrom="margin">
              <wp:align>center</wp:align>
            </wp:positionV>
            <wp:extent cx="7560310" cy="10789920"/>
            <wp:effectExtent l="0" t="0" r="3175" b="0"/>
            <wp:wrapNone/>
            <wp:docPr id="32" name="图片 32" descr="F:\李振华\环评\环评\报告书\2020\兴泰环评\兴泰白卡纸环评报告书\兴泰报告\附件\附件4-现有批复\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F:\李振华\环评\环评\报告书\2020\兴泰环评\兴泰白卡纸环评报告书\兴泰报告\附件\附件4-现有批复\3-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7560000" cy="10790188"/>
                    </a:xfrm>
                    <a:prstGeom prst="rect">
                      <a:avLst/>
                    </a:prstGeom>
                    <a:noFill/>
                    <a:ln w="9525">
                      <a:noFill/>
                      <a:miter lim="800000"/>
                      <a:headEnd/>
                      <a:tailEnd/>
                    </a:ln>
                  </pic:spPr>
                </pic:pic>
              </a:graphicData>
            </a:graphic>
          </wp:anchor>
        </w:drawing>
      </w:r>
    </w:p>
    <w:sectPr>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altName w:val="黑体"/>
    <w:panose1 w:val="00000000000000000000"/>
    <w:charset w:val="86"/>
    <w:family w:val="auto"/>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35"/>
        <w:rFonts w:ascii="宋体" w:hAnsi="宋体"/>
        <w:sz w:val="28"/>
        <w:szCs w:val="28"/>
      </w:rPr>
    </w:pPr>
    <w:r>
      <w:rPr>
        <w:rStyle w:val="35"/>
        <w:rFonts w:hint="eastAsia" w:ascii="宋体" w:hAnsi="宋体"/>
        <w:sz w:val="28"/>
        <w:szCs w:val="28"/>
      </w:rPr>
      <w:t>—</w:t>
    </w:r>
    <w:r>
      <w:rPr>
        <w:rStyle w:val="35"/>
        <w:sz w:val="16"/>
      </w:rPr>
      <w:t xml:space="preserve">  </w:t>
    </w:r>
    <w:r>
      <w:rPr>
        <w:sz w:val="22"/>
        <w:szCs w:val="26"/>
      </w:rPr>
      <w:fldChar w:fldCharType="begin"/>
    </w:r>
    <w:r>
      <w:rPr>
        <w:rStyle w:val="35"/>
        <w:sz w:val="22"/>
        <w:szCs w:val="26"/>
      </w:rPr>
      <w:instrText xml:space="preserve">PAGE  </w:instrText>
    </w:r>
    <w:r>
      <w:rPr>
        <w:sz w:val="22"/>
        <w:szCs w:val="26"/>
      </w:rPr>
      <w:fldChar w:fldCharType="separate"/>
    </w:r>
    <w:r>
      <w:rPr>
        <w:rStyle w:val="35"/>
        <w:sz w:val="22"/>
        <w:szCs w:val="26"/>
      </w:rPr>
      <w:t>33</w:t>
    </w:r>
    <w:r>
      <w:rPr>
        <w:sz w:val="22"/>
        <w:szCs w:val="26"/>
      </w:rPr>
      <w:fldChar w:fldCharType="end"/>
    </w:r>
    <w:r>
      <w:rPr>
        <w:rStyle w:val="35"/>
        <w:sz w:val="16"/>
      </w:rPr>
      <w:t xml:space="preserve"> </w:t>
    </w:r>
    <w:r>
      <w:rPr>
        <w:rStyle w:val="35"/>
        <w:rFonts w:hint="eastAsia" w:ascii="宋体" w:hAnsi="宋体"/>
        <w:sz w:val="20"/>
      </w:rPr>
      <w:t xml:space="preserve"> </w:t>
    </w:r>
    <w:r>
      <w:rPr>
        <w:rStyle w:val="35"/>
        <w:rFonts w:hint="eastAsia" w:ascii="宋体" w:hAnsi="宋体"/>
        <w:sz w:val="28"/>
        <w:szCs w:val="28"/>
      </w:rPr>
      <w:t>—</w:t>
    </w:r>
  </w:p>
  <w:p>
    <w:pPr>
      <w:pStyle w:val="22"/>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35"/>
        <w:rFonts w:ascii="宋体" w:hAnsi="宋体"/>
        <w:sz w:val="28"/>
        <w:szCs w:val="28"/>
      </w:rPr>
    </w:pPr>
    <w:r>
      <w:rPr>
        <w:rStyle w:val="35"/>
        <w:rFonts w:hint="eastAsia" w:ascii="宋体" w:hAnsi="宋体"/>
        <w:sz w:val="28"/>
        <w:szCs w:val="28"/>
      </w:rPr>
      <w:t>—</w:t>
    </w:r>
    <w:r>
      <w:rPr>
        <w:rStyle w:val="35"/>
        <w:sz w:val="16"/>
      </w:rPr>
      <w:t xml:space="preserve">  </w:t>
    </w:r>
    <w:r>
      <w:rPr>
        <w:sz w:val="22"/>
        <w:szCs w:val="26"/>
      </w:rPr>
      <w:fldChar w:fldCharType="begin"/>
    </w:r>
    <w:r>
      <w:rPr>
        <w:rStyle w:val="35"/>
        <w:sz w:val="22"/>
        <w:szCs w:val="26"/>
      </w:rPr>
      <w:instrText xml:space="preserve">PAGE  </w:instrText>
    </w:r>
    <w:r>
      <w:rPr>
        <w:sz w:val="22"/>
        <w:szCs w:val="26"/>
      </w:rPr>
      <w:fldChar w:fldCharType="separate"/>
    </w:r>
    <w:r>
      <w:rPr>
        <w:rStyle w:val="35"/>
        <w:sz w:val="22"/>
        <w:szCs w:val="26"/>
      </w:rPr>
      <w:t>53</w:t>
    </w:r>
    <w:r>
      <w:rPr>
        <w:sz w:val="22"/>
        <w:szCs w:val="26"/>
      </w:rPr>
      <w:fldChar w:fldCharType="end"/>
    </w:r>
    <w:r>
      <w:rPr>
        <w:rStyle w:val="35"/>
        <w:rFonts w:hint="eastAsia" w:ascii="宋体" w:hAnsi="宋体"/>
        <w:sz w:val="20"/>
      </w:rPr>
      <w:t xml:space="preserve">  </w:t>
    </w:r>
    <w:r>
      <w:rPr>
        <w:rStyle w:val="35"/>
        <w:rFonts w:hint="eastAsia" w:ascii="宋体" w:hAnsi="宋体"/>
        <w:sz w:val="28"/>
        <w:szCs w:val="28"/>
      </w:rPr>
      <w:t>—</w:t>
    </w:r>
  </w:p>
  <w:p>
    <w:pPr>
      <w:pStyle w:val="22"/>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BB4EAE"/>
    <w:multiLevelType w:val="multilevel"/>
    <w:tmpl w:val="2FBB4EAE"/>
    <w:lvl w:ilvl="0" w:tentative="0">
      <w:start w:val="1"/>
      <w:numFmt w:val="none"/>
      <w:lvlText w:val="一、"/>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32C42AD"/>
    <w:multiLevelType w:val="multilevel"/>
    <w:tmpl w:val="432C42AD"/>
    <w:lvl w:ilvl="0" w:tentative="0">
      <w:start w:val="1"/>
      <w:numFmt w:val="decimal"/>
      <w:lvlText w:val="%1、"/>
      <w:lvlJc w:val="left"/>
      <w:pPr>
        <w:ind w:left="857" w:hanging="375"/>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
    <w:nsid w:val="44844933"/>
    <w:multiLevelType w:val="multilevel"/>
    <w:tmpl w:val="44844933"/>
    <w:lvl w:ilvl="0" w:tentative="0">
      <w:start w:val="1"/>
      <w:numFmt w:val="japaneseCounting"/>
      <w:lvlText w:val="%1、"/>
      <w:lvlJc w:val="left"/>
      <w:pPr>
        <w:ind w:left="992" w:hanging="51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4CC5679D"/>
    <w:multiLevelType w:val="multilevel"/>
    <w:tmpl w:val="4CC5679D"/>
    <w:lvl w:ilvl="0" w:tentative="0">
      <w:start w:val="1"/>
      <w:numFmt w:val="decimal"/>
      <w:lvlText w:val="%1、"/>
      <w:lvlJc w:val="left"/>
      <w:pPr>
        <w:ind w:left="857" w:hanging="375"/>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58B3DA70"/>
    <w:multiLevelType w:val="singleLevel"/>
    <w:tmpl w:val="58B3DA70"/>
    <w:lvl w:ilvl="0" w:tentative="0">
      <w:start w:val="1"/>
      <w:numFmt w:val="chineseCounting"/>
      <w:pStyle w:val="249"/>
      <w:suff w:val="nothing"/>
      <w:lvlText w:val="%1、"/>
      <w:lvlJc w:val="left"/>
      <w:rPr>
        <w:rFonts w:ascii="黑体" w:hAnsi="黑体" w:eastAsia="黑体"/>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947"/>
    <w:rsid w:val="00001F0B"/>
    <w:rsid w:val="00002F56"/>
    <w:rsid w:val="000038C4"/>
    <w:rsid w:val="0000496A"/>
    <w:rsid w:val="00004F26"/>
    <w:rsid w:val="00005E83"/>
    <w:rsid w:val="000060B3"/>
    <w:rsid w:val="0000770C"/>
    <w:rsid w:val="00012485"/>
    <w:rsid w:val="00013372"/>
    <w:rsid w:val="00013746"/>
    <w:rsid w:val="00014409"/>
    <w:rsid w:val="000165DB"/>
    <w:rsid w:val="00016611"/>
    <w:rsid w:val="000205B1"/>
    <w:rsid w:val="00021120"/>
    <w:rsid w:val="00021A2B"/>
    <w:rsid w:val="00023AF0"/>
    <w:rsid w:val="00023B9E"/>
    <w:rsid w:val="000241A6"/>
    <w:rsid w:val="00026375"/>
    <w:rsid w:val="00027EBF"/>
    <w:rsid w:val="00032AC2"/>
    <w:rsid w:val="00034233"/>
    <w:rsid w:val="000351D1"/>
    <w:rsid w:val="00040962"/>
    <w:rsid w:val="00041D08"/>
    <w:rsid w:val="00041EE9"/>
    <w:rsid w:val="00042190"/>
    <w:rsid w:val="00042DFB"/>
    <w:rsid w:val="00042EAC"/>
    <w:rsid w:val="0004307F"/>
    <w:rsid w:val="0004364B"/>
    <w:rsid w:val="000437CF"/>
    <w:rsid w:val="00044022"/>
    <w:rsid w:val="00044026"/>
    <w:rsid w:val="00045429"/>
    <w:rsid w:val="000457BE"/>
    <w:rsid w:val="000460ED"/>
    <w:rsid w:val="00053630"/>
    <w:rsid w:val="00055147"/>
    <w:rsid w:val="000551F0"/>
    <w:rsid w:val="0005720C"/>
    <w:rsid w:val="00060ABC"/>
    <w:rsid w:val="00060DBB"/>
    <w:rsid w:val="00060E3C"/>
    <w:rsid w:val="000612F4"/>
    <w:rsid w:val="00061B1F"/>
    <w:rsid w:val="00061F81"/>
    <w:rsid w:val="00062AD9"/>
    <w:rsid w:val="000633F1"/>
    <w:rsid w:val="00063685"/>
    <w:rsid w:val="00064379"/>
    <w:rsid w:val="00064445"/>
    <w:rsid w:val="00066A20"/>
    <w:rsid w:val="00066F2A"/>
    <w:rsid w:val="00067CF2"/>
    <w:rsid w:val="000729CD"/>
    <w:rsid w:val="000733C4"/>
    <w:rsid w:val="00074783"/>
    <w:rsid w:val="00074B87"/>
    <w:rsid w:val="0008070B"/>
    <w:rsid w:val="00080D27"/>
    <w:rsid w:val="00080D33"/>
    <w:rsid w:val="000810AC"/>
    <w:rsid w:val="00081A02"/>
    <w:rsid w:val="00081A2B"/>
    <w:rsid w:val="00082231"/>
    <w:rsid w:val="00082416"/>
    <w:rsid w:val="00082BF7"/>
    <w:rsid w:val="00083455"/>
    <w:rsid w:val="0008367D"/>
    <w:rsid w:val="000844FF"/>
    <w:rsid w:val="00085657"/>
    <w:rsid w:val="0008598C"/>
    <w:rsid w:val="0008600F"/>
    <w:rsid w:val="00087587"/>
    <w:rsid w:val="00090163"/>
    <w:rsid w:val="000906E6"/>
    <w:rsid w:val="00092D38"/>
    <w:rsid w:val="000935C2"/>
    <w:rsid w:val="0009377B"/>
    <w:rsid w:val="000942D0"/>
    <w:rsid w:val="00094544"/>
    <w:rsid w:val="00094980"/>
    <w:rsid w:val="000949C1"/>
    <w:rsid w:val="0009525D"/>
    <w:rsid w:val="000952E6"/>
    <w:rsid w:val="00095DE0"/>
    <w:rsid w:val="000970FF"/>
    <w:rsid w:val="00097CA0"/>
    <w:rsid w:val="00097F76"/>
    <w:rsid w:val="000A13F3"/>
    <w:rsid w:val="000A144E"/>
    <w:rsid w:val="000A1D79"/>
    <w:rsid w:val="000A20C9"/>
    <w:rsid w:val="000A2BB5"/>
    <w:rsid w:val="000A3947"/>
    <w:rsid w:val="000A43A1"/>
    <w:rsid w:val="000A5789"/>
    <w:rsid w:val="000A587F"/>
    <w:rsid w:val="000A6386"/>
    <w:rsid w:val="000A74F8"/>
    <w:rsid w:val="000A79E1"/>
    <w:rsid w:val="000B058F"/>
    <w:rsid w:val="000B0E37"/>
    <w:rsid w:val="000B173E"/>
    <w:rsid w:val="000B30CA"/>
    <w:rsid w:val="000B4467"/>
    <w:rsid w:val="000B4DB9"/>
    <w:rsid w:val="000B68BC"/>
    <w:rsid w:val="000B6B9A"/>
    <w:rsid w:val="000B6D34"/>
    <w:rsid w:val="000B7D54"/>
    <w:rsid w:val="000C00F6"/>
    <w:rsid w:val="000C09AC"/>
    <w:rsid w:val="000C29EF"/>
    <w:rsid w:val="000C3EBA"/>
    <w:rsid w:val="000C42B9"/>
    <w:rsid w:val="000C550F"/>
    <w:rsid w:val="000C5EFD"/>
    <w:rsid w:val="000C6931"/>
    <w:rsid w:val="000C696A"/>
    <w:rsid w:val="000C6ABF"/>
    <w:rsid w:val="000C767F"/>
    <w:rsid w:val="000C79A7"/>
    <w:rsid w:val="000D09F0"/>
    <w:rsid w:val="000D1F68"/>
    <w:rsid w:val="000D1FC6"/>
    <w:rsid w:val="000D284A"/>
    <w:rsid w:val="000D2E54"/>
    <w:rsid w:val="000D49D1"/>
    <w:rsid w:val="000D56CE"/>
    <w:rsid w:val="000D5A44"/>
    <w:rsid w:val="000D690C"/>
    <w:rsid w:val="000D7C67"/>
    <w:rsid w:val="000D7F24"/>
    <w:rsid w:val="000E07D4"/>
    <w:rsid w:val="000E329E"/>
    <w:rsid w:val="000E39A8"/>
    <w:rsid w:val="000E3ED2"/>
    <w:rsid w:val="000E5D88"/>
    <w:rsid w:val="000E5F6D"/>
    <w:rsid w:val="000E664C"/>
    <w:rsid w:val="000E720B"/>
    <w:rsid w:val="000F00E8"/>
    <w:rsid w:val="000F108D"/>
    <w:rsid w:val="000F204F"/>
    <w:rsid w:val="000F579B"/>
    <w:rsid w:val="001004C2"/>
    <w:rsid w:val="00100F7D"/>
    <w:rsid w:val="00100F99"/>
    <w:rsid w:val="0010100A"/>
    <w:rsid w:val="00101947"/>
    <w:rsid w:val="00102DBA"/>
    <w:rsid w:val="001056C8"/>
    <w:rsid w:val="00106614"/>
    <w:rsid w:val="00107EDA"/>
    <w:rsid w:val="00110785"/>
    <w:rsid w:val="001115F7"/>
    <w:rsid w:val="001123AC"/>
    <w:rsid w:val="00113BD3"/>
    <w:rsid w:val="00114959"/>
    <w:rsid w:val="00114ADB"/>
    <w:rsid w:val="001170A1"/>
    <w:rsid w:val="0011721C"/>
    <w:rsid w:val="00117449"/>
    <w:rsid w:val="0012024A"/>
    <w:rsid w:val="00121582"/>
    <w:rsid w:val="00121B9E"/>
    <w:rsid w:val="00121C90"/>
    <w:rsid w:val="00121FCC"/>
    <w:rsid w:val="00124EF2"/>
    <w:rsid w:val="001250F7"/>
    <w:rsid w:val="00125631"/>
    <w:rsid w:val="00125B2C"/>
    <w:rsid w:val="00127FEB"/>
    <w:rsid w:val="00130CEA"/>
    <w:rsid w:val="001312E2"/>
    <w:rsid w:val="00131CFB"/>
    <w:rsid w:val="00131DB5"/>
    <w:rsid w:val="00131F42"/>
    <w:rsid w:val="00132627"/>
    <w:rsid w:val="00132A50"/>
    <w:rsid w:val="00134649"/>
    <w:rsid w:val="001357F1"/>
    <w:rsid w:val="00135EA8"/>
    <w:rsid w:val="0013677C"/>
    <w:rsid w:val="001369BA"/>
    <w:rsid w:val="00137B7B"/>
    <w:rsid w:val="00140DA4"/>
    <w:rsid w:val="00140FA8"/>
    <w:rsid w:val="00141CBD"/>
    <w:rsid w:val="00142C71"/>
    <w:rsid w:val="00142FEB"/>
    <w:rsid w:val="00143A2D"/>
    <w:rsid w:val="00144338"/>
    <w:rsid w:val="001452A5"/>
    <w:rsid w:val="00145A41"/>
    <w:rsid w:val="00145FCE"/>
    <w:rsid w:val="00146BD2"/>
    <w:rsid w:val="00147C4C"/>
    <w:rsid w:val="001509B9"/>
    <w:rsid w:val="00150D18"/>
    <w:rsid w:val="00151675"/>
    <w:rsid w:val="00151CCF"/>
    <w:rsid w:val="00152AF2"/>
    <w:rsid w:val="00153CFF"/>
    <w:rsid w:val="00154D7D"/>
    <w:rsid w:val="001554E2"/>
    <w:rsid w:val="00157435"/>
    <w:rsid w:val="0016294C"/>
    <w:rsid w:val="00163A5C"/>
    <w:rsid w:val="001646D2"/>
    <w:rsid w:val="00164D71"/>
    <w:rsid w:val="00165101"/>
    <w:rsid w:val="001656A3"/>
    <w:rsid w:val="00167020"/>
    <w:rsid w:val="001670A7"/>
    <w:rsid w:val="0016717A"/>
    <w:rsid w:val="00170654"/>
    <w:rsid w:val="0017320B"/>
    <w:rsid w:val="0017369B"/>
    <w:rsid w:val="0017504D"/>
    <w:rsid w:val="00175ACB"/>
    <w:rsid w:val="001762C3"/>
    <w:rsid w:val="0017671A"/>
    <w:rsid w:val="00176AFC"/>
    <w:rsid w:val="00177422"/>
    <w:rsid w:val="00182742"/>
    <w:rsid w:val="0018343C"/>
    <w:rsid w:val="00184590"/>
    <w:rsid w:val="00184958"/>
    <w:rsid w:val="0018556B"/>
    <w:rsid w:val="00186970"/>
    <w:rsid w:val="00186D50"/>
    <w:rsid w:val="001870D1"/>
    <w:rsid w:val="0018781E"/>
    <w:rsid w:val="00187B77"/>
    <w:rsid w:val="00187C0C"/>
    <w:rsid w:val="00191DFE"/>
    <w:rsid w:val="0019262D"/>
    <w:rsid w:val="001926E5"/>
    <w:rsid w:val="00193827"/>
    <w:rsid w:val="00193C83"/>
    <w:rsid w:val="001944CD"/>
    <w:rsid w:val="00195A15"/>
    <w:rsid w:val="00195AE5"/>
    <w:rsid w:val="00195C6C"/>
    <w:rsid w:val="00196147"/>
    <w:rsid w:val="001961BA"/>
    <w:rsid w:val="00196CDD"/>
    <w:rsid w:val="001A0C1E"/>
    <w:rsid w:val="001A1B35"/>
    <w:rsid w:val="001A26B0"/>
    <w:rsid w:val="001A4547"/>
    <w:rsid w:val="001A45E4"/>
    <w:rsid w:val="001A48A2"/>
    <w:rsid w:val="001A6F61"/>
    <w:rsid w:val="001B0F58"/>
    <w:rsid w:val="001B20F4"/>
    <w:rsid w:val="001B273C"/>
    <w:rsid w:val="001B5DAE"/>
    <w:rsid w:val="001B639B"/>
    <w:rsid w:val="001B6AD5"/>
    <w:rsid w:val="001B6CFD"/>
    <w:rsid w:val="001B72B8"/>
    <w:rsid w:val="001B73D3"/>
    <w:rsid w:val="001B7949"/>
    <w:rsid w:val="001C0309"/>
    <w:rsid w:val="001C03A8"/>
    <w:rsid w:val="001C0766"/>
    <w:rsid w:val="001C1B5A"/>
    <w:rsid w:val="001C1E47"/>
    <w:rsid w:val="001C29F2"/>
    <w:rsid w:val="001C3BBB"/>
    <w:rsid w:val="001C69B3"/>
    <w:rsid w:val="001C6ACA"/>
    <w:rsid w:val="001C6FF1"/>
    <w:rsid w:val="001C7595"/>
    <w:rsid w:val="001C7ED2"/>
    <w:rsid w:val="001D057B"/>
    <w:rsid w:val="001D1EA4"/>
    <w:rsid w:val="001D30C6"/>
    <w:rsid w:val="001D5595"/>
    <w:rsid w:val="001D56B6"/>
    <w:rsid w:val="001D59DF"/>
    <w:rsid w:val="001D6B2A"/>
    <w:rsid w:val="001D76E7"/>
    <w:rsid w:val="001D7874"/>
    <w:rsid w:val="001D7F22"/>
    <w:rsid w:val="001E0673"/>
    <w:rsid w:val="001E1381"/>
    <w:rsid w:val="001E1B9D"/>
    <w:rsid w:val="001E3B79"/>
    <w:rsid w:val="001E4686"/>
    <w:rsid w:val="001E69FF"/>
    <w:rsid w:val="001F0653"/>
    <w:rsid w:val="001F0A10"/>
    <w:rsid w:val="001F0F17"/>
    <w:rsid w:val="001F1A3A"/>
    <w:rsid w:val="001F1D64"/>
    <w:rsid w:val="001F2123"/>
    <w:rsid w:val="001F3347"/>
    <w:rsid w:val="001F5AE2"/>
    <w:rsid w:val="001F69E4"/>
    <w:rsid w:val="001F6CF8"/>
    <w:rsid w:val="001F6DC0"/>
    <w:rsid w:val="00200C86"/>
    <w:rsid w:val="002016AF"/>
    <w:rsid w:val="00201D2F"/>
    <w:rsid w:val="00202544"/>
    <w:rsid w:val="0020278C"/>
    <w:rsid w:val="00202D1E"/>
    <w:rsid w:val="00203394"/>
    <w:rsid w:val="0020453A"/>
    <w:rsid w:val="0020524B"/>
    <w:rsid w:val="00205407"/>
    <w:rsid w:val="002057D3"/>
    <w:rsid w:val="002058F6"/>
    <w:rsid w:val="00206399"/>
    <w:rsid w:val="00206C45"/>
    <w:rsid w:val="002076EF"/>
    <w:rsid w:val="00210F93"/>
    <w:rsid w:val="002116D9"/>
    <w:rsid w:val="002125B4"/>
    <w:rsid w:val="00212D51"/>
    <w:rsid w:val="0021370E"/>
    <w:rsid w:val="002155B8"/>
    <w:rsid w:val="00217698"/>
    <w:rsid w:val="00221525"/>
    <w:rsid w:val="002232F7"/>
    <w:rsid w:val="00224234"/>
    <w:rsid w:val="002243EC"/>
    <w:rsid w:val="00224839"/>
    <w:rsid w:val="002249B2"/>
    <w:rsid w:val="0022632A"/>
    <w:rsid w:val="00226574"/>
    <w:rsid w:val="002273DC"/>
    <w:rsid w:val="002278EC"/>
    <w:rsid w:val="002278F3"/>
    <w:rsid w:val="002301F3"/>
    <w:rsid w:val="002322AB"/>
    <w:rsid w:val="0023280E"/>
    <w:rsid w:val="00232D72"/>
    <w:rsid w:val="0023307E"/>
    <w:rsid w:val="00233A46"/>
    <w:rsid w:val="0023483C"/>
    <w:rsid w:val="00236241"/>
    <w:rsid w:val="00237113"/>
    <w:rsid w:val="002377D1"/>
    <w:rsid w:val="00240C95"/>
    <w:rsid w:val="00241479"/>
    <w:rsid w:val="002415D0"/>
    <w:rsid w:val="00241ACB"/>
    <w:rsid w:val="002427C8"/>
    <w:rsid w:val="00242857"/>
    <w:rsid w:val="00244550"/>
    <w:rsid w:val="0024623F"/>
    <w:rsid w:val="00246672"/>
    <w:rsid w:val="00246EB5"/>
    <w:rsid w:val="00247218"/>
    <w:rsid w:val="002476E2"/>
    <w:rsid w:val="002506BC"/>
    <w:rsid w:val="00250A41"/>
    <w:rsid w:val="00251956"/>
    <w:rsid w:val="0025197B"/>
    <w:rsid w:val="00254345"/>
    <w:rsid w:val="00254421"/>
    <w:rsid w:val="00254621"/>
    <w:rsid w:val="0025490E"/>
    <w:rsid w:val="00255B51"/>
    <w:rsid w:val="00257C15"/>
    <w:rsid w:val="002602E1"/>
    <w:rsid w:val="00260BB9"/>
    <w:rsid w:val="00261099"/>
    <w:rsid w:val="00261971"/>
    <w:rsid w:val="00262C32"/>
    <w:rsid w:val="00264557"/>
    <w:rsid w:val="00264F61"/>
    <w:rsid w:val="002668AE"/>
    <w:rsid w:val="00267F10"/>
    <w:rsid w:val="00270870"/>
    <w:rsid w:val="0027146F"/>
    <w:rsid w:val="00271E67"/>
    <w:rsid w:val="002741B1"/>
    <w:rsid w:val="00275380"/>
    <w:rsid w:val="0027588A"/>
    <w:rsid w:val="00275DE6"/>
    <w:rsid w:val="00277E94"/>
    <w:rsid w:val="002805AB"/>
    <w:rsid w:val="002806E6"/>
    <w:rsid w:val="00280BFC"/>
    <w:rsid w:val="00283CAF"/>
    <w:rsid w:val="00284204"/>
    <w:rsid w:val="00290F51"/>
    <w:rsid w:val="00291773"/>
    <w:rsid w:val="00292EC2"/>
    <w:rsid w:val="002948ED"/>
    <w:rsid w:val="002A10AB"/>
    <w:rsid w:val="002A168C"/>
    <w:rsid w:val="002A16B9"/>
    <w:rsid w:val="002A39A4"/>
    <w:rsid w:val="002A3DC7"/>
    <w:rsid w:val="002A6363"/>
    <w:rsid w:val="002A6D4C"/>
    <w:rsid w:val="002B0A3E"/>
    <w:rsid w:val="002B13A1"/>
    <w:rsid w:val="002B1E64"/>
    <w:rsid w:val="002B3FF8"/>
    <w:rsid w:val="002B49E2"/>
    <w:rsid w:val="002B5617"/>
    <w:rsid w:val="002B6EE0"/>
    <w:rsid w:val="002B7066"/>
    <w:rsid w:val="002B751E"/>
    <w:rsid w:val="002B7B00"/>
    <w:rsid w:val="002B7C16"/>
    <w:rsid w:val="002B7C44"/>
    <w:rsid w:val="002C03B5"/>
    <w:rsid w:val="002C1246"/>
    <w:rsid w:val="002C193A"/>
    <w:rsid w:val="002C2B17"/>
    <w:rsid w:val="002C3506"/>
    <w:rsid w:val="002C4A15"/>
    <w:rsid w:val="002C4FC1"/>
    <w:rsid w:val="002C51DC"/>
    <w:rsid w:val="002D0570"/>
    <w:rsid w:val="002D085E"/>
    <w:rsid w:val="002D0A25"/>
    <w:rsid w:val="002D2880"/>
    <w:rsid w:val="002D3409"/>
    <w:rsid w:val="002D3DD0"/>
    <w:rsid w:val="002D5019"/>
    <w:rsid w:val="002D5223"/>
    <w:rsid w:val="002D56B7"/>
    <w:rsid w:val="002D6481"/>
    <w:rsid w:val="002D7784"/>
    <w:rsid w:val="002E03F5"/>
    <w:rsid w:val="002E04FD"/>
    <w:rsid w:val="002E0A34"/>
    <w:rsid w:val="002E1F3A"/>
    <w:rsid w:val="002E2469"/>
    <w:rsid w:val="002E298A"/>
    <w:rsid w:val="002E4AA7"/>
    <w:rsid w:val="002F355E"/>
    <w:rsid w:val="002F387E"/>
    <w:rsid w:val="002F4A82"/>
    <w:rsid w:val="002F5037"/>
    <w:rsid w:val="002F526B"/>
    <w:rsid w:val="002F58A5"/>
    <w:rsid w:val="002F71DC"/>
    <w:rsid w:val="002F73D9"/>
    <w:rsid w:val="00301978"/>
    <w:rsid w:val="00301C54"/>
    <w:rsid w:val="0030296E"/>
    <w:rsid w:val="0030332C"/>
    <w:rsid w:val="00304BED"/>
    <w:rsid w:val="003051C2"/>
    <w:rsid w:val="00305A65"/>
    <w:rsid w:val="003065C5"/>
    <w:rsid w:val="0030718F"/>
    <w:rsid w:val="00307381"/>
    <w:rsid w:val="00310639"/>
    <w:rsid w:val="003117C0"/>
    <w:rsid w:val="00312296"/>
    <w:rsid w:val="00314290"/>
    <w:rsid w:val="00314F0E"/>
    <w:rsid w:val="00315329"/>
    <w:rsid w:val="003169D8"/>
    <w:rsid w:val="003203C2"/>
    <w:rsid w:val="00320FF2"/>
    <w:rsid w:val="003211EA"/>
    <w:rsid w:val="00321395"/>
    <w:rsid w:val="00321D8E"/>
    <w:rsid w:val="0032277F"/>
    <w:rsid w:val="003232A1"/>
    <w:rsid w:val="00323808"/>
    <w:rsid w:val="003238F5"/>
    <w:rsid w:val="0032426C"/>
    <w:rsid w:val="00325928"/>
    <w:rsid w:val="00325CB7"/>
    <w:rsid w:val="00327A19"/>
    <w:rsid w:val="00330B5B"/>
    <w:rsid w:val="003313F5"/>
    <w:rsid w:val="00332863"/>
    <w:rsid w:val="003336FE"/>
    <w:rsid w:val="0033407F"/>
    <w:rsid w:val="00335719"/>
    <w:rsid w:val="0033684D"/>
    <w:rsid w:val="00337822"/>
    <w:rsid w:val="00337909"/>
    <w:rsid w:val="00337B42"/>
    <w:rsid w:val="00340001"/>
    <w:rsid w:val="00341ACF"/>
    <w:rsid w:val="00341B42"/>
    <w:rsid w:val="003425F7"/>
    <w:rsid w:val="00342A46"/>
    <w:rsid w:val="00342F11"/>
    <w:rsid w:val="0034348F"/>
    <w:rsid w:val="003434B6"/>
    <w:rsid w:val="00343982"/>
    <w:rsid w:val="0034587D"/>
    <w:rsid w:val="0034598A"/>
    <w:rsid w:val="00346822"/>
    <w:rsid w:val="003504D5"/>
    <w:rsid w:val="00350D68"/>
    <w:rsid w:val="00351B16"/>
    <w:rsid w:val="00351EE9"/>
    <w:rsid w:val="00352D88"/>
    <w:rsid w:val="0035341F"/>
    <w:rsid w:val="003539E0"/>
    <w:rsid w:val="00355244"/>
    <w:rsid w:val="00355DCB"/>
    <w:rsid w:val="00356178"/>
    <w:rsid w:val="00356586"/>
    <w:rsid w:val="00356653"/>
    <w:rsid w:val="003568A5"/>
    <w:rsid w:val="0035743F"/>
    <w:rsid w:val="00357BB6"/>
    <w:rsid w:val="00357BE2"/>
    <w:rsid w:val="003616D8"/>
    <w:rsid w:val="0036170C"/>
    <w:rsid w:val="00361F08"/>
    <w:rsid w:val="00366E0F"/>
    <w:rsid w:val="0037045E"/>
    <w:rsid w:val="0037124C"/>
    <w:rsid w:val="0037168E"/>
    <w:rsid w:val="00371F92"/>
    <w:rsid w:val="00372FDC"/>
    <w:rsid w:val="0037309F"/>
    <w:rsid w:val="0037324F"/>
    <w:rsid w:val="00373FD1"/>
    <w:rsid w:val="00375A8D"/>
    <w:rsid w:val="00375BD4"/>
    <w:rsid w:val="00376CA6"/>
    <w:rsid w:val="00381A72"/>
    <w:rsid w:val="003824A9"/>
    <w:rsid w:val="00382D13"/>
    <w:rsid w:val="00384676"/>
    <w:rsid w:val="00385C93"/>
    <w:rsid w:val="00387DFE"/>
    <w:rsid w:val="00390857"/>
    <w:rsid w:val="0039257E"/>
    <w:rsid w:val="00394D61"/>
    <w:rsid w:val="00396215"/>
    <w:rsid w:val="00396D7B"/>
    <w:rsid w:val="00396F8F"/>
    <w:rsid w:val="003970FD"/>
    <w:rsid w:val="003A2162"/>
    <w:rsid w:val="003A2A70"/>
    <w:rsid w:val="003A2FD0"/>
    <w:rsid w:val="003A30F6"/>
    <w:rsid w:val="003A33BE"/>
    <w:rsid w:val="003A4BF3"/>
    <w:rsid w:val="003A6D1A"/>
    <w:rsid w:val="003B1275"/>
    <w:rsid w:val="003B1645"/>
    <w:rsid w:val="003B169B"/>
    <w:rsid w:val="003B1B8C"/>
    <w:rsid w:val="003B1F28"/>
    <w:rsid w:val="003B2875"/>
    <w:rsid w:val="003B2D86"/>
    <w:rsid w:val="003B420D"/>
    <w:rsid w:val="003B4F31"/>
    <w:rsid w:val="003B522D"/>
    <w:rsid w:val="003B55DF"/>
    <w:rsid w:val="003B6115"/>
    <w:rsid w:val="003B6FD1"/>
    <w:rsid w:val="003B77DE"/>
    <w:rsid w:val="003C53BB"/>
    <w:rsid w:val="003C69A4"/>
    <w:rsid w:val="003C6C16"/>
    <w:rsid w:val="003C7C08"/>
    <w:rsid w:val="003D2457"/>
    <w:rsid w:val="003D2B9E"/>
    <w:rsid w:val="003D2DAC"/>
    <w:rsid w:val="003D2E37"/>
    <w:rsid w:val="003D6122"/>
    <w:rsid w:val="003D6126"/>
    <w:rsid w:val="003D794D"/>
    <w:rsid w:val="003E1A15"/>
    <w:rsid w:val="003E2AC0"/>
    <w:rsid w:val="003E3058"/>
    <w:rsid w:val="003E4758"/>
    <w:rsid w:val="003E4DCF"/>
    <w:rsid w:val="003E53E9"/>
    <w:rsid w:val="003E5573"/>
    <w:rsid w:val="003E617F"/>
    <w:rsid w:val="003E61A8"/>
    <w:rsid w:val="003E663A"/>
    <w:rsid w:val="003E66FF"/>
    <w:rsid w:val="003E7364"/>
    <w:rsid w:val="003E76A9"/>
    <w:rsid w:val="003F0809"/>
    <w:rsid w:val="003F33C8"/>
    <w:rsid w:val="003F34E3"/>
    <w:rsid w:val="003F3B90"/>
    <w:rsid w:val="003F3E4D"/>
    <w:rsid w:val="003F4D03"/>
    <w:rsid w:val="003F5ABD"/>
    <w:rsid w:val="003F5F65"/>
    <w:rsid w:val="003F5F85"/>
    <w:rsid w:val="003F6A8C"/>
    <w:rsid w:val="003F755C"/>
    <w:rsid w:val="003F7C21"/>
    <w:rsid w:val="003F7D22"/>
    <w:rsid w:val="003F7F5A"/>
    <w:rsid w:val="0040132F"/>
    <w:rsid w:val="00401E1A"/>
    <w:rsid w:val="00401F8F"/>
    <w:rsid w:val="004024F3"/>
    <w:rsid w:val="0040383E"/>
    <w:rsid w:val="004046C6"/>
    <w:rsid w:val="004047A1"/>
    <w:rsid w:val="004054D4"/>
    <w:rsid w:val="00406F01"/>
    <w:rsid w:val="004107F0"/>
    <w:rsid w:val="00410827"/>
    <w:rsid w:val="00410CCC"/>
    <w:rsid w:val="00411C37"/>
    <w:rsid w:val="00411D7B"/>
    <w:rsid w:val="00412EF5"/>
    <w:rsid w:val="00413845"/>
    <w:rsid w:val="00413E53"/>
    <w:rsid w:val="00413F09"/>
    <w:rsid w:val="00414EA2"/>
    <w:rsid w:val="004152D5"/>
    <w:rsid w:val="004154C3"/>
    <w:rsid w:val="00416D50"/>
    <w:rsid w:val="00416FD5"/>
    <w:rsid w:val="0041721E"/>
    <w:rsid w:val="00417772"/>
    <w:rsid w:val="00420597"/>
    <w:rsid w:val="00420E6A"/>
    <w:rsid w:val="00423953"/>
    <w:rsid w:val="0042553F"/>
    <w:rsid w:val="00425A9E"/>
    <w:rsid w:val="00425C1A"/>
    <w:rsid w:val="004263B1"/>
    <w:rsid w:val="00426570"/>
    <w:rsid w:val="004265C8"/>
    <w:rsid w:val="00426D6B"/>
    <w:rsid w:val="0042718F"/>
    <w:rsid w:val="00427D20"/>
    <w:rsid w:val="00430F8C"/>
    <w:rsid w:val="00431548"/>
    <w:rsid w:val="0043193B"/>
    <w:rsid w:val="00431E6C"/>
    <w:rsid w:val="0043273F"/>
    <w:rsid w:val="00433CE7"/>
    <w:rsid w:val="004344B6"/>
    <w:rsid w:val="004363F3"/>
    <w:rsid w:val="004405B6"/>
    <w:rsid w:val="0044381C"/>
    <w:rsid w:val="00445A5A"/>
    <w:rsid w:val="00446E8C"/>
    <w:rsid w:val="004475B6"/>
    <w:rsid w:val="00447D92"/>
    <w:rsid w:val="0045097E"/>
    <w:rsid w:val="00450A38"/>
    <w:rsid w:val="00450B41"/>
    <w:rsid w:val="00452461"/>
    <w:rsid w:val="00452738"/>
    <w:rsid w:val="00452E82"/>
    <w:rsid w:val="004537A7"/>
    <w:rsid w:val="00455BC6"/>
    <w:rsid w:val="00455F9B"/>
    <w:rsid w:val="00456091"/>
    <w:rsid w:val="004563CB"/>
    <w:rsid w:val="00460393"/>
    <w:rsid w:val="004620CB"/>
    <w:rsid w:val="00462685"/>
    <w:rsid w:val="00462B82"/>
    <w:rsid w:val="00462D62"/>
    <w:rsid w:val="004635A9"/>
    <w:rsid w:val="00463D51"/>
    <w:rsid w:val="00464026"/>
    <w:rsid w:val="00464CA4"/>
    <w:rsid w:val="00464F29"/>
    <w:rsid w:val="004651E8"/>
    <w:rsid w:val="00466321"/>
    <w:rsid w:val="004676A1"/>
    <w:rsid w:val="00471802"/>
    <w:rsid w:val="0047181C"/>
    <w:rsid w:val="00472898"/>
    <w:rsid w:val="00472D8F"/>
    <w:rsid w:val="00472F2C"/>
    <w:rsid w:val="00472F62"/>
    <w:rsid w:val="00473034"/>
    <w:rsid w:val="00474C31"/>
    <w:rsid w:val="004766F7"/>
    <w:rsid w:val="00477545"/>
    <w:rsid w:val="0048232D"/>
    <w:rsid w:val="00483A57"/>
    <w:rsid w:val="00484B9B"/>
    <w:rsid w:val="004855F6"/>
    <w:rsid w:val="004857C2"/>
    <w:rsid w:val="004857E3"/>
    <w:rsid w:val="0048661E"/>
    <w:rsid w:val="00486AEE"/>
    <w:rsid w:val="004876CA"/>
    <w:rsid w:val="00490DF0"/>
    <w:rsid w:val="00491B96"/>
    <w:rsid w:val="004923F0"/>
    <w:rsid w:val="0049252E"/>
    <w:rsid w:val="004926DD"/>
    <w:rsid w:val="00494670"/>
    <w:rsid w:val="004970F9"/>
    <w:rsid w:val="004974B3"/>
    <w:rsid w:val="0049757F"/>
    <w:rsid w:val="004978C9"/>
    <w:rsid w:val="004A210F"/>
    <w:rsid w:val="004A22ED"/>
    <w:rsid w:val="004A2B24"/>
    <w:rsid w:val="004A3823"/>
    <w:rsid w:val="004A39C8"/>
    <w:rsid w:val="004A3F71"/>
    <w:rsid w:val="004A5B70"/>
    <w:rsid w:val="004A5E07"/>
    <w:rsid w:val="004A6086"/>
    <w:rsid w:val="004A6ADE"/>
    <w:rsid w:val="004A7C58"/>
    <w:rsid w:val="004B1146"/>
    <w:rsid w:val="004B16F8"/>
    <w:rsid w:val="004B1919"/>
    <w:rsid w:val="004B30D4"/>
    <w:rsid w:val="004B3621"/>
    <w:rsid w:val="004B4157"/>
    <w:rsid w:val="004B6309"/>
    <w:rsid w:val="004C1146"/>
    <w:rsid w:val="004C2F89"/>
    <w:rsid w:val="004C30AF"/>
    <w:rsid w:val="004C3A8C"/>
    <w:rsid w:val="004C4627"/>
    <w:rsid w:val="004C4DB8"/>
    <w:rsid w:val="004C5586"/>
    <w:rsid w:val="004C5F6B"/>
    <w:rsid w:val="004D07D0"/>
    <w:rsid w:val="004D2420"/>
    <w:rsid w:val="004D27A1"/>
    <w:rsid w:val="004D2E07"/>
    <w:rsid w:val="004D468E"/>
    <w:rsid w:val="004D48D1"/>
    <w:rsid w:val="004D4DF9"/>
    <w:rsid w:val="004D6F1D"/>
    <w:rsid w:val="004D782A"/>
    <w:rsid w:val="004E0284"/>
    <w:rsid w:val="004E0D89"/>
    <w:rsid w:val="004E1A77"/>
    <w:rsid w:val="004E2982"/>
    <w:rsid w:val="004E29DD"/>
    <w:rsid w:val="004E2DAB"/>
    <w:rsid w:val="004E3846"/>
    <w:rsid w:val="004E3F28"/>
    <w:rsid w:val="004E4534"/>
    <w:rsid w:val="004E4DE8"/>
    <w:rsid w:val="004E584E"/>
    <w:rsid w:val="004E6045"/>
    <w:rsid w:val="004E6946"/>
    <w:rsid w:val="004E7759"/>
    <w:rsid w:val="004F0E6E"/>
    <w:rsid w:val="004F1AD8"/>
    <w:rsid w:val="004F27F0"/>
    <w:rsid w:val="004F2D7E"/>
    <w:rsid w:val="004F35CE"/>
    <w:rsid w:val="004F3874"/>
    <w:rsid w:val="004F3F3D"/>
    <w:rsid w:val="004F5AD8"/>
    <w:rsid w:val="004F5CE3"/>
    <w:rsid w:val="004F5EBF"/>
    <w:rsid w:val="004F65A2"/>
    <w:rsid w:val="0050104A"/>
    <w:rsid w:val="00501086"/>
    <w:rsid w:val="00502C36"/>
    <w:rsid w:val="005039CB"/>
    <w:rsid w:val="0050558F"/>
    <w:rsid w:val="00505BB9"/>
    <w:rsid w:val="00505BF3"/>
    <w:rsid w:val="00506286"/>
    <w:rsid w:val="0050723A"/>
    <w:rsid w:val="005076E2"/>
    <w:rsid w:val="00510813"/>
    <w:rsid w:val="00511990"/>
    <w:rsid w:val="00511DE0"/>
    <w:rsid w:val="0051264C"/>
    <w:rsid w:val="00512925"/>
    <w:rsid w:val="00512D71"/>
    <w:rsid w:val="005139E7"/>
    <w:rsid w:val="00514012"/>
    <w:rsid w:val="00514870"/>
    <w:rsid w:val="00514B9B"/>
    <w:rsid w:val="00515EA0"/>
    <w:rsid w:val="0051607A"/>
    <w:rsid w:val="005168CA"/>
    <w:rsid w:val="005172CE"/>
    <w:rsid w:val="00517F02"/>
    <w:rsid w:val="00520237"/>
    <w:rsid w:val="00521AF1"/>
    <w:rsid w:val="0052245E"/>
    <w:rsid w:val="0052310D"/>
    <w:rsid w:val="00524303"/>
    <w:rsid w:val="005245D4"/>
    <w:rsid w:val="00525640"/>
    <w:rsid w:val="005258A2"/>
    <w:rsid w:val="00525A9D"/>
    <w:rsid w:val="005268D6"/>
    <w:rsid w:val="00527589"/>
    <w:rsid w:val="00530E5D"/>
    <w:rsid w:val="00531568"/>
    <w:rsid w:val="005316E0"/>
    <w:rsid w:val="005317F0"/>
    <w:rsid w:val="00533346"/>
    <w:rsid w:val="00534151"/>
    <w:rsid w:val="00535172"/>
    <w:rsid w:val="005351D6"/>
    <w:rsid w:val="0053763F"/>
    <w:rsid w:val="00537D28"/>
    <w:rsid w:val="005401AE"/>
    <w:rsid w:val="00540E8B"/>
    <w:rsid w:val="0054209D"/>
    <w:rsid w:val="00542E07"/>
    <w:rsid w:val="00543448"/>
    <w:rsid w:val="005435F4"/>
    <w:rsid w:val="00544CCD"/>
    <w:rsid w:val="00545424"/>
    <w:rsid w:val="005462AE"/>
    <w:rsid w:val="00546A45"/>
    <w:rsid w:val="00546FE1"/>
    <w:rsid w:val="00547F12"/>
    <w:rsid w:val="0055002F"/>
    <w:rsid w:val="00550471"/>
    <w:rsid w:val="00552B39"/>
    <w:rsid w:val="00553BA3"/>
    <w:rsid w:val="005545B5"/>
    <w:rsid w:val="00554A7B"/>
    <w:rsid w:val="0055572C"/>
    <w:rsid w:val="00555B0C"/>
    <w:rsid w:val="005561EF"/>
    <w:rsid w:val="00560110"/>
    <w:rsid w:val="00560591"/>
    <w:rsid w:val="0056106A"/>
    <w:rsid w:val="005636FE"/>
    <w:rsid w:val="00563ADB"/>
    <w:rsid w:val="00564A12"/>
    <w:rsid w:val="005652FE"/>
    <w:rsid w:val="005656D2"/>
    <w:rsid w:val="005667D8"/>
    <w:rsid w:val="00567580"/>
    <w:rsid w:val="00570632"/>
    <w:rsid w:val="005707CD"/>
    <w:rsid w:val="0057090B"/>
    <w:rsid w:val="00571383"/>
    <w:rsid w:val="00571886"/>
    <w:rsid w:val="005720AE"/>
    <w:rsid w:val="005735C0"/>
    <w:rsid w:val="00574727"/>
    <w:rsid w:val="0057565B"/>
    <w:rsid w:val="0057567D"/>
    <w:rsid w:val="00575BAC"/>
    <w:rsid w:val="00576AAE"/>
    <w:rsid w:val="00577DAB"/>
    <w:rsid w:val="00580701"/>
    <w:rsid w:val="005813CD"/>
    <w:rsid w:val="0058170C"/>
    <w:rsid w:val="00581DB3"/>
    <w:rsid w:val="0058272D"/>
    <w:rsid w:val="00583DDD"/>
    <w:rsid w:val="00584E28"/>
    <w:rsid w:val="0058654D"/>
    <w:rsid w:val="005866CB"/>
    <w:rsid w:val="005867DF"/>
    <w:rsid w:val="00590C4D"/>
    <w:rsid w:val="005915ED"/>
    <w:rsid w:val="00593303"/>
    <w:rsid w:val="005939E7"/>
    <w:rsid w:val="00593A96"/>
    <w:rsid w:val="00594D77"/>
    <w:rsid w:val="005952E3"/>
    <w:rsid w:val="005956F8"/>
    <w:rsid w:val="005969E4"/>
    <w:rsid w:val="0059762D"/>
    <w:rsid w:val="00597B1B"/>
    <w:rsid w:val="005A0659"/>
    <w:rsid w:val="005A06B7"/>
    <w:rsid w:val="005A095D"/>
    <w:rsid w:val="005A1759"/>
    <w:rsid w:val="005A64A4"/>
    <w:rsid w:val="005A68A7"/>
    <w:rsid w:val="005A6EE1"/>
    <w:rsid w:val="005A6FF5"/>
    <w:rsid w:val="005B0886"/>
    <w:rsid w:val="005B0925"/>
    <w:rsid w:val="005B0FB2"/>
    <w:rsid w:val="005B2BAC"/>
    <w:rsid w:val="005B36CE"/>
    <w:rsid w:val="005B589F"/>
    <w:rsid w:val="005B5E4E"/>
    <w:rsid w:val="005B67C3"/>
    <w:rsid w:val="005B79A1"/>
    <w:rsid w:val="005B7A2F"/>
    <w:rsid w:val="005C16FF"/>
    <w:rsid w:val="005C17B0"/>
    <w:rsid w:val="005C1B27"/>
    <w:rsid w:val="005C333E"/>
    <w:rsid w:val="005C3D61"/>
    <w:rsid w:val="005C54BD"/>
    <w:rsid w:val="005C5D70"/>
    <w:rsid w:val="005C71EB"/>
    <w:rsid w:val="005D1841"/>
    <w:rsid w:val="005D1AA3"/>
    <w:rsid w:val="005D1D29"/>
    <w:rsid w:val="005D36AB"/>
    <w:rsid w:val="005D576B"/>
    <w:rsid w:val="005D6C69"/>
    <w:rsid w:val="005D7AF1"/>
    <w:rsid w:val="005D7C84"/>
    <w:rsid w:val="005D7D07"/>
    <w:rsid w:val="005E0CF3"/>
    <w:rsid w:val="005E1683"/>
    <w:rsid w:val="005E239A"/>
    <w:rsid w:val="005E2965"/>
    <w:rsid w:val="005E2BB6"/>
    <w:rsid w:val="005E3449"/>
    <w:rsid w:val="005E49F6"/>
    <w:rsid w:val="005F201A"/>
    <w:rsid w:val="005F30CC"/>
    <w:rsid w:val="005F39BF"/>
    <w:rsid w:val="005F4014"/>
    <w:rsid w:val="005F5375"/>
    <w:rsid w:val="005F550B"/>
    <w:rsid w:val="005F67F4"/>
    <w:rsid w:val="005F6E30"/>
    <w:rsid w:val="00603CEA"/>
    <w:rsid w:val="006064BA"/>
    <w:rsid w:val="00607FBC"/>
    <w:rsid w:val="006115C8"/>
    <w:rsid w:val="006126BB"/>
    <w:rsid w:val="006130CD"/>
    <w:rsid w:val="00613EF5"/>
    <w:rsid w:val="00616163"/>
    <w:rsid w:val="00617CC3"/>
    <w:rsid w:val="006201F7"/>
    <w:rsid w:val="00620554"/>
    <w:rsid w:val="0062099A"/>
    <w:rsid w:val="00620A50"/>
    <w:rsid w:val="00622A47"/>
    <w:rsid w:val="00624ECB"/>
    <w:rsid w:val="00625258"/>
    <w:rsid w:val="006260C5"/>
    <w:rsid w:val="0062631B"/>
    <w:rsid w:val="00626653"/>
    <w:rsid w:val="00626CA4"/>
    <w:rsid w:val="00626DFB"/>
    <w:rsid w:val="006303EB"/>
    <w:rsid w:val="006305A3"/>
    <w:rsid w:val="00630E46"/>
    <w:rsid w:val="00633B97"/>
    <w:rsid w:val="00634E02"/>
    <w:rsid w:val="00635188"/>
    <w:rsid w:val="006375C5"/>
    <w:rsid w:val="006377A6"/>
    <w:rsid w:val="00637A3D"/>
    <w:rsid w:val="00641104"/>
    <w:rsid w:val="006411EF"/>
    <w:rsid w:val="00641A4B"/>
    <w:rsid w:val="00642609"/>
    <w:rsid w:val="00642D06"/>
    <w:rsid w:val="0064368D"/>
    <w:rsid w:val="00650064"/>
    <w:rsid w:val="00652E44"/>
    <w:rsid w:val="006530BB"/>
    <w:rsid w:val="00653868"/>
    <w:rsid w:val="00653D3D"/>
    <w:rsid w:val="00660507"/>
    <w:rsid w:val="006620C8"/>
    <w:rsid w:val="00663543"/>
    <w:rsid w:val="00663977"/>
    <w:rsid w:val="00663D4E"/>
    <w:rsid w:val="0066430C"/>
    <w:rsid w:val="0066568E"/>
    <w:rsid w:val="00665921"/>
    <w:rsid w:val="00665CF8"/>
    <w:rsid w:val="00666F6E"/>
    <w:rsid w:val="0066709A"/>
    <w:rsid w:val="0067036B"/>
    <w:rsid w:val="00670716"/>
    <w:rsid w:val="00670B08"/>
    <w:rsid w:val="006732E1"/>
    <w:rsid w:val="00673F5F"/>
    <w:rsid w:val="0067480D"/>
    <w:rsid w:val="006748B8"/>
    <w:rsid w:val="00675B29"/>
    <w:rsid w:val="00675CA3"/>
    <w:rsid w:val="006760E8"/>
    <w:rsid w:val="006775C3"/>
    <w:rsid w:val="006776FC"/>
    <w:rsid w:val="00680960"/>
    <w:rsid w:val="006814E8"/>
    <w:rsid w:val="00681EEB"/>
    <w:rsid w:val="00682C82"/>
    <w:rsid w:val="00684349"/>
    <w:rsid w:val="00684A2A"/>
    <w:rsid w:val="006916F5"/>
    <w:rsid w:val="0069179F"/>
    <w:rsid w:val="00691F71"/>
    <w:rsid w:val="0069290A"/>
    <w:rsid w:val="00693258"/>
    <w:rsid w:val="006935DD"/>
    <w:rsid w:val="0069645F"/>
    <w:rsid w:val="00696B63"/>
    <w:rsid w:val="0069775A"/>
    <w:rsid w:val="00697813"/>
    <w:rsid w:val="00697B58"/>
    <w:rsid w:val="006A1248"/>
    <w:rsid w:val="006A256E"/>
    <w:rsid w:val="006A2B40"/>
    <w:rsid w:val="006A3D79"/>
    <w:rsid w:val="006A3EE8"/>
    <w:rsid w:val="006A5D27"/>
    <w:rsid w:val="006A72BF"/>
    <w:rsid w:val="006B0185"/>
    <w:rsid w:val="006B03F2"/>
    <w:rsid w:val="006B20FA"/>
    <w:rsid w:val="006B24EB"/>
    <w:rsid w:val="006B306A"/>
    <w:rsid w:val="006B366B"/>
    <w:rsid w:val="006B37DC"/>
    <w:rsid w:val="006B3D16"/>
    <w:rsid w:val="006B3E0E"/>
    <w:rsid w:val="006B4F68"/>
    <w:rsid w:val="006B5668"/>
    <w:rsid w:val="006B584A"/>
    <w:rsid w:val="006B60D9"/>
    <w:rsid w:val="006B70D2"/>
    <w:rsid w:val="006B7ABB"/>
    <w:rsid w:val="006C04DB"/>
    <w:rsid w:val="006C0592"/>
    <w:rsid w:val="006C0ACC"/>
    <w:rsid w:val="006C1675"/>
    <w:rsid w:val="006C272E"/>
    <w:rsid w:val="006C2775"/>
    <w:rsid w:val="006C2A63"/>
    <w:rsid w:val="006C2CB1"/>
    <w:rsid w:val="006C3771"/>
    <w:rsid w:val="006C379B"/>
    <w:rsid w:val="006C51FE"/>
    <w:rsid w:val="006C5479"/>
    <w:rsid w:val="006C5640"/>
    <w:rsid w:val="006C7290"/>
    <w:rsid w:val="006D13B5"/>
    <w:rsid w:val="006D2A72"/>
    <w:rsid w:val="006D2CD0"/>
    <w:rsid w:val="006D4499"/>
    <w:rsid w:val="006D4B0B"/>
    <w:rsid w:val="006D4C01"/>
    <w:rsid w:val="006D5061"/>
    <w:rsid w:val="006D5B76"/>
    <w:rsid w:val="006D6909"/>
    <w:rsid w:val="006E12FF"/>
    <w:rsid w:val="006E161F"/>
    <w:rsid w:val="006E1F73"/>
    <w:rsid w:val="006E30E4"/>
    <w:rsid w:val="006E4169"/>
    <w:rsid w:val="006E5C45"/>
    <w:rsid w:val="006E607E"/>
    <w:rsid w:val="006E740D"/>
    <w:rsid w:val="006E7CEA"/>
    <w:rsid w:val="006E7DE8"/>
    <w:rsid w:val="006F18CF"/>
    <w:rsid w:val="006F2152"/>
    <w:rsid w:val="006F3B79"/>
    <w:rsid w:val="006F5B15"/>
    <w:rsid w:val="006F5C07"/>
    <w:rsid w:val="006F678D"/>
    <w:rsid w:val="00700AAE"/>
    <w:rsid w:val="00701CA6"/>
    <w:rsid w:val="00706C5D"/>
    <w:rsid w:val="00707B34"/>
    <w:rsid w:val="00710066"/>
    <w:rsid w:val="00711E02"/>
    <w:rsid w:val="00712FD1"/>
    <w:rsid w:val="007130D7"/>
    <w:rsid w:val="00714C3E"/>
    <w:rsid w:val="007158A1"/>
    <w:rsid w:val="00715AF0"/>
    <w:rsid w:val="00717031"/>
    <w:rsid w:val="00717DF0"/>
    <w:rsid w:val="0072159E"/>
    <w:rsid w:val="007215C5"/>
    <w:rsid w:val="0072160E"/>
    <w:rsid w:val="0072230C"/>
    <w:rsid w:val="007244CE"/>
    <w:rsid w:val="00724AED"/>
    <w:rsid w:val="00725D65"/>
    <w:rsid w:val="00730B53"/>
    <w:rsid w:val="00730EAE"/>
    <w:rsid w:val="00731A41"/>
    <w:rsid w:val="00731F15"/>
    <w:rsid w:val="0073223E"/>
    <w:rsid w:val="00732661"/>
    <w:rsid w:val="0073281C"/>
    <w:rsid w:val="00732922"/>
    <w:rsid w:val="00732CAC"/>
    <w:rsid w:val="007334DE"/>
    <w:rsid w:val="007343DE"/>
    <w:rsid w:val="00735BB0"/>
    <w:rsid w:val="0073640E"/>
    <w:rsid w:val="007368EC"/>
    <w:rsid w:val="00737A2B"/>
    <w:rsid w:val="00740B39"/>
    <w:rsid w:val="00741D76"/>
    <w:rsid w:val="00741DFA"/>
    <w:rsid w:val="007432A4"/>
    <w:rsid w:val="00744ADA"/>
    <w:rsid w:val="00746715"/>
    <w:rsid w:val="00746A8C"/>
    <w:rsid w:val="007473DC"/>
    <w:rsid w:val="00747EF0"/>
    <w:rsid w:val="007506F4"/>
    <w:rsid w:val="00750D68"/>
    <w:rsid w:val="0075162E"/>
    <w:rsid w:val="007523EE"/>
    <w:rsid w:val="007527EE"/>
    <w:rsid w:val="00753C19"/>
    <w:rsid w:val="00754034"/>
    <w:rsid w:val="0075507E"/>
    <w:rsid w:val="00755655"/>
    <w:rsid w:val="007561E4"/>
    <w:rsid w:val="007563F1"/>
    <w:rsid w:val="00756556"/>
    <w:rsid w:val="0076097F"/>
    <w:rsid w:val="007618C4"/>
    <w:rsid w:val="00761A9C"/>
    <w:rsid w:val="007627A0"/>
    <w:rsid w:val="007627B3"/>
    <w:rsid w:val="00762846"/>
    <w:rsid w:val="00762990"/>
    <w:rsid w:val="007634B5"/>
    <w:rsid w:val="00765246"/>
    <w:rsid w:val="0076589F"/>
    <w:rsid w:val="00765C9C"/>
    <w:rsid w:val="00767980"/>
    <w:rsid w:val="00767F01"/>
    <w:rsid w:val="00770485"/>
    <w:rsid w:val="00770B19"/>
    <w:rsid w:val="00771300"/>
    <w:rsid w:val="00771E1D"/>
    <w:rsid w:val="00772F7C"/>
    <w:rsid w:val="0077421E"/>
    <w:rsid w:val="0077463F"/>
    <w:rsid w:val="007747C1"/>
    <w:rsid w:val="007752DB"/>
    <w:rsid w:val="007757BF"/>
    <w:rsid w:val="00775AEF"/>
    <w:rsid w:val="00775AF8"/>
    <w:rsid w:val="00780DED"/>
    <w:rsid w:val="00781088"/>
    <w:rsid w:val="00781F1D"/>
    <w:rsid w:val="00782A75"/>
    <w:rsid w:val="007833D1"/>
    <w:rsid w:val="007836EA"/>
    <w:rsid w:val="00784CDA"/>
    <w:rsid w:val="00784E9E"/>
    <w:rsid w:val="0078519A"/>
    <w:rsid w:val="00785409"/>
    <w:rsid w:val="0078548E"/>
    <w:rsid w:val="00785D61"/>
    <w:rsid w:val="0078672C"/>
    <w:rsid w:val="00786751"/>
    <w:rsid w:val="007906C4"/>
    <w:rsid w:val="00792B00"/>
    <w:rsid w:val="00792D84"/>
    <w:rsid w:val="007934B2"/>
    <w:rsid w:val="007940EA"/>
    <w:rsid w:val="007967E8"/>
    <w:rsid w:val="007972FF"/>
    <w:rsid w:val="00797B2E"/>
    <w:rsid w:val="00797F08"/>
    <w:rsid w:val="007A07E5"/>
    <w:rsid w:val="007A1064"/>
    <w:rsid w:val="007A2170"/>
    <w:rsid w:val="007A22BF"/>
    <w:rsid w:val="007A22FA"/>
    <w:rsid w:val="007A23BB"/>
    <w:rsid w:val="007A3323"/>
    <w:rsid w:val="007A338E"/>
    <w:rsid w:val="007A3A80"/>
    <w:rsid w:val="007A43D7"/>
    <w:rsid w:val="007A46A2"/>
    <w:rsid w:val="007A5944"/>
    <w:rsid w:val="007A6E39"/>
    <w:rsid w:val="007B028F"/>
    <w:rsid w:val="007B04AF"/>
    <w:rsid w:val="007B1EE2"/>
    <w:rsid w:val="007B2D97"/>
    <w:rsid w:val="007B3512"/>
    <w:rsid w:val="007B4B2A"/>
    <w:rsid w:val="007B51A2"/>
    <w:rsid w:val="007B72B8"/>
    <w:rsid w:val="007B734D"/>
    <w:rsid w:val="007B7A58"/>
    <w:rsid w:val="007C0729"/>
    <w:rsid w:val="007C0A2B"/>
    <w:rsid w:val="007C0DB3"/>
    <w:rsid w:val="007C1086"/>
    <w:rsid w:val="007C13F8"/>
    <w:rsid w:val="007C17CF"/>
    <w:rsid w:val="007C21B5"/>
    <w:rsid w:val="007C3FE9"/>
    <w:rsid w:val="007C5906"/>
    <w:rsid w:val="007C5F34"/>
    <w:rsid w:val="007C61E9"/>
    <w:rsid w:val="007C7074"/>
    <w:rsid w:val="007C72D3"/>
    <w:rsid w:val="007D0734"/>
    <w:rsid w:val="007D092E"/>
    <w:rsid w:val="007D247C"/>
    <w:rsid w:val="007D4214"/>
    <w:rsid w:val="007D47C7"/>
    <w:rsid w:val="007D4EF8"/>
    <w:rsid w:val="007D7537"/>
    <w:rsid w:val="007D7706"/>
    <w:rsid w:val="007D7E4A"/>
    <w:rsid w:val="007E1592"/>
    <w:rsid w:val="007E3C31"/>
    <w:rsid w:val="007E465F"/>
    <w:rsid w:val="007E4BD2"/>
    <w:rsid w:val="007E6BC8"/>
    <w:rsid w:val="007E7461"/>
    <w:rsid w:val="007F0DB4"/>
    <w:rsid w:val="007F1B7D"/>
    <w:rsid w:val="007F370A"/>
    <w:rsid w:val="007F3D56"/>
    <w:rsid w:val="007F4DE3"/>
    <w:rsid w:val="007F64B5"/>
    <w:rsid w:val="007F6679"/>
    <w:rsid w:val="007F7D18"/>
    <w:rsid w:val="007F7FF6"/>
    <w:rsid w:val="00800B11"/>
    <w:rsid w:val="00801190"/>
    <w:rsid w:val="00801393"/>
    <w:rsid w:val="00801485"/>
    <w:rsid w:val="008022B1"/>
    <w:rsid w:val="00802C9A"/>
    <w:rsid w:val="00802F88"/>
    <w:rsid w:val="008031C2"/>
    <w:rsid w:val="008039F1"/>
    <w:rsid w:val="00805AC8"/>
    <w:rsid w:val="008123D1"/>
    <w:rsid w:val="0081293E"/>
    <w:rsid w:val="008133A8"/>
    <w:rsid w:val="008142A2"/>
    <w:rsid w:val="00815465"/>
    <w:rsid w:val="00815C9C"/>
    <w:rsid w:val="008160DC"/>
    <w:rsid w:val="00816AB2"/>
    <w:rsid w:val="00817E9A"/>
    <w:rsid w:val="00817F25"/>
    <w:rsid w:val="00820FDB"/>
    <w:rsid w:val="008227A8"/>
    <w:rsid w:val="00824248"/>
    <w:rsid w:val="00824469"/>
    <w:rsid w:val="00824CC5"/>
    <w:rsid w:val="008273BC"/>
    <w:rsid w:val="00827962"/>
    <w:rsid w:val="008300AF"/>
    <w:rsid w:val="008306BD"/>
    <w:rsid w:val="00830A73"/>
    <w:rsid w:val="00831A80"/>
    <w:rsid w:val="00831F0C"/>
    <w:rsid w:val="0083346F"/>
    <w:rsid w:val="00833743"/>
    <w:rsid w:val="008340A4"/>
    <w:rsid w:val="008349B5"/>
    <w:rsid w:val="00835F03"/>
    <w:rsid w:val="008367B5"/>
    <w:rsid w:val="00837ACC"/>
    <w:rsid w:val="00837EA2"/>
    <w:rsid w:val="00840623"/>
    <w:rsid w:val="008409FF"/>
    <w:rsid w:val="00840ECE"/>
    <w:rsid w:val="00841B38"/>
    <w:rsid w:val="008435CD"/>
    <w:rsid w:val="00843629"/>
    <w:rsid w:val="008439D1"/>
    <w:rsid w:val="00843A9B"/>
    <w:rsid w:val="0084506A"/>
    <w:rsid w:val="0084521B"/>
    <w:rsid w:val="00845283"/>
    <w:rsid w:val="00846592"/>
    <w:rsid w:val="00850710"/>
    <w:rsid w:val="00850980"/>
    <w:rsid w:val="00850C97"/>
    <w:rsid w:val="0085130B"/>
    <w:rsid w:val="008515DA"/>
    <w:rsid w:val="0085199D"/>
    <w:rsid w:val="0085235E"/>
    <w:rsid w:val="00852A74"/>
    <w:rsid w:val="00853EED"/>
    <w:rsid w:val="00854D92"/>
    <w:rsid w:val="008557CB"/>
    <w:rsid w:val="00855B85"/>
    <w:rsid w:val="0085610D"/>
    <w:rsid w:val="00857761"/>
    <w:rsid w:val="00860645"/>
    <w:rsid w:val="0086095E"/>
    <w:rsid w:val="00861533"/>
    <w:rsid w:val="0086328C"/>
    <w:rsid w:val="00863DEA"/>
    <w:rsid w:val="00864D7B"/>
    <w:rsid w:val="00865E2A"/>
    <w:rsid w:val="008667EA"/>
    <w:rsid w:val="00867227"/>
    <w:rsid w:val="0087003B"/>
    <w:rsid w:val="00870399"/>
    <w:rsid w:val="0087135F"/>
    <w:rsid w:val="00871A54"/>
    <w:rsid w:val="0087235E"/>
    <w:rsid w:val="00872D94"/>
    <w:rsid w:val="008735DB"/>
    <w:rsid w:val="00873BBE"/>
    <w:rsid w:val="008746AE"/>
    <w:rsid w:val="008746FA"/>
    <w:rsid w:val="00874CF6"/>
    <w:rsid w:val="00880364"/>
    <w:rsid w:val="00880D36"/>
    <w:rsid w:val="0088107D"/>
    <w:rsid w:val="00881B7C"/>
    <w:rsid w:val="008822E2"/>
    <w:rsid w:val="00882908"/>
    <w:rsid w:val="00883503"/>
    <w:rsid w:val="00884934"/>
    <w:rsid w:val="0088522F"/>
    <w:rsid w:val="0088574B"/>
    <w:rsid w:val="00885DDD"/>
    <w:rsid w:val="008866D5"/>
    <w:rsid w:val="00886C75"/>
    <w:rsid w:val="008870BB"/>
    <w:rsid w:val="008913DB"/>
    <w:rsid w:val="00891592"/>
    <w:rsid w:val="00891770"/>
    <w:rsid w:val="00891E9E"/>
    <w:rsid w:val="0089233F"/>
    <w:rsid w:val="00892964"/>
    <w:rsid w:val="00893E1F"/>
    <w:rsid w:val="00895387"/>
    <w:rsid w:val="00895530"/>
    <w:rsid w:val="00895949"/>
    <w:rsid w:val="00896CBA"/>
    <w:rsid w:val="00896E51"/>
    <w:rsid w:val="00897F03"/>
    <w:rsid w:val="008A29A1"/>
    <w:rsid w:val="008A2F68"/>
    <w:rsid w:val="008A3689"/>
    <w:rsid w:val="008A456E"/>
    <w:rsid w:val="008A6090"/>
    <w:rsid w:val="008A68E8"/>
    <w:rsid w:val="008A697D"/>
    <w:rsid w:val="008A6A46"/>
    <w:rsid w:val="008A6BA8"/>
    <w:rsid w:val="008B07D1"/>
    <w:rsid w:val="008B1A78"/>
    <w:rsid w:val="008B2098"/>
    <w:rsid w:val="008B21F8"/>
    <w:rsid w:val="008B2558"/>
    <w:rsid w:val="008B2708"/>
    <w:rsid w:val="008B333C"/>
    <w:rsid w:val="008B4FA6"/>
    <w:rsid w:val="008B5282"/>
    <w:rsid w:val="008B5813"/>
    <w:rsid w:val="008B65E6"/>
    <w:rsid w:val="008B678D"/>
    <w:rsid w:val="008B7C17"/>
    <w:rsid w:val="008C2D01"/>
    <w:rsid w:val="008C3788"/>
    <w:rsid w:val="008C40E6"/>
    <w:rsid w:val="008C5427"/>
    <w:rsid w:val="008C5E28"/>
    <w:rsid w:val="008C6AE1"/>
    <w:rsid w:val="008C711C"/>
    <w:rsid w:val="008C7A64"/>
    <w:rsid w:val="008C7CA5"/>
    <w:rsid w:val="008D0D69"/>
    <w:rsid w:val="008D0F7A"/>
    <w:rsid w:val="008D115A"/>
    <w:rsid w:val="008D23FB"/>
    <w:rsid w:val="008D2403"/>
    <w:rsid w:val="008D2C93"/>
    <w:rsid w:val="008D494D"/>
    <w:rsid w:val="008D540A"/>
    <w:rsid w:val="008D5942"/>
    <w:rsid w:val="008D5BD3"/>
    <w:rsid w:val="008D65C8"/>
    <w:rsid w:val="008D68E4"/>
    <w:rsid w:val="008D6A30"/>
    <w:rsid w:val="008D6BFC"/>
    <w:rsid w:val="008E0047"/>
    <w:rsid w:val="008E0327"/>
    <w:rsid w:val="008E0506"/>
    <w:rsid w:val="008E0843"/>
    <w:rsid w:val="008E0CFF"/>
    <w:rsid w:val="008E1641"/>
    <w:rsid w:val="008E1C99"/>
    <w:rsid w:val="008E1CA2"/>
    <w:rsid w:val="008E1F33"/>
    <w:rsid w:val="008E2F7A"/>
    <w:rsid w:val="008E3091"/>
    <w:rsid w:val="008E30CA"/>
    <w:rsid w:val="008E4E6A"/>
    <w:rsid w:val="008E5D6B"/>
    <w:rsid w:val="008E5EDF"/>
    <w:rsid w:val="008E64C2"/>
    <w:rsid w:val="008E76F0"/>
    <w:rsid w:val="008E7DCC"/>
    <w:rsid w:val="008F013A"/>
    <w:rsid w:val="008F15FE"/>
    <w:rsid w:val="008F1BCB"/>
    <w:rsid w:val="008F2869"/>
    <w:rsid w:val="008F2D29"/>
    <w:rsid w:val="008F3564"/>
    <w:rsid w:val="008F3B92"/>
    <w:rsid w:val="008F4169"/>
    <w:rsid w:val="008F4499"/>
    <w:rsid w:val="008F48F6"/>
    <w:rsid w:val="008F5073"/>
    <w:rsid w:val="008F5174"/>
    <w:rsid w:val="008F5187"/>
    <w:rsid w:val="008F544D"/>
    <w:rsid w:val="008F6078"/>
    <w:rsid w:val="008F60D8"/>
    <w:rsid w:val="008F6E1D"/>
    <w:rsid w:val="008F6E3C"/>
    <w:rsid w:val="00900F1E"/>
    <w:rsid w:val="009025B0"/>
    <w:rsid w:val="00902727"/>
    <w:rsid w:val="0090312B"/>
    <w:rsid w:val="009065B6"/>
    <w:rsid w:val="00907177"/>
    <w:rsid w:val="009102B3"/>
    <w:rsid w:val="009113A5"/>
    <w:rsid w:val="00911A24"/>
    <w:rsid w:val="00911F81"/>
    <w:rsid w:val="009137D2"/>
    <w:rsid w:val="00913BD2"/>
    <w:rsid w:val="00916775"/>
    <w:rsid w:val="009169A2"/>
    <w:rsid w:val="0091736D"/>
    <w:rsid w:val="00920E4B"/>
    <w:rsid w:val="00921D7B"/>
    <w:rsid w:val="0092213E"/>
    <w:rsid w:val="00922C3B"/>
    <w:rsid w:val="00923C60"/>
    <w:rsid w:val="00923F08"/>
    <w:rsid w:val="00924BD8"/>
    <w:rsid w:val="00924C1A"/>
    <w:rsid w:val="00924D09"/>
    <w:rsid w:val="00925155"/>
    <w:rsid w:val="009255B5"/>
    <w:rsid w:val="009262DE"/>
    <w:rsid w:val="009264F9"/>
    <w:rsid w:val="00930181"/>
    <w:rsid w:val="0093037A"/>
    <w:rsid w:val="00930518"/>
    <w:rsid w:val="00931669"/>
    <w:rsid w:val="009337DA"/>
    <w:rsid w:val="0093485F"/>
    <w:rsid w:val="009362EA"/>
    <w:rsid w:val="0094154D"/>
    <w:rsid w:val="00941EE8"/>
    <w:rsid w:val="009445BA"/>
    <w:rsid w:val="009474A4"/>
    <w:rsid w:val="00947F42"/>
    <w:rsid w:val="0095044A"/>
    <w:rsid w:val="00950B15"/>
    <w:rsid w:val="00951357"/>
    <w:rsid w:val="0095155F"/>
    <w:rsid w:val="009540D7"/>
    <w:rsid w:val="00954429"/>
    <w:rsid w:val="00954467"/>
    <w:rsid w:val="00954924"/>
    <w:rsid w:val="009554C6"/>
    <w:rsid w:val="00955B04"/>
    <w:rsid w:val="009563CE"/>
    <w:rsid w:val="00956487"/>
    <w:rsid w:val="009565E8"/>
    <w:rsid w:val="00956737"/>
    <w:rsid w:val="00956914"/>
    <w:rsid w:val="009578B4"/>
    <w:rsid w:val="00957D96"/>
    <w:rsid w:val="00961369"/>
    <w:rsid w:val="00961DF0"/>
    <w:rsid w:val="00962637"/>
    <w:rsid w:val="00962B89"/>
    <w:rsid w:val="009631F9"/>
    <w:rsid w:val="00963318"/>
    <w:rsid w:val="00963634"/>
    <w:rsid w:val="00963A09"/>
    <w:rsid w:val="00964C2B"/>
    <w:rsid w:val="00966A8A"/>
    <w:rsid w:val="00966DBB"/>
    <w:rsid w:val="0096748F"/>
    <w:rsid w:val="00970D47"/>
    <w:rsid w:val="0097165A"/>
    <w:rsid w:val="00972066"/>
    <w:rsid w:val="009724EE"/>
    <w:rsid w:val="00972E6E"/>
    <w:rsid w:val="00976068"/>
    <w:rsid w:val="009762BF"/>
    <w:rsid w:val="00976328"/>
    <w:rsid w:val="0097680D"/>
    <w:rsid w:val="00976CC9"/>
    <w:rsid w:val="00977E49"/>
    <w:rsid w:val="0098201E"/>
    <w:rsid w:val="00982438"/>
    <w:rsid w:val="00983513"/>
    <w:rsid w:val="00983DBA"/>
    <w:rsid w:val="0098404C"/>
    <w:rsid w:val="009846C2"/>
    <w:rsid w:val="00985283"/>
    <w:rsid w:val="00987733"/>
    <w:rsid w:val="00993F44"/>
    <w:rsid w:val="0099497D"/>
    <w:rsid w:val="00995992"/>
    <w:rsid w:val="00997920"/>
    <w:rsid w:val="00997D15"/>
    <w:rsid w:val="009A008C"/>
    <w:rsid w:val="009A03E5"/>
    <w:rsid w:val="009A0AD4"/>
    <w:rsid w:val="009A0F3B"/>
    <w:rsid w:val="009A135E"/>
    <w:rsid w:val="009A1AC0"/>
    <w:rsid w:val="009A1BB4"/>
    <w:rsid w:val="009A2628"/>
    <w:rsid w:val="009A3200"/>
    <w:rsid w:val="009A386B"/>
    <w:rsid w:val="009A3C30"/>
    <w:rsid w:val="009A4842"/>
    <w:rsid w:val="009A4D65"/>
    <w:rsid w:val="009A597B"/>
    <w:rsid w:val="009B07C9"/>
    <w:rsid w:val="009B0808"/>
    <w:rsid w:val="009B0897"/>
    <w:rsid w:val="009B1F21"/>
    <w:rsid w:val="009B1FED"/>
    <w:rsid w:val="009B2470"/>
    <w:rsid w:val="009B38E6"/>
    <w:rsid w:val="009B401E"/>
    <w:rsid w:val="009B4D6D"/>
    <w:rsid w:val="009B4E33"/>
    <w:rsid w:val="009B55F0"/>
    <w:rsid w:val="009B5D8D"/>
    <w:rsid w:val="009B6E36"/>
    <w:rsid w:val="009B7A1C"/>
    <w:rsid w:val="009B7BD9"/>
    <w:rsid w:val="009B7D65"/>
    <w:rsid w:val="009B7E56"/>
    <w:rsid w:val="009C02A6"/>
    <w:rsid w:val="009C0BA5"/>
    <w:rsid w:val="009C15B0"/>
    <w:rsid w:val="009C2867"/>
    <w:rsid w:val="009C331D"/>
    <w:rsid w:val="009C3B74"/>
    <w:rsid w:val="009C4956"/>
    <w:rsid w:val="009C51C8"/>
    <w:rsid w:val="009C6076"/>
    <w:rsid w:val="009C6A3F"/>
    <w:rsid w:val="009C7770"/>
    <w:rsid w:val="009C7DD5"/>
    <w:rsid w:val="009D0095"/>
    <w:rsid w:val="009D015F"/>
    <w:rsid w:val="009D0729"/>
    <w:rsid w:val="009D1179"/>
    <w:rsid w:val="009D1453"/>
    <w:rsid w:val="009D16F3"/>
    <w:rsid w:val="009D30BF"/>
    <w:rsid w:val="009D4175"/>
    <w:rsid w:val="009D4767"/>
    <w:rsid w:val="009D4916"/>
    <w:rsid w:val="009D53C1"/>
    <w:rsid w:val="009D54D8"/>
    <w:rsid w:val="009D5C13"/>
    <w:rsid w:val="009E0E18"/>
    <w:rsid w:val="009E11D4"/>
    <w:rsid w:val="009E20A6"/>
    <w:rsid w:val="009E227D"/>
    <w:rsid w:val="009E2D3E"/>
    <w:rsid w:val="009E44C4"/>
    <w:rsid w:val="009E4B9C"/>
    <w:rsid w:val="009E5019"/>
    <w:rsid w:val="009E5E2B"/>
    <w:rsid w:val="009E6CE0"/>
    <w:rsid w:val="009F031A"/>
    <w:rsid w:val="009F044A"/>
    <w:rsid w:val="009F1340"/>
    <w:rsid w:val="009F1563"/>
    <w:rsid w:val="009F1F4C"/>
    <w:rsid w:val="009F294A"/>
    <w:rsid w:val="009F3890"/>
    <w:rsid w:val="009F42A8"/>
    <w:rsid w:val="009F4DE7"/>
    <w:rsid w:val="009F53ED"/>
    <w:rsid w:val="00A00996"/>
    <w:rsid w:val="00A01BEF"/>
    <w:rsid w:val="00A0235E"/>
    <w:rsid w:val="00A027D1"/>
    <w:rsid w:val="00A02E7C"/>
    <w:rsid w:val="00A04F1B"/>
    <w:rsid w:val="00A0501B"/>
    <w:rsid w:val="00A052BB"/>
    <w:rsid w:val="00A05B9D"/>
    <w:rsid w:val="00A06BDC"/>
    <w:rsid w:val="00A073C9"/>
    <w:rsid w:val="00A07633"/>
    <w:rsid w:val="00A10444"/>
    <w:rsid w:val="00A1059E"/>
    <w:rsid w:val="00A11642"/>
    <w:rsid w:val="00A11A85"/>
    <w:rsid w:val="00A124D8"/>
    <w:rsid w:val="00A12E6E"/>
    <w:rsid w:val="00A13BBB"/>
    <w:rsid w:val="00A13C92"/>
    <w:rsid w:val="00A14026"/>
    <w:rsid w:val="00A1405E"/>
    <w:rsid w:val="00A14947"/>
    <w:rsid w:val="00A16810"/>
    <w:rsid w:val="00A176D9"/>
    <w:rsid w:val="00A21118"/>
    <w:rsid w:val="00A21ADE"/>
    <w:rsid w:val="00A21BF9"/>
    <w:rsid w:val="00A21E79"/>
    <w:rsid w:val="00A22A3B"/>
    <w:rsid w:val="00A23E02"/>
    <w:rsid w:val="00A2444F"/>
    <w:rsid w:val="00A249DE"/>
    <w:rsid w:val="00A259F5"/>
    <w:rsid w:val="00A2671A"/>
    <w:rsid w:val="00A27B78"/>
    <w:rsid w:val="00A27CDD"/>
    <w:rsid w:val="00A27DF8"/>
    <w:rsid w:val="00A31F56"/>
    <w:rsid w:val="00A3299D"/>
    <w:rsid w:val="00A32A83"/>
    <w:rsid w:val="00A33D50"/>
    <w:rsid w:val="00A3402B"/>
    <w:rsid w:val="00A34FDA"/>
    <w:rsid w:val="00A35CB5"/>
    <w:rsid w:val="00A36782"/>
    <w:rsid w:val="00A368DB"/>
    <w:rsid w:val="00A41722"/>
    <w:rsid w:val="00A4179B"/>
    <w:rsid w:val="00A41E09"/>
    <w:rsid w:val="00A423AA"/>
    <w:rsid w:val="00A426F2"/>
    <w:rsid w:val="00A46098"/>
    <w:rsid w:val="00A46CC3"/>
    <w:rsid w:val="00A46E3D"/>
    <w:rsid w:val="00A473FC"/>
    <w:rsid w:val="00A47875"/>
    <w:rsid w:val="00A501D3"/>
    <w:rsid w:val="00A50218"/>
    <w:rsid w:val="00A50589"/>
    <w:rsid w:val="00A50A32"/>
    <w:rsid w:val="00A50AE1"/>
    <w:rsid w:val="00A50FAA"/>
    <w:rsid w:val="00A51C2F"/>
    <w:rsid w:val="00A52C47"/>
    <w:rsid w:val="00A53464"/>
    <w:rsid w:val="00A53EC6"/>
    <w:rsid w:val="00A55C0F"/>
    <w:rsid w:val="00A5629A"/>
    <w:rsid w:val="00A5671D"/>
    <w:rsid w:val="00A56FF4"/>
    <w:rsid w:val="00A61ECD"/>
    <w:rsid w:val="00A6305D"/>
    <w:rsid w:val="00A6435D"/>
    <w:rsid w:val="00A64BB6"/>
    <w:rsid w:val="00A709FB"/>
    <w:rsid w:val="00A7118F"/>
    <w:rsid w:val="00A7159C"/>
    <w:rsid w:val="00A71D4C"/>
    <w:rsid w:val="00A73869"/>
    <w:rsid w:val="00A74DD2"/>
    <w:rsid w:val="00A75272"/>
    <w:rsid w:val="00A76C54"/>
    <w:rsid w:val="00A8099C"/>
    <w:rsid w:val="00A80D70"/>
    <w:rsid w:val="00A82808"/>
    <w:rsid w:val="00A83271"/>
    <w:rsid w:val="00A85376"/>
    <w:rsid w:val="00A85B53"/>
    <w:rsid w:val="00A85F8A"/>
    <w:rsid w:val="00A863F1"/>
    <w:rsid w:val="00A8713F"/>
    <w:rsid w:val="00A90BA1"/>
    <w:rsid w:val="00A91D39"/>
    <w:rsid w:val="00A91D9F"/>
    <w:rsid w:val="00A92689"/>
    <w:rsid w:val="00A95B73"/>
    <w:rsid w:val="00A966CE"/>
    <w:rsid w:val="00A96857"/>
    <w:rsid w:val="00A96DCA"/>
    <w:rsid w:val="00A97A9A"/>
    <w:rsid w:val="00AA0671"/>
    <w:rsid w:val="00AA0CE0"/>
    <w:rsid w:val="00AA0D11"/>
    <w:rsid w:val="00AA1E2C"/>
    <w:rsid w:val="00AA2531"/>
    <w:rsid w:val="00AA25CA"/>
    <w:rsid w:val="00AA6817"/>
    <w:rsid w:val="00AA6E6A"/>
    <w:rsid w:val="00AB0C9A"/>
    <w:rsid w:val="00AB1900"/>
    <w:rsid w:val="00AB1E09"/>
    <w:rsid w:val="00AB24A6"/>
    <w:rsid w:val="00AB287E"/>
    <w:rsid w:val="00AB301F"/>
    <w:rsid w:val="00AB3596"/>
    <w:rsid w:val="00AB47A5"/>
    <w:rsid w:val="00AB5330"/>
    <w:rsid w:val="00AB7747"/>
    <w:rsid w:val="00AC02AC"/>
    <w:rsid w:val="00AC139B"/>
    <w:rsid w:val="00AC14CE"/>
    <w:rsid w:val="00AC2789"/>
    <w:rsid w:val="00AC28A1"/>
    <w:rsid w:val="00AC2A56"/>
    <w:rsid w:val="00AC2CA3"/>
    <w:rsid w:val="00AC3022"/>
    <w:rsid w:val="00AC3058"/>
    <w:rsid w:val="00AC46AC"/>
    <w:rsid w:val="00AC5E4E"/>
    <w:rsid w:val="00AC7901"/>
    <w:rsid w:val="00AD0266"/>
    <w:rsid w:val="00AD04A6"/>
    <w:rsid w:val="00AD055E"/>
    <w:rsid w:val="00AD19EF"/>
    <w:rsid w:val="00AD47A7"/>
    <w:rsid w:val="00AD71EF"/>
    <w:rsid w:val="00AD7994"/>
    <w:rsid w:val="00AD7A81"/>
    <w:rsid w:val="00AE09F3"/>
    <w:rsid w:val="00AE1D80"/>
    <w:rsid w:val="00AE1EA8"/>
    <w:rsid w:val="00AE3511"/>
    <w:rsid w:val="00AE3F9F"/>
    <w:rsid w:val="00AE4F7F"/>
    <w:rsid w:val="00AE59F5"/>
    <w:rsid w:val="00AE622F"/>
    <w:rsid w:val="00AE65C3"/>
    <w:rsid w:val="00AE6995"/>
    <w:rsid w:val="00AE6CCE"/>
    <w:rsid w:val="00AE73F0"/>
    <w:rsid w:val="00AF03FF"/>
    <w:rsid w:val="00AF0CBF"/>
    <w:rsid w:val="00AF12D7"/>
    <w:rsid w:val="00AF1D5D"/>
    <w:rsid w:val="00AF257F"/>
    <w:rsid w:val="00AF33CF"/>
    <w:rsid w:val="00AF3789"/>
    <w:rsid w:val="00AF4C3E"/>
    <w:rsid w:val="00AF4D10"/>
    <w:rsid w:val="00AF4D50"/>
    <w:rsid w:val="00AF53DA"/>
    <w:rsid w:val="00AF5D5B"/>
    <w:rsid w:val="00AF6179"/>
    <w:rsid w:val="00AF7821"/>
    <w:rsid w:val="00B01BFA"/>
    <w:rsid w:val="00B03308"/>
    <w:rsid w:val="00B03A15"/>
    <w:rsid w:val="00B03AC2"/>
    <w:rsid w:val="00B03AD1"/>
    <w:rsid w:val="00B05376"/>
    <w:rsid w:val="00B060D3"/>
    <w:rsid w:val="00B060E0"/>
    <w:rsid w:val="00B07B1E"/>
    <w:rsid w:val="00B113FB"/>
    <w:rsid w:val="00B121BA"/>
    <w:rsid w:val="00B1295A"/>
    <w:rsid w:val="00B13D7E"/>
    <w:rsid w:val="00B14D57"/>
    <w:rsid w:val="00B158B5"/>
    <w:rsid w:val="00B16859"/>
    <w:rsid w:val="00B16BA7"/>
    <w:rsid w:val="00B16FE4"/>
    <w:rsid w:val="00B17B16"/>
    <w:rsid w:val="00B17E16"/>
    <w:rsid w:val="00B20A45"/>
    <w:rsid w:val="00B21177"/>
    <w:rsid w:val="00B22C5C"/>
    <w:rsid w:val="00B2316C"/>
    <w:rsid w:val="00B23CEB"/>
    <w:rsid w:val="00B24F30"/>
    <w:rsid w:val="00B25AE2"/>
    <w:rsid w:val="00B266ED"/>
    <w:rsid w:val="00B3017E"/>
    <w:rsid w:val="00B318EC"/>
    <w:rsid w:val="00B31A0C"/>
    <w:rsid w:val="00B31ABF"/>
    <w:rsid w:val="00B33BE3"/>
    <w:rsid w:val="00B35A68"/>
    <w:rsid w:val="00B35F3E"/>
    <w:rsid w:val="00B36F02"/>
    <w:rsid w:val="00B37AAF"/>
    <w:rsid w:val="00B43DB3"/>
    <w:rsid w:val="00B44D8B"/>
    <w:rsid w:val="00B45908"/>
    <w:rsid w:val="00B47448"/>
    <w:rsid w:val="00B50802"/>
    <w:rsid w:val="00B514B6"/>
    <w:rsid w:val="00B514E6"/>
    <w:rsid w:val="00B53B5D"/>
    <w:rsid w:val="00B55D5D"/>
    <w:rsid w:val="00B572E8"/>
    <w:rsid w:val="00B5731A"/>
    <w:rsid w:val="00B57A31"/>
    <w:rsid w:val="00B57E81"/>
    <w:rsid w:val="00B6055E"/>
    <w:rsid w:val="00B60F1E"/>
    <w:rsid w:val="00B62C45"/>
    <w:rsid w:val="00B63178"/>
    <w:rsid w:val="00B6317D"/>
    <w:rsid w:val="00B640E6"/>
    <w:rsid w:val="00B64DD2"/>
    <w:rsid w:val="00B65054"/>
    <w:rsid w:val="00B65C74"/>
    <w:rsid w:val="00B66894"/>
    <w:rsid w:val="00B6734E"/>
    <w:rsid w:val="00B676FD"/>
    <w:rsid w:val="00B70C6C"/>
    <w:rsid w:val="00B721DB"/>
    <w:rsid w:val="00B72C14"/>
    <w:rsid w:val="00B75A86"/>
    <w:rsid w:val="00B75FB3"/>
    <w:rsid w:val="00B7723F"/>
    <w:rsid w:val="00B80102"/>
    <w:rsid w:val="00B80534"/>
    <w:rsid w:val="00B80FE0"/>
    <w:rsid w:val="00B8113E"/>
    <w:rsid w:val="00B826C8"/>
    <w:rsid w:val="00B82985"/>
    <w:rsid w:val="00B82CDB"/>
    <w:rsid w:val="00B8338A"/>
    <w:rsid w:val="00B8433C"/>
    <w:rsid w:val="00B8475A"/>
    <w:rsid w:val="00B87491"/>
    <w:rsid w:val="00B87AE8"/>
    <w:rsid w:val="00B91FC6"/>
    <w:rsid w:val="00B924BA"/>
    <w:rsid w:val="00B9593B"/>
    <w:rsid w:val="00B96829"/>
    <w:rsid w:val="00B96DA6"/>
    <w:rsid w:val="00BA0B63"/>
    <w:rsid w:val="00BA0ED1"/>
    <w:rsid w:val="00BA1837"/>
    <w:rsid w:val="00BA1CA4"/>
    <w:rsid w:val="00BA22DB"/>
    <w:rsid w:val="00BA29E9"/>
    <w:rsid w:val="00BA3376"/>
    <w:rsid w:val="00BA3B07"/>
    <w:rsid w:val="00BA5385"/>
    <w:rsid w:val="00BA577E"/>
    <w:rsid w:val="00BA6F2E"/>
    <w:rsid w:val="00BA7142"/>
    <w:rsid w:val="00BA7FC5"/>
    <w:rsid w:val="00BB01D8"/>
    <w:rsid w:val="00BB237C"/>
    <w:rsid w:val="00BB2585"/>
    <w:rsid w:val="00BB3CC8"/>
    <w:rsid w:val="00BB3DF1"/>
    <w:rsid w:val="00BB41A3"/>
    <w:rsid w:val="00BB43AB"/>
    <w:rsid w:val="00BB488A"/>
    <w:rsid w:val="00BB5905"/>
    <w:rsid w:val="00BB6312"/>
    <w:rsid w:val="00BB68A0"/>
    <w:rsid w:val="00BB7FAB"/>
    <w:rsid w:val="00BC1134"/>
    <w:rsid w:val="00BC137F"/>
    <w:rsid w:val="00BC18C0"/>
    <w:rsid w:val="00BC1920"/>
    <w:rsid w:val="00BC25FC"/>
    <w:rsid w:val="00BC26C3"/>
    <w:rsid w:val="00BC2B85"/>
    <w:rsid w:val="00BC31A7"/>
    <w:rsid w:val="00BC32DC"/>
    <w:rsid w:val="00BC35B6"/>
    <w:rsid w:val="00BC3609"/>
    <w:rsid w:val="00BC3D9C"/>
    <w:rsid w:val="00BC40F0"/>
    <w:rsid w:val="00BC6139"/>
    <w:rsid w:val="00BC68AC"/>
    <w:rsid w:val="00BD1B51"/>
    <w:rsid w:val="00BD1BD3"/>
    <w:rsid w:val="00BD2A16"/>
    <w:rsid w:val="00BD2E43"/>
    <w:rsid w:val="00BD388A"/>
    <w:rsid w:val="00BD4596"/>
    <w:rsid w:val="00BD530B"/>
    <w:rsid w:val="00BD5F13"/>
    <w:rsid w:val="00BD7FB1"/>
    <w:rsid w:val="00BE0E51"/>
    <w:rsid w:val="00BE0F0C"/>
    <w:rsid w:val="00BE1405"/>
    <w:rsid w:val="00BE312D"/>
    <w:rsid w:val="00BE34A7"/>
    <w:rsid w:val="00BE3DD1"/>
    <w:rsid w:val="00BE4711"/>
    <w:rsid w:val="00BE4E43"/>
    <w:rsid w:val="00BE5280"/>
    <w:rsid w:val="00BE69DE"/>
    <w:rsid w:val="00BE6E22"/>
    <w:rsid w:val="00BF02E4"/>
    <w:rsid w:val="00BF1C20"/>
    <w:rsid w:val="00BF210D"/>
    <w:rsid w:val="00BF286C"/>
    <w:rsid w:val="00BF30DB"/>
    <w:rsid w:val="00BF3535"/>
    <w:rsid w:val="00BF3BE0"/>
    <w:rsid w:val="00BF6339"/>
    <w:rsid w:val="00C01F7E"/>
    <w:rsid w:val="00C0293D"/>
    <w:rsid w:val="00C04A5F"/>
    <w:rsid w:val="00C04F9D"/>
    <w:rsid w:val="00C05517"/>
    <w:rsid w:val="00C05865"/>
    <w:rsid w:val="00C10578"/>
    <w:rsid w:val="00C10FF4"/>
    <w:rsid w:val="00C11F07"/>
    <w:rsid w:val="00C1270C"/>
    <w:rsid w:val="00C12E5D"/>
    <w:rsid w:val="00C135BC"/>
    <w:rsid w:val="00C146FE"/>
    <w:rsid w:val="00C14BF9"/>
    <w:rsid w:val="00C14D41"/>
    <w:rsid w:val="00C15074"/>
    <w:rsid w:val="00C158B9"/>
    <w:rsid w:val="00C15C95"/>
    <w:rsid w:val="00C16256"/>
    <w:rsid w:val="00C20663"/>
    <w:rsid w:val="00C206CF"/>
    <w:rsid w:val="00C20734"/>
    <w:rsid w:val="00C211FB"/>
    <w:rsid w:val="00C238C7"/>
    <w:rsid w:val="00C2596A"/>
    <w:rsid w:val="00C27537"/>
    <w:rsid w:val="00C2797D"/>
    <w:rsid w:val="00C27BFD"/>
    <w:rsid w:val="00C31289"/>
    <w:rsid w:val="00C319D3"/>
    <w:rsid w:val="00C328FE"/>
    <w:rsid w:val="00C33507"/>
    <w:rsid w:val="00C34D3A"/>
    <w:rsid w:val="00C3556D"/>
    <w:rsid w:val="00C36F97"/>
    <w:rsid w:val="00C37DFF"/>
    <w:rsid w:val="00C40792"/>
    <w:rsid w:val="00C40875"/>
    <w:rsid w:val="00C420D0"/>
    <w:rsid w:val="00C424A7"/>
    <w:rsid w:val="00C43702"/>
    <w:rsid w:val="00C4409D"/>
    <w:rsid w:val="00C44E72"/>
    <w:rsid w:val="00C45332"/>
    <w:rsid w:val="00C459AA"/>
    <w:rsid w:val="00C45A06"/>
    <w:rsid w:val="00C47E5B"/>
    <w:rsid w:val="00C50805"/>
    <w:rsid w:val="00C53579"/>
    <w:rsid w:val="00C53CB1"/>
    <w:rsid w:val="00C54051"/>
    <w:rsid w:val="00C5493F"/>
    <w:rsid w:val="00C552DB"/>
    <w:rsid w:val="00C57092"/>
    <w:rsid w:val="00C577B1"/>
    <w:rsid w:val="00C6198A"/>
    <w:rsid w:val="00C61E08"/>
    <w:rsid w:val="00C61E4B"/>
    <w:rsid w:val="00C62007"/>
    <w:rsid w:val="00C62C9F"/>
    <w:rsid w:val="00C645C8"/>
    <w:rsid w:val="00C64BFF"/>
    <w:rsid w:val="00C66A31"/>
    <w:rsid w:val="00C66CEA"/>
    <w:rsid w:val="00C66F1C"/>
    <w:rsid w:val="00C704E9"/>
    <w:rsid w:val="00C7090A"/>
    <w:rsid w:val="00C70C64"/>
    <w:rsid w:val="00C71ECC"/>
    <w:rsid w:val="00C7478E"/>
    <w:rsid w:val="00C74AAA"/>
    <w:rsid w:val="00C74E35"/>
    <w:rsid w:val="00C757EC"/>
    <w:rsid w:val="00C763C9"/>
    <w:rsid w:val="00C76F33"/>
    <w:rsid w:val="00C7791D"/>
    <w:rsid w:val="00C80057"/>
    <w:rsid w:val="00C8020B"/>
    <w:rsid w:val="00C8109D"/>
    <w:rsid w:val="00C81166"/>
    <w:rsid w:val="00C8129E"/>
    <w:rsid w:val="00C82232"/>
    <w:rsid w:val="00C82913"/>
    <w:rsid w:val="00C83583"/>
    <w:rsid w:val="00C83B24"/>
    <w:rsid w:val="00C83F35"/>
    <w:rsid w:val="00C84EAB"/>
    <w:rsid w:val="00C84EEB"/>
    <w:rsid w:val="00C85331"/>
    <w:rsid w:val="00C85B84"/>
    <w:rsid w:val="00C9406D"/>
    <w:rsid w:val="00C94663"/>
    <w:rsid w:val="00C958BA"/>
    <w:rsid w:val="00C96051"/>
    <w:rsid w:val="00C962F2"/>
    <w:rsid w:val="00C972B1"/>
    <w:rsid w:val="00CA1993"/>
    <w:rsid w:val="00CA19C3"/>
    <w:rsid w:val="00CA2B28"/>
    <w:rsid w:val="00CA2CCE"/>
    <w:rsid w:val="00CA2EED"/>
    <w:rsid w:val="00CA33B5"/>
    <w:rsid w:val="00CA3579"/>
    <w:rsid w:val="00CA36DF"/>
    <w:rsid w:val="00CA40FD"/>
    <w:rsid w:val="00CA43FD"/>
    <w:rsid w:val="00CA4891"/>
    <w:rsid w:val="00CA62C8"/>
    <w:rsid w:val="00CA653C"/>
    <w:rsid w:val="00CA68EC"/>
    <w:rsid w:val="00CA7EF8"/>
    <w:rsid w:val="00CB12CE"/>
    <w:rsid w:val="00CB1BDF"/>
    <w:rsid w:val="00CB2311"/>
    <w:rsid w:val="00CB3629"/>
    <w:rsid w:val="00CB3FA4"/>
    <w:rsid w:val="00CB4203"/>
    <w:rsid w:val="00CB4679"/>
    <w:rsid w:val="00CB4D44"/>
    <w:rsid w:val="00CB5815"/>
    <w:rsid w:val="00CC1EA6"/>
    <w:rsid w:val="00CC231D"/>
    <w:rsid w:val="00CC3390"/>
    <w:rsid w:val="00CC4831"/>
    <w:rsid w:val="00CC489B"/>
    <w:rsid w:val="00CC5A71"/>
    <w:rsid w:val="00CC5A96"/>
    <w:rsid w:val="00CC6747"/>
    <w:rsid w:val="00CD04FE"/>
    <w:rsid w:val="00CD0E7C"/>
    <w:rsid w:val="00CD2B4B"/>
    <w:rsid w:val="00CD2BCD"/>
    <w:rsid w:val="00CD33D7"/>
    <w:rsid w:val="00CD3A4C"/>
    <w:rsid w:val="00CD3C19"/>
    <w:rsid w:val="00CD47B3"/>
    <w:rsid w:val="00CD5F8A"/>
    <w:rsid w:val="00CD651E"/>
    <w:rsid w:val="00CD6C18"/>
    <w:rsid w:val="00CD6C80"/>
    <w:rsid w:val="00CD76B0"/>
    <w:rsid w:val="00CE02A0"/>
    <w:rsid w:val="00CE0659"/>
    <w:rsid w:val="00CE0E1D"/>
    <w:rsid w:val="00CE10E9"/>
    <w:rsid w:val="00CE1C28"/>
    <w:rsid w:val="00CE2910"/>
    <w:rsid w:val="00CE37EA"/>
    <w:rsid w:val="00CE3906"/>
    <w:rsid w:val="00CE3ACD"/>
    <w:rsid w:val="00CE5393"/>
    <w:rsid w:val="00CE581A"/>
    <w:rsid w:val="00CE7182"/>
    <w:rsid w:val="00CE7C63"/>
    <w:rsid w:val="00CF08ED"/>
    <w:rsid w:val="00CF1947"/>
    <w:rsid w:val="00CF316A"/>
    <w:rsid w:val="00CF36BE"/>
    <w:rsid w:val="00CF3965"/>
    <w:rsid w:val="00CF50CF"/>
    <w:rsid w:val="00CF5BD6"/>
    <w:rsid w:val="00CF6000"/>
    <w:rsid w:val="00CF65BA"/>
    <w:rsid w:val="00CF65CB"/>
    <w:rsid w:val="00CF7B20"/>
    <w:rsid w:val="00D003F3"/>
    <w:rsid w:val="00D0251D"/>
    <w:rsid w:val="00D0364F"/>
    <w:rsid w:val="00D0375B"/>
    <w:rsid w:val="00D06376"/>
    <w:rsid w:val="00D06834"/>
    <w:rsid w:val="00D070FA"/>
    <w:rsid w:val="00D106A7"/>
    <w:rsid w:val="00D12910"/>
    <w:rsid w:val="00D141FA"/>
    <w:rsid w:val="00D14A69"/>
    <w:rsid w:val="00D16718"/>
    <w:rsid w:val="00D176B3"/>
    <w:rsid w:val="00D17D37"/>
    <w:rsid w:val="00D23588"/>
    <w:rsid w:val="00D25E1D"/>
    <w:rsid w:val="00D26C6E"/>
    <w:rsid w:val="00D274CC"/>
    <w:rsid w:val="00D27B3C"/>
    <w:rsid w:val="00D308ED"/>
    <w:rsid w:val="00D311B8"/>
    <w:rsid w:val="00D3254F"/>
    <w:rsid w:val="00D32AE0"/>
    <w:rsid w:val="00D34950"/>
    <w:rsid w:val="00D34BC6"/>
    <w:rsid w:val="00D358B8"/>
    <w:rsid w:val="00D36371"/>
    <w:rsid w:val="00D36C34"/>
    <w:rsid w:val="00D36D86"/>
    <w:rsid w:val="00D37895"/>
    <w:rsid w:val="00D37A85"/>
    <w:rsid w:val="00D40CB7"/>
    <w:rsid w:val="00D40E72"/>
    <w:rsid w:val="00D41E58"/>
    <w:rsid w:val="00D428AA"/>
    <w:rsid w:val="00D430AD"/>
    <w:rsid w:val="00D43445"/>
    <w:rsid w:val="00D445CA"/>
    <w:rsid w:val="00D45D89"/>
    <w:rsid w:val="00D4749B"/>
    <w:rsid w:val="00D50A34"/>
    <w:rsid w:val="00D510F9"/>
    <w:rsid w:val="00D53E84"/>
    <w:rsid w:val="00D53EFA"/>
    <w:rsid w:val="00D5557B"/>
    <w:rsid w:val="00D55A7C"/>
    <w:rsid w:val="00D61E30"/>
    <w:rsid w:val="00D6275B"/>
    <w:rsid w:val="00D6292E"/>
    <w:rsid w:val="00D63F45"/>
    <w:rsid w:val="00D6400F"/>
    <w:rsid w:val="00D65CAC"/>
    <w:rsid w:val="00D6658B"/>
    <w:rsid w:val="00D67D42"/>
    <w:rsid w:val="00D70D23"/>
    <w:rsid w:val="00D71609"/>
    <w:rsid w:val="00D72F0D"/>
    <w:rsid w:val="00D7445C"/>
    <w:rsid w:val="00D747F0"/>
    <w:rsid w:val="00D75ED1"/>
    <w:rsid w:val="00D75F38"/>
    <w:rsid w:val="00D769C7"/>
    <w:rsid w:val="00D771D4"/>
    <w:rsid w:val="00D80A03"/>
    <w:rsid w:val="00D83A58"/>
    <w:rsid w:val="00D849C5"/>
    <w:rsid w:val="00D85D16"/>
    <w:rsid w:val="00D85FE9"/>
    <w:rsid w:val="00D87145"/>
    <w:rsid w:val="00D91949"/>
    <w:rsid w:val="00D91D54"/>
    <w:rsid w:val="00D92708"/>
    <w:rsid w:val="00D931C1"/>
    <w:rsid w:val="00D93535"/>
    <w:rsid w:val="00D94A7C"/>
    <w:rsid w:val="00D94C5E"/>
    <w:rsid w:val="00D95034"/>
    <w:rsid w:val="00D95896"/>
    <w:rsid w:val="00DA1C4F"/>
    <w:rsid w:val="00DA2B46"/>
    <w:rsid w:val="00DA31D1"/>
    <w:rsid w:val="00DA5054"/>
    <w:rsid w:val="00DA5AE8"/>
    <w:rsid w:val="00DA664B"/>
    <w:rsid w:val="00DA68E8"/>
    <w:rsid w:val="00DA6AC0"/>
    <w:rsid w:val="00DB0605"/>
    <w:rsid w:val="00DB0AF2"/>
    <w:rsid w:val="00DB2983"/>
    <w:rsid w:val="00DB2F1E"/>
    <w:rsid w:val="00DB54B7"/>
    <w:rsid w:val="00DB7447"/>
    <w:rsid w:val="00DC0CCE"/>
    <w:rsid w:val="00DC1257"/>
    <w:rsid w:val="00DC1EA6"/>
    <w:rsid w:val="00DC2A5F"/>
    <w:rsid w:val="00DC390C"/>
    <w:rsid w:val="00DC3DC0"/>
    <w:rsid w:val="00DC5B2B"/>
    <w:rsid w:val="00DC6103"/>
    <w:rsid w:val="00DC777F"/>
    <w:rsid w:val="00DC7BF2"/>
    <w:rsid w:val="00DD0539"/>
    <w:rsid w:val="00DD07EF"/>
    <w:rsid w:val="00DD204B"/>
    <w:rsid w:val="00DD318D"/>
    <w:rsid w:val="00DD43B9"/>
    <w:rsid w:val="00DD4F61"/>
    <w:rsid w:val="00DD52F2"/>
    <w:rsid w:val="00DD6379"/>
    <w:rsid w:val="00DD6664"/>
    <w:rsid w:val="00DD6B18"/>
    <w:rsid w:val="00DD7D0B"/>
    <w:rsid w:val="00DE0238"/>
    <w:rsid w:val="00DE1C54"/>
    <w:rsid w:val="00DE4999"/>
    <w:rsid w:val="00DE4F35"/>
    <w:rsid w:val="00DE57F0"/>
    <w:rsid w:val="00DE65B3"/>
    <w:rsid w:val="00DE6936"/>
    <w:rsid w:val="00DE7955"/>
    <w:rsid w:val="00DF1DA7"/>
    <w:rsid w:val="00DF23DD"/>
    <w:rsid w:val="00DF2E12"/>
    <w:rsid w:val="00DF3937"/>
    <w:rsid w:val="00DF3E00"/>
    <w:rsid w:val="00DF4384"/>
    <w:rsid w:val="00DF514A"/>
    <w:rsid w:val="00DF645F"/>
    <w:rsid w:val="00DF6690"/>
    <w:rsid w:val="00DF6804"/>
    <w:rsid w:val="00DF6A1D"/>
    <w:rsid w:val="00DF6EDF"/>
    <w:rsid w:val="00DF7A26"/>
    <w:rsid w:val="00DF7BF5"/>
    <w:rsid w:val="00E009C9"/>
    <w:rsid w:val="00E010AC"/>
    <w:rsid w:val="00E02587"/>
    <w:rsid w:val="00E029FF"/>
    <w:rsid w:val="00E0358D"/>
    <w:rsid w:val="00E03B62"/>
    <w:rsid w:val="00E04323"/>
    <w:rsid w:val="00E04C73"/>
    <w:rsid w:val="00E04CD6"/>
    <w:rsid w:val="00E070A2"/>
    <w:rsid w:val="00E07911"/>
    <w:rsid w:val="00E10883"/>
    <w:rsid w:val="00E1099E"/>
    <w:rsid w:val="00E117C0"/>
    <w:rsid w:val="00E13FA7"/>
    <w:rsid w:val="00E14831"/>
    <w:rsid w:val="00E15A9C"/>
    <w:rsid w:val="00E1701E"/>
    <w:rsid w:val="00E2077C"/>
    <w:rsid w:val="00E21ED1"/>
    <w:rsid w:val="00E22643"/>
    <w:rsid w:val="00E23A5E"/>
    <w:rsid w:val="00E24001"/>
    <w:rsid w:val="00E2445F"/>
    <w:rsid w:val="00E248D1"/>
    <w:rsid w:val="00E24C4E"/>
    <w:rsid w:val="00E2656A"/>
    <w:rsid w:val="00E265FA"/>
    <w:rsid w:val="00E266D7"/>
    <w:rsid w:val="00E2697E"/>
    <w:rsid w:val="00E269CD"/>
    <w:rsid w:val="00E26DBB"/>
    <w:rsid w:val="00E31E49"/>
    <w:rsid w:val="00E34E52"/>
    <w:rsid w:val="00E36AE3"/>
    <w:rsid w:val="00E37749"/>
    <w:rsid w:val="00E37EF1"/>
    <w:rsid w:val="00E37F70"/>
    <w:rsid w:val="00E412D0"/>
    <w:rsid w:val="00E413F2"/>
    <w:rsid w:val="00E447EB"/>
    <w:rsid w:val="00E453F3"/>
    <w:rsid w:val="00E45B31"/>
    <w:rsid w:val="00E46747"/>
    <w:rsid w:val="00E50A96"/>
    <w:rsid w:val="00E50CE7"/>
    <w:rsid w:val="00E50F55"/>
    <w:rsid w:val="00E51016"/>
    <w:rsid w:val="00E51471"/>
    <w:rsid w:val="00E517CA"/>
    <w:rsid w:val="00E521FC"/>
    <w:rsid w:val="00E53264"/>
    <w:rsid w:val="00E53557"/>
    <w:rsid w:val="00E5361B"/>
    <w:rsid w:val="00E552C2"/>
    <w:rsid w:val="00E55DFA"/>
    <w:rsid w:val="00E56322"/>
    <w:rsid w:val="00E568ED"/>
    <w:rsid w:val="00E578DE"/>
    <w:rsid w:val="00E6037B"/>
    <w:rsid w:val="00E60507"/>
    <w:rsid w:val="00E60982"/>
    <w:rsid w:val="00E60C34"/>
    <w:rsid w:val="00E617D3"/>
    <w:rsid w:val="00E61DA3"/>
    <w:rsid w:val="00E62358"/>
    <w:rsid w:val="00E62C62"/>
    <w:rsid w:val="00E64C37"/>
    <w:rsid w:val="00E653B3"/>
    <w:rsid w:val="00E654C1"/>
    <w:rsid w:val="00E65D97"/>
    <w:rsid w:val="00E666A5"/>
    <w:rsid w:val="00E66F6A"/>
    <w:rsid w:val="00E67064"/>
    <w:rsid w:val="00E67287"/>
    <w:rsid w:val="00E70AD0"/>
    <w:rsid w:val="00E70BD7"/>
    <w:rsid w:val="00E710EE"/>
    <w:rsid w:val="00E71E13"/>
    <w:rsid w:val="00E72914"/>
    <w:rsid w:val="00E72A5A"/>
    <w:rsid w:val="00E72DAA"/>
    <w:rsid w:val="00E732C8"/>
    <w:rsid w:val="00E73354"/>
    <w:rsid w:val="00E744FA"/>
    <w:rsid w:val="00E74A32"/>
    <w:rsid w:val="00E74A6A"/>
    <w:rsid w:val="00E76C8B"/>
    <w:rsid w:val="00E77460"/>
    <w:rsid w:val="00E80BD1"/>
    <w:rsid w:val="00E81A6B"/>
    <w:rsid w:val="00E82841"/>
    <w:rsid w:val="00E86286"/>
    <w:rsid w:val="00E86346"/>
    <w:rsid w:val="00E86950"/>
    <w:rsid w:val="00E87826"/>
    <w:rsid w:val="00E87844"/>
    <w:rsid w:val="00E90BF6"/>
    <w:rsid w:val="00E9114C"/>
    <w:rsid w:val="00E92244"/>
    <w:rsid w:val="00E9242D"/>
    <w:rsid w:val="00E924FC"/>
    <w:rsid w:val="00E926AC"/>
    <w:rsid w:val="00E9278D"/>
    <w:rsid w:val="00E930CC"/>
    <w:rsid w:val="00E954B8"/>
    <w:rsid w:val="00E95D99"/>
    <w:rsid w:val="00E9621E"/>
    <w:rsid w:val="00EA05E8"/>
    <w:rsid w:val="00EA0C42"/>
    <w:rsid w:val="00EA4058"/>
    <w:rsid w:val="00EA4571"/>
    <w:rsid w:val="00EA569D"/>
    <w:rsid w:val="00EA57A1"/>
    <w:rsid w:val="00EA752B"/>
    <w:rsid w:val="00EB10F8"/>
    <w:rsid w:val="00EB16D7"/>
    <w:rsid w:val="00EB269F"/>
    <w:rsid w:val="00EB288D"/>
    <w:rsid w:val="00EB3538"/>
    <w:rsid w:val="00EB37D2"/>
    <w:rsid w:val="00EB3987"/>
    <w:rsid w:val="00EB4D8C"/>
    <w:rsid w:val="00EB5255"/>
    <w:rsid w:val="00EB5C47"/>
    <w:rsid w:val="00EB6801"/>
    <w:rsid w:val="00EB6D69"/>
    <w:rsid w:val="00EC0C9F"/>
    <w:rsid w:val="00EC390A"/>
    <w:rsid w:val="00EC4D9B"/>
    <w:rsid w:val="00EC57EB"/>
    <w:rsid w:val="00EC5F54"/>
    <w:rsid w:val="00EC6219"/>
    <w:rsid w:val="00EC79BA"/>
    <w:rsid w:val="00EC7C8F"/>
    <w:rsid w:val="00ED0639"/>
    <w:rsid w:val="00ED1F99"/>
    <w:rsid w:val="00ED2DF5"/>
    <w:rsid w:val="00ED357A"/>
    <w:rsid w:val="00ED3952"/>
    <w:rsid w:val="00ED40C6"/>
    <w:rsid w:val="00ED4384"/>
    <w:rsid w:val="00ED6985"/>
    <w:rsid w:val="00ED6C29"/>
    <w:rsid w:val="00ED6FE7"/>
    <w:rsid w:val="00ED7714"/>
    <w:rsid w:val="00ED7BC3"/>
    <w:rsid w:val="00EE0881"/>
    <w:rsid w:val="00EE1AB5"/>
    <w:rsid w:val="00EE234A"/>
    <w:rsid w:val="00EE4E1D"/>
    <w:rsid w:val="00EE51B3"/>
    <w:rsid w:val="00EE5D1A"/>
    <w:rsid w:val="00EF453C"/>
    <w:rsid w:val="00EF4755"/>
    <w:rsid w:val="00EF7135"/>
    <w:rsid w:val="00F02587"/>
    <w:rsid w:val="00F027DB"/>
    <w:rsid w:val="00F03D60"/>
    <w:rsid w:val="00F05509"/>
    <w:rsid w:val="00F06C72"/>
    <w:rsid w:val="00F06D60"/>
    <w:rsid w:val="00F07AFD"/>
    <w:rsid w:val="00F10511"/>
    <w:rsid w:val="00F1172B"/>
    <w:rsid w:val="00F12A95"/>
    <w:rsid w:val="00F12FCF"/>
    <w:rsid w:val="00F133A1"/>
    <w:rsid w:val="00F13AD6"/>
    <w:rsid w:val="00F14A7A"/>
    <w:rsid w:val="00F14B83"/>
    <w:rsid w:val="00F16B30"/>
    <w:rsid w:val="00F21813"/>
    <w:rsid w:val="00F21A3F"/>
    <w:rsid w:val="00F21D66"/>
    <w:rsid w:val="00F22985"/>
    <w:rsid w:val="00F232F6"/>
    <w:rsid w:val="00F23900"/>
    <w:rsid w:val="00F24F26"/>
    <w:rsid w:val="00F31253"/>
    <w:rsid w:val="00F33124"/>
    <w:rsid w:val="00F33482"/>
    <w:rsid w:val="00F3383E"/>
    <w:rsid w:val="00F36A13"/>
    <w:rsid w:val="00F379E4"/>
    <w:rsid w:val="00F37B23"/>
    <w:rsid w:val="00F404FA"/>
    <w:rsid w:val="00F41268"/>
    <w:rsid w:val="00F41A38"/>
    <w:rsid w:val="00F425E4"/>
    <w:rsid w:val="00F4561A"/>
    <w:rsid w:val="00F4641B"/>
    <w:rsid w:val="00F465A7"/>
    <w:rsid w:val="00F50B7C"/>
    <w:rsid w:val="00F51027"/>
    <w:rsid w:val="00F52FC3"/>
    <w:rsid w:val="00F53032"/>
    <w:rsid w:val="00F53196"/>
    <w:rsid w:val="00F53B79"/>
    <w:rsid w:val="00F550E6"/>
    <w:rsid w:val="00F558C6"/>
    <w:rsid w:val="00F57374"/>
    <w:rsid w:val="00F57BC9"/>
    <w:rsid w:val="00F6071E"/>
    <w:rsid w:val="00F6162D"/>
    <w:rsid w:val="00F61CB7"/>
    <w:rsid w:val="00F62048"/>
    <w:rsid w:val="00F6313A"/>
    <w:rsid w:val="00F6372A"/>
    <w:rsid w:val="00F63D3F"/>
    <w:rsid w:val="00F64145"/>
    <w:rsid w:val="00F64DAA"/>
    <w:rsid w:val="00F6516D"/>
    <w:rsid w:val="00F6693F"/>
    <w:rsid w:val="00F67441"/>
    <w:rsid w:val="00F70E2D"/>
    <w:rsid w:val="00F71C2E"/>
    <w:rsid w:val="00F74345"/>
    <w:rsid w:val="00F75DEF"/>
    <w:rsid w:val="00F7679D"/>
    <w:rsid w:val="00F77D0F"/>
    <w:rsid w:val="00F800F0"/>
    <w:rsid w:val="00F80A0A"/>
    <w:rsid w:val="00F80FDF"/>
    <w:rsid w:val="00F811FC"/>
    <w:rsid w:val="00F827A1"/>
    <w:rsid w:val="00F82B19"/>
    <w:rsid w:val="00F83BE0"/>
    <w:rsid w:val="00F86064"/>
    <w:rsid w:val="00F8626D"/>
    <w:rsid w:val="00F86861"/>
    <w:rsid w:val="00F86E00"/>
    <w:rsid w:val="00F86E65"/>
    <w:rsid w:val="00F873D2"/>
    <w:rsid w:val="00F87796"/>
    <w:rsid w:val="00F91D7E"/>
    <w:rsid w:val="00F91D97"/>
    <w:rsid w:val="00F9212D"/>
    <w:rsid w:val="00F94E1F"/>
    <w:rsid w:val="00F960B4"/>
    <w:rsid w:val="00F965DA"/>
    <w:rsid w:val="00F96777"/>
    <w:rsid w:val="00F96792"/>
    <w:rsid w:val="00FA0157"/>
    <w:rsid w:val="00FA0E9E"/>
    <w:rsid w:val="00FA140E"/>
    <w:rsid w:val="00FA183E"/>
    <w:rsid w:val="00FA2E28"/>
    <w:rsid w:val="00FA406A"/>
    <w:rsid w:val="00FA4208"/>
    <w:rsid w:val="00FA464A"/>
    <w:rsid w:val="00FA5EDB"/>
    <w:rsid w:val="00FA66E5"/>
    <w:rsid w:val="00FA6F34"/>
    <w:rsid w:val="00FA7E9D"/>
    <w:rsid w:val="00FB1130"/>
    <w:rsid w:val="00FB1267"/>
    <w:rsid w:val="00FB1A4E"/>
    <w:rsid w:val="00FB32AC"/>
    <w:rsid w:val="00FB4B23"/>
    <w:rsid w:val="00FB503A"/>
    <w:rsid w:val="00FB516C"/>
    <w:rsid w:val="00FB5A12"/>
    <w:rsid w:val="00FB5C29"/>
    <w:rsid w:val="00FB5E38"/>
    <w:rsid w:val="00FB6CAC"/>
    <w:rsid w:val="00FB7F3F"/>
    <w:rsid w:val="00FC0726"/>
    <w:rsid w:val="00FC21D3"/>
    <w:rsid w:val="00FC260F"/>
    <w:rsid w:val="00FC4A97"/>
    <w:rsid w:val="00FC53A9"/>
    <w:rsid w:val="00FC7673"/>
    <w:rsid w:val="00FD0236"/>
    <w:rsid w:val="00FD18F4"/>
    <w:rsid w:val="00FD1A66"/>
    <w:rsid w:val="00FD2EC9"/>
    <w:rsid w:val="00FD32CC"/>
    <w:rsid w:val="00FD4B8E"/>
    <w:rsid w:val="00FD54DB"/>
    <w:rsid w:val="00FD5BE7"/>
    <w:rsid w:val="00FD619F"/>
    <w:rsid w:val="00FD63C7"/>
    <w:rsid w:val="00FE1784"/>
    <w:rsid w:val="00FE1A14"/>
    <w:rsid w:val="00FE2AFB"/>
    <w:rsid w:val="00FE31CE"/>
    <w:rsid w:val="00FE36D2"/>
    <w:rsid w:val="00FE4019"/>
    <w:rsid w:val="00FE41DF"/>
    <w:rsid w:val="00FE6D84"/>
    <w:rsid w:val="00FE79BB"/>
    <w:rsid w:val="00FE7BBC"/>
    <w:rsid w:val="00FF072D"/>
    <w:rsid w:val="00FF1AFD"/>
    <w:rsid w:val="00FF1D60"/>
    <w:rsid w:val="00FF2C6C"/>
    <w:rsid w:val="00FF2CE2"/>
    <w:rsid w:val="00FF4727"/>
    <w:rsid w:val="00FF61AA"/>
    <w:rsid w:val="01290F7E"/>
    <w:rsid w:val="015D1E09"/>
    <w:rsid w:val="01D64E9F"/>
    <w:rsid w:val="02697903"/>
    <w:rsid w:val="02A1219E"/>
    <w:rsid w:val="02F96569"/>
    <w:rsid w:val="03EA7B21"/>
    <w:rsid w:val="05F83EAE"/>
    <w:rsid w:val="06041EE4"/>
    <w:rsid w:val="063E7D85"/>
    <w:rsid w:val="07293586"/>
    <w:rsid w:val="07295285"/>
    <w:rsid w:val="074526B9"/>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BF0B03"/>
    <w:rsid w:val="10F10820"/>
    <w:rsid w:val="111C2F7A"/>
    <w:rsid w:val="11665CA1"/>
    <w:rsid w:val="12BA32DE"/>
    <w:rsid w:val="13951726"/>
    <w:rsid w:val="14396509"/>
    <w:rsid w:val="14DD2C3C"/>
    <w:rsid w:val="16087E1D"/>
    <w:rsid w:val="17701D14"/>
    <w:rsid w:val="17735226"/>
    <w:rsid w:val="189F624C"/>
    <w:rsid w:val="19B75F66"/>
    <w:rsid w:val="1A1C66C0"/>
    <w:rsid w:val="1A42393B"/>
    <w:rsid w:val="1AAD45DE"/>
    <w:rsid w:val="1B046F80"/>
    <w:rsid w:val="1B3267B5"/>
    <w:rsid w:val="1B40161D"/>
    <w:rsid w:val="1B441859"/>
    <w:rsid w:val="1B6606B1"/>
    <w:rsid w:val="1C5E7925"/>
    <w:rsid w:val="1CFD070F"/>
    <w:rsid w:val="1D5F6196"/>
    <w:rsid w:val="1D6132A5"/>
    <w:rsid w:val="1D8E56D5"/>
    <w:rsid w:val="1DC22FDD"/>
    <w:rsid w:val="1E2E4C34"/>
    <w:rsid w:val="1E7A43DA"/>
    <w:rsid w:val="1ED16448"/>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65F76A8"/>
    <w:rsid w:val="268752EE"/>
    <w:rsid w:val="277057A2"/>
    <w:rsid w:val="29206EB8"/>
    <w:rsid w:val="29595666"/>
    <w:rsid w:val="29874881"/>
    <w:rsid w:val="29E325E0"/>
    <w:rsid w:val="2A452503"/>
    <w:rsid w:val="2B6947C8"/>
    <w:rsid w:val="2BA936A8"/>
    <w:rsid w:val="2C315A5A"/>
    <w:rsid w:val="2C4B1C25"/>
    <w:rsid w:val="2D5D0509"/>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BA6B8F"/>
    <w:rsid w:val="37E00298"/>
    <w:rsid w:val="38B302F9"/>
    <w:rsid w:val="38F12CD3"/>
    <w:rsid w:val="38F94775"/>
    <w:rsid w:val="392971ED"/>
    <w:rsid w:val="39325651"/>
    <w:rsid w:val="3A872856"/>
    <w:rsid w:val="3B3763D1"/>
    <w:rsid w:val="3C2F6E1E"/>
    <w:rsid w:val="3C4F64BA"/>
    <w:rsid w:val="3CDA245A"/>
    <w:rsid w:val="3D1E06B7"/>
    <w:rsid w:val="3EDA0523"/>
    <w:rsid w:val="3F9410E2"/>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3931E1"/>
    <w:rsid w:val="47A07E0C"/>
    <w:rsid w:val="4870272E"/>
    <w:rsid w:val="49DC7715"/>
    <w:rsid w:val="4A023139"/>
    <w:rsid w:val="4A380DA0"/>
    <w:rsid w:val="4A7B576F"/>
    <w:rsid w:val="4AF561A9"/>
    <w:rsid w:val="4B053357"/>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4E008A"/>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0069E7"/>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1E50F0F"/>
    <w:rsid w:val="72553024"/>
    <w:rsid w:val="73122968"/>
    <w:rsid w:val="731F5D5E"/>
    <w:rsid w:val="73746A05"/>
    <w:rsid w:val="73C51AD5"/>
    <w:rsid w:val="741E793C"/>
    <w:rsid w:val="745E3944"/>
    <w:rsid w:val="7635099D"/>
    <w:rsid w:val="766836C3"/>
    <w:rsid w:val="775528D9"/>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nhideWhenUsed="0" w:uiPriority="39" w:semiHidden="0" w:name="toc 4" w:locked="1"/>
    <w:lsdException w:unhideWhenUsed="0" w:uiPriority="39" w:semiHidden="0" w:name="toc 5" w:locked="1"/>
    <w:lsdException w:unhideWhenUsed="0" w:uiPriority="39" w:semiHidden="0" w:name="toc 6" w:locked="1"/>
    <w:lsdException w:unhideWhenUsed="0" w:uiPriority="39" w:semiHidden="0" w:name="toc 7" w:locked="1"/>
    <w:lsdException w:unhideWhenUsed="0" w:uiPriority="39" w:semiHidden="0" w:name="toc 8" w:locked="1"/>
    <w:lsdException w:unhideWhenUsed="0" w:uiPriority="39" w:semiHidden="0" w:name="toc 9" w:locked="1"/>
    <w:lsdException w:qFormat="1"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0" w:semiHidden="0" w:name="header"/>
    <w:lsdException w:unhideWhenUsed="0" w:uiPriority="99" w:semiHidden="0" w:name="footer"/>
    <w:lsdException w:unhideWhenUsed="0"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99" w:semiHidden="0" w:name="Body Text Indent 3" w:locked="1"/>
    <w:lsdException w:unhideWhenUsed="0" w:uiPriority="0" w:semiHidden="0" w:name="Block Text" w:locked="1"/>
    <w:lsdException w:qFormat="1" w:unhideWhenUsed="0" w:uiPriority="99" w:semiHidden="0" w:name="Hyperlink" w:locked="1"/>
    <w:lsdException w:qFormat="1" w:unhideWhenUsed="0" w:uiPriority="0" w:semiHidden="0" w:name="FollowedHyperlink" w:locked="1"/>
    <w:lsdException w:qFormat="1" w:unhideWhenUsed="0" w:uiPriority="22" w:semiHidden="0" w:name="Strong" w:locked="1"/>
    <w:lsdException w:qFormat="1" w:unhideWhenUsed="0" w:uiPriority="2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59"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0"/>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1"/>
    <w:qFormat/>
    <w:locked/>
    <w:uiPriority w:val="0"/>
    <w:pPr>
      <w:keepNext/>
      <w:keepLines/>
      <w:widowControl/>
      <w:spacing w:before="260" w:after="260" w:line="416" w:lineRule="auto"/>
      <w:jc w:val="left"/>
      <w:outlineLvl w:val="1"/>
    </w:pPr>
    <w:rPr>
      <w:rFonts w:ascii="Arial" w:hAnsi="Arial" w:eastAsia="黑体"/>
      <w:b/>
      <w:bCs/>
      <w:kern w:val="0"/>
      <w:sz w:val="32"/>
      <w:szCs w:val="32"/>
    </w:rPr>
  </w:style>
  <w:style w:type="paragraph" w:styleId="4">
    <w:name w:val="heading 3"/>
    <w:basedOn w:val="1"/>
    <w:next w:val="1"/>
    <w:link w:val="42"/>
    <w:qFormat/>
    <w:locked/>
    <w:uiPriority w:val="0"/>
    <w:pPr>
      <w:keepNext/>
      <w:keepLines/>
      <w:spacing w:before="260" w:after="260" w:line="416" w:lineRule="auto"/>
      <w:outlineLvl w:val="2"/>
    </w:pPr>
    <w:rPr>
      <w:rFonts w:ascii="Calibri" w:hAnsi="Calibri"/>
      <w:b/>
      <w:bCs/>
      <w:color w:val="333333"/>
      <w:sz w:val="32"/>
      <w:szCs w:val="32"/>
    </w:rPr>
  </w:style>
  <w:style w:type="paragraph" w:styleId="5">
    <w:name w:val="heading 4"/>
    <w:basedOn w:val="1"/>
    <w:next w:val="1"/>
    <w:link w:val="43"/>
    <w:qFormat/>
    <w:locked/>
    <w:uiPriority w:val="0"/>
    <w:pPr>
      <w:keepNext/>
      <w:keepLines/>
      <w:tabs>
        <w:tab w:val="left" w:pos="900"/>
        <w:tab w:val="left" w:pos="1080"/>
      </w:tabs>
      <w:spacing w:line="360" w:lineRule="auto"/>
      <w:outlineLvl w:val="3"/>
    </w:pPr>
    <w:rPr>
      <w:b/>
      <w:sz w:val="24"/>
    </w:rPr>
  </w:style>
  <w:style w:type="paragraph" w:styleId="6">
    <w:name w:val="heading 5"/>
    <w:basedOn w:val="1"/>
    <w:next w:val="1"/>
    <w:link w:val="44"/>
    <w:qFormat/>
    <w:locked/>
    <w:uiPriority w:val="0"/>
    <w:pPr>
      <w:keepNext/>
      <w:keepLines/>
      <w:tabs>
        <w:tab w:val="left" w:pos="1008"/>
      </w:tabs>
      <w:spacing w:before="280" w:after="290" w:line="376" w:lineRule="auto"/>
      <w:ind w:firstLine="200" w:firstLineChars="200"/>
      <w:outlineLvl w:val="4"/>
    </w:pPr>
    <w:rPr>
      <w:rFonts w:ascii="宋体" w:hAnsi="宋体"/>
      <w:b/>
      <w:sz w:val="28"/>
      <w:szCs w:val="21"/>
    </w:rPr>
  </w:style>
  <w:style w:type="paragraph" w:styleId="7">
    <w:name w:val="heading 6"/>
    <w:basedOn w:val="1"/>
    <w:next w:val="1"/>
    <w:link w:val="45"/>
    <w:qFormat/>
    <w:locked/>
    <w:uiPriority w:val="0"/>
    <w:pPr>
      <w:keepNext/>
      <w:keepLines/>
      <w:tabs>
        <w:tab w:val="left" w:pos="1152"/>
      </w:tabs>
      <w:spacing w:before="240" w:after="64" w:line="320" w:lineRule="auto"/>
      <w:ind w:firstLine="200" w:firstLineChars="200"/>
      <w:outlineLvl w:val="5"/>
    </w:pPr>
    <w:rPr>
      <w:rFonts w:ascii="Arial" w:hAnsi="Arial" w:eastAsia="黑体"/>
      <w:b/>
      <w:sz w:val="24"/>
      <w:szCs w:val="21"/>
    </w:rPr>
  </w:style>
  <w:style w:type="paragraph" w:styleId="8">
    <w:name w:val="heading 7"/>
    <w:basedOn w:val="1"/>
    <w:next w:val="1"/>
    <w:link w:val="46"/>
    <w:qFormat/>
    <w:locked/>
    <w:uiPriority w:val="0"/>
    <w:pPr>
      <w:keepNext/>
      <w:keepLines/>
      <w:tabs>
        <w:tab w:val="left" w:pos="1296"/>
      </w:tabs>
      <w:spacing w:before="240" w:after="64" w:line="320" w:lineRule="auto"/>
      <w:ind w:firstLine="200" w:firstLineChars="200"/>
      <w:outlineLvl w:val="6"/>
    </w:pPr>
    <w:rPr>
      <w:rFonts w:ascii="宋体" w:hAnsi="宋体"/>
      <w:b/>
      <w:sz w:val="24"/>
      <w:szCs w:val="21"/>
    </w:rPr>
  </w:style>
  <w:style w:type="paragraph" w:styleId="9">
    <w:name w:val="heading 8"/>
    <w:basedOn w:val="1"/>
    <w:next w:val="1"/>
    <w:link w:val="47"/>
    <w:qFormat/>
    <w:locked/>
    <w:uiPriority w:val="0"/>
    <w:pPr>
      <w:keepNext/>
      <w:keepLines/>
      <w:tabs>
        <w:tab w:val="left" w:pos="1440"/>
      </w:tabs>
      <w:spacing w:before="240" w:after="64" w:line="320" w:lineRule="auto"/>
      <w:ind w:firstLine="200" w:firstLineChars="200"/>
      <w:outlineLvl w:val="7"/>
    </w:pPr>
    <w:rPr>
      <w:rFonts w:ascii="Arial" w:hAnsi="Arial" w:eastAsia="黑体"/>
      <w:sz w:val="24"/>
      <w:szCs w:val="21"/>
    </w:rPr>
  </w:style>
  <w:style w:type="paragraph" w:styleId="10">
    <w:name w:val="heading 9"/>
    <w:basedOn w:val="1"/>
    <w:next w:val="1"/>
    <w:link w:val="48"/>
    <w:qFormat/>
    <w:locked/>
    <w:uiPriority w:val="0"/>
    <w:pPr>
      <w:keepNext/>
      <w:keepLines/>
      <w:tabs>
        <w:tab w:val="left" w:pos="1584"/>
      </w:tabs>
      <w:spacing w:before="240" w:after="64" w:line="320" w:lineRule="auto"/>
      <w:ind w:firstLine="200" w:firstLineChars="200"/>
      <w:outlineLvl w:val="8"/>
    </w:pPr>
    <w:rPr>
      <w:rFonts w:ascii="Arial" w:hAnsi="Arial" w:eastAsia="黑体"/>
      <w:szCs w:val="21"/>
    </w:rPr>
  </w:style>
  <w:style w:type="character" w:default="1" w:styleId="33">
    <w:name w:val="Default Paragraph Font"/>
    <w:semiHidden/>
    <w:unhideWhenUsed/>
    <w:uiPriority w:val="1"/>
  </w:style>
  <w:style w:type="table" w:default="1" w:styleId="31">
    <w:name w:val="Normal Table"/>
    <w:semiHidden/>
    <w:unhideWhenUsed/>
    <w:uiPriority w:val="99"/>
    <w:tblPr>
      <w:tblCellMar>
        <w:top w:w="0" w:type="dxa"/>
        <w:left w:w="108" w:type="dxa"/>
        <w:bottom w:w="0" w:type="dxa"/>
        <w:right w:w="108" w:type="dxa"/>
      </w:tblCellMar>
    </w:tblPr>
  </w:style>
  <w:style w:type="paragraph" w:styleId="11">
    <w:name w:val="Normal Indent"/>
    <w:basedOn w:val="1"/>
    <w:qFormat/>
    <w:locked/>
    <w:uiPriority w:val="0"/>
    <w:pPr>
      <w:ind w:firstLine="420" w:firstLineChars="200"/>
    </w:pPr>
    <w:rPr>
      <w:rFonts w:ascii="Calibri" w:hAnsi="Calibri" w:cs="Calibri"/>
    </w:rPr>
  </w:style>
  <w:style w:type="paragraph" w:styleId="12">
    <w:name w:val="caption"/>
    <w:basedOn w:val="1"/>
    <w:next w:val="1"/>
    <w:link w:val="50"/>
    <w:qFormat/>
    <w:locked/>
    <w:uiPriority w:val="0"/>
    <w:rPr>
      <w:rFonts w:ascii="Arial" w:hAnsi="Arial" w:eastAsia="黑体"/>
      <w:sz w:val="20"/>
      <w:szCs w:val="20"/>
    </w:rPr>
  </w:style>
  <w:style w:type="paragraph" w:styleId="13">
    <w:name w:val="Document Map"/>
    <w:basedOn w:val="1"/>
    <w:link w:val="51"/>
    <w:qFormat/>
    <w:locked/>
    <w:uiPriority w:val="0"/>
    <w:pPr>
      <w:shd w:val="clear" w:color="auto" w:fill="000080"/>
      <w:tabs>
        <w:tab w:val="left" w:pos="7200"/>
      </w:tabs>
      <w:spacing w:line="360" w:lineRule="auto"/>
      <w:ind w:firstLine="480" w:firstLineChars="200"/>
    </w:pPr>
    <w:rPr>
      <w:rFonts w:ascii="宋体" w:hAnsi="宋体"/>
      <w:szCs w:val="21"/>
    </w:rPr>
  </w:style>
  <w:style w:type="paragraph" w:styleId="14">
    <w:name w:val="toa heading"/>
    <w:basedOn w:val="1"/>
    <w:next w:val="1"/>
    <w:locked/>
    <w:uiPriority w:val="0"/>
    <w:pPr>
      <w:tabs>
        <w:tab w:val="left" w:pos="7200"/>
      </w:tabs>
      <w:spacing w:before="120" w:line="360" w:lineRule="auto"/>
      <w:ind w:firstLine="480" w:firstLineChars="200"/>
    </w:pPr>
    <w:rPr>
      <w:rFonts w:ascii="Arial" w:hAnsi="Arial" w:cs="Arial"/>
      <w:sz w:val="24"/>
    </w:rPr>
  </w:style>
  <w:style w:type="paragraph" w:styleId="15">
    <w:name w:val="annotation text"/>
    <w:basedOn w:val="1"/>
    <w:link w:val="52"/>
    <w:qFormat/>
    <w:uiPriority w:val="99"/>
    <w:pPr>
      <w:jc w:val="left"/>
    </w:pPr>
    <w:rPr>
      <w:kern w:val="0"/>
      <w:sz w:val="24"/>
      <w:szCs w:val="20"/>
    </w:rPr>
  </w:style>
  <w:style w:type="paragraph" w:styleId="16">
    <w:name w:val="Body Text"/>
    <w:basedOn w:val="1"/>
    <w:link w:val="53"/>
    <w:qFormat/>
    <w:uiPriority w:val="0"/>
    <w:pPr>
      <w:widowControl/>
      <w:snapToGrid w:val="0"/>
      <w:spacing w:before="60" w:after="160" w:line="259" w:lineRule="auto"/>
      <w:ind w:right="113"/>
    </w:pPr>
    <w:rPr>
      <w:kern w:val="0"/>
      <w:sz w:val="18"/>
      <w:szCs w:val="20"/>
    </w:rPr>
  </w:style>
  <w:style w:type="paragraph" w:styleId="17">
    <w:name w:val="Body Text Indent"/>
    <w:basedOn w:val="1"/>
    <w:link w:val="54"/>
    <w:qFormat/>
    <w:uiPriority w:val="0"/>
    <w:pPr>
      <w:spacing w:after="120"/>
      <w:ind w:left="420" w:leftChars="200"/>
    </w:pPr>
    <w:rPr>
      <w:kern w:val="0"/>
      <w:sz w:val="24"/>
      <w:szCs w:val="20"/>
    </w:rPr>
  </w:style>
  <w:style w:type="paragraph" w:styleId="18">
    <w:name w:val="Plain Text"/>
    <w:basedOn w:val="1"/>
    <w:link w:val="57"/>
    <w:qFormat/>
    <w:locked/>
    <w:uiPriority w:val="0"/>
    <w:rPr>
      <w:rFonts w:ascii="宋体" w:hAnsi="Courier New"/>
      <w:color w:val="333333"/>
      <w:szCs w:val="21"/>
    </w:rPr>
  </w:style>
  <w:style w:type="paragraph" w:styleId="19">
    <w:name w:val="Date"/>
    <w:basedOn w:val="1"/>
    <w:next w:val="1"/>
    <w:link w:val="59"/>
    <w:uiPriority w:val="0"/>
    <w:pPr>
      <w:ind w:left="100" w:leftChars="2500"/>
    </w:pPr>
    <w:rPr>
      <w:kern w:val="0"/>
      <w:sz w:val="24"/>
      <w:szCs w:val="20"/>
    </w:rPr>
  </w:style>
  <w:style w:type="paragraph" w:styleId="20">
    <w:name w:val="Body Text Indent 2"/>
    <w:basedOn w:val="1"/>
    <w:link w:val="60"/>
    <w:qFormat/>
    <w:locked/>
    <w:uiPriority w:val="0"/>
    <w:pPr>
      <w:spacing w:after="120" w:line="480" w:lineRule="auto"/>
      <w:ind w:left="420" w:leftChars="200"/>
    </w:pPr>
    <w:rPr>
      <w:rFonts w:ascii="Calibri" w:hAnsi="Calibri"/>
      <w:color w:val="333333"/>
      <w:sz w:val="28"/>
      <w:szCs w:val="20"/>
    </w:rPr>
  </w:style>
  <w:style w:type="paragraph" w:styleId="21">
    <w:name w:val="Balloon Text"/>
    <w:basedOn w:val="1"/>
    <w:link w:val="61"/>
    <w:qFormat/>
    <w:uiPriority w:val="0"/>
    <w:rPr>
      <w:kern w:val="0"/>
      <w:sz w:val="18"/>
      <w:szCs w:val="20"/>
    </w:rPr>
  </w:style>
  <w:style w:type="paragraph" w:styleId="22">
    <w:name w:val="footer"/>
    <w:basedOn w:val="1"/>
    <w:link w:val="62"/>
    <w:uiPriority w:val="99"/>
    <w:pPr>
      <w:tabs>
        <w:tab w:val="center" w:pos="4153"/>
        <w:tab w:val="right" w:pos="8306"/>
      </w:tabs>
      <w:snapToGrid w:val="0"/>
      <w:jc w:val="left"/>
    </w:pPr>
    <w:rPr>
      <w:kern w:val="0"/>
      <w:sz w:val="18"/>
      <w:szCs w:val="20"/>
    </w:rPr>
  </w:style>
  <w:style w:type="paragraph" w:styleId="23">
    <w:name w:val="header"/>
    <w:basedOn w:val="1"/>
    <w:link w:val="63"/>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List"/>
    <w:basedOn w:val="1"/>
    <w:qFormat/>
    <w:locked/>
    <w:uiPriority w:val="0"/>
    <w:pPr>
      <w:ind w:left="200" w:hanging="200" w:hangingChars="200"/>
    </w:pPr>
    <w:rPr>
      <w:rFonts w:ascii="Calibri" w:hAnsi="Calibri" w:cs="Calibri"/>
      <w:color w:val="333333"/>
      <w:sz w:val="28"/>
      <w:szCs w:val="20"/>
    </w:rPr>
  </w:style>
  <w:style w:type="paragraph" w:styleId="25">
    <w:name w:val="Body Text Indent 3"/>
    <w:basedOn w:val="1"/>
    <w:link w:val="67"/>
    <w:qFormat/>
    <w:locked/>
    <w:uiPriority w:val="99"/>
    <w:pPr>
      <w:spacing w:after="120"/>
      <w:ind w:left="420" w:leftChars="200"/>
    </w:pPr>
    <w:rPr>
      <w:color w:val="333333"/>
      <w:sz w:val="16"/>
      <w:szCs w:val="16"/>
    </w:rPr>
  </w:style>
  <w:style w:type="paragraph" w:styleId="26">
    <w:name w:val="table of figures"/>
    <w:basedOn w:val="1"/>
    <w:next w:val="1"/>
    <w:qFormat/>
    <w:locked/>
    <w:uiPriority w:val="0"/>
    <w:pPr>
      <w:tabs>
        <w:tab w:val="left" w:pos="7200"/>
      </w:tabs>
      <w:spacing w:line="360" w:lineRule="auto"/>
      <w:ind w:left="200" w:leftChars="200" w:hanging="200" w:hangingChars="200"/>
    </w:pPr>
    <w:rPr>
      <w:sz w:val="24"/>
      <w:szCs w:val="21"/>
    </w:rPr>
  </w:style>
  <w:style w:type="paragraph" w:styleId="27">
    <w:name w:val="Body Text 2"/>
    <w:basedOn w:val="1"/>
    <w:link w:val="70"/>
    <w:qFormat/>
    <w:locked/>
    <w:uiPriority w:val="0"/>
    <w:pPr>
      <w:tabs>
        <w:tab w:val="left" w:pos="7200"/>
      </w:tabs>
      <w:spacing w:after="120" w:line="480" w:lineRule="auto"/>
      <w:ind w:firstLine="480" w:firstLineChars="200"/>
    </w:pPr>
    <w:rPr>
      <w:sz w:val="28"/>
    </w:rPr>
  </w:style>
  <w:style w:type="paragraph" w:styleId="28">
    <w:name w:val="HTML Preformatted"/>
    <w:basedOn w:val="1"/>
    <w:link w:val="71"/>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9">
    <w:name w:val="Normal (Web)"/>
    <w:basedOn w:val="1"/>
    <w:link w:val="72"/>
    <w:qFormat/>
    <w:uiPriority w:val="0"/>
    <w:pPr>
      <w:widowControl/>
      <w:spacing w:before="100" w:beforeAutospacing="1" w:after="100" w:afterAutospacing="1"/>
      <w:jc w:val="left"/>
    </w:pPr>
    <w:rPr>
      <w:rFonts w:ascii="宋体" w:hAnsi="宋体"/>
      <w:kern w:val="0"/>
      <w:sz w:val="24"/>
      <w:szCs w:val="20"/>
    </w:rPr>
  </w:style>
  <w:style w:type="paragraph" w:styleId="30">
    <w:name w:val="annotation subject"/>
    <w:basedOn w:val="15"/>
    <w:next w:val="15"/>
    <w:link w:val="73"/>
    <w:qFormat/>
    <w:uiPriority w:val="0"/>
    <w:rPr>
      <w:b/>
      <w:kern w:val="2"/>
    </w:r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locked/>
    <w:uiPriority w:val="22"/>
    <w:rPr>
      <w:b/>
      <w:bCs/>
    </w:rPr>
  </w:style>
  <w:style w:type="character" w:styleId="35">
    <w:name w:val="page number"/>
    <w:qFormat/>
    <w:locked/>
    <w:uiPriority w:val="0"/>
  </w:style>
  <w:style w:type="character" w:styleId="36">
    <w:name w:val="FollowedHyperlink"/>
    <w:qFormat/>
    <w:locked/>
    <w:uiPriority w:val="0"/>
    <w:rPr>
      <w:color w:val="000000"/>
      <w:u w:val="none"/>
    </w:rPr>
  </w:style>
  <w:style w:type="character" w:styleId="37">
    <w:name w:val="Emphasis"/>
    <w:qFormat/>
    <w:locked/>
    <w:uiPriority w:val="20"/>
    <w:rPr>
      <w:i/>
      <w:iCs/>
    </w:rPr>
  </w:style>
  <w:style w:type="character" w:styleId="38">
    <w:name w:val="Hyperlink"/>
    <w:qFormat/>
    <w:locked/>
    <w:uiPriority w:val="99"/>
    <w:rPr>
      <w:color w:val="000000"/>
      <w:u w:val="none"/>
    </w:rPr>
  </w:style>
  <w:style w:type="character" w:styleId="39">
    <w:name w:val="annotation reference"/>
    <w:qFormat/>
    <w:uiPriority w:val="0"/>
    <w:rPr>
      <w:sz w:val="21"/>
    </w:rPr>
  </w:style>
  <w:style w:type="character" w:customStyle="1" w:styleId="40">
    <w:name w:val="标题 1 字符"/>
    <w:link w:val="2"/>
    <w:qFormat/>
    <w:uiPriority w:val="0"/>
    <w:rPr>
      <w:rFonts w:eastAsia="黑体"/>
      <w:b/>
      <w:bCs/>
      <w:color w:val="000000"/>
      <w:kern w:val="44"/>
      <w:sz w:val="30"/>
      <w:szCs w:val="30"/>
    </w:rPr>
  </w:style>
  <w:style w:type="character" w:customStyle="1" w:styleId="41">
    <w:name w:val="标题 2 字符"/>
    <w:link w:val="3"/>
    <w:uiPriority w:val="0"/>
    <w:rPr>
      <w:rFonts w:ascii="Arial" w:hAnsi="Arial" w:eastAsia="黑体"/>
      <w:b/>
      <w:bCs/>
      <w:sz w:val="32"/>
      <w:szCs w:val="32"/>
    </w:rPr>
  </w:style>
  <w:style w:type="character" w:customStyle="1" w:styleId="42">
    <w:name w:val="标题 3 字符"/>
    <w:link w:val="4"/>
    <w:qFormat/>
    <w:uiPriority w:val="0"/>
    <w:rPr>
      <w:rFonts w:ascii="Calibri" w:hAnsi="Calibri"/>
      <w:b/>
      <w:bCs/>
      <w:color w:val="333333"/>
      <w:kern w:val="2"/>
      <w:sz w:val="32"/>
      <w:szCs w:val="32"/>
    </w:rPr>
  </w:style>
  <w:style w:type="character" w:customStyle="1" w:styleId="43">
    <w:name w:val="标题 4 字符"/>
    <w:link w:val="5"/>
    <w:qFormat/>
    <w:uiPriority w:val="0"/>
    <w:rPr>
      <w:b/>
      <w:kern w:val="2"/>
      <w:sz w:val="24"/>
      <w:szCs w:val="24"/>
    </w:rPr>
  </w:style>
  <w:style w:type="character" w:customStyle="1" w:styleId="44">
    <w:name w:val="标题 5 字符"/>
    <w:link w:val="6"/>
    <w:uiPriority w:val="0"/>
    <w:rPr>
      <w:rFonts w:ascii="宋体" w:hAnsi="宋体"/>
      <w:b/>
      <w:kern w:val="2"/>
      <w:sz w:val="28"/>
      <w:szCs w:val="21"/>
    </w:rPr>
  </w:style>
  <w:style w:type="character" w:customStyle="1" w:styleId="45">
    <w:name w:val="标题 6 字符"/>
    <w:link w:val="7"/>
    <w:qFormat/>
    <w:uiPriority w:val="0"/>
    <w:rPr>
      <w:rFonts w:ascii="Arial" w:hAnsi="Arial" w:eastAsia="黑体"/>
      <w:b/>
      <w:kern w:val="2"/>
      <w:sz w:val="24"/>
      <w:szCs w:val="21"/>
    </w:rPr>
  </w:style>
  <w:style w:type="character" w:customStyle="1" w:styleId="46">
    <w:name w:val="标题 7 字符"/>
    <w:link w:val="8"/>
    <w:qFormat/>
    <w:uiPriority w:val="0"/>
    <w:rPr>
      <w:rFonts w:ascii="宋体" w:hAnsi="宋体"/>
      <w:b/>
      <w:kern w:val="2"/>
      <w:sz w:val="24"/>
      <w:szCs w:val="21"/>
    </w:rPr>
  </w:style>
  <w:style w:type="character" w:customStyle="1" w:styleId="47">
    <w:name w:val="标题 8 字符"/>
    <w:link w:val="9"/>
    <w:uiPriority w:val="0"/>
    <w:rPr>
      <w:rFonts w:ascii="Arial" w:hAnsi="Arial" w:eastAsia="黑体"/>
      <w:kern w:val="2"/>
      <w:sz w:val="24"/>
      <w:szCs w:val="21"/>
    </w:rPr>
  </w:style>
  <w:style w:type="character" w:customStyle="1" w:styleId="48">
    <w:name w:val="标题 9 字符"/>
    <w:link w:val="10"/>
    <w:qFormat/>
    <w:uiPriority w:val="0"/>
    <w:rPr>
      <w:rFonts w:ascii="Arial" w:hAnsi="Arial" w:eastAsia="黑体"/>
      <w:kern w:val="2"/>
      <w:sz w:val="21"/>
      <w:szCs w:val="21"/>
    </w:rPr>
  </w:style>
  <w:style w:type="paragraph" w:customStyle="1" w:styleId="49">
    <w:name w:val="目录 71"/>
    <w:basedOn w:val="1"/>
    <w:next w:val="1"/>
    <w:qFormat/>
    <w:locked/>
    <w:uiPriority w:val="39"/>
    <w:pPr>
      <w:tabs>
        <w:tab w:val="left" w:pos="7200"/>
      </w:tabs>
      <w:spacing w:line="360" w:lineRule="auto"/>
      <w:ind w:left="1260" w:firstLine="480" w:firstLineChars="200"/>
      <w:jc w:val="left"/>
    </w:pPr>
    <w:rPr>
      <w:sz w:val="18"/>
      <w:szCs w:val="18"/>
    </w:rPr>
  </w:style>
  <w:style w:type="character" w:customStyle="1" w:styleId="50">
    <w:name w:val="题注 字符"/>
    <w:link w:val="12"/>
    <w:qFormat/>
    <w:locked/>
    <w:uiPriority w:val="0"/>
    <w:rPr>
      <w:rFonts w:ascii="Arial" w:hAnsi="Arial" w:eastAsia="黑体"/>
      <w:kern w:val="2"/>
    </w:rPr>
  </w:style>
  <w:style w:type="character" w:customStyle="1" w:styleId="51">
    <w:name w:val="文档结构图 字符"/>
    <w:link w:val="13"/>
    <w:qFormat/>
    <w:uiPriority w:val="0"/>
    <w:rPr>
      <w:rFonts w:ascii="宋体" w:hAnsi="宋体"/>
      <w:kern w:val="2"/>
      <w:sz w:val="21"/>
      <w:szCs w:val="21"/>
      <w:shd w:val="clear" w:color="auto" w:fill="000080"/>
    </w:rPr>
  </w:style>
  <w:style w:type="character" w:customStyle="1" w:styleId="52">
    <w:name w:val="批注文字 字符"/>
    <w:link w:val="15"/>
    <w:qFormat/>
    <w:locked/>
    <w:uiPriority w:val="99"/>
    <w:rPr>
      <w:rFonts w:ascii="Times New Roman" w:hAnsi="Times New Roman" w:eastAsia="宋体"/>
      <w:sz w:val="24"/>
    </w:rPr>
  </w:style>
  <w:style w:type="character" w:customStyle="1" w:styleId="53">
    <w:name w:val="正文文本 字符"/>
    <w:link w:val="16"/>
    <w:qFormat/>
    <w:locked/>
    <w:uiPriority w:val="0"/>
    <w:rPr>
      <w:sz w:val="18"/>
    </w:rPr>
  </w:style>
  <w:style w:type="character" w:customStyle="1" w:styleId="54">
    <w:name w:val="正文文本缩进 字符"/>
    <w:link w:val="17"/>
    <w:locked/>
    <w:uiPriority w:val="0"/>
    <w:rPr>
      <w:rFonts w:ascii="Times New Roman" w:hAnsi="Times New Roman" w:eastAsia="宋体"/>
      <w:sz w:val="24"/>
    </w:rPr>
  </w:style>
  <w:style w:type="paragraph" w:customStyle="1" w:styleId="55">
    <w:name w:val="目录 51"/>
    <w:basedOn w:val="1"/>
    <w:next w:val="1"/>
    <w:qFormat/>
    <w:locked/>
    <w:uiPriority w:val="39"/>
    <w:pPr>
      <w:tabs>
        <w:tab w:val="left" w:pos="7200"/>
      </w:tabs>
      <w:spacing w:line="360" w:lineRule="auto"/>
      <w:ind w:left="840" w:firstLine="480" w:firstLineChars="200"/>
      <w:jc w:val="left"/>
    </w:pPr>
    <w:rPr>
      <w:sz w:val="18"/>
      <w:szCs w:val="18"/>
    </w:rPr>
  </w:style>
  <w:style w:type="paragraph" w:customStyle="1" w:styleId="56">
    <w:name w:val="目录 31"/>
    <w:basedOn w:val="1"/>
    <w:next w:val="1"/>
    <w:qFormat/>
    <w:locked/>
    <w:uiPriority w:val="39"/>
    <w:pPr>
      <w:tabs>
        <w:tab w:val="left" w:pos="7200"/>
      </w:tabs>
      <w:spacing w:line="360" w:lineRule="auto"/>
      <w:ind w:left="420" w:firstLine="480" w:firstLineChars="200"/>
      <w:jc w:val="left"/>
    </w:pPr>
    <w:rPr>
      <w:i/>
      <w:iCs/>
      <w:sz w:val="20"/>
      <w:szCs w:val="20"/>
    </w:rPr>
  </w:style>
  <w:style w:type="character" w:customStyle="1" w:styleId="57">
    <w:name w:val="纯文本 字符"/>
    <w:link w:val="18"/>
    <w:qFormat/>
    <w:uiPriority w:val="0"/>
    <w:rPr>
      <w:rFonts w:ascii="宋体" w:hAnsi="Courier New" w:cs="Courier New"/>
      <w:color w:val="333333"/>
      <w:kern w:val="2"/>
      <w:sz w:val="21"/>
      <w:szCs w:val="21"/>
    </w:rPr>
  </w:style>
  <w:style w:type="paragraph" w:customStyle="1" w:styleId="58">
    <w:name w:val="目录 81"/>
    <w:basedOn w:val="1"/>
    <w:next w:val="1"/>
    <w:qFormat/>
    <w:locked/>
    <w:uiPriority w:val="39"/>
    <w:pPr>
      <w:tabs>
        <w:tab w:val="left" w:pos="7200"/>
      </w:tabs>
      <w:spacing w:line="360" w:lineRule="auto"/>
      <w:ind w:left="1470" w:firstLine="480" w:firstLineChars="200"/>
      <w:jc w:val="left"/>
    </w:pPr>
    <w:rPr>
      <w:sz w:val="18"/>
      <w:szCs w:val="18"/>
    </w:rPr>
  </w:style>
  <w:style w:type="character" w:customStyle="1" w:styleId="59">
    <w:name w:val="日期 字符1"/>
    <w:link w:val="19"/>
    <w:qFormat/>
    <w:locked/>
    <w:uiPriority w:val="0"/>
    <w:rPr>
      <w:rFonts w:ascii="Times New Roman" w:hAnsi="Times New Roman" w:eastAsia="宋体"/>
      <w:sz w:val="24"/>
    </w:rPr>
  </w:style>
  <w:style w:type="character" w:customStyle="1" w:styleId="60">
    <w:name w:val="正文文本缩进 2 字符"/>
    <w:link w:val="20"/>
    <w:uiPriority w:val="0"/>
    <w:rPr>
      <w:rFonts w:ascii="Calibri" w:hAnsi="Calibri"/>
      <w:color w:val="333333"/>
      <w:kern w:val="2"/>
      <w:sz w:val="28"/>
    </w:rPr>
  </w:style>
  <w:style w:type="character" w:customStyle="1" w:styleId="61">
    <w:name w:val="批注框文本 字符"/>
    <w:link w:val="21"/>
    <w:qFormat/>
    <w:locked/>
    <w:uiPriority w:val="0"/>
    <w:rPr>
      <w:rFonts w:ascii="Times New Roman" w:hAnsi="Times New Roman" w:eastAsia="宋体"/>
      <w:sz w:val="18"/>
    </w:rPr>
  </w:style>
  <w:style w:type="character" w:customStyle="1" w:styleId="62">
    <w:name w:val="页脚 字符1"/>
    <w:link w:val="22"/>
    <w:qFormat/>
    <w:locked/>
    <w:uiPriority w:val="99"/>
    <w:rPr>
      <w:sz w:val="18"/>
    </w:rPr>
  </w:style>
  <w:style w:type="character" w:customStyle="1" w:styleId="63">
    <w:name w:val="页眉 字符"/>
    <w:link w:val="23"/>
    <w:locked/>
    <w:uiPriority w:val="0"/>
    <w:rPr>
      <w:sz w:val="18"/>
    </w:rPr>
  </w:style>
  <w:style w:type="paragraph" w:customStyle="1" w:styleId="64">
    <w:name w:val="目录 11"/>
    <w:basedOn w:val="1"/>
    <w:next w:val="1"/>
    <w:qFormat/>
    <w:locked/>
    <w:uiPriority w:val="39"/>
    <w:pPr>
      <w:tabs>
        <w:tab w:val="left" w:pos="420"/>
        <w:tab w:val="right" w:leader="dot" w:pos="8720"/>
      </w:tabs>
      <w:spacing w:line="440" w:lineRule="exact"/>
      <w:ind w:firstLine="200" w:firstLineChars="200"/>
    </w:pPr>
    <w:rPr>
      <w:b/>
      <w:bCs/>
      <w:caps/>
      <w:sz w:val="24"/>
    </w:rPr>
  </w:style>
  <w:style w:type="paragraph" w:customStyle="1" w:styleId="65">
    <w:name w:val="目录 41"/>
    <w:basedOn w:val="1"/>
    <w:next w:val="1"/>
    <w:qFormat/>
    <w:locked/>
    <w:uiPriority w:val="39"/>
    <w:pPr>
      <w:tabs>
        <w:tab w:val="left" w:pos="7200"/>
      </w:tabs>
      <w:spacing w:line="360" w:lineRule="auto"/>
      <w:ind w:left="630" w:firstLine="480" w:firstLineChars="200"/>
      <w:jc w:val="left"/>
    </w:pPr>
    <w:rPr>
      <w:sz w:val="18"/>
      <w:szCs w:val="18"/>
    </w:rPr>
  </w:style>
  <w:style w:type="paragraph" w:customStyle="1" w:styleId="66">
    <w:name w:val="目录 61"/>
    <w:basedOn w:val="1"/>
    <w:next w:val="1"/>
    <w:qFormat/>
    <w:locked/>
    <w:uiPriority w:val="39"/>
    <w:pPr>
      <w:tabs>
        <w:tab w:val="left" w:pos="7200"/>
      </w:tabs>
      <w:spacing w:line="360" w:lineRule="auto"/>
      <w:ind w:left="1050" w:firstLine="480" w:firstLineChars="200"/>
      <w:jc w:val="left"/>
    </w:pPr>
    <w:rPr>
      <w:sz w:val="18"/>
      <w:szCs w:val="18"/>
    </w:rPr>
  </w:style>
  <w:style w:type="character" w:customStyle="1" w:styleId="67">
    <w:name w:val="正文文本缩进 3 字符"/>
    <w:link w:val="25"/>
    <w:qFormat/>
    <w:uiPriority w:val="99"/>
    <w:rPr>
      <w:color w:val="333333"/>
      <w:kern w:val="2"/>
      <w:sz w:val="16"/>
      <w:szCs w:val="16"/>
    </w:rPr>
  </w:style>
  <w:style w:type="paragraph" w:customStyle="1" w:styleId="68">
    <w:name w:val="目录 21"/>
    <w:basedOn w:val="1"/>
    <w:next w:val="1"/>
    <w:qFormat/>
    <w:locked/>
    <w:uiPriority w:val="39"/>
    <w:pPr>
      <w:tabs>
        <w:tab w:val="left" w:pos="600"/>
        <w:tab w:val="right" w:leader="dot" w:pos="8720"/>
      </w:tabs>
      <w:spacing w:line="440" w:lineRule="exact"/>
      <w:ind w:left="210" w:firstLine="200" w:firstLineChars="200"/>
      <w:jc w:val="left"/>
    </w:pPr>
    <w:rPr>
      <w:smallCaps/>
      <w:sz w:val="24"/>
    </w:rPr>
  </w:style>
  <w:style w:type="paragraph" w:customStyle="1" w:styleId="69">
    <w:name w:val="目录 91"/>
    <w:basedOn w:val="1"/>
    <w:next w:val="1"/>
    <w:qFormat/>
    <w:locked/>
    <w:uiPriority w:val="39"/>
    <w:pPr>
      <w:tabs>
        <w:tab w:val="left" w:pos="7200"/>
      </w:tabs>
      <w:spacing w:line="360" w:lineRule="auto"/>
      <w:ind w:left="1680" w:firstLine="480" w:firstLineChars="200"/>
      <w:jc w:val="left"/>
    </w:pPr>
    <w:rPr>
      <w:sz w:val="18"/>
      <w:szCs w:val="18"/>
    </w:rPr>
  </w:style>
  <w:style w:type="character" w:customStyle="1" w:styleId="70">
    <w:name w:val="正文文本 2 字符"/>
    <w:link w:val="27"/>
    <w:qFormat/>
    <w:uiPriority w:val="0"/>
    <w:rPr>
      <w:kern w:val="2"/>
      <w:sz w:val="28"/>
      <w:szCs w:val="24"/>
    </w:rPr>
  </w:style>
  <w:style w:type="character" w:customStyle="1" w:styleId="71">
    <w:name w:val="HTML 预设格式 字符"/>
    <w:link w:val="28"/>
    <w:qFormat/>
    <w:uiPriority w:val="0"/>
    <w:rPr>
      <w:rFonts w:ascii="宋体" w:hAnsi="宋体" w:cs="宋体"/>
      <w:sz w:val="24"/>
      <w:szCs w:val="24"/>
    </w:rPr>
  </w:style>
  <w:style w:type="character" w:customStyle="1" w:styleId="72">
    <w:name w:val="普通(网站) 字符"/>
    <w:link w:val="29"/>
    <w:qFormat/>
    <w:locked/>
    <w:uiPriority w:val="0"/>
    <w:rPr>
      <w:rFonts w:ascii="宋体" w:hAnsi="宋体" w:eastAsia="宋体"/>
      <w:sz w:val="24"/>
    </w:rPr>
  </w:style>
  <w:style w:type="character" w:customStyle="1" w:styleId="73">
    <w:name w:val="批注主题 字符"/>
    <w:link w:val="30"/>
    <w:qFormat/>
    <w:locked/>
    <w:uiPriority w:val="0"/>
    <w:rPr>
      <w:rFonts w:ascii="Times New Roman" w:hAnsi="Times New Roman" w:eastAsia="宋体"/>
      <w:b/>
      <w:kern w:val="2"/>
      <w:sz w:val="24"/>
    </w:rPr>
  </w:style>
  <w:style w:type="paragraph" w:customStyle="1" w:styleId="74">
    <w:name w:val="正文首行缩进1"/>
    <w:basedOn w:val="16"/>
    <w:link w:val="75"/>
    <w:qFormat/>
    <w:locked/>
    <w:uiPriority w:val="0"/>
    <w:pPr>
      <w:widowControl w:val="0"/>
      <w:tabs>
        <w:tab w:val="left" w:pos="7200"/>
      </w:tabs>
      <w:snapToGrid/>
      <w:spacing w:before="0" w:after="120" w:line="360" w:lineRule="auto"/>
      <w:ind w:right="0" w:firstLine="420" w:firstLineChars="100"/>
    </w:pPr>
    <w:rPr>
      <w:kern w:val="2"/>
      <w:sz w:val="24"/>
      <w:szCs w:val="22"/>
    </w:rPr>
  </w:style>
  <w:style w:type="character" w:customStyle="1" w:styleId="75">
    <w:name w:val="正文首行缩进 Char"/>
    <w:link w:val="74"/>
    <w:qFormat/>
    <w:uiPriority w:val="0"/>
    <w:rPr>
      <w:kern w:val="2"/>
      <w:sz w:val="24"/>
      <w:szCs w:val="22"/>
    </w:rPr>
  </w:style>
  <w:style w:type="paragraph" w:customStyle="1" w:styleId="76">
    <w:name w:val="正文首行缩进 21"/>
    <w:basedOn w:val="17"/>
    <w:link w:val="77"/>
    <w:qFormat/>
    <w:locked/>
    <w:uiPriority w:val="0"/>
    <w:pPr>
      <w:tabs>
        <w:tab w:val="left" w:pos="7200"/>
      </w:tabs>
      <w:spacing w:line="360" w:lineRule="auto"/>
      <w:ind w:firstLine="420" w:firstLineChars="200"/>
    </w:pPr>
    <w:rPr>
      <w:rFonts w:ascii="宋体" w:hAnsi="宋体"/>
      <w:color w:val="333333"/>
      <w:kern w:val="2"/>
      <w:szCs w:val="21"/>
    </w:rPr>
  </w:style>
  <w:style w:type="character" w:customStyle="1" w:styleId="77">
    <w:name w:val="正文首行缩进 2 Char"/>
    <w:link w:val="76"/>
    <w:qFormat/>
    <w:uiPriority w:val="0"/>
    <w:rPr>
      <w:rFonts w:ascii="宋体" w:hAnsi="宋体" w:eastAsia="宋体"/>
      <w:color w:val="333333"/>
      <w:kern w:val="2"/>
      <w:sz w:val="24"/>
      <w:szCs w:val="21"/>
    </w:rPr>
  </w:style>
  <w:style w:type="character" w:customStyle="1" w:styleId="78">
    <w:name w:val="表头 Char1"/>
    <w:link w:val="79"/>
    <w:qFormat/>
    <w:uiPriority w:val="0"/>
    <w:rPr>
      <w:rFonts w:ascii="黑体" w:hAnsi="宋体" w:eastAsia="黑体"/>
      <w:spacing w:val="20"/>
      <w:kern w:val="36"/>
      <w:sz w:val="24"/>
      <w:szCs w:val="24"/>
    </w:rPr>
  </w:style>
  <w:style w:type="paragraph" w:customStyle="1" w:styleId="79">
    <w:name w:val="表头"/>
    <w:basedOn w:val="1"/>
    <w:link w:val="78"/>
    <w:qFormat/>
    <w:uiPriority w:val="0"/>
    <w:pPr>
      <w:spacing w:before="200" w:line="500" w:lineRule="exact"/>
    </w:pPr>
    <w:rPr>
      <w:rFonts w:ascii="黑体" w:hAnsi="宋体" w:eastAsia="黑体"/>
      <w:spacing w:val="20"/>
      <w:kern w:val="36"/>
      <w:sz w:val="24"/>
    </w:rPr>
  </w:style>
  <w:style w:type="character" w:customStyle="1" w:styleId="80">
    <w:name w:val="段落 Char Char1"/>
    <w:qFormat/>
    <w:uiPriority w:val="0"/>
    <w:rPr>
      <w:rFonts w:ascii="宋体" w:eastAsia="宋体"/>
      <w:kern w:val="2"/>
      <w:sz w:val="28"/>
      <w:szCs w:val="28"/>
      <w:lang w:val="en-US" w:eastAsia="zh-CN" w:bidi="ar-SA"/>
    </w:rPr>
  </w:style>
  <w:style w:type="character" w:customStyle="1" w:styleId="81">
    <w:name w:val="表格内容 Char"/>
    <w:link w:val="82"/>
    <w:qFormat/>
    <w:locked/>
    <w:uiPriority w:val="0"/>
    <w:rPr>
      <w:rFonts w:ascii="Arial" w:hAnsi="Arial" w:eastAsia="仿宋_GB2312"/>
      <w:sz w:val="24"/>
    </w:rPr>
  </w:style>
  <w:style w:type="paragraph" w:customStyle="1" w:styleId="82">
    <w:name w:val="表格内容"/>
    <w:basedOn w:val="1"/>
    <w:link w:val="81"/>
    <w:qFormat/>
    <w:uiPriority w:val="0"/>
    <w:pPr>
      <w:overflowPunct w:val="0"/>
      <w:adjustRightInd w:val="0"/>
      <w:spacing w:before="40" w:after="60" w:line="200" w:lineRule="atLeast"/>
    </w:pPr>
    <w:rPr>
      <w:rFonts w:ascii="Arial" w:hAnsi="Arial" w:eastAsia="仿宋_GB2312"/>
      <w:kern w:val="0"/>
      <w:sz w:val="24"/>
      <w:szCs w:val="20"/>
    </w:rPr>
  </w:style>
  <w:style w:type="character" w:customStyle="1" w:styleId="83">
    <w:name w:val="表头 Char Char Char"/>
    <w:qFormat/>
    <w:uiPriority w:val="0"/>
    <w:rPr>
      <w:rFonts w:ascii="黑体" w:hAnsi="宋体" w:eastAsia="黑体"/>
      <w:kern w:val="36"/>
      <w:sz w:val="24"/>
      <w:szCs w:val="24"/>
      <w:lang w:val="en-US" w:eastAsia="zh-CN" w:bidi="ar-SA"/>
    </w:rPr>
  </w:style>
  <w:style w:type="character" w:customStyle="1" w:styleId="84">
    <w:name w:val="样式 标题 3标题 3 Char标题 3 Char Char标题 3 Char Char Char标题 3 Char C... Char"/>
    <w:link w:val="85"/>
    <w:qFormat/>
    <w:uiPriority w:val="0"/>
    <w:rPr>
      <w:b/>
      <w:bCs/>
      <w:color w:val="000000"/>
      <w:kern w:val="2"/>
      <w:sz w:val="30"/>
      <w:szCs w:val="28"/>
    </w:rPr>
  </w:style>
  <w:style w:type="paragraph" w:customStyle="1" w:styleId="85">
    <w:name w:val="样式 标题 3标题 3 Char标题 3 Char Char标题 3 Char Char Char标题 3 Char C..."/>
    <w:basedOn w:val="4"/>
    <w:link w:val="84"/>
    <w:qFormat/>
    <w:uiPriority w:val="0"/>
    <w:pPr>
      <w:tabs>
        <w:tab w:val="left" w:pos="900"/>
      </w:tabs>
      <w:spacing w:before="156" w:beforeLines="50" w:after="156" w:afterLines="50" w:line="360" w:lineRule="auto"/>
    </w:pPr>
    <w:rPr>
      <w:rFonts w:ascii="Times New Roman" w:hAnsi="Times New Roman"/>
      <w:color w:val="000000"/>
      <w:sz w:val="30"/>
      <w:szCs w:val="28"/>
    </w:rPr>
  </w:style>
  <w:style w:type="character" w:customStyle="1" w:styleId="86">
    <w:name w:val="样式 标题 2 + 段前: 6 磅 段后: 6 磅 行距: 多倍行距 1.4 字行 Char"/>
    <w:link w:val="87"/>
    <w:qFormat/>
    <w:uiPriority w:val="0"/>
    <w:rPr>
      <w:rFonts w:ascii="黑体" w:hAnsi="宋体"/>
      <w:b/>
      <w:bCs/>
      <w:kern w:val="2"/>
      <w:sz w:val="32"/>
      <w:szCs w:val="32"/>
    </w:rPr>
  </w:style>
  <w:style w:type="paragraph" w:customStyle="1" w:styleId="87">
    <w:name w:val="样式 标题 2 + 段前: 6 磅 段后: 6 磅 行距: 多倍行距 1.4 字行"/>
    <w:basedOn w:val="3"/>
    <w:link w:val="86"/>
    <w:qFormat/>
    <w:uiPriority w:val="0"/>
    <w:pPr>
      <w:widowControl w:val="0"/>
      <w:tabs>
        <w:tab w:val="left" w:pos="1626"/>
      </w:tabs>
      <w:spacing w:before="120" w:after="120" w:line="360" w:lineRule="auto"/>
      <w:jc w:val="both"/>
    </w:pPr>
    <w:rPr>
      <w:rFonts w:ascii="黑体" w:hAnsi="宋体" w:eastAsia="宋体"/>
      <w:kern w:val="2"/>
    </w:rPr>
  </w:style>
  <w:style w:type="character" w:customStyle="1" w:styleId="88">
    <w:name w:val="日期 字符"/>
    <w:semiHidden/>
    <w:qFormat/>
    <w:uiPriority w:val="0"/>
    <w:rPr>
      <w:rFonts w:ascii="Times New Roman" w:hAnsi="Times New Roman" w:eastAsia="宋体"/>
      <w:sz w:val="24"/>
    </w:rPr>
  </w:style>
  <w:style w:type="character" w:customStyle="1" w:styleId="89">
    <w:name w:val="font21"/>
    <w:qFormat/>
    <w:uiPriority w:val="0"/>
    <w:rPr>
      <w:rFonts w:hint="eastAsia" w:ascii="宋体" w:hAnsi="宋体" w:eastAsia="宋体" w:cs="宋体"/>
      <w:color w:val="000000"/>
      <w:sz w:val="20"/>
      <w:szCs w:val="20"/>
      <w:u w:val="none"/>
    </w:rPr>
  </w:style>
  <w:style w:type="character" w:customStyle="1" w:styleId="90">
    <w:name w:val="页脚 Char2"/>
    <w:semiHidden/>
    <w:qFormat/>
    <w:uiPriority w:val="99"/>
    <w:rPr>
      <w:color w:val="333333"/>
      <w:kern w:val="2"/>
      <w:sz w:val="18"/>
      <w:szCs w:val="18"/>
    </w:rPr>
  </w:style>
  <w:style w:type="character" w:customStyle="1" w:styleId="91">
    <w:name w:val="text_black11"/>
    <w:qFormat/>
    <w:uiPriority w:val="0"/>
    <w:rPr>
      <w:color w:val="000000"/>
      <w:sz w:val="18"/>
      <w:szCs w:val="18"/>
      <w:u w:val="none"/>
    </w:rPr>
  </w:style>
  <w:style w:type="character" w:customStyle="1" w:styleId="92">
    <w:name w:val="Char Char2"/>
    <w:qFormat/>
    <w:locked/>
    <w:uiPriority w:val="0"/>
    <w:rPr>
      <w:rFonts w:ascii="华文中宋" w:hAnsi="华文中宋" w:eastAsia="华文中宋"/>
      <w:sz w:val="28"/>
      <w:lang w:bidi="ar-SA"/>
    </w:rPr>
  </w:style>
  <w:style w:type="character" w:customStyle="1" w:styleId="93">
    <w:name w:val="font01"/>
    <w:qFormat/>
    <w:uiPriority w:val="0"/>
    <w:rPr>
      <w:rFonts w:hint="default" w:ascii="Times New Roman" w:hAnsi="Times New Roman" w:cs="Times New Roman"/>
      <w:color w:val="000000"/>
      <w:sz w:val="20"/>
      <w:szCs w:val="20"/>
      <w:u w:val="none"/>
    </w:rPr>
  </w:style>
  <w:style w:type="character" w:customStyle="1" w:styleId="94">
    <w:name w:val="鸿达正文 Char"/>
    <w:link w:val="95"/>
    <w:qFormat/>
    <w:uiPriority w:val="0"/>
    <w:rPr>
      <w:rFonts w:cs="宋体"/>
      <w:sz w:val="24"/>
    </w:rPr>
  </w:style>
  <w:style w:type="paragraph" w:customStyle="1" w:styleId="95">
    <w:name w:val="鸿达正文"/>
    <w:basedOn w:val="1"/>
    <w:link w:val="94"/>
    <w:qFormat/>
    <w:uiPriority w:val="0"/>
    <w:pPr>
      <w:adjustRightInd w:val="0"/>
      <w:snapToGrid w:val="0"/>
      <w:spacing w:line="520" w:lineRule="exact"/>
      <w:ind w:firstLine="480" w:firstLineChars="200"/>
      <w:textAlignment w:val="baseline"/>
    </w:pPr>
    <w:rPr>
      <w:kern w:val="0"/>
      <w:sz w:val="24"/>
      <w:szCs w:val="20"/>
    </w:rPr>
  </w:style>
  <w:style w:type="character" w:customStyle="1" w:styleId="96">
    <w:name w:val="正文文本 2 Char"/>
    <w:qFormat/>
    <w:locked/>
    <w:uiPriority w:val="0"/>
    <w:rPr>
      <w:rFonts w:ascii="宋体" w:hAnsi="宋体" w:eastAsia="宋体"/>
      <w:kern w:val="2"/>
      <w:sz w:val="28"/>
      <w:szCs w:val="24"/>
      <w:lang w:val="en-US" w:eastAsia="zh-CN" w:bidi="ar-SA"/>
    </w:rPr>
  </w:style>
  <w:style w:type="character" w:customStyle="1" w:styleId="97">
    <w:name w:val="页眉 Char2"/>
    <w:semiHidden/>
    <w:qFormat/>
    <w:uiPriority w:val="99"/>
    <w:rPr>
      <w:color w:val="333333"/>
      <w:kern w:val="2"/>
      <w:sz w:val="18"/>
      <w:szCs w:val="18"/>
    </w:rPr>
  </w:style>
  <w:style w:type="character" w:customStyle="1" w:styleId="98">
    <w:name w:val="5文章(治) Char1"/>
    <w:qFormat/>
    <w:locked/>
    <w:uiPriority w:val="0"/>
    <w:rPr>
      <w:rFonts w:ascii="宋体" w:hAnsi="宋体" w:eastAsia="宋体"/>
      <w:color w:val="000000"/>
      <w:kern w:val="2"/>
      <w:sz w:val="24"/>
      <w:lang w:val="en-US" w:eastAsia="zh-CN" w:bidi="ar-SA"/>
    </w:rPr>
  </w:style>
  <w:style w:type="character" w:customStyle="1" w:styleId="99">
    <w:name w:val="无间隔 字符"/>
    <w:link w:val="100"/>
    <w:qFormat/>
    <w:uiPriority w:val="1"/>
    <w:rPr>
      <w:sz w:val="22"/>
      <w:szCs w:val="22"/>
      <w:lang w:val="en-US" w:eastAsia="zh-CN" w:bidi="ar-SA"/>
    </w:rPr>
  </w:style>
  <w:style w:type="paragraph" w:styleId="100">
    <w:name w:val="No Spacing"/>
    <w:link w:val="99"/>
    <w:qFormat/>
    <w:uiPriority w:val="1"/>
    <w:pPr>
      <w:jc w:val="center"/>
    </w:pPr>
    <w:rPr>
      <w:rFonts w:ascii="Times New Roman" w:hAnsi="Times New Roman" w:eastAsia="宋体" w:cs="Times New Roman"/>
      <w:sz w:val="22"/>
      <w:szCs w:val="22"/>
      <w:lang w:val="en-US" w:eastAsia="zh-CN" w:bidi="ar-SA"/>
    </w:rPr>
  </w:style>
  <w:style w:type="character" w:customStyle="1" w:styleId="101">
    <w:name w:val="样式 标题 3标题 3 Char标题 3 Char Char标题 3 Char Char Char标题 3 Char C...10 Char"/>
    <w:link w:val="102"/>
    <w:qFormat/>
    <w:uiPriority w:val="0"/>
    <w:rPr>
      <w:b/>
      <w:bCs/>
      <w:kern w:val="2"/>
      <w:sz w:val="28"/>
      <w:szCs w:val="28"/>
    </w:rPr>
  </w:style>
  <w:style w:type="paragraph" w:customStyle="1" w:styleId="102">
    <w:name w:val="样式 标题 3标题 3 Char标题 3 Char Char标题 3 Char Char Char标题 3 Char C...10"/>
    <w:basedOn w:val="4"/>
    <w:link w:val="101"/>
    <w:qFormat/>
    <w:uiPriority w:val="0"/>
    <w:pPr>
      <w:tabs>
        <w:tab w:val="left" w:pos="7200"/>
      </w:tabs>
      <w:spacing w:before="120" w:after="120" w:line="480" w:lineRule="auto"/>
    </w:pPr>
    <w:rPr>
      <w:rFonts w:ascii="Times New Roman" w:hAnsi="Times New Roman"/>
      <w:color w:val="auto"/>
      <w:sz w:val="28"/>
      <w:szCs w:val="28"/>
    </w:rPr>
  </w:style>
  <w:style w:type="character" w:customStyle="1" w:styleId="103">
    <w:name w:val="HTML 预设格式 Char1"/>
    <w:qFormat/>
    <w:uiPriority w:val="99"/>
    <w:rPr>
      <w:rFonts w:ascii="Courier New" w:hAnsi="Courier New" w:cs="Courier New"/>
      <w:kern w:val="2"/>
    </w:rPr>
  </w:style>
  <w:style w:type="character" w:customStyle="1" w:styleId="104">
    <w:name w:val="Char Char11"/>
    <w:qFormat/>
    <w:uiPriority w:val="0"/>
    <w:rPr>
      <w:sz w:val="18"/>
      <w:szCs w:val="18"/>
    </w:rPr>
  </w:style>
  <w:style w:type="character" w:customStyle="1" w:styleId="105">
    <w:name w:val="标题 8 Char"/>
    <w:qFormat/>
    <w:uiPriority w:val="0"/>
    <w:rPr>
      <w:rFonts w:ascii="Cambria" w:hAnsi="Cambria" w:eastAsia="宋体" w:cs="Times New Roman"/>
      <w:kern w:val="2"/>
      <w:sz w:val="24"/>
      <w:szCs w:val="24"/>
    </w:rPr>
  </w:style>
  <w:style w:type="character" w:customStyle="1" w:styleId="106">
    <w:name w:val="孙普文字 Char"/>
    <w:qFormat/>
    <w:uiPriority w:val="0"/>
    <w:rPr>
      <w:rFonts w:ascii="宋体" w:hAnsi="Courier New" w:eastAsia="宋体" w:cs="Courier New"/>
      <w:kern w:val="2"/>
      <w:sz w:val="21"/>
      <w:szCs w:val="21"/>
      <w:lang w:val="en-US" w:eastAsia="zh-CN" w:bidi="ar-SA"/>
    </w:rPr>
  </w:style>
  <w:style w:type="character" w:customStyle="1" w:styleId="107">
    <w:name w:val="正文2 Char"/>
    <w:qFormat/>
    <w:uiPriority w:val="0"/>
    <w:rPr>
      <w:rFonts w:ascii="宋体" w:hAnsi="宋体" w:eastAsia="宋体"/>
      <w:spacing w:val="-4"/>
      <w:kern w:val="2"/>
      <w:sz w:val="28"/>
      <w:szCs w:val="24"/>
      <w:lang w:val="en-US" w:eastAsia="zh-CN" w:bidi="ar-SA"/>
    </w:rPr>
  </w:style>
  <w:style w:type="character" w:customStyle="1" w:styleId="108">
    <w:name w:val="font51"/>
    <w:qFormat/>
    <w:uiPriority w:val="0"/>
    <w:rPr>
      <w:rFonts w:hint="eastAsia" w:ascii="宋体" w:hAnsi="宋体" w:eastAsia="宋体" w:cs="宋体"/>
      <w:color w:val="000000"/>
      <w:sz w:val="20"/>
      <w:szCs w:val="20"/>
      <w:u w:val="none"/>
    </w:rPr>
  </w:style>
  <w:style w:type="character" w:customStyle="1" w:styleId="109">
    <w:name w:val="页脚 Char1"/>
    <w:qFormat/>
    <w:uiPriority w:val="99"/>
    <w:rPr>
      <w:rFonts w:hint="default" w:ascii="Calibri" w:hAnsi="Calibri" w:cs="Calibri"/>
    </w:rPr>
  </w:style>
  <w:style w:type="character" w:customStyle="1" w:styleId="110">
    <w:name w:val="批注文字 Char1"/>
    <w:semiHidden/>
    <w:qFormat/>
    <w:uiPriority w:val="99"/>
    <w:rPr>
      <w:color w:val="333333"/>
      <w:kern w:val="2"/>
      <w:sz w:val="28"/>
    </w:rPr>
  </w:style>
  <w:style w:type="character" w:customStyle="1" w:styleId="111">
    <w:name w:val="正文1 Char"/>
    <w:link w:val="112"/>
    <w:qFormat/>
    <w:uiPriority w:val="0"/>
    <w:rPr>
      <w:rFonts w:ascii="楷体_GB2312" w:eastAsia="楷体_GB2312"/>
      <w:b/>
      <w:kern w:val="2"/>
      <w:sz w:val="28"/>
    </w:rPr>
  </w:style>
  <w:style w:type="paragraph" w:customStyle="1" w:styleId="112">
    <w:name w:val="正文1"/>
    <w:basedOn w:val="1"/>
    <w:link w:val="111"/>
    <w:qFormat/>
    <w:uiPriority w:val="0"/>
    <w:pPr>
      <w:ind w:firstLine="552"/>
    </w:pPr>
    <w:rPr>
      <w:rFonts w:ascii="楷体_GB2312" w:eastAsia="楷体_GB2312"/>
      <w:b/>
      <w:sz w:val="28"/>
      <w:szCs w:val="20"/>
    </w:rPr>
  </w:style>
  <w:style w:type="character" w:customStyle="1" w:styleId="113">
    <w:name w:val="bsharetext"/>
    <w:qFormat/>
    <w:uiPriority w:val="0"/>
  </w:style>
  <w:style w:type="character" w:customStyle="1" w:styleId="114">
    <w:name w:val="文档结构图 Char1"/>
    <w:qFormat/>
    <w:uiPriority w:val="0"/>
    <w:rPr>
      <w:rFonts w:ascii="宋体"/>
      <w:kern w:val="2"/>
      <w:sz w:val="18"/>
      <w:szCs w:val="18"/>
    </w:rPr>
  </w:style>
  <w:style w:type="character" w:customStyle="1" w:styleId="115">
    <w:name w:val="标题 6 Char"/>
    <w:qFormat/>
    <w:uiPriority w:val="0"/>
    <w:rPr>
      <w:rFonts w:ascii="Cambria" w:hAnsi="Cambria" w:eastAsia="宋体" w:cs="Times New Roman"/>
      <w:b/>
      <w:bCs/>
      <w:kern w:val="2"/>
      <w:sz w:val="24"/>
      <w:szCs w:val="24"/>
    </w:rPr>
  </w:style>
  <w:style w:type="character" w:customStyle="1" w:styleId="116">
    <w:name w:val="正文文本 Char1"/>
    <w:semiHidden/>
    <w:qFormat/>
    <w:uiPriority w:val="99"/>
    <w:rPr>
      <w:color w:val="333333"/>
      <w:kern w:val="2"/>
      <w:sz w:val="28"/>
    </w:rPr>
  </w:style>
  <w:style w:type="character" w:customStyle="1" w:styleId="117">
    <w:name w:val="页眉 Char1"/>
    <w:qFormat/>
    <w:uiPriority w:val="99"/>
    <w:rPr>
      <w:rFonts w:hint="default" w:ascii="Calibri" w:hAnsi="Calibri" w:cs="Calibri"/>
    </w:rPr>
  </w:style>
  <w:style w:type="character" w:customStyle="1" w:styleId="118">
    <w:name w:val="fontstyle01"/>
    <w:qFormat/>
    <w:uiPriority w:val="0"/>
    <w:rPr>
      <w:rFonts w:hint="eastAsia" w:ascii="宋体" w:hAnsi="宋体" w:eastAsia="宋体"/>
      <w:color w:val="000000"/>
      <w:sz w:val="24"/>
      <w:szCs w:val="24"/>
    </w:rPr>
  </w:style>
  <w:style w:type="character" w:customStyle="1" w:styleId="119">
    <w:name w:val="样式 标题 3标题 3 Char标题 3 Char Char标题 3 Char Char Char标题 3 Char C...4 Char"/>
    <w:link w:val="120"/>
    <w:qFormat/>
    <w:uiPriority w:val="0"/>
    <w:rPr>
      <w:b/>
      <w:bCs/>
      <w:kern w:val="2"/>
      <w:sz w:val="24"/>
      <w:szCs w:val="24"/>
    </w:rPr>
  </w:style>
  <w:style w:type="paragraph" w:customStyle="1" w:styleId="120">
    <w:name w:val="样式 标题 3标题 3 Char标题 3 Char Char标题 3 Char Char Char标题 3 Char C...4"/>
    <w:basedOn w:val="4"/>
    <w:link w:val="119"/>
    <w:qFormat/>
    <w:uiPriority w:val="0"/>
    <w:pPr>
      <w:spacing w:before="120" w:after="120" w:line="300" w:lineRule="auto"/>
    </w:pPr>
    <w:rPr>
      <w:rFonts w:ascii="Times New Roman" w:hAnsi="Times New Roman"/>
      <w:color w:val="auto"/>
      <w:sz w:val="24"/>
      <w:szCs w:val="24"/>
    </w:rPr>
  </w:style>
  <w:style w:type="character" w:customStyle="1" w:styleId="121">
    <w:name w:val="正文文本缩进 2 Char"/>
    <w:qFormat/>
    <w:uiPriority w:val="0"/>
    <w:rPr>
      <w:kern w:val="2"/>
      <w:sz w:val="21"/>
      <w:szCs w:val="24"/>
    </w:rPr>
  </w:style>
  <w:style w:type="character" w:customStyle="1" w:styleId="122">
    <w:name w:val="段落 Char Char Char Char"/>
    <w:qFormat/>
    <w:uiPriority w:val="0"/>
    <w:rPr>
      <w:rFonts w:ascii="宋体" w:hAnsi="宋体" w:eastAsia="宋体" w:cs="宋体"/>
      <w:sz w:val="24"/>
      <w:szCs w:val="24"/>
      <w:lang w:val="en-US" w:eastAsia="zh-CN" w:bidi="ar-SA"/>
    </w:rPr>
  </w:style>
  <w:style w:type="character" w:customStyle="1" w:styleId="123">
    <w:name w:val="标题 1 Char1"/>
    <w:qFormat/>
    <w:uiPriority w:val="0"/>
    <w:rPr>
      <w:rFonts w:ascii="宋体" w:hAnsi="宋体" w:eastAsia="华文细黑"/>
      <w:kern w:val="44"/>
      <w:sz w:val="36"/>
      <w:szCs w:val="21"/>
      <w:lang w:val="en-US" w:eastAsia="zh-CN" w:bidi="ar-SA"/>
    </w:rPr>
  </w:style>
  <w:style w:type="character" w:customStyle="1" w:styleId="124">
    <w:name w:val="Char Char"/>
    <w:qFormat/>
    <w:locked/>
    <w:uiPriority w:val="0"/>
    <w:rPr>
      <w:rFonts w:ascii="宋体" w:hAnsi="宋体" w:eastAsia="宋体"/>
      <w:b/>
      <w:bCs/>
      <w:kern w:val="2"/>
      <w:sz w:val="21"/>
      <w:szCs w:val="24"/>
      <w:lang w:bidi="ar-SA"/>
    </w:rPr>
  </w:style>
  <w:style w:type="character" w:customStyle="1" w:styleId="125">
    <w:name w:val="正文001 Char"/>
    <w:link w:val="126"/>
    <w:qFormat/>
    <w:uiPriority w:val="0"/>
    <w:rPr>
      <w:rFonts w:ascii="Arial" w:hAnsi="Arial"/>
      <w:kern w:val="2"/>
      <w:sz w:val="24"/>
    </w:rPr>
  </w:style>
  <w:style w:type="paragraph" w:customStyle="1" w:styleId="126">
    <w:name w:val="正文001"/>
    <w:basedOn w:val="1"/>
    <w:link w:val="125"/>
    <w:qFormat/>
    <w:uiPriority w:val="0"/>
    <w:pPr>
      <w:tabs>
        <w:tab w:val="left" w:pos="7200"/>
      </w:tabs>
      <w:spacing w:before="60" w:line="360" w:lineRule="auto"/>
      <w:ind w:firstLine="200" w:firstLineChars="200"/>
    </w:pPr>
    <w:rPr>
      <w:rFonts w:ascii="Arial" w:hAnsi="Arial"/>
      <w:sz w:val="24"/>
      <w:szCs w:val="20"/>
    </w:rPr>
  </w:style>
  <w:style w:type="character" w:customStyle="1" w:styleId="127">
    <w:name w:val="页脚 字符"/>
    <w:qFormat/>
    <w:uiPriority w:val="99"/>
  </w:style>
  <w:style w:type="character" w:customStyle="1" w:styleId="128">
    <w:name w:val="正文01 Char"/>
    <w:link w:val="129"/>
    <w:qFormat/>
    <w:locked/>
    <w:uiPriority w:val="0"/>
    <w:rPr>
      <w:rFonts w:ascii="宋体" w:hAnsi="宋体"/>
      <w:kern w:val="2"/>
      <w:sz w:val="24"/>
      <w:szCs w:val="24"/>
    </w:rPr>
  </w:style>
  <w:style w:type="paragraph" w:customStyle="1" w:styleId="129">
    <w:name w:val="正文01"/>
    <w:basedOn w:val="1"/>
    <w:link w:val="128"/>
    <w:qFormat/>
    <w:uiPriority w:val="0"/>
    <w:pPr>
      <w:spacing w:before="60" w:line="460" w:lineRule="exact"/>
      <w:ind w:firstLine="200" w:firstLineChars="200"/>
    </w:pPr>
    <w:rPr>
      <w:rFonts w:ascii="宋体" w:hAnsi="宋体"/>
      <w:sz w:val="24"/>
    </w:rPr>
  </w:style>
  <w:style w:type="character" w:customStyle="1" w:styleId="130">
    <w:name w:val="正文文本 字符1"/>
    <w:semiHidden/>
    <w:qFormat/>
    <w:uiPriority w:val="0"/>
    <w:rPr>
      <w:rFonts w:ascii="Times New Roman" w:hAnsi="Times New Roman" w:eastAsia="宋体"/>
      <w:sz w:val="24"/>
    </w:rPr>
  </w:style>
  <w:style w:type="character" w:customStyle="1" w:styleId="131">
    <w:name w:val="正文缩进 Char1"/>
    <w:qFormat/>
    <w:locked/>
    <w:uiPriority w:val="0"/>
    <w:rPr>
      <w:rFonts w:ascii="宋体" w:hAnsi="宋体" w:eastAsia="宋体"/>
      <w:kern w:val="2"/>
      <w:sz w:val="28"/>
      <w:lang w:val="en-US" w:eastAsia="zh-CN" w:bidi="ar-SA"/>
    </w:rPr>
  </w:style>
  <w:style w:type="character" w:customStyle="1" w:styleId="132">
    <w:name w:val="标题 3 Char1"/>
    <w:qFormat/>
    <w:uiPriority w:val="0"/>
    <w:rPr>
      <w:rFonts w:eastAsia="宋体"/>
      <w:b/>
      <w:bCs/>
      <w:kern w:val="2"/>
      <w:sz w:val="28"/>
      <w:szCs w:val="28"/>
      <w:lang w:val="en-US" w:eastAsia="zh-CN" w:bidi="ar-SA"/>
    </w:rPr>
  </w:style>
  <w:style w:type="character" w:customStyle="1" w:styleId="133">
    <w:name w:val="表格 Char"/>
    <w:link w:val="134"/>
    <w:qFormat/>
    <w:locked/>
    <w:uiPriority w:val="0"/>
    <w:rPr>
      <w:rFonts w:ascii="宋体"/>
      <w:sz w:val="21"/>
    </w:rPr>
  </w:style>
  <w:style w:type="paragraph" w:customStyle="1" w:styleId="134">
    <w:name w:val="表格"/>
    <w:basedOn w:val="1"/>
    <w:next w:val="1"/>
    <w:link w:val="133"/>
    <w:qFormat/>
    <w:uiPriority w:val="0"/>
    <w:pPr>
      <w:adjustRightInd w:val="0"/>
      <w:snapToGrid w:val="0"/>
      <w:spacing w:beforeLines="10" w:afterLines="10" w:line="259" w:lineRule="auto"/>
      <w:jc w:val="center"/>
    </w:pPr>
    <w:rPr>
      <w:rFonts w:ascii="宋体"/>
      <w:kern w:val="0"/>
      <w:szCs w:val="20"/>
    </w:rPr>
  </w:style>
  <w:style w:type="character" w:customStyle="1" w:styleId="135">
    <w:name w:val="postbody1"/>
    <w:qFormat/>
    <w:uiPriority w:val="0"/>
    <w:rPr>
      <w:sz w:val="18"/>
      <w:szCs w:val="18"/>
    </w:rPr>
  </w:style>
  <w:style w:type="character" w:customStyle="1" w:styleId="136">
    <w:name w:val="Char Char12"/>
    <w:qFormat/>
    <w:uiPriority w:val="0"/>
    <w:rPr>
      <w:sz w:val="18"/>
      <w:szCs w:val="18"/>
    </w:rPr>
  </w:style>
  <w:style w:type="character" w:customStyle="1" w:styleId="137">
    <w:name w:val="批注文字 字符1"/>
    <w:semiHidden/>
    <w:qFormat/>
    <w:uiPriority w:val="0"/>
    <w:rPr>
      <w:rFonts w:ascii="Times New Roman" w:hAnsi="Times New Roman" w:eastAsia="宋体"/>
      <w:sz w:val="24"/>
    </w:rPr>
  </w:style>
  <w:style w:type="character" w:customStyle="1" w:styleId="138">
    <w:name w:val="批注框文本 Char1"/>
    <w:semiHidden/>
    <w:qFormat/>
    <w:uiPriority w:val="99"/>
    <w:rPr>
      <w:color w:val="333333"/>
      <w:kern w:val="2"/>
      <w:sz w:val="18"/>
      <w:szCs w:val="18"/>
    </w:rPr>
  </w:style>
  <w:style w:type="character" w:customStyle="1" w:styleId="139">
    <w:name w:val="鸿达表格文字 Char"/>
    <w:link w:val="140"/>
    <w:qFormat/>
    <w:uiPriority w:val="0"/>
    <w:rPr>
      <w:sz w:val="21"/>
      <w:szCs w:val="21"/>
    </w:rPr>
  </w:style>
  <w:style w:type="paragraph" w:customStyle="1" w:styleId="140">
    <w:name w:val="鸿达表格文字"/>
    <w:basedOn w:val="1"/>
    <w:link w:val="139"/>
    <w:qFormat/>
    <w:uiPriority w:val="0"/>
    <w:pPr>
      <w:contextualSpacing/>
      <w:jc w:val="center"/>
      <w:textAlignment w:val="baseline"/>
    </w:pPr>
    <w:rPr>
      <w:kern w:val="0"/>
      <w:szCs w:val="21"/>
    </w:rPr>
  </w:style>
  <w:style w:type="character" w:customStyle="1" w:styleId="141">
    <w:name w:val="正文文本 2 Char2"/>
    <w:qFormat/>
    <w:uiPriority w:val="0"/>
    <w:rPr>
      <w:kern w:val="2"/>
      <w:sz w:val="21"/>
      <w:szCs w:val="24"/>
    </w:rPr>
  </w:style>
  <w:style w:type="character" w:customStyle="1" w:styleId="142">
    <w:name w:val="Char Char1"/>
    <w:qFormat/>
    <w:uiPriority w:val="0"/>
    <w:rPr>
      <w:rFonts w:hint="default" w:ascii="Arial" w:hAnsi="Arial" w:eastAsia="黑体" w:cs="Arial"/>
      <w:bCs/>
      <w:kern w:val="2"/>
      <w:sz w:val="24"/>
      <w:szCs w:val="24"/>
      <w:lang w:val="en-US" w:eastAsia="zh-CN" w:bidi="ar-SA"/>
    </w:rPr>
  </w:style>
  <w:style w:type="character" w:customStyle="1" w:styleId="143">
    <w:name w:val="font41"/>
    <w:qFormat/>
    <w:uiPriority w:val="0"/>
    <w:rPr>
      <w:rFonts w:hint="default" w:ascii="Times New Roman" w:hAnsi="Times New Roman" w:cs="Times New Roman"/>
      <w:color w:val="000000"/>
      <w:sz w:val="20"/>
      <w:szCs w:val="20"/>
      <w:u w:val="none"/>
    </w:rPr>
  </w:style>
  <w:style w:type="character" w:customStyle="1" w:styleId="144">
    <w:name w:val="标题 4 Char"/>
    <w:qFormat/>
    <w:uiPriority w:val="0"/>
    <w:rPr>
      <w:rFonts w:ascii="Cambria" w:hAnsi="Cambria" w:eastAsia="宋体" w:cs="Times New Roman"/>
      <w:b/>
      <w:bCs/>
      <w:kern w:val="2"/>
      <w:sz w:val="28"/>
      <w:szCs w:val="28"/>
    </w:rPr>
  </w:style>
  <w:style w:type="character" w:customStyle="1" w:styleId="145">
    <w:name w:val="标题 5 Char"/>
    <w:qFormat/>
    <w:uiPriority w:val="0"/>
    <w:rPr>
      <w:b/>
      <w:bCs/>
      <w:kern w:val="2"/>
      <w:sz w:val="28"/>
      <w:szCs w:val="28"/>
    </w:rPr>
  </w:style>
  <w:style w:type="character" w:customStyle="1" w:styleId="146">
    <w:name w:val="标题 7 Char"/>
    <w:qFormat/>
    <w:uiPriority w:val="0"/>
    <w:rPr>
      <w:b/>
      <w:bCs/>
      <w:kern w:val="2"/>
      <w:sz w:val="24"/>
      <w:szCs w:val="24"/>
    </w:rPr>
  </w:style>
  <w:style w:type="character" w:customStyle="1" w:styleId="147">
    <w:name w:val="【正文】 Char"/>
    <w:link w:val="148"/>
    <w:qFormat/>
    <w:locked/>
    <w:uiPriority w:val="0"/>
    <w:rPr>
      <w:rFonts w:ascii="宋体" w:hAnsi="宋体" w:cs="宋体"/>
      <w:kern w:val="2"/>
      <w:sz w:val="24"/>
    </w:rPr>
  </w:style>
  <w:style w:type="paragraph" w:customStyle="1" w:styleId="148">
    <w:name w:val="【正文】"/>
    <w:basedOn w:val="1"/>
    <w:link w:val="147"/>
    <w:qFormat/>
    <w:uiPriority w:val="0"/>
    <w:pPr>
      <w:spacing w:line="500" w:lineRule="exact"/>
      <w:ind w:firstLine="200" w:firstLineChars="200"/>
    </w:pPr>
    <w:rPr>
      <w:rFonts w:ascii="宋体" w:hAnsi="宋体"/>
      <w:sz w:val="24"/>
      <w:szCs w:val="20"/>
    </w:rPr>
  </w:style>
  <w:style w:type="character" w:customStyle="1" w:styleId="149">
    <w:name w:val="标题 9 Char"/>
    <w:qFormat/>
    <w:uiPriority w:val="0"/>
    <w:rPr>
      <w:rFonts w:ascii="Cambria" w:hAnsi="Cambria" w:eastAsia="宋体" w:cs="Times New Roman"/>
      <w:kern w:val="2"/>
      <w:sz w:val="21"/>
      <w:szCs w:val="21"/>
    </w:rPr>
  </w:style>
  <w:style w:type="character" w:customStyle="1" w:styleId="150">
    <w:name w:val="正文文本缩进 Char2"/>
    <w:qFormat/>
    <w:uiPriority w:val="0"/>
    <w:rPr>
      <w:color w:val="333333"/>
      <w:kern w:val="2"/>
      <w:sz w:val="28"/>
    </w:rPr>
  </w:style>
  <w:style w:type="character" w:customStyle="1" w:styleId="151">
    <w:name w:val="纯文本 Char1"/>
    <w:qFormat/>
    <w:uiPriority w:val="0"/>
    <w:rPr>
      <w:rFonts w:ascii="宋体" w:hAnsi="Courier New" w:cs="Courier New"/>
      <w:color w:val="333333"/>
      <w:kern w:val="2"/>
      <w:sz w:val="21"/>
      <w:szCs w:val="21"/>
    </w:rPr>
  </w:style>
  <w:style w:type="character" w:customStyle="1" w:styleId="152">
    <w:name w:val="日期 Char2"/>
    <w:qFormat/>
    <w:uiPriority w:val="0"/>
    <w:rPr>
      <w:color w:val="333333"/>
      <w:kern w:val="2"/>
      <w:sz w:val="28"/>
    </w:rPr>
  </w:style>
  <w:style w:type="character" w:customStyle="1" w:styleId="153">
    <w:name w:val="段落 Char1"/>
    <w:qFormat/>
    <w:locked/>
    <w:uiPriority w:val="0"/>
    <w:rPr>
      <w:rFonts w:ascii="宋体" w:hAnsi="宋体" w:eastAsia="宋体"/>
      <w:kern w:val="2"/>
      <w:sz w:val="28"/>
      <w:szCs w:val="28"/>
      <w:lang w:val="en-US" w:eastAsia="zh-CN" w:bidi="ar-SA"/>
    </w:rPr>
  </w:style>
  <w:style w:type="character" w:customStyle="1" w:styleId="154">
    <w:name w:val="Char Char3"/>
    <w:qFormat/>
    <w:locked/>
    <w:uiPriority w:val="0"/>
    <w:rPr>
      <w:rFonts w:ascii="宋体" w:hAnsi="宋体" w:eastAsia="宋体"/>
      <w:kern w:val="2"/>
      <w:sz w:val="18"/>
      <w:szCs w:val="18"/>
      <w:lang w:val="en-US" w:eastAsia="zh-CN" w:bidi="ar-SA"/>
    </w:rPr>
  </w:style>
  <w:style w:type="character" w:customStyle="1" w:styleId="155">
    <w:name w:val="表头 Char Char"/>
    <w:link w:val="156"/>
    <w:qFormat/>
    <w:uiPriority w:val="0"/>
    <w:rPr>
      <w:rFonts w:eastAsia="黑体"/>
      <w:kern w:val="2"/>
      <w:sz w:val="24"/>
    </w:rPr>
  </w:style>
  <w:style w:type="paragraph" w:customStyle="1" w:styleId="156">
    <w:name w:val="表头 Char"/>
    <w:basedOn w:val="1"/>
    <w:link w:val="155"/>
    <w:qFormat/>
    <w:uiPriority w:val="0"/>
    <w:pPr>
      <w:spacing w:before="200"/>
    </w:pPr>
    <w:rPr>
      <w:rFonts w:eastAsia="黑体"/>
      <w:sz w:val="24"/>
      <w:szCs w:val="20"/>
    </w:rPr>
  </w:style>
  <w:style w:type="character" w:customStyle="1" w:styleId="157">
    <w:name w:val="鸿达表头 Char"/>
    <w:link w:val="158"/>
    <w:qFormat/>
    <w:uiPriority w:val="0"/>
    <w:rPr>
      <w:b/>
      <w:kern w:val="2"/>
      <w:sz w:val="24"/>
      <w:szCs w:val="24"/>
    </w:rPr>
  </w:style>
  <w:style w:type="paragraph" w:customStyle="1" w:styleId="158">
    <w:name w:val="鸿达表头"/>
    <w:basedOn w:val="1"/>
    <w:link w:val="157"/>
    <w:qFormat/>
    <w:uiPriority w:val="0"/>
    <w:pPr>
      <w:spacing w:beforeLines="50"/>
      <w:ind w:firstLine="200" w:firstLineChars="200"/>
    </w:pPr>
    <w:rPr>
      <w:b/>
      <w:sz w:val="24"/>
    </w:rPr>
  </w:style>
  <w:style w:type="character" w:customStyle="1" w:styleId="159">
    <w:name w:val="段落 Char"/>
    <w:link w:val="160"/>
    <w:qFormat/>
    <w:uiPriority w:val="0"/>
    <w:rPr>
      <w:rFonts w:cs="Courier New"/>
      <w:kern w:val="2"/>
      <w:sz w:val="28"/>
      <w:szCs w:val="24"/>
    </w:rPr>
  </w:style>
  <w:style w:type="paragraph" w:customStyle="1" w:styleId="160">
    <w:name w:val="段落"/>
    <w:basedOn w:val="18"/>
    <w:link w:val="159"/>
    <w:qFormat/>
    <w:uiPriority w:val="0"/>
    <w:pPr>
      <w:spacing w:line="500" w:lineRule="exact"/>
      <w:ind w:firstLine="578"/>
    </w:pPr>
    <w:rPr>
      <w:rFonts w:ascii="Times New Roman" w:hAnsi="Times New Roman"/>
      <w:color w:val="auto"/>
      <w:sz w:val="28"/>
      <w:szCs w:val="24"/>
    </w:rPr>
  </w:style>
  <w:style w:type="character" w:customStyle="1" w:styleId="161">
    <w:name w:val="hover27"/>
    <w:qFormat/>
    <w:uiPriority w:val="0"/>
  </w:style>
  <w:style w:type="character" w:customStyle="1" w:styleId="162">
    <w:name w:val="环评正文 Char"/>
    <w:link w:val="163"/>
    <w:uiPriority w:val="0"/>
    <w:rPr>
      <w:rFonts w:ascii="宋体" w:hAnsi="宋体" w:cs="宋体"/>
      <w:sz w:val="24"/>
    </w:rPr>
  </w:style>
  <w:style w:type="paragraph" w:customStyle="1" w:styleId="163">
    <w:name w:val="环评正文"/>
    <w:basedOn w:val="1"/>
    <w:link w:val="162"/>
    <w:qFormat/>
    <w:uiPriority w:val="0"/>
    <w:pPr>
      <w:spacing w:line="360" w:lineRule="auto"/>
      <w:ind w:left="1" w:firstLine="420" w:firstLineChars="175"/>
    </w:pPr>
    <w:rPr>
      <w:rFonts w:ascii="宋体" w:hAnsi="宋体"/>
      <w:kern w:val="0"/>
      <w:sz w:val="24"/>
      <w:szCs w:val="20"/>
    </w:rPr>
  </w:style>
  <w:style w:type="character" w:customStyle="1" w:styleId="164">
    <w:name w:val="apple-converted-space"/>
    <w:uiPriority w:val="0"/>
  </w:style>
  <w:style w:type="character" w:customStyle="1" w:styleId="165">
    <w:name w:val="日期 Char1"/>
    <w:uiPriority w:val="0"/>
    <w:rPr>
      <w:b/>
      <w:kern w:val="2"/>
      <w:sz w:val="28"/>
    </w:rPr>
  </w:style>
  <w:style w:type="character" w:customStyle="1" w:styleId="166">
    <w:name w:val="5文章(治) Char"/>
    <w:link w:val="167"/>
    <w:qFormat/>
    <w:uiPriority w:val="0"/>
    <w:rPr>
      <w:kern w:val="2"/>
      <w:sz w:val="24"/>
    </w:rPr>
  </w:style>
  <w:style w:type="paragraph" w:customStyle="1" w:styleId="167">
    <w:name w:val="5文章(治)"/>
    <w:basedOn w:val="1"/>
    <w:link w:val="166"/>
    <w:uiPriority w:val="0"/>
    <w:pPr>
      <w:spacing w:line="360" w:lineRule="auto"/>
      <w:ind w:firstLine="560" w:firstLineChars="200"/>
    </w:pPr>
    <w:rPr>
      <w:sz w:val="24"/>
      <w:szCs w:val="20"/>
    </w:rPr>
  </w:style>
  <w:style w:type="character" w:customStyle="1" w:styleId="168">
    <w:name w:val="Char Char121"/>
    <w:uiPriority w:val="0"/>
    <w:rPr>
      <w:sz w:val="18"/>
      <w:szCs w:val="18"/>
    </w:rPr>
  </w:style>
  <w:style w:type="character" w:customStyle="1" w:styleId="169">
    <w:name w:val="段落 Char Char Char"/>
    <w:link w:val="170"/>
    <w:qFormat/>
    <w:uiPriority w:val="0"/>
    <w:rPr>
      <w:rFonts w:ascii="宋体" w:hAnsi="宋体"/>
      <w:kern w:val="2"/>
      <w:sz w:val="28"/>
      <w:szCs w:val="28"/>
    </w:rPr>
  </w:style>
  <w:style w:type="paragraph" w:customStyle="1" w:styleId="170">
    <w:name w:val="段落 Char Char"/>
    <w:basedOn w:val="1"/>
    <w:link w:val="169"/>
    <w:qFormat/>
    <w:uiPriority w:val="0"/>
    <w:pPr>
      <w:spacing w:line="500" w:lineRule="exact"/>
      <w:ind w:firstLine="600"/>
    </w:pPr>
    <w:rPr>
      <w:rFonts w:ascii="宋体" w:hAnsi="宋体"/>
      <w:sz w:val="28"/>
      <w:szCs w:val="28"/>
    </w:rPr>
  </w:style>
  <w:style w:type="character" w:customStyle="1" w:styleId="171">
    <w:name w:val="表头 Char Char Char Char Char"/>
    <w:link w:val="172"/>
    <w:uiPriority w:val="0"/>
    <w:rPr>
      <w:rFonts w:ascii="黑体" w:eastAsia="黑体"/>
      <w:spacing w:val="20"/>
      <w:kern w:val="2"/>
      <w:sz w:val="24"/>
      <w:szCs w:val="24"/>
    </w:rPr>
  </w:style>
  <w:style w:type="paragraph" w:customStyle="1" w:styleId="172">
    <w:name w:val="表头 Char Char Char Char"/>
    <w:basedOn w:val="1"/>
    <w:link w:val="171"/>
    <w:uiPriority w:val="0"/>
    <w:pPr>
      <w:tabs>
        <w:tab w:val="left" w:pos="7200"/>
      </w:tabs>
      <w:spacing w:before="200" w:line="500" w:lineRule="exact"/>
      <w:ind w:firstLine="480" w:firstLineChars="200"/>
    </w:pPr>
    <w:rPr>
      <w:rFonts w:ascii="黑体" w:eastAsia="黑体"/>
      <w:spacing w:val="20"/>
      <w:sz w:val="24"/>
    </w:rPr>
  </w:style>
  <w:style w:type="character" w:customStyle="1" w:styleId="173">
    <w:name w:val="纯文本 Char2"/>
    <w:uiPriority w:val="99"/>
    <w:rPr>
      <w:rFonts w:ascii="宋体" w:hAnsi="Courier New" w:cs="Courier New"/>
      <w:kern w:val="2"/>
      <w:sz w:val="21"/>
      <w:szCs w:val="21"/>
    </w:rPr>
  </w:style>
  <w:style w:type="character" w:customStyle="1" w:styleId="174">
    <w:name w:val="正文文本缩进 Char1"/>
    <w:qFormat/>
    <w:uiPriority w:val="99"/>
    <w:rPr>
      <w:rFonts w:ascii="宋体" w:hAnsi="宋体" w:eastAsia="宋体"/>
      <w:kern w:val="36"/>
      <w:sz w:val="36"/>
      <w:szCs w:val="24"/>
      <w:lang w:val="en-US" w:eastAsia="zh-CN" w:bidi="ar-SA"/>
    </w:rPr>
  </w:style>
  <w:style w:type="character" w:customStyle="1" w:styleId="175">
    <w:name w:val="正文文本缩进 3 Char1"/>
    <w:uiPriority w:val="99"/>
    <w:rPr>
      <w:kern w:val="2"/>
      <w:sz w:val="16"/>
      <w:szCs w:val="16"/>
    </w:rPr>
  </w:style>
  <w:style w:type="character" w:customStyle="1" w:styleId="176">
    <w:name w:val="标题 2 Char1"/>
    <w:uiPriority w:val="0"/>
    <w:rPr>
      <w:rFonts w:ascii="黑体" w:hAnsi="宋体" w:eastAsia="黑体"/>
      <w:kern w:val="2"/>
      <w:sz w:val="30"/>
      <w:szCs w:val="30"/>
    </w:rPr>
  </w:style>
  <w:style w:type="character" w:customStyle="1" w:styleId="177">
    <w:name w:val="title_black_141"/>
    <w:uiPriority w:val="0"/>
    <w:rPr>
      <w:color w:val="000000"/>
      <w:sz w:val="21"/>
      <w:szCs w:val="21"/>
      <w:u w:val="none"/>
    </w:rPr>
  </w:style>
  <w:style w:type="character" w:customStyle="1" w:styleId="178">
    <w:name w:val="Char Char13"/>
    <w:uiPriority w:val="0"/>
    <w:rPr>
      <w:rFonts w:ascii="Arial" w:hAnsi="Arial" w:eastAsia="黑体"/>
      <w:bCs/>
      <w:kern w:val="2"/>
      <w:sz w:val="24"/>
      <w:szCs w:val="24"/>
      <w:lang w:val="en-US" w:eastAsia="zh-CN" w:bidi="ar-SA"/>
    </w:rPr>
  </w:style>
  <w:style w:type="character" w:customStyle="1" w:styleId="179">
    <w:name w:val="Char Char111"/>
    <w:uiPriority w:val="0"/>
    <w:rPr>
      <w:sz w:val="18"/>
      <w:szCs w:val="18"/>
    </w:rPr>
  </w:style>
  <w:style w:type="character" w:customStyle="1" w:styleId="180">
    <w:name w:val="表头 Char Char Char1 Char Char"/>
    <w:link w:val="181"/>
    <w:uiPriority w:val="0"/>
    <w:rPr>
      <w:b/>
      <w:kern w:val="2"/>
      <w:sz w:val="24"/>
      <w:szCs w:val="24"/>
    </w:rPr>
  </w:style>
  <w:style w:type="paragraph" w:customStyle="1" w:styleId="181">
    <w:name w:val="表头 Char Char Char1 Char"/>
    <w:basedOn w:val="1"/>
    <w:link w:val="180"/>
    <w:uiPriority w:val="0"/>
    <w:pPr>
      <w:tabs>
        <w:tab w:val="left" w:pos="7200"/>
      </w:tabs>
      <w:spacing w:before="200" w:line="360" w:lineRule="auto"/>
      <w:ind w:firstLine="480" w:firstLineChars="200"/>
    </w:pPr>
    <w:rPr>
      <w:b/>
      <w:sz w:val="24"/>
    </w:rPr>
  </w:style>
  <w:style w:type="paragraph" w:customStyle="1" w:styleId="182">
    <w:name w:val="reader-word-layer"/>
    <w:basedOn w:val="1"/>
    <w:uiPriority w:val="0"/>
    <w:pPr>
      <w:widowControl/>
      <w:spacing w:before="100" w:beforeAutospacing="1" w:after="100" w:afterAutospacing="1"/>
      <w:jc w:val="left"/>
    </w:pPr>
    <w:rPr>
      <w:rFonts w:ascii="宋体" w:hAnsi="宋体" w:cs="宋体"/>
      <w:kern w:val="0"/>
      <w:sz w:val="24"/>
    </w:rPr>
  </w:style>
  <w:style w:type="paragraph" w:customStyle="1" w:styleId="183">
    <w:name w:val="Char Char Char Char"/>
    <w:basedOn w:val="1"/>
    <w:qFormat/>
    <w:uiPriority w:val="0"/>
    <w:pPr>
      <w:adjustRightInd w:val="0"/>
      <w:spacing w:line="360" w:lineRule="atLeast"/>
      <w:textAlignment w:val="baseline"/>
    </w:pPr>
    <w:rPr>
      <w:rFonts w:ascii="Calibri" w:hAnsi="Calibri" w:cs="Calibri"/>
    </w:rPr>
  </w:style>
  <w:style w:type="paragraph" w:customStyle="1" w:styleId="184">
    <w:name w:val="列出段落1"/>
    <w:basedOn w:val="1"/>
    <w:qFormat/>
    <w:uiPriority w:val="0"/>
    <w:pPr>
      <w:ind w:firstLine="420" w:firstLineChars="200"/>
    </w:pPr>
    <w:rPr>
      <w:rFonts w:ascii="Calibri" w:hAnsi="Calibri" w:cs="Calibri"/>
      <w:color w:val="333333"/>
      <w:sz w:val="28"/>
      <w:szCs w:val="20"/>
    </w:rPr>
  </w:style>
  <w:style w:type="paragraph" w:customStyle="1" w:styleId="185">
    <w:name w:val="报告表表格文字"/>
    <w:basedOn w:val="1"/>
    <w:qFormat/>
    <w:uiPriority w:val="0"/>
    <w:pPr>
      <w:autoSpaceDE w:val="0"/>
      <w:autoSpaceDN w:val="0"/>
      <w:adjustRightInd w:val="0"/>
      <w:snapToGrid w:val="0"/>
      <w:jc w:val="center"/>
    </w:pPr>
    <w:rPr>
      <w:color w:val="000000"/>
      <w:kern w:val="0"/>
      <w:szCs w:val="21"/>
    </w:rPr>
  </w:style>
  <w:style w:type="paragraph" w:customStyle="1" w:styleId="186">
    <w:name w:val="Char Char Char Char Char Char1 Char Char Char Char"/>
    <w:basedOn w:val="1"/>
    <w:uiPriority w:val="0"/>
    <w:rPr>
      <w:rFonts w:ascii="Tahoma" w:hAnsi="Tahoma" w:cs="Calibri"/>
      <w:sz w:val="24"/>
    </w:rPr>
  </w:style>
  <w:style w:type="paragraph" w:customStyle="1" w:styleId="187">
    <w:name w:val="Char1 Char Char Char"/>
    <w:basedOn w:val="1"/>
    <w:qFormat/>
    <w:uiPriority w:val="0"/>
    <w:pPr>
      <w:spacing w:line="360" w:lineRule="auto"/>
      <w:ind w:firstLine="200" w:firstLineChars="200"/>
    </w:pPr>
    <w:rPr>
      <w:rFonts w:ascii="宋体" w:hAnsi="宋体" w:cs="宋体"/>
      <w:sz w:val="24"/>
    </w:rPr>
  </w:style>
  <w:style w:type="paragraph" w:customStyle="1" w:styleId="188">
    <w:name w:val="Char"/>
    <w:basedOn w:val="1"/>
    <w:qFormat/>
    <w:uiPriority w:val="0"/>
    <w:pPr>
      <w:spacing w:line="360" w:lineRule="auto"/>
      <w:ind w:firstLine="200" w:firstLineChars="200"/>
    </w:pPr>
    <w:rPr>
      <w:rFonts w:ascii="宋体" w:hAnsi="宋体" w:cs="宋体"/>
      <w:sz w:val="24"/>
    </w:rPr>
  </w:style>
  <w:style w:type="paragraph" w:customStyle="1" w:styleId="189">
    <w:name w:val="页脚1"/>
    <w:basedOn w:val="1"/>
    <w:uiPriority w:val="0"/>
    <w:pPr>
      <w:tabs>
        <w:tab w:val="left" w:pos="7200"/>
      </w:tabs>
      <w:overflowPunct w:val="0"/>
      <w:adjustRightInd w:val="0"/>
      <w:snapToGrid w:val="0"/>
      <w:spacing w:line="240" w:lineRule="atLeast"/>
      <w:ind w:firstLine="480" w:firstLineChars="200"/>
      <w:jc w:val="center"/>
    </w:pPr>
    <w:rPr>
      <w:rFonts w:ascii="Arial" w:hAnsi="Arial" w:eastAsia="仿宋_GB2312"/>
      <w:kern w:val="0"/>
      <w:sz w:val="18"/>
      <w:szCs w:val="20"/>
    </w:rPr>
  </w:style>
  <w:style w:type="paragraph" w:customStyle="1" w:styleId="190">
    <w:name w:val="Char Char Char Char11"/>
    <w:basedOn w:val="1"/>
    <w:qFormat/>
    <w:uiPriority w:val="0"/>
    <w:pPr>
      <w:tabs>
        <w:tab w:val="left" w:pos="7200"/>
      </w:tabs>
      <w:spacing w:line="360" w:lineRule="auto"/>
      <w:ind w:firstLine="480" w:firstLineChars="200"/>
    </w:pPr>
    <w:rPr>
      <w:sz w:val="24"/>
      <w:szCs w:val="20"/>
    </w:rPr>
  </w:style>
  <w:style w:type="paragraph" w:customStyle="1" w:styleId="191">
    <w:name w:val="Char Char Char Char Char Char Char"/>
    <w:basedOn w:val="1"/>
    <w:uiPriority w:val="0"/>
    <w:pPr>
      <w:spacing w:line="360" w:lineRule="auto"/>
      <w:ind w:firstLine="200" w:firstLineChars="200"/>
    </w:pPr>
    <w:rPr>
      <w:spacing w:val="-4"/>
      <w:sz w:val="24"/>
    </w:rPr>
  </w:style>
  <w:style w:type="paragraph" w:customStyle="1" w:styleId="192">
    <w:name w:val="正文_10"/>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3">
    <w:name w:val="样式 小四 自动设置 居中 行距: 固定值 23 磅"/>
    <w:basedOn w:val="1"/>
    <w:qFormat/>
    <w:uiPriority w:val="0"/>
    <w:pPr>
      <w:spacing w:line="460" w:lineRule="exact"/>
      <w:jc w:val="center"/>
    </w:pPr>
    <w:rPr>
      <w:rFonts w:ascii="Calibri" w:hAnsi="Calibri" w:cs="宋体"/>
      <w:sz w:val="24"/>
      <w:szCs w:val="20"/>
    </w:rPr>
  </w:style>
  <w:style w:type="paragraph" w:customStyle="1" w:styleId="194">
    <w:name w:val="Char1"/>
    <w:basedOn w:val="1"/>
    <w:qFormat/>
    <w:uiPriority w:val="0"/>
    <w:pPr>
      <w:spacing w:line="360" w:lineRule="auto"/>
      <w:ind w:firstLine="200" w:firstLineChars="200"/>
    </w:pPr>
    <w:rPr>
      <w:rFonts w:ascii="宋体" w:hAnsi="宋体" w:cs="宋体"/>
      <w:sz w:val="24"/>
    </w:rPr>
  </w:style>
  <w:style w:type="paragraph" w:customStyle="1" w:styleId="195">
    <w:name w:val="样式 正文（首行缩进两字） + 五号 居中"/>
    <w:basedOn w:val="1"/>
    <w:uiPriority w:val="0"/>
    <w:pPr>
      <w:adjustRightInd w:val="0"/>
      <w:jc w:val="center"/>
    </w:pPr>
    <w:rPr>
      <w:rFonts w:ascii="宋体" w:hAnsi="Calibri" w:cs="宋体"/>
      <w:spacing w:val="-4"/>
      <w:kern w:val="0"/>
      <w:sz w:val="24"/>
    </w:rPr>
  </w:style>
  <w:style w:type="paragraph" w:customStyle="1" w:styleId="196">
    <w:name w:val="正文表"/>
    <w:basedOn w:val="1"/>
    <w:uiPriority w:val="0"/>
    <w:pPr>
      <w:tabs>
        <w:tab w:val="left" w:pos="481"/>
        <w:tab w:val="left" w:pos="3777"/>
      </w:tabs>
      <w:ind w:firstLine="404" w:firstLineChars="200"/>
    </w:pPr>
    <w:rPr>
      <w:rFonts w:ascii="Calibri" w:hAnsi="Calibri" w:cs="Calibri"/>
      <w:spacing w:val="-4"/>
      <w:szCs w:val="21"/>
    </w:rPr>
  </w:style>
  <w:style w:type="paragraph" w:customStyle="1" w:styleId="197">
    <w:name w:val="五级条标题"/>
    <w:basedOn w:val="198"/>
    <w:next w:val="1"/>
    <w:uiPriority w:val="0"/>
    <w:pPr>
      <w:tabs>
        <w:tab w:val="left" w:pos="360"/>
      </w:tabs>
      <w:outlineLvl w:val="6"/>
    </w:pPr>
  </w:style>
  <w:style w:type="paragraph" w:customStyle="1" w:styleId="198">
    <w:name w:val="四级条标题"/>
    <w:basedOn w:val="199"/>
    <w:next w:val="1"/>
    <w:uiPriority w:val="0"/>
    <w:pPr>
      <w:tabs>
        <w:tab w:val="left" w:pos="360"/>
      </w:tabs>
      <w:outlineLvl w:val="5"/>
    </w:pPr>
  </w:style>
  <w:style w:type="paragraph" w:customStyle="1" w:styleId="199">
    <w:name w:val="三级条标题"/>
    <w:basedOn w:val="200"/>
    <w:next w:val="1"/>
    <w:uiPriority w:val="0"/>
    <w:pPr>
      <w:tabs>
        <w:tab w:val="left" w:pos="360"/>
      </w:tabs>
      <w:outlineLvl w:val="4"/>
    </w:pPr>
  </w:style>
  <w:style w:type="paragraph" w:customStyle="1" w:styleId="200">
    <w:name w:val="二级条标题"/>
    <w:basedOn w:val="201"/>
    <w:next w:val="1"/>
    <w:uiPriority w:val="0"/>
    <w:pPr>
      <w:tabs>
        <w:tab w:val="left" w:pos="360"/>
      </w:tabs>
      <w:outlineLvl w:val="3"/>
    </w:pPr>
  </w:style>
  <w:style w:type="paragraph" w:customStyle="1" w:styleId="201">
    <w:name w:val="一级条标题"/>
    <w:basedOn w:val="1"/>
    <w:next w:val="1"/>
    <w:uiPriority w:val="0"/>
    <w:pPr>
      <w:widowControl/>
      <w:tabs>
        <w:tab w:val="left" w:pos="360"/>
      </w:tabs>
      <w:spacing w:line="276" w:lineRule="auto"/>
      <w:ind w:firstLine="480" w:firstLineChars="200"/>
      <w:outlineLvl w:val="2"/>
    </w:pPr>
    <w:rPr>
      <w:rFonts w:ascii="黑体" w:hAnsi="Calibri" w:eastAsia="黑体"/>
      <w:kern w:val="0"/>
      <w:sz w:val="24"/>
      <w:szCs w:val="22"/>
    </w:rPr>
  </w:style>
  <w:style w:type="paragraph" w:customStyle="1" w:styleId="202">
    <w:name w:val="样式 正文文本缩进 + 五号 居中 段后: 0 磅 行距: 单倍行距"/>
    <w:basedOn w:val="17"/>
    <w:uiPriority w:val="0"/>
    <w:pPr>
      <w:tabs>
        <w:tab w:val="left" w:pos="7200"/>
      </w:tabs>
      <w:spacing w:after="0" w:line="360" w:lineRule="auto"/>
      <w:ind w:left="0" w:leftChars="0"/>
    </w:pPr>
    <w:rPr>
      <w:rFonts w:cs="宋体"/>
      <w:kern w:val="36"/>
      <w:sz w:val="21"/>
    </w:rPr>
  </w:style>
  <w:style w:type="paragraph" w:customStyle="1" w:styleId="203">
    <w:name w:val="普通(网站)2"/>
    <w:basedOn w:val="1"/>
    <w:uiPriority w:val="0"/>
    <w:pPr>
      <w:widowControl/>
      <w:spacing w:before="100" w:beforeAutospacing="1" w:after="100" w:afterAutospacing="1"/>
      <w:jc w:val="left"/>
    </w:pPr>
    <w:rPr>
      <w:rFonts w:ascii="宋体" w:hAnsi="宋体"/>
      <w:sz w:val="24"/>
      <w:szCs w:val="20"/>
    </w:rPr>
  </w:style>
  <w:style w:type="paragraph" w:customStyle="1" w:styleId="204">
    <w:name w:val="表格式"/>
    <w:basedOn w:val="24"/>
    <w:qFormat/>
    <w:uiPriority w:val="0"/>
    <w:pPr>
      <w:adjustRightInd w:val="0"/>
      <w:snapToGrid w:val="0"/>
      <w:spacing w:line="400" w:lineRule="exact"/>
      <w:ind w:left="0" w:firstLine="0" w:firstLineChars="0"/>
      <w:jc w:val="center"/>
    </w:pPr>
    <w:rPr>
      <w:rFonts w:ascii="宋体"/>
      <w:color w:val="auto"/>
      <w:spacing w:val="-4"/>
      <w:sz w:val="24"/>
    </w:rPr>
  </w:style>
  <w:style w:type="paragraph" w:customStyle="1" w:styleId="205">
    <w:name w:val="Table Paragraph"/>
    <w:basedOn w:val="1"/>
    <w:qFormat/>
    <w:uiPriority w:val="0"/>
    <w:pPr>
      <w:widowControl/>
      <w:jc w:val="left"/>
    </w:pPr>
    <w:rPr>
      <w:rFonts w:ascii="Calibri" w:hAnsi="Calibri"/>
      <w:color w:val="333333"/>
      <w:kern w:val="0"/>
      <w:sz w:val="22"/>
      <w:szCs w:val="22"/>
    </w:rPr>
  </w:style>
  <w:style w:type="paragraph" w:customStyle="1" w:styleId="206">
    <w:name w:val="报告书表格表头"/>
    <w:basedOn w:val="1"/>
    <w:qFormat/>
    <w:uiPriority w:val="0"/>
    <w:pPr>
      <w:adjustRightInd w:val="0"/>
      <w:snapToGrid w:val="0"/>
      <w:spacing w:line="520" w:lineRule="exact"/>
      <w:ind w:firstLine="200" w:firstLineChars="200"/>
    </w:pPr>
    <w:rPr>
      <w:rFonts w:eastAsia="黑体"/>
      <w:color w:val="000000"/>
      <w:sz w:val="24"/>
      <w:szCs w:val="22"/>
    </w:rPr>
  </w:style>
  <w:style w:type="paragraph" w:customStyle="1" w:styleId="207">
    <w:name w:val="Char Char Char Char Char Char Char1"/>
    <w:basedOn w:val="1"/>
    <w:qFormat/>
    <w:uiPriority w:val="0"/>
    <w:pPr>
      <w:spacing w:line="360" w:lineRule="auto"/>
      <w:ind w:firstLine="200" w:firstLineChars="200"/>
    </w:pPr>
    <w:rPr>
      <w:rFonts w:ascii="Calibri" w:hAnsi="Calibri" w:cs="Calibri"/>
      <w:spacing w:val="-4"/>
      <w:sz w:val="24"/>
    </w:rPr>
  </w:style>
  <w:style w:type="paragraph" w:customStyle="1" w:styleId="208">
    <w:name w:val="样式 (符号) 宋体 首行缩进:  0.93 厘米 段前: 6 磅 段后: 6 磅 行距: 固定值 18 磅1"/>
    <w:basedOn w:val="1"/>
    <w:qFormat/>
    <w:uiPriority w:val="0"/>
    <w:pPr>
      <w:tabs>
        <w:tab w:val="left" w:pos="7200"/>
      </w:tabs>
      <w:spacing w:before="160" w:after="160" w:line="320" w:lineRule="exact"/>
      <w:ind w:firstLine="527" w:firstLineChars="200"/>
    </w:pPr>
    <w:rPr>
      <w:sz w:val="24"/>
    </w:rPr>
  </w:style>
  <w:style w:type="paragraph" w:customStyle="1" w:styleId="209">
    <w:name w:val="文字"/>
    <w:basedOn w:val="1"/>
    <w:qFormat/>
    <w:uiPriority w:val="0"/>
    <w:pPr>
      <w:widowControl/>
      <w:spacing w:afterLines="50" w:line="360" w:lineRule="auto"/>
      <w:ind w:firstLine="420"/>
    </w:pPr>
    <w:rPr>
      <w:rFonts w:ascii="Calibri" w:hAnsi="Calibri" w:cs="Calibri"/>
      <w:kern w:val="0"/>
      <w:sz w:val="24"/>
    </w:rPr>
  </w:style>
  <w:style w:type="paragraph" w:customStyle="1" w:styleId="210">
    <w:name w:val="文本框"/>
    <w:basedOn w:val="1"/>
    <w:qFormat/>
    <w:uiPriority w:val="0"/>
    <w:pPr>
      <w:tabs>
        <w:tab w:val="left" w:pos="7200"/>
      </w:tabs>
      <w:spacing w:line="360" w:lineRule="auto"/>
      <w:ind w:firstLine="480" w:firstLineChars="200"/>
      <w:jc w:val="center"/>
    </w:pPr>
    <w:rPr>
      <w:b/>
      <w:sz w:val="24"/>
      <w:szCs w:val="21"/>
    </w:rPr>
  </w:style>
  <w:style w:type="paragraph" w:customStyle="1" w:styleId="211">
    <w:name w:val="样式 标题 3标题 3 Char标题 3 Char Char标题 3 Char Char Char标题 3 Char C...1"/>
    <w:basedOn w:val="4"/>
    <w:qFormat/>
    <w:uiPriority w:val="0"/>
    <w:pPr>
      <w:tabs>
        <w:tab w:val="left" w:pos="900"/>
      </w:tabs>
      <w:spacing w:before="156" w:beforeLines="50" w:after="156" w:afterLines="50" w:line="360" w:lineRule="auto"/>
    </w:pPr>
    <w:rPr>
      <w:rFonts w:ascii="Times New Roman" w:hAnsi="Times New Roman" w:eastAsia="黑体"/>
      <w:b w:val="0"/>
      <w:bCs w:val="0"/>
      <w:color w:val="auto"/>
      <w:kern w:val="0"/>
      <w:sz w:val="28"/>
      <w:szCs w:val="28"/>
    </w:rPr>
  </w:style>
  <w:style w:type="paragraph" w:customStyle="1" w:styleId="212">
    <w:name w:val="表内容"/>
    <w:basedOn w:val="1"/>
    <w:qFormat/>
    <w:uiPriority w:val="0"/>
    <w:pPr>
      <w:autoSpaceDE w:val="0"/>
      <w:autoSpaceDN w:val="0"/>
      <w:jc w:val="center"/>
    </w:pPr>
    <w:rPr>
      <w:rFonts w:ascii="Arial" w:hAnsi="Arial" w:cs="Arial"/>
      <w:szCs w:val="21"/>
    </w:rPr>
  </w:style>
  <w:style w:type="paragraph" w:customStyle="1" w:styleId="213">
    <w:name w:val="样式 标题 4标题 3 Char标题 3 Char Char标题 3 Char Char Char标题 3 Char C...5"/>
    <w:basedOn w:val="4"/>
    <w:qFormat/>
    <w:uiPriority w:val="0"/>
    <w:pPr>
      <w:tabs>
        <w:tab w:val="left" w:pos="7200"/>
      </w:tabs>
      <w:spacing w:before="120" w:after="120" w:line="360" w:lineRule="auto"/>
    </w:pPr>
    <w:rPr>
      <w:rFonts w:ascii="Times New Roman" w:hAnsi="Times New Roman"/>
      <w:color w:val="auto"/>
      <w:sz w:val="24"/>
      <w:szCs w:val="24"/>
    </w:rPr>
  </w:style>
  <w:style w:type="paragraph" w:customStyle="1" w:styleId="214">
    <w:name w:val="列出段落"/>
    <w:basedOn w:val="1"/>
    <w:qFormat/>
    <w:uiPriority w:val="34"/>
    <w:pPr>
      <w:ind w:firstLine="420" w:firstLineChars="200"/>
    </w:pPr>
    <w:rPr>
      <w:rFonts w:ascii="Calibri" w:hAnsi="Calibri" w:cs="Calibri"/>
      <w:color w:val="333333"/>
      <w:sz w:val="28"/>
      <w:szCs w:val="20"/>
    </w:rPr>
  </w:style>
  <w:style w:type="paragraph" w:customStyle="1" w:styleId="215">
    <w:name w:val="_Style 14"/>
    <w:basedOn w:val="1"/>
    <w:qFormat/>
    <w:uiPriority w:val="0"/>
    <w:rPr>
      <w:rFonts w:ascii="Calibri" w:hAnsi="Calibri" w:cs="Calibri"/>
      <w:sz w:val="24"/>
    </w:rPr>
  </w:style>
  <w:style w:type="paragraph" w:customStyle="1" w:styleId="216">
    <w:name w:val="1.表头"/>
    <w:basedOn w:val="1"/>
    <w:qFormat/>
    <w:uiPriority w:val="0"/>
    <w:pPr>
      <w:spacing w:line="440" w:lineRule="exact"/>
      <w:ind w:firstLine="360" w:firstLineChars="150"/>
    </w:pPr>
    <w:rPr>
      <w:rFonts w:eastAsia="黑体" w:cs="宋体"/>
      <w:sz w:val="24"/>
      <w:szCs w:val="20"/>
    </w:rPr>
  </w:style>
  <w:style w:type="paragraph" w:customStyle="1" w:styleId="217">
    <w:name w:val="五号表格"/>
    <w:basedOn w:val="1"/>
    <w:qFormat/>
    <w:uiPriority w:val="0"/>
    <w:pPr>
      <w:jc w:val="center"/>
    </w:pPr>
    <w:rPr>
      <w:rFonts w:ascii="Calibri" w:hAnsi="Calibri" w:cs="Calibri"/>
      <w:szCs w:val="20"/>
    </w:rPr>
  </w:style>
  <w:style w:type="paragraph" w:customStyle="1" w:styleId="218">
    <w:name w:val="Char Char Char Char1"/>
    <w:basedOn w:val="1"/>
    <w:qFormat/>
    <w:uiPriority w:val="0"/>
    <w:rPr>
      <w:rFonts w:ascii="Calibri" w:hAnsi="Calibri" w:cs="Calibri"/>
      <w:sz w:val="24"/>
    </w:rPr>
  </w:style>
  <w:style w:type="paragraph" w:customStyle="1" w:styleId="219">
    <w:name w:val="鸿达表格段落"/>
    <w:basedOn w:val="1"/>
    <w:qFormat/>
    <w:uiPriority w:val="99"/>
    <w:pPr>
      <w:adjustRightInd w:val="0"/>
      <w:snapToGrid w:val="0"/>
      <w:ind w:firstLine="100" w:firstLineChars="100"/>
      <w:jc w:val="left"/>
    </w:pPr>
    <w:rPr>
      <w:rFonts w:ascii="宋体" w:hAnsi="Calibri" w:cs="Calibri"/>
      <w:kern w:val="0"/>
    </w:rPr>
  </w:style>
  <w:style w:type="paragraph" w:customStyle="1" w:styleId="220">
    <w:name w:val="WPS Plain"/>
    <w:qFormat/>
    <w:uiPriority w:val="0"/>
    <w:pPr>
      <w:jc w:val="center"/>
    </w:pPr>
    <w:rPr>
      <w:rFonts w:ascii="Times New Roman" w:hAnsi="Times New Roman" w:eastAsia="宋体" w:cs="Times New Roman"/>
      <w:lang w:val="en-US" w:eastAsia="zh-CN" w:bidi="ar-SA"/>
    </w:rPr>
  </w:style>
  <w:style w:type="paragraph" w:customStyle="1" w:styleId="221">
    <w:name w:val="Default"/>
    <w:basedOn w:val="1"/>
    <w:qFormat/>
    <w:uiPriority w:val="0"/>
    <w:pPr>
      <w:autoSpaceDE w:val="0"/>
      <w:autoSpaceDN w:val="0"/>
      <w:jc w:val="left"/>
    </w:pPr>
    <w:rPr>
      <w:rFonts w:hint="eastAsia" w:ascii="宋体" w:hAnsi="Calibri" w:cs="Calibri"/>
      <w:color w:val="000000"/>
      <w:kern w:val="0"/>
      <w:sz w:val="24"/>
    </w:rPr>
  </w:style>
  <w:style w:type="paragraph" w:customStyle="1" w:styleId="222">
    <w:name w:val="1.正文"/>
    <w:basedOn w:val="1"/>
    <w:qFormat/>
    <w:uiPriority w:val="0"/>
    <w:pPr>
      <w:spacing w:line="520" w:lineRule="exact"/>
      <w:ind w:firstLine="200" w:firstLineChars="200"/>
    </w:pPr>
    <w:rPr>
      <w:rFonts w:cs="宋体"/>
      <w:sz w:val="24"/>
      <w:szCs w:val="20"/>
    </w:rPr>
  </w:style>
  <w:style w:type="paragraph" w:customStyle="1" w:styleId="223">
    <w:name w:val="Char Char Char Char Char Char Char2"/>
    <w:basedOn w:val="1"/>
    <w:qFormat/>
    <w:uiPriority w:val="0"/>
    <w:pPr>
      <w:adjustRightInd w:val="0"/>
      <w:spacing w:line="360" w:lineRule="atLeast"/>
    </w:pPr>
    <w:rPr>
      <w:rFonts w:ascii="Calibri" w:hAnsi="Calibri" w:cs="Calibri"/>
    </w:rPr>
  </w:style>
  <w:style w:type="paragraph" w:customStyle="1" w:styleId="224">
    <w:name w:val="样式 标题 3标题 3 Char标题 3 Char Char标题 3 Char Char Char标题 3 Char C...9"/>
    <w:basedOn w:val="4"/>
    <w:qFormat/>
    <w:uiPriority w:val="0"/>
    <w:pPr>
      <w:tabs>
        <w:tab w:val="left" w:pos="7200"/>
      </w:tabs>
      <w:spacing w:before="120" w:after="120" w:line="480" w:lineRule="auto"/>
    </w:pPr>
    <w:rPr>
      <w:rFonts w:ascii="Times New Roman" w:hAnsi="Times New Roman"/>
      <w:b w:val="0"/>
      <w:color w:val="auto"/>
      <w:sz w:val="28"/>
      <w:szCs w:val="28"/>
    </w:rPr>
  </w:style>
  <w:style w:type="paragraph" w:customStyle="1" w:styleId="225">
    <w:name w:val="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26">
    <w:name w:val="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227">
    <w:name w:val="样式 标题 3标题 3 Char标题 3 Char Char标题 3 Char Char Char标题 3 Char C...7"/>
    <w:basedOn w:val="4"/>
    <w:qFormat/>
    <w:uiPriority w:val="0"/>
    <w:pPr>
      <w:tabs>
        <w:tab w:val="left" w:pos="7200"/>
      </w:tabs>
      <w:spacing w:before="0" w:after="0" w:line="480" w:lineRule="auto"/>
    </w:pPr>
    <w:rPr>
      <w:rFonts w:ascii="Times New Roman" w:hAnsi="Times New Roman"/>
      <w:color w:val="auto"/>
      <w:sz w:val="28"/>
      <w:szCs w:val="28"/>
    </w:rPr>
  </w:style>
  <w:style w:type="paragraph" w:customStyle="1" w:styleId="228">
    <w:name w:val="表格五号"/>
    <w:basedOn w:val="1"/>
    <w:qFormat/>
    <w:uiPriority w:val="0"/>
    <w:pPr>
      <w:tabs>
        <w:tab w:val="left" w:pos="7200"/>
      </w:tabs>
      <w:spacing w:line="360" w:lineRule="auto"/>
      <w:ind w:firstLine="200" w:firstLineChars="200"/>
      <w:jc w:val="center"/>
    </w:pPr>
    <w:rPr>
      <w:sz w:val="24"/>
      <w:szCs w:val="21"/>
    </w:rPr>
  </w:style>
  <w:style w:type="paragraph" w:customStyle="1" w:styleId="229">
    <w:name w:val="1.1"/>
    <w:basedOn w:val="1"/>
    <w:qFormat/>
    <w:uiPriority w:val="0"/>
    <w:pPr>
      <w:spacing w:before="120" w:line="360" w:lineRule="auto"/>
      <w:ind w:firstLine="100" w:firstLineChars="100"/>
      <w:outlineLvl w:val="1"/>
    </w:pPr>
    <w:rPr>
      <w:rFonts w:cs="宋体"/>
      <w:b/>
      <w:bCs/>
      <w:sz w:val="28"/>
      <w:szCs w:val="20"/>
    </w:rPr>
  </w:style>
  <w:style w:type="paragraph" w:customStyle="1" w:styleId="230">
    <w:name w:val="清改表格字体"/>
    <w:basedOn w:val="1"/>
    <w:qFormat/>
    <w:uiPriority w:val="99"/>
    <w:pPr>
      <w:jc w:val="center"/>
    </w:pPr>
    <w:rPr>
      <w:szCs w:val="20"/>
    </w:rPr>
  </w:style>
  <w:style w:type="paragraph" w:customStyle="1" w:styleId="231">
    <w:name w:val="Revision"/>
    <w:unhideWhenUsed/>
    <w:qFormat/>
    <w:uiPriority w:val="99"/>
    <w:rPr>
      <w:rFonts w:ascii="Calibri" w:hAnsi="Calibri" w:eastAsia="宋体" w:cs="Calibri"/>
      <w:color w:val="333333"/>
      <w:kern w:val="2"/>
      <w:sz w:val="28"/>
      <w:lang w:val="en-US" w:eastAsia="zh-CN" w:bidi="ar-SA"/>
    </w:rPr>
  </w:style>
  <w:style w:type="paragraph" w:customStyle="1" w:styleId="232">
    <w:name w:val="样式4"/>
    <w:basedOn w:val="14"/>
    <w:qFormat/>
    <w:uiPriority w:val="0"/>
    <w:rPr>
      <w:b/>
      <w:sz w:val="28"/>
    </w:rPr>
  </w:style>
  <w:style w:type="paragraph" w:customStyle="1" w:styleId="233">
    <w:name w:val="TOC Heading"/>
    <w:basedOn w:val="2"/>
    <w:next w:val="1"/>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234">
    <w:name w:val="样式 宋体 小四 行距: 1.5 倍行距"/>
    <w:basedOn w:val="1"/>
    <w:qFormat/>
    <w:uiPriority w:val="0"/>
    <w:pPr>
      <w:tabs>
        <w:tab w:val="left" w:pos="7200"/>
      </w:tabs>
      <w:spacing w:before="50" w:beforeLines="50" w:line="360" w:lineRule="auto"/>
      <w:ind w:firstLine="200" w:firstLineChars="200"/>
    </w:pPr>
    <w:rPr>
      <w:rFonts w:cs="宋体"/>
      <w:kern w:val="0"/>
      <w:sz w:val="24"/>
    </w:rPr>
  </w:style>
  <w:style w:type="paragraph" w:customStyle="1" w:styleId="235">
    <w:name w:val="样式2"/>
    <w:basedOn w:val="227"/>
    <w:uiPriority w:val="0"/>
    <w:rPr>
      <w:b w:val="0"/>
    </w:rPr>
  </w:style>
  <w:style w:type="paragraph" w:customStyle="1" w:styleId="236">
    <w:name w:val="样式 标题 3标题 3 Char标题 3 Char Char标题 3 Char Char Char标题 3 Char C...2"/>
    <w:basedOn w:val="4"/>
    <w:qFormat/>
    <w:uiPriority w:val="0"/>
    <w:pPr>
      <w:tabs>
        <w:tab w:val="left" w:pos="900"/>
      </w:tabs>
      <w:spacing w:beforeLines="50" w:afterLines="50"/>
    </w:pPr>
    <w:rPr>
      <w:rFonts w:ascii="Times New Roman" w:hAnsi="Times New Roman" w:eastAsia="黑体" w:cs="宋体"/>
      <w:b w:val="0"/>
      <w:bCs w:val="0"/>
      <w:color w:val="auto"/>
      <w:kern w:val="0"/>
      <w:sz w:val="28"/>
      <w:szCs w:val="20"/>
    </w:rPr>
  </w:style>
  <w:style w:type="paragraph" w:customStyle="1" w:styleId="237">
    <w:name w:val="样式 标题 1 + 段前: 6 磅 段后: 6 磅"/>
    <w:basedOn w:val="2"/>
    <w:qFormat/>
    <w:uiPriority w:val="0"/>
    <w:pPr>
      <w:keepLines/>
      <w:tabs>
        <w:tab w:val="left" w:pos="432"/>
      </w:tabs>
      <w:overflowPunct/>
      <w:snapToGrid/>
      <w:spacing w:before="340" w:after="340" w:line="520" w:lineRule="exact"/>
      <w:ind w:left="0" w:firstLine="0"/>
    </w:pPr>
    <w:rPr>
      <w:rFonts w:ascii="宋体" w:hAnsi="宋体" w:cs="宋体"/>
      <w:color w:val="auto"/>
      <w:sz w:val="36"/>
      <w:szCs w:val="36"/>
    </w:rPr>
  </w:style>
  <w:style w:type="paragraph" w:customStyle="1" w:styleId="238">
    <w:name w:val="样式3"/>
    <w:basedOn w:val="17"/>
    <w:uiPriority w:val="0"/>
    <w:pPr>
      <w:tabs>
        <w:tab w:val="left" w:pos="7200"/>
      </w:tabs>
      <w:spacing w:after="0" w:line="520" w:lineRule="exact"/>
      <w:ind w:left="0" w:leftChars="0" w:firstLine="482" w:firstLineChars="200"/>
    </w:pPr>
    <w:rPr>
      <w:kern w:val="2"/>
      <w:szCs w:val="24"/>
    </w:rPr>
  </w:style>
  <w:style w:type="paragraph" w:customStyle="1" w:styleId="239">
    <w:name w:val="图标"/>
    <w:basedOn w:val="1"/>
    <w:qFormat/>
    <w:uiPriority w:val="0"/>
    <w:pPr>
      <w:tabs>
        <w:tab w:val="left" w:pos="7200"/>
      </w:tabs>
      <w:spacing w:line="500" w:lineRule="exact"/>
      <w:ind w:firstLine="480" w:firstLineChars="200"/>
      <w:jc w:val="center"/>
    </w:pPr>
    <w:rPr>
      <w:rFonts w:ascii="黑体" w:eastAsia="黑体"/>
      <w:sz w:val="28"/>
    </w:rPr>
  </w:style>
  <w:style w:type="paragraph" w:customStyle="1" w:styleId="240">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241">
    <w:name w:val="页脚2"/>
    <w:basedOn w:val="1"/>
    <w:uiPriority w:val="0"/>
    <w:pPr>
      <w:tabs>
        <w:tab w:val="left" w:pos="7200"/>
      </w:tabs>
      <w:overflowPunct w:val="0"/>
      <w:adjustRightInd w:val="0"/>
      <w:snapToGrid w:val="0"/>
      <w:spacing w:line="240" w:lineRule="atLeast"/>
      <w:ind w:firstLine="480" w:firstLineChars="200"/>
      <w:jc w:val="center"/>
      <w:textAlignment w:val="baseline"/>
    </w:pPr>
    <w:rPr>
      <w:rFonts w:ascii="Arial" w:hAnsi="Arial" w:eastAsia="仿宋_GB2312"/>
      <w:kern w:val="0"/>
      <w:sz w:val="18"/>
      <w:szCs w:val="20"/>
    </w:rPr>
  </w:style>
  <w:style w:type="paragraph" w:customStyle="1" w:styleId="242">
    <w:name w:val="结论"/>
    <w:basedOn w:val="1"/>
    <w:qFormat/>
    <w:uiPriority w:val="0"/>
    <w:pPr>
      <w:tabs>
        <w:tab w:val="left" w:pos="7200"/>
      </w:tabs>
      <w:snapToGrid w:val="0"/>
      <w:spacing w:after="156" w:afterLines="50" w:line="500" w:lineRule="atLeast"/>
      <w:ind w:firstLine="561" w:firstLineChars="200"/>
    </w:pPr>
    <w:rPr>
      <w:rFonts w:ascii="楷体_GB2312" w:eastAsia="楷体_GB2312"/>
      <w:b/>
      <w:sz w:val="28"/>
      <w:szCs w:val="28"/>
    </w:rPr>
  </w:style>
  <w:style w:type="paragraph" w:customStyle="1" w:styleId="243">
    <w:name w:val="a3"/>
    <w:basedOn w:val="1"/>
    <w:qFormat/>
    <w:uiPriority w:val="0"/>
    <w:pPr>
      <w:widowControl/>
      <w:tabs>
        <w:tab w:val="left" w:pos="7200"/>
      </w:tabs>
      <w:spacing w:before="100" w:beforeAutospacing="1" w:after="100" w:afterAutospacing="1" w:line="360" w:lineRule="auto"/>
      <w:ind w:firstLine="480" w:firstLineChars="200"/>
      <w:jc w:val="left"/>
    </w:pPr>
    <w:rPr>
      <w:rFonts w:ascii="Arial Unicode MS" w:hAnsi="Arial Unicode MS" w:eastAsia="Arial Unicode MS" w:cs="Arial Unicode MS"/>
      <w:color w:val="000000"/>
      <w:kern w:val="0"/>
      <w:sz w:val="24"/>
    </w:rPr>
  </w:style>
  <w:style w:type="paragraph" w:customStyle="1" w:styleId="244">
    <w:name w:val="_Style 5"/>
    <w:basedOn w:val="1"/>
    <w:uiPriority w:val="0"/>
    <w:pPr>
      <w:tabs>
        <w:tab w:val="left" w:pos="7200"/>
      </w:tabs>
      <w:spacing w:line="360" w:lineRule="auto"/>
      <w:ind w:firstLine="480" w:firstLineChars="200"/>
    </w:pPr>
    <w:rPr>
      <w:rFonts w:ascii="Tahoma" w:hAnsi="Tahoma" w:cs="Tahoma"/>
      <w:sz w:val="24"/>
    </w:rPr>
  </w:style>
  <w:style w:type="paragraph" w:customStyle="1" w:styleId="245">
    <w:name w:val="1.图"/>
    <w:basedOn w:val="1"/>
    <w:qFormat/>
    <w:uiPriority w:val="0"/>
    <w:pPr>
      <w:jc w:val="center"/>
    </w:pPr>
    <w:rPr>
      <w:rFonts w:eastAsia="黑体" w:cs="宋体"/>
      <w:sz w:val="24"/>
      <w:szCs w:val="20"/>
    </w:rPr>
  </w:style>
  <w:style w:type="paragraph" w:customStyle="1" w:styleId="246">
    <w:name w:val="Char Char Char"/>
    <w:basedOn w:val="1"/>
    <w:qFormat/>
    <w:uiPriority w:val="0"/>
    <w:pPr>
      <w:tabs>
        <w:tab w:val="left" w:pos="7200"/>
      </w:tabs>
      <w:spacing w:line="360" w:lineRule="auto"/>
      <w:ind w:firstLine="480" w:firstLineChars="200"/>
    </w:pPr>
    <w:rPr>
      <w:sz w:val="24"/>
    </w:rPr>
  </w:style>
  <w:style w:type="paragraph" w:customStyle="1" w:styleId="247">
    <w:name w:val="无间隔1"/>
    <w:uiPriority w:val="0"/>
    <w:pPr>
      <w:tabs>
        <w:tab w:val="left" w:pos="420"/>
      </w:tabs>
      <w:jc w:val="center"/>
    </w:pPr>
    <w:rPr>
      <w:rFonts w:ascii="Calibri" w:hAnsi="Calibri" w:eastAsia="Times New Roman" w:cs="Times New Roman"/>
      <w:sz w:val="22"/>
      <w:szCs w:val="22"/>
      <w:lang w:val="en-US" w:eastAsia="zh-CN" w:bidi="ar-SA"/>
    </w:rPr>
  </w:style>
  <w:style w:type="paragraph" w:customStyle="1" w:styleId="248">
    <w:name w:val="样式1"/>
    <w:basedOn w:val="2"/>
    <w:qFormat/>
    <w:uiPriority w:val="0"/>
    <w:pPr>
      <w:keepLines/>
      <w:tabs>
        <w:tab w:val="left" w:pos="432"/>
      </w:tabs>
      <w:overflowPunct/>
      <w:snapToGrid/>
      <w:spacing w:before="312" w:beforeLines="100" w:after="312" w:afterLines="100" w:line="360" w:lineRule="auto"/>
      <w:ind w:left="0" w:firstLine="0"/>
    </w:pPr>
    <w:rPr>
      <w:b w:val="0"/>
      <w:color w:val="auto"/>
      <w:sz w:val="36"/>
      <w:szCs w:val="36"/>
    </w:rPr>
  </w:style>
  <w:style w:type="paragraph" w:customStyle="1" w:styleId="249">
    <w:name w:val="样式 标题 1标题 1 Char一级标题，黑粗，三号，序号Char1章节标题章标题 1-*+h11st lev..."/>
    <w:basedOn w:val="2"/>
    <w:uiPriority w:val="0"/>
    <w:pPr>
      <w:pageBreakBefore/>
      <w:numPr>
        <w:ilvl w:val="0"/>
        <w:numId w:val="1"/>
      </w:numPr>
      <w:tabs>
        <w:tab w:val="left" w:pos="432"/>
      </w:tabs>
      <w:overflowPunct/>
      <w:snapToGrid/>
      <w:spacing w:before="0" w:after="0" w:line="360" w:lineRule="auto"/>
      <w:ind w:left="0" w:firstLine="0"/>
    </w:pPr>
    <w:rPr>
      <w:rFonts w:ascii="宋体" w:hAnsi="宋体" w:eastAsia="宋体" w:cs="宋体"/>
      <w:bCs w:val="0"/>
      <w:color w:val="auto"/>
      <w:sz w:val="36"/>
      <w:szCs w:val="20"/>
    </w:rPr>
  </w:style>
  <w:style w:type="paragraph" w:customStyle="1" w:styleId="250">
    <w:name w:val="标题 3标题 3 Char标题 3 Char Char标题 3 Char Char Char标题 3 Char C...6"/>
    <w:basedOn w:val="4"/>
    <w:qFormat/>
    <w:uiPriority w:val="0"/>
    <w:pPr>
      <w:tabs>
        <w:tab w:val="left" w:pos="7200"/>
      </w:tabs>
      <w:spacing w:before="120" w:after="120" w:line="480" w:lineRule="auto"/>
    </w:pPr>
    <w:rPr>
      <w:rFonts w:ascii="Times New Roman" w:hAnsi="Times New Roman"/>
      <w:color w:val="auto"/>
      <w:sz w:val="28"/>
      <w:szCs w:val="28"/>
    </w:rPr>
  </w:style>
  <w:style w:type="paragraph" w:customStyle="1" w:styleId="251">
    <w:name w:val="样式 标题 3标题 3 Char标题 3 Char Char标题 3 Char Char Char标题 3 Char C...3"/>
    <w:basedOn w:val="4"/>
    <w:qFormat/>
    <w:uiPriority w:val="0"/>
    <w:pPr>
      <w:tabs>
        <w:tab w:val="left" w:pos="900"/>
      </w:tabs>
      <w:spacing w:beforeLines="50" w:afterLines="50"/>
    </w:pPr>
    <w:rPr>
      <w:rFonts w:ascii="Times New Roman" w:hAnsi="Times New Roman" w:eastAsia="黑体" w:cs="宋体"/>
      <w:b w:val="0"/>
      <w:bCs w:val="0"/>
      <w:color w:val="auto"/>
      <w:kern w:val="0"/>
      <w:sz w:val="28"/>
      <w:szCs w:val="20"/>
    </w:rPr>
  </w:style>
  <w:style w:type="paragraph" w:customStyle="1" w:styleId="252">
    <w:name w:val="正文2"/>
    <w:uiPriority w:val="0"/>
    <w:pPr>
      <w:jc w:val="both"/>
    </w:pPr>
    <w:rPr>
      <w:rFonts w:ascii="Times New Roman" w:hAnsi="Times New Roman" w:eastAsia="宋体" w:cs="Times New Roman"/>
      <w:kern w:val="2"/>
      <w:sz w:val="21"/>
      <w:szCs w:val="21"/>
      <w:lang w:val="en-US" w:eastAsia="zh-CN" w:bidi="ar-SA"/>
    </w:rPr>
  </w:style>
  <w:style w:type="paragraph" w:customStyle="1" w:styleId="253">
    <w:name w:val="条题"/>
    <w:basedOn w:val="1"/>
    <w:qFormat/>
    <w:uiPriority w:val="0"/>
    <w:pPr>
      <w:tabs>
        <w:tab w:val="left" w:pos="1080"/>
      </w:tabs>
      <w:spacing w:line="420" w:lineRule="exact"/>
      <w:ind w:left="432" w:hanging="432" w:firstLineChars="200"/>
    </w:pPr>
    <w:rPr>
      <w:rFonts w:eastAsia="黑体"/>
      <w:b/>
      <w:sz w:val="24"/>
    </w:rPr>
  </w:style>
  <w:style w:type="paragraph" w:customStyle="1" w:styleId="254">
    <w:name w:val="Char Char Char1"/>
    <w:basedOn w:val="1"/>
    <w:qFormat/>
    <w:uiPriority w:val="0"/>
    <w:pPr>
      <w:tabs>
        <w:tab w:val="left" w:pos="7200"/>
      </w:tabs>
      <w:spacing w:line="360" w:lineRule="auto"/>
      <w:ind w:firstLine="480" w:firstLineChars="200"/>
    </w:pPr>
    <w:rPr>
      <w:sz w:val="24"/>
    </w:rPr>
  </w:style>
  <w:style w:type="paragraph" w:customStyle="1" w:styleId="255">
    <w:name w:val="正文(首行缩进)"/>
    <w:basedOn w:val="1"/>
    <w:uiPriority w:val="0"/>
    <w:pPr>
      <w:tabs>
        <w:tab w:val="left" w:pos="7200"/>
      </w:tabs>
      <w:spacing w:line="360" w:lineRule="auto"/>
      <w:ind w:firstLine="540" w:firstLineChars="225"/>
    </w:pPr>
    <w:rPr>
      <w:snapToGrid w:val="0"/>
      <w:color w:val="000000"/>
      <w:kern w:val="0"/>
      <w:sz w:val="24"/>
    </w:rPr>
  </w:style>
  <w:style w:type="paragraph" w:customStyle="1" w:styleId="256">
    <w:name w:val="Char5"/>
    <w:basedOn w:val="1"/>
    <w:qFormat/>
    <w:uiPriority w:val="0"/>
    <w:pPr>
      <w:tabs>
        <w:tab w:val="left" w:pos="7200"/>
      </w:tabs>
      <w:snapToGrid w:val="0"/>
      <w:spacing w:line="360" w:lineRule="auto"/>
      <w:ind w:firstLine="200" w:firstLineChars="200"/>
    </w:pPr>
    <w:rPr>
      <w:rFonts w:eastAsia="仿宋_GB2312"/>
      <w:sz w:val="32"/>
      <w:szCs w:val="20"/>
    </w:rPr>
  </w:style>
  <w:style w:type="paragraph" w:customStyle="1" w:styleId="257">
    <w:name w:val="book"/>
    <w:basedOn w:val="1"/>
    <w:qFormat/>
    <w:uiPriority w:val="0"/>
    <w:pPr>
      <w:spacing w:line="360" w:lineRule="exact"/>
      <w:jc w:val="center"/>
    </w:pPr>
    <w:rPr>
      <w:rFonts w:ascii="Calibri" w:hAnsi="Calibri" w:cs="Calibri"/>
    </w:rPr>
  </w:style>
  <w:style w:type="paragraph" w:customStyle="1" w:styleId="258">
    <w:name w:val="前言、引言标题"/>
    <w:next w:val="1"/>
    <w:uiPriority w:val="0"/>
    <w:pPr>
      <w:shd w:val="clear" w:color="FFFFFF" w:fill="FFFFFF"/>
      <w:tabs>
        <w:tab w:val="left" w:pos="903"/>
      </w:tabs>
      <w:spacing w:before="640" w:after="560" w:line="276" w:lineRule="auto"/>
      <w:ind w:left="903" w:hanging="315"/>
      <w:jc w:val="center"/>
      <w:outlineLvl w:val="0"/>
    </w:pPr>
    <w:rPr>
      <w:rFonts w:ascii="黑体" w:hAnsi="Calibri" w:eastAsia="黑体" w:cs="Times New Roman"/>
      <w:sz w:val="32"/>
      <w:szCs w:val="22"/>
      <w:lang w:val="en-US" w:eastAsia="zh-CN" w:bidi="ar-SA"/>
    </w:rPr>
  </w:style>
  <w:style w:type="paragraph" w:customStyle="1" w:styleId="259">
    <w:name w:val="样式 标题 3标题 3 Char标题 3 Char Char标题 3 Char Char Char标题 3 Char C...8"/>
    <w:basedOn w:val="4"/>
    <w:qFormat/>
    <w:uiPriority w:val="0"/>
    <w:pPr>
      <w:tabs>
        <w:tab w:val="left" w:pos="7200"/>
      </w:tabs>
      <w:spacing w:before="120" w:after="120" w:line="480" w:lineRule="auto"/>
    </w:pPr>
    <w:rPr>
      <w:rFonts w:ascii="Times New Roman" w:hAnsi="Times New Roman" w:eastAsia="黑体"/>
      <w:color w:val="auto"/>
      <w:sz w:val="28"/>
      <w:szCs w:val="28"/>
    </w:rPr>
  </w:style>
  <w:style w:type="paragraph" w:customStyle="1" w:styleId="260">
    <w:name w:val="样式 样式 标题 3标题 3 Char标题 3 Char Char标题 3 Char Char Char标题 3 Char C...."/>
    <w:basedOn w:val="85"/>
    <w:qFormat/>
    <w:uiPriority w:val="0"/>
    <w:pPr>
      <w:spacing w:before="120" w:after="120"/>
      <w:ind w:firstLine="602"/>
    </w:pPr>
    <w:rPr>
      <w:rFonts w:cs="宋体"/>
      <w:sz w:val="28"/>
      <w:szCs w:val="20"/>
    </w:rPr>
  </w:style>
  <w:style w:type="paragraph" w:customStyle="1" w:styleId="261">
    <w:name w:val="正文 + Times New Roman"/>
    <w:basedOn w:val="1"/>
    <w:uiPriority w:val="0"/>
    <w:pPr>
      <w:tabs>
        <w:tab w:val="left" w:pos="7200"/>
      </w:tabs>
      <w:spacing w:line="360" w:lineRule="auto"/>
      <w:ind w:firstLine="480" w:firstLineChars="200"/>
    </w:pPr>
    <w:rPr>
      <w:sz w:val="24"/>
    </w:rPr>
  </w:style>
  <w:style w:type="paragraph" w:customStyle="1" w:styleId="262">
    <w:name w:val="Char51"/>
    <w:basedOn w:val="1"/>
    <w:qFormat/>
    <w:uiPriority w:val="0"/>
    <w:pPr>
      <w:tabs>
        <w:tab w:val="left" w:pos="7200"/>
      </w:tabs>
      <w:snapToGrid w:val="0"/>
      <w:spacing w:line="360" w:lineRule="auto"/>
      <w:ind w:firstLine="200" w:firstLineChars="200"/>
    </w:pPr>
    <w:rPr>
      <w:rFonts w:eastAsia="仿宋_GB2312"/>
      <w:sz w:val="32"/>
      <w:szCs w:val="20"/>
    </w:rPr>
  </w:style>
  <w:style w:type="paragraph" w:customStyle="1" w:styleId="263">
    <w:name w:val="p0"/>
    <w:basedOn w:val="1"/>
    <w:qFormat/>
    <w:uiPriority w:val="0"/>
    <w:pPr>
      <w:widowControl/>
      <w:jc w:val="left"/>
    </w:pPr>
    <w:rPr>
      <w:kern w:val="0"/>
      <w:sz w:val="20"/>
      <w:szCs w:val="20"/>
    </w:rPr>
  </w:style>
  <w:style w:type="paragraph" w:customStyle="1" w:styleId="264">
    <w:name w:val="正文-第几条 Char Char Char Char"/>
    <w:basedOn w:val="1"/>
    <w:qFormat/>
    <w:uiPriority w:val="0"/>
    <w:pPr>
      <w:tabs>
        <w:tab w:val="left" w:pos="1838"/>
      </w:tabs>
      <w:spacing w:line="360" w:lineRule="auto"/>
      <w:ind w:left="1838" w:hanging="420" w:firstLineChars="200"/>
    </w:pPr>
    <w:rPr>
      <w:sz w:val="24"/>
    </w:rPr>
  </w:style>
  <w:style w:type="paragraph" w:customStyle="1" w:styleId="265">
    <w:name w:val="仿宋黑"/>
    <w:basedOn w:val="1"/>
    <w:uiPriority w:val="0"/>
    <w:pPr>
      <w:tabs>
        <w:tab w:val="left" w:pos="7200"/>
      </w:tabs>
      <w:snapToGrid w:val="0"/>
      <w:spacing w:line="500" w:lineRule="exact"/>
      <w:ind w:firstLine="567" w:firstLineChars="200"/>
    </w:pPr>
    <w:rPr>
      <w:rFonts w:eastAsia="仿宋_GB2312"/>
      <w:b/>
      <w:bCs/>
      <w:spacing w:val="20"/>
      <w:sz w:val="28"/>
      <w:szCs w:val="28"/>
    </w:rPr>
  </w:style>
  <w:style w:type="paragraph" w:customStyle="1" w:styleId="266">
    <w:name w:val="20"/>
    <w:basedOn w:val="1"/>
    <w:qFormat/>
    <w:uiPriority w:val="0"/>
    <w:pPr>
      <w:widowControl/>
      <w:tabs>
        <w:tab w:val="left" w:pos="7200"/>
      </w:tabs>
      <w:spacing w:before="100" w:beforeAutospacing="1" w:after="100" w:afterAutospacing="1" w:line="360" w:lineRule="auto"/>
      <w:ind w:firstLine="480" w:firstLineChars="200"/>
      <w:jc w:val="left"/>
    </w:pPr>
    <w:rPr>
      <w:rFonts w:cs="宋体"/>
      <w:kern w:val="0"/>
      <w:sz w:val="24"/>
    </w:rPr>
  </w:style>
  <w:style w:type="paragraph" w:customStyle="1" w:styleId="267">
    <w:name w:val="默认段落字体 Para Char"/>
    <w:basedOn w:val="1"/>
    <w:qFormat/>
    <w:uiPriority w:val="0"/>
    <w:pPr>
      <w:tabs>
        <w:tab w:val="left" w:pos="7200"/>
      </w:tabs>
      <w:adjustRightInd w:val="0"/>
      <w:spacing w:line="360" w:lineRule="atLeast"/>
      <w:ind w:firstLine="480" w:firstLineChars="200"/>
      <w:textAlignment w:val="baseline"/>
    </w:pPr>
    <w:rPr>
      <w:sz w:val="24"/>
    </w:rPr>
  </w:style>
  <w:style w:type="paragraph" w:customStyle="1" w:styleId="268">
    <w:name w:val="鸿达表加粗"/>
    <w:basedOn w:val="1"/>
    <w:qFormat/>
    <w:uiPriority w:val="0"/>
    <w:pPr>
      <w:jc w:val="center"/>
    </w:pPr>
    <w:rPr>
      <w:rFonts w:cs="宋体"/>
      <w:b/>
      <w:color w:val="000000"/>
      <w:szCs w:val="20"/>
    </w:rPr>
  </w:style>
  <w:style w:type="paragraph" w:customStyle="1" w:styleId="269">
    <w:name w:val="Char Char Char1 Char"/>
    <w:basedOn w:val="1"/>
    <w:qFormat/>
    <w:uiPriority w:val="0"/>
    <w:rPr>
      <w:rFonts w:ascii="宋体"/>
      <w:color w:val="000000"/>
      <w:sz w:val="24"/>
      <w:szCs w:val="20"/>
    </w:rPr>
  </w:style>
  <w:style w:type="paragraph" w:customStyle="1" w:styleId="270">
    <w:name w:val="表内"/>
    <w:basedOn w:val="1"/>
    <w:qFormat/>
    <w:uiPriority w:val="99"/>
    <w:pPr>
      <w:framePr w:hSpace="180" w:wrap="around" w:vAnchor="page" w:hAnchor="margin" w:y="1411"/>
      <w:widowControl/>
    </w:pPr>
    <w:rPr>
      <w:rFonts w:ascii="宋体" w:hAnsi="宋体" w:eastAsia="仿宋"/>
      <w:kern w:val="0"/>
      <w:sz w:val="20"/>
      <w:szCs w:val="20"/>
    </w:rPr>
  </w:style>
  <w:style w:type="character" w:customStyle="1" w:styleId="271">
    <w:name w:val="15"/>
    <w:qFormat/>
    <w:uiPriority w:val="0"/>
    <w:rPr>
      <w:rFonts w:hint="default" w:ascii="Times New Roman" w:hAnsi="Times New Roman" w:cs="Times New Roman"/>
      <w:sz w:val="21"/>
      <w:szCs w:val="21"/>
    </w:rPr>
  </w:style>
  <w:style w:type="character" w:customStyle="1" w:styleId="272">
    <w:name w:val="font101"/>
    <w:qFormat/>
    <w:uiPriority w:val="0"/>
    <w:rPr>
      <w:rFonts w:hint="eastAsia" w:ascii="仿宋" w:hAnsi="仿宋" w:eastAsia="仿宋" w:cs="仿宋"/>
      <w:color w:val="000000"/>
      <w:sz w:val="21"/>
      <w:szCs w:val="21"/>
      <w:u w:val="none"/>
    </w:rPr>
  </w:style>
  <w:style w:type="paragraph" w:styleId="273">
    <w:name w:val="List Paragraph"/>
    <w:basedOn w:val="1"/>
    <w:qFormat/>
    <w:uiPriority w:val="34"/>
    <w:pPr>
      <w:ind w:firstLine="420" w:firstLineChars="200"/>
    </w:pPr>
  </w:style>
  <w:style w:type="character" w:customStyle="1" w:styleId="274">
    <w:name w:val="纯文本 Char"/>
    <w:qFormat/>
    <w:locked/>
    <w:uiPriority w:val="0"/>
    <w:rPr>
      <w:rFonts w:ascii="宋体" w:hAnsi="Courier New" w:eastAsia="宋体" w:cs="Courier New"/>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emf"/><Relationship Id="rId14" Type="http://schemas.openxmlformats.org/officeDocument/2006/relationships/package" Target="embeddings/Microsoft_Visio___1.vsdx"/><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EF626A-FE96-455D-908E-D78333CF2033}">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78</Pages>
  <Words>6170</Words>
  <Characters>35174</Characters>
  <Lines>293</Lines>
  <Paragraphs>82</Paragraphs>
  <TotalTime>152</TotalTime>
  <ScaleCrop>false</ScaleCrop>
  <LinksUpToDate>false</LinksUpToDate>
  <CharactersWithSpaces>41262</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2021-12-19T14:46:00Z</dcterms:created>
  <dc:creator>lhj</dc:creator>
  <cp:lastModifiedBy>G</cp:lastModifiedBy>
  <cp:lastPrinted>2021-03-26T07:35:00Z</cp:lastPrinted>
  <dcterms:modified xsi:type="dcterms:W3CDTF">2021-12-30T02:12:47Z</dcterms:modified>
  <dc:title>附件2</dc:title>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B97D7205109C4E82BDC39F1F7FFD5FB7</vt:lpwstr>
  </property>
</Properties>
</file>